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2.xml" ContentType="application/vnd.openxmlformats-officedocument.wordprocessingml.header+xml"/>
  <Override PartName="/word/footer76.xml" ContentType="application/vnd.openxmlformats-officedocument.wordprocessingml.footer+xml"/>
  <Override PartName="/word/header63.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508" w:rsidRDefault="00136775">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F2508" w:rsidRDefault="00AF2508">
      <w:pPr>
        <w:jc w:val="center"/>
        <w:rPr>
          <w:rFonts w:ascii="Arial" w:hAnsi="Arial"/>
        </w:rPr>
      </w:pPr>
      <w:r>
        <w:rPr>
          <w:rFonts w:ascii="Arial" w:hAnsi="Arial"/>
        </w:rPr>
        <w:t>Australian Capital Territory</w:t>
      </w:r>
    </w:p>
    <w:p w:rsidR="00AF2508" w:rsidRDefault="001A7146">
      <w:pPr>
        <w:pStyle w:val="Billname"/>
      </w:pPr>
      <w:r>
        <w:fldChar w:fldCharType="begin"/>
      </w:r>
      <w:r>
        <w:instrText xml:space="preserve"> REF Citation \*charformat </w:instrText>
      </w:r>
      <w:r>
        <w:fldChar w:fldCharType="separate"/>
      </w:r>
      <w:r w:rsidR="00AA7BA7">
        <w:t>Scaffolding and Lifts Regulation 1950</w:t>
      </w:r>
      <w:r>
        <w:fldChar w:fldCharType="end"/>
      </w:r>
      <w:r w:rsidR="00AF2508">
        <w:t xml:space="preserve">    </w:t>
      </w:r>
    </w:p>
    <w:p w:rsidR="00AF2508" w:rsidRDefault="00AF2508">
      <w:pPr>
        <w:pStyle w:val="ActNo"/>
      </w:pPr>
    </w:p>
    <w:p w:rsidR="00AF2508" w:rsidRDefault="00AF2508">
      <w:pPr>
        <w:pStyle w:val="CoverInForce"/>
      </w:pPr>
      <w:r>
        <w:t>made under the</w:t>
      </w:r>
    </w:p>
    <w:p w:rsidR="00AF2508" w:rsidRDefault="001A7146">
      <w:pPr>
        <w:pStyle w:val="CoverActName"/>
      </w:pPr>
      <w:r>
        <w:fldChar w:fldCharType="begin"/>
      </w:r>
      <w:r>
        <w:instrText xml:space="preserve"> REF ActName \*charformat </w:instrText>
      </w:r>
      <w:r>
        <w:fldChar w:fldCharType="separate"/>
      </w:r>
      <w:r w:rsidR="00AA7BA7">
        <w:t>Scaffolding and Lifts Act 1912</w:t>
      </w:r>
      <w:r>
        <w:fldChar w:fldCharType="end"/>
      </w:r>
    </w:p>
    <w:p w:rsidR="00AF2508" w:rsidRDefault="00AF2508">
      <w:pPr>
        <w:pStyle w:val="RepubNo"/>
      </w:pPr>
      <w:r>
        <w:t xml:space="preserve">Republication No </w:t>
      </w:r>
      <w:bookmarkStart w:id="1" w:name="RepubNo"/>
      <w:r w:rsidR="00E5176C">
        <w:t>4</w:t>
      </w:r>
      <w:bookmarkEnd w:id="1"/>
    </w:p>
    <w:p w:rsidR="00AF2508" w:rsidRDefault="00AF2508">
      <w:pPr>
        <w:pStyle w:val="EffectiveDate"/>
      </w:pPr>
      <w:r>
        <w:t xml:space="preserve">Effective:  </w:t>
      </w:r>
      <w:bookmarkStart w:id="2" w:name="EffectiveDate"/>
      <w:r w:rsidR="00E5176C">
        <w:t>12 April 2007</w:t>
      </w:r>
      <w:bookmarkEnd w:id="2"/>
      <w:r w:rsidR="00E5176C">
        <w:t xml:space="preserve"> – </w:t>
      </w:r>
      <w:bookmarkStart w:id="3" w:name="EndEffDate"/>
      <w:r w:rsidR="00E5176C">
        <w:t>30 September 2009</w:t>
      </w:r>
      <w:bookmarkEnd w:id="3"/>
    </w:p>
    <w:p w:rsidR="00AF2508" w:rsidRDefault="00AF2508">
      <w:pPr>
        <w:pStyle w:val="CoverInForce"/>
      </w:pPr>
      <w:r>
        <w:t xml:space="preserve">Republication date: </w:t>
      </w:r>
      <w:bookmarkStart w:id="4" w:name="InForceDate"/>
      <w:r w:rsidR="00E5176C">
        <w:t>12 April 2007</w:t>
      </w:r>
      <w:bookmarkEnd w:id="4"/>
    </w:p>
    <w:p w:rsidR="00AF2508" w:rsidRDefault="00AF2508">
      <w:pPr>
        <w:pStyle w:val="CoverInForce"/>
      </w:pPr>
      <w:r>
        <w:t xml:space="preserve">Last amendment made by </w:t>
      </w:r>
      <w:bookmarkStart w:id="5" w:name="LastAmdt"/>
      <w:r w:rsidR="00E5176C">
        <w:t>A2007-3</w:t>
      </w:r>
      <w:bookmarkEnd w:id="5"/>
    </w:p>
    <w:p w:rsidR="00AF2508" w:rsidRDefault="00AF2508">
      <w:pPr>
        <w:pStyle w:val="CoverInForce"/>
      </w:pPr>
    </w:p>
    <w:p w:rsidR="00AF2508" w:rsidRDefault="00AF2508"/>
    <w:p w:rsidR="00AF2508" w:rsidRDefault="00AF2508"/>
    <w:p w:rsidR="00AF2508" w:rsidRDefault="00AF2508"/>
    <w:p w:rsidR="00AF2508" w:rsidRDefault="00AF2508"/>
    <w:p w:rsidR="00AF2508" w:rsidRDefault="00AF2508">
      <w:pPr>
        <w:rPr>
          <w:rFonts w:ascii="Arial" w:hAnsi="Arial"/>
        </w:rPr>
      </w:pPr>
    </w:p>
    <w:p w:rsidR="00AF2508" w:rsidRDefault="00AF2508">
      <w:pPr>
        <w:pStyle w:val="CoverHeading"/>
      </w:pPr>
      <w:r>
        <w:br w:type="page"/>
      </w:r>
      <w:r>
        <w:lastRenderedPageBreak/>
        <w:t>About this republication</w:t>
      </w:r>
    </w:p>
    <w:p w:rsidR="00AF2508" w:rsidRDefault="00AF2508">
      <w:pPr>
        <w:pStyle w:val="CoverSubHdg"/>
      </w:pPr>
      <w:r>
        <w:t>The republished law</w:t>
      </w:r>
    </w:p>
    <w:p w:rsidR="00AF2508" w:rsidRDefault="00AF2508">
      <w:pPr>
        <w:pStyle w:val="CoverText"/>
      </w:pPr>
      <w:r>
        <w:t xml:space="preserve">This is a republication of the </w:t>
      </w:r>
      <w:r w:rsidRPr="00E5176C">
        <w:rPr>
          <w:i/>
        </w:rPr>
        <w:fldChar w:fldCharType="begin"/>
      </w:r>
      <w:r w:rsidRPr="00E5176C">
        <w:rPr>
          <w:i/>
        </w:rPr>
        <w:instrText xml:space="preserve"> REF citation *\charformat  \* MERGEFORMAT </w:instrText>
      </w:r>
      <w:r w:rsidRPr="00E5176C">
        <w:rPr>
          <w:i/>
        </w:rPr>
        <w:fldChar w:fldCharType="separate"/>
      </w:r>
      <w:r w:rsidR="00AA7BA7" w:rsidRPr="00AA7BA7">
        <w:rPr>
          <w:i/>
        </w:rPr>
        <w:t>Scaffolding and Lifts Regulation 1950</w:t>
      </w:r>
      <w:r w:rsidRPr="00E5176C">
        <w:rPr>
          <w:i/>
        </w:rPr>
        <w:fldChar w:fldCharType="end"/>
      </w:r>
      <w:r>
        <w:rPr>
          <w:iCs/>
        </w:rPr>
        <w:t>,</w:t>
      </w:r>
      <w:r>
        <w:t xml:space="preserve"> made under the </w:t>
      </w:r>
      <w:r w:rsidRPr="00E5176C">
        <w:rPr>
          <w:i/>
        </w:rPr>
        <w:fldChar w:fldCharType="begin"/>
      </w:r>
      <w:r w:rsidRPr="00E5176C">
        <w:rPr>
          <w:i/>
        </w:rPr>
        <w:instrText xml:space="preserve"> REF ActName \*charformat  \* MERGEFORMAT </w:instrText>
      </w:r>
      <w:r w:rsidRPr="00E5176C">
        <w:rPr>
          <w:i/>
        </w:rPr>
        <w:fldChar w:fldCharType="separate"/>
      </w:r>
      <w:r w:rsidR="00AA7BA7" w:rsidRPr="00AA7BA7">
        <w:rPr>
          <w:i/>
        </w:rPr>
        <w:t>Scaffolding and Lifts Act 1912</w:t>
      </w:r>
      <w:r w:rsidRPr="00E5176C">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1A7146">
        <w:fldChar w:fldCharType="begin"/>
      </w:r>
      <w:r w:rsidR="001A7146">
        <w:instrText xml:space="preserve"> REF InForceD</w:instrText>
      </w:r>
      <w:r w:rsidR="001A7146">
        <w:instrText xml:space="preserve">ate *\charformat </w:instrText>
      </w:r>
      <w:r w:rsidR="001A7146">
        <w:fldChar w:fldCharType="separate"/>
      </w:r>
      <w:r w:rsidR="00AA7BA7">
        <w:t>12 April 2007</w:t>
      </w:r>
      <w:r w:rsidR="001A7146">
        <w:fldChar w:fldCharType="end"/>
      </w:r>
      <w:r>
        <w:rPr>
          <w:i/>
        </w:rPr>
        <w:t xml:space="preserve">.  </w:t>
      </w:r>
      <w:r>
        <w:t xml:space="preserve">It also includes any amendment, repeal or expiry affecting the republished law to </w:t>
      </w:r>
      <w:r w:rsidR="001A7146">
        <w:fldChar w:fldCharType="begin"/>
      </w:r>
      <w:r w:rsidR="001A7146">
        <w:instrText xml:space="preserve"> REF EffectiveDate *\charformat </w:instrText>
      </w:r>
      <w:r w:rsidR="001A7146">
        <w:fldChar w:fldCharType="separate"/>
      </w:r>
      <w:r w:rsidR="00AA7BA7">
        <w:t>12 April 2007</w:t>
      </w:r>
      <w:r w:rsidR="001A7146">
        <w:fldChar w:fldCharType="end"/>
      </w:r>
      <w:r>
        <w:t xml:space="preserve">.  </w:t>
      </w:r>
    </w:p>
    <w:p w:rsidR="00AF2508" w:rsidRDefault="00AF2508">
      <w:pPr>
        <w:pStyle w:val="CoverText"/>
      </w:pPr>
      <w:r>
        <w:t xml:space="preserve">The legislation history and amendment history of the republished law are set out in endnotes 3 and 4. </w:t>
      </w:r>
    </w:p>
    <w:p w:rsidR="00AF2508" w:rsidRDefault="00AF2508">
      <w:pPr>
        <w:pStyle w:val="CoverSubHdg"/>
      </w:pPr>
      <w:r>
        <w:t>Kinds of republications</w:t>
      </w:r>
    </w:p>
    <w:p w:rsidR="00AF2508" w:rsidRDefault="00AF2508">
      <w:pPr>
        <w:pStyle w:val="CoverText"/>
        <w:rPr>
          <w:color w:val="000000"/>
        </w:rPr>
      </w:pPr>
      <w:r>
        <w:rPr>
          <w:color w:val="000000"/>
        </w:rPr>
        <w:t>The Parliamentary Counsel’s Office prepares 2 kinds of republications of ACT laws (see the ACT legislation register at www.legislation.act.gov.au):</w:t>
      </w:r>
    </w:p>
    <w:p w:rsidR="00AF2508" w:rsidRDefault="00AF2508">
      <w:pPr>
        <w:pStyle w:val="CoverText"/>
        <w:numPr>
          <w:ilvl w:val="0"/>
          <w:numId w:val="2"/>
        </w:numPr>
        <w:rPr>
          <w:color w:val="000000"/>
        </w:rPr>
      </w:pPr>
      <w:r>
        <w:rPr>
          <w:color w:val="000000"/>
        </w:rPr>
        <w:t xml:space="preserve">authorised republications to which the </w:t>
      </w:r>
      <w:r>
        <w:rPr>
          <w:rStyle w:val="charItals"/>
        </w:rPr>
        <w:t>Legislation Act 2001</w:t>
      </w:r>
      <w:r>
        <w:rPr>
          <w:color w:val="000000"/>
        </w:rPr>
        <w:t xml:space="preserve"> applies</w:t>
      </w:r>
    </w:p>
    <w:p w:rsidR="00AF2508" w:rsidRDefault="00AF2508">
      <w:pPr>
        <w:pStyle w:val="CoverText"/>
        <w:numPr>
          <w:ilvl w:val="0"/>
          <w:numId w:val="2"/>
        </w:numPr>
        <w:rPr>
          <w:color w:val="000000"/>
        </w:rPr>
      </w:pPr>
      <w:r>
        <w:rPr>
          <w:color w:val="000000"/>
        </w:rPr>
        <w:t>unauthorised republications.</w:t>
      </w:r>
    </w:p>
    <w:p w:rsidR="00AF2508" w:rsidRDefault="00AF2508">
      <w:pPr>
        <w:pStyle w:val="CoverText"/>
      </w:pPr>
      <w:r>
        <w:t>The status of this republication appears on the bottom of each page.</w:t>
      </w:r>
    </w:p>
    <w:p w:rsidR="00AF2508" w:rsidRDefault="00AF2508">
      <w:pPr>
        <w:pStyle w:val="CoverSubHdg"/>
      </w:pPr>
      <w:r>
        <w:t>Editorial changes</w:t>
      </w:r>
    </w:p>
    <w:p w:rsidR="00AF2508" w:rsidRDefault="00AF2508">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F2508" w:rsidRDefault="00AF2508">
      <w:pPr>
        <w:pStyle w:val="CoverText"/>
      </w:pPr>
      <w:r>
        <w:t>This republication includes amendments made under part 11.3 (see endnote 1).</w:t>
      </w:r>
    </w:p>
    <w:p w:rsidR="00AF2508" w:rsidRDefault="00AF2508">
      <w:pPr>
        <w:pStyle w:val="CoverSubHdg"/>
      </w:pPr>
      <w:r>
        <w:t>Uncommenced provisions and amendments</w:t>
      </w:r>
    </w:p>
    <w:p w:rsidR="00AF2508" w:rsidRDefault="00AF2508">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F2508" w:rsidRDefault="00AF2508">
      <w:pPr>
        <w:pStyle w:val="CoverSubHdg"/>
      </w:pPr>
      <w:r>
        <w:t>Modifications</w:t>
      </w:r>
    </w:p>
    <w:p w:rsidR="00AF2508" w:rsidRDefault="00AF250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F2508" w:rsidRDefault="00AF2508">
      <w:pPr>
        <w:pStyle w:val="CoverSubHdg"/>
      </w:pPr>
      <w:r>
        <w:t>Penalties</w:t>
      </w:r>
    </w:p>
    <w:p w:rsidR="00AF2508" w:rsidRDefault="00AF2508">
      <w:pPr>
        <w:pStyle w:val="CoverText"/>
        <w:rPr>
          <w:color w:val="000000"/>
        </w:rPr>
      </w:pPr>
      <w:r>
        <w:rPr>
          <w:color w:val="000000"/>
        </w:rPr>
        <w:t>The value of a penalty unit for an offence against this republished law at the republication date is—</w:t>
      </w:r>
    </w:p>
    <w:p w:rsidR="00AF2508" w:rsidRDefault="00AF2508">
      <w:pPr>
        <w:pStyle w:val="CoverTextPara"/>
      </w:pPr>
      <w:r>
        <w:tab/>
        <w:t>(a)</w:t>
      </w:r>
      <w:r>
        <w:tab/>
        <w:t>if the person charged is an individual—$100; or</w:t>
      </w:r>
    </w:p>
    <w:p w:rsidR="00AF2508" w:rsidRDefault="00AF2508">
      <w:pPr>
        <w:pStyle w:val="CoverTextPara"/>
      </w:pPr>
      <w:r>
        <w:tab/>
        <w:t>(b)</w:t>
      </w:r>
      <w:r>
        <w:tab/>
        <w:t>if the person charged is a corporation—$500.</w:t>
      </w:r>
    </w:p>
    <w:p w:rsidR="00AF2508" w:rsidRDefault="00AF2508">
      <w:pPr>
        <w:pStyle w:val="00SigningPage"/>
        <w:sectPr w:rsidR="00AF2508">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F2508" w:rsidRDefault="00136775">
      <w:pPr>
        <w:jc w:val="center"/>
      </w:pPr>
      <w:r>
        <w:rPr>
          <w:noProof/>
          <w:lang w:eastAsia="en-AU"/>
        </w:rPr>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F2508" w:rsidRDefault="00AF2508">
      <w:pPr>
        <w:jc w:val="center"/>
        <w:rPr>
          <w:rFonts w:ascii="Arial" w:hAnsi="Arial"/>
        </w:rPr>
      </w:pPr>
      <w:r>
        <w:rPr>
          <w:rFonts w:ascii="Arial" w:hAnsi="Arial"/>
        </w:rPr>
        <w:t>Australian Capital Territory</w:t>
      </w:r>
    </w:p>
    <w:p w:rsidR="00AF2508" w:rsidRDefault="001A7146">
      <w:pPr>
        <w:pStyle w:val="Billname"/>
      </w:pPr>
      <w:r>
        <w:fldChar w:fldCharType="begin"/>
      </w:r>
      <w:r>
        <w:instrText xml:space="preserve"> REF Citation \*charformat </w:instrText>
      </w:r>
      <w:r>
        <w:fldChar w:fldCharType="separate"/>
      </w:r>
      <w:r w:rsidR="00AA7BA7">
        <w:t>Scaffolding and Lifts Regulation 1950</w:t>
      </w:r>
      <w:r>
        <w:fldChar w:fldCharType="end"/>
      </w:r>
    </w:p>
    <w:p w:rsidR="00AF2508" w:rsidRDefault="00AF2508">
      <w:pPr>
        <w:pStyle w:val="CoverInForce"/>
      </w:pPr>
      <w:r>
        <w:t>made under the</w:t>
      </w:r>
    </w:p>
    <w:p w:rsidR="00AF2508" w:rsidRDefault="001A7146">
      <w:pPr>
        <w:pStyle w:val="CoverActName"/>
      </w:pPr>
      <w:r>
        <w:fldChar w:fldCharType="begin"/>
      </w:r>
      <w:r>
        <w:instrText xml:space="preserve"> REF ActName \*charformat </w:instrText>
      </w:r>
      <w:r>
        <w:fldChar w:fldCharType="separate"/>
      </w:r>
      <w:r w:rsidR="00AA7BA7">
        <w:t>Scaffolding and Lifts Act 1912</w:t>
      </w:r>
      <w:r>
        <w:fldChar w:fldCharType="end"/>
      </w:r>
    </w:p>
    <w:p w:rsidR="00AF2508" w:rsidRDefault="00AF2508">
      <w:pPr>
        <w:pStyle w:val="Placeholder"/>
      </w:pPr>
      <w:r>
        <w:rPr>
          <w:rStyle w:val="charContents"/>
          <w:sz w:val="16"/>
        </w:rPr>
        <w:t xml:space="preserve">  </w:t>
      </w:r>
      <w:r>
        <w:rPr>
          <w:rStyle w:val="charPage"/>
        </w:rPr>
        <w:t xml:space="preserve">  </w:t>
      </w:r>
    </w:p>
    <w:p w:rsidR="00AF2508" w:rsidRDefault="00AF2508">
      <w:pPr>
        <w:pStyle w:val="N-TOCheading"/>
      </w:pPr>
      <w:r>
        <w:rPr>
          <w:rStyle w:val="charContents"/>
        </w:rPr>
        <w:t>Contents</w:t>
      </w:r>
    </w:p>
    <w:p w:rsidR="00AF2508" w:rsidRDefault="00AF2508">
      <w:pPr>
        <w:pStyle w:val="N-9pt"/>
      </w:pPr>
      <w:r>
        <w:tab/>
      </w:r>
      <w:r>
        <w:rPr>
          <w:rStyle w:val="charPage"/>
        </w:rPr>
        <w:t>Page</w:t>
      </w:r>
    </w:p>
    <w:p w:rsidR="00AF2508" w:rsidRDefault="00AF2508">
      <w:pPr>
        <w:pStyle w:val="TOC2"/>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Part 1</w:t>
      </w:r>
      <w:r>
        <w:rPr>
          <w:rFonts w:ascii="Times New Roman" w:hAnsi="Times New Roman"/>
          <w:b w:val="0"/>
          <w:szCs w:val="24"/>
        </w:rPr>
        <w:tab/>
      </w:r>
      <w:r>
        <w:t>Preliminary</w:t>
      </w:r>
    </w:p>
    <w:p w:rsidR="00AF2508" w:rsidRDefault="00AF2508">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_Toc161636673 \h </w:instrText>
      </w:r>
      <w:r>
        <w:fldChar w:fldCharType="separate"/>
      </w:r>
      <w:r w:rsidR="00AA7BA7">
        <w:t>2</w:t>
      </w:r>
      <w:r>
        <w:fldChar w:fldCharType="end"/>
      </w:r>
    </w:p>
    <w:p w:rsidR="00AF2508" w:rsidRDefault="00AF2508">
      <w:pPr>
        <w:pStyle w:val="TOC5"/>
        <w:rPr>
          <w:rFonts w:ascii="Times New Roman" w:hAnsi="Times New Roman"/>
          <w:sz w:val="24"/>
          <w:szCs w:val="24"/>
        </w:rPr>
      </w:pPr>
      <w:r>
        <w:rPr>
          <w:szCs w:val="24"/>
        </w:rPr>
        <w:tab/>
        <w:t>2</w:t>
      </w:r>
      <w:r>
        <w:rPr>
          <w:rFonts w:ascii="Times New Roman" w:hAnsi="Times New Roman"/>
          <w:sz w:val="24"/>
          <w:szCs w:val="24"/>
        </w:rPr>
        <w:tab/>
      </w:r>
      <w:r>
        <w:rPr>
          <w:color w:val="000000"/>
          <w:szCs w:val="24"/>
        </w:rPr>
        <w:t>Dictionary</w:t>
      </w:r>
      <w:r>
        <w:tab/>
      </w:r>
      <w:r>
        <w:fldChar w:fldCharType="begin"/>
      </w:r>
      <w:r>
        <w:instrText xml:space="preserve"> PAGEREF _Toc161636674 \h </w:instrText>
      </w:r>
      <w:r>
        <w:fldChar w:fldCharType="separate"/>
      </w:r>
      <w:r w:rsidR="00AA7BA7">
        <w:t>2</w:t>
      </w:r>
      <w:r>
        <w:fldChar w:fldCharType="end"/>
      </w:r>
    </w:p>
    <w:p w:rsidR="00AF2508" w:rsidRDefault="00AF2508">
      <w:pPr>
        <w:pStyle w:val="TOC5"/>
        <w:rPr>
          <w:rFonts w:ascii="Times New Roman" w:hAnsi="Times New Roman"/>
          <w:sz w:val="24"/>
          <w:szCs w:val="24"/>
        </w:rPr>
      </w:pPr>
      <w:r>
        <w:rPr>
          <w:szCs w:val="24"/>
        </w:rPr>
        <w:tab/>
        <w:t>3</w:t>
      </w:r>
      <w:r>
        <w:rPr>
          <w:rFonts w:ascii="Times New Roman" w:hAnsi="Times New Roman"/>
          <w:sz w:val="24"/>
          <w:szCs w:val="24"/>
        </w:rPr>
        <w:tab/>
      </w:r>
      <w:r>
        <w:rPr>
          <w:color w:val="000000"/>
          <w:szCs w:val="24"/>
        </w:rPr>
        <w:t>Notes</w:t>
      </w:r>
      <w:r>
        <w:tab/>
      </w:r>
      <w:r>
        <w:fldChar w:fldCharType="begin"/>
      </w:r>
      <w:r>
        <w:instrText xml:space="preserve"> PAGEREF _Toc161636675 \h </w:instrText>
      </w:r>
      <w:r>
        <w:fldChar w:fldCharType="separate"/>
      </w:r>
      <w:r w:rsidR="00AA7BA7">
        <w:t>2</w:t>
      </w:r>
      <w:r>
        <w:fldChar w:fldCharType="end"/>
      </w:r>
    </w:p>
    <w:p w:rsidR="00AF2508" w:rsidRDefault="00AF2508">
      <w:pPr>
        <w:pStyle w:val="TOC5"/>
        <w:rPr>
          <w:rFonts w:ascii="Times New Roman" w:hAnsi="Times New Roman"/>
          <w:sz w:val="24"/>
          <w:szCs w:val="24"/>
        </w:rPr>
      </w:pPr>
      <w:r>
        <w:rPr>
          <w:szCs w:val="24"/>
        </w:rPr>
        <w:tab/>
        <w:t>4</w:t>
      </w:r>
      <w:r>
        <w:rPr>
          <w:rFonts w:ascii="Times New Roman" w:hAnsi="Times New Roman"/>
          <w:sz w:val="24"/>
          <w:szCs w:val="24"/>
        </w:rPr>
        <w:tab/>
      </w:r>
      <w:r>
        <w:rPr>
          <w:szCs w:val="24"/>
        </w:rPr>
        <w:t>Plates, figures and sketches</w:t>
      </w:r>
      <w:r>
        <w:tab/>
      </w:r>
      <w:r>
        <w:fldChar w:fldCharType="begin"/>
      </w:r>
      <w:r>
        <w:instrText xml:space="preserve"> PAGEREF _Toc161636676 \h </w:instrText>
      </w:r>
      <w:r>
        <w:fldChar w:fldCharType="separate"/>
      </w:r>
      <w:r w:rsidR="00AA7BA7">
        <w:t>2</w:t>
      </w:r>
      <w:r>
        <w:fldChar w:fldCharType="end"/>
      </w:r>
    </w:p>
    <w:p w:rsidR="00AF2508" w:rsidRDefault="00AF2508">
      <w:pPr>
        <w:pStyle w:val="TOC5"/>
        <w:rPr>
          <w:rFonts w:ascii="Times New Roman" w:hAnsi="Times New Roman"/>
          <w:sz w:val="24"/>
          <w:szCs w:val="24"/>
        </w:rPr>
      </w:pPr>
      <w:r>
        <w:rPr>
          <w:szCs w:val="24"/>
        </w:rPr>
        <w:tab/>
        <w:t>5</w:t>
      </w:r>
      <w:r>
        <w:tab/>
      </w:r>
      <w:r>
        <w:tab/>
      </w:r>
      <w:r>
        <w:fldChar w:fldCharType="begin"/>
      </w:r>
      <w:r>
        <w:instrText xml:space="preserve"> PAGEREF _Toc161636677 \h </w:instrText>
      </w:r>
      <w:r>
        <w:fldChar w:fldCharType="separate"/>
      </w:r>
      <w:r w:rsidR="00AA7BA7">
        <w:t>2</w:t>
      </w:r>
      <w:r>
        <w:fldChar w:fldCharType="end"/>
      </w:r>
    </w:p>
    <w:p w:rsidR="00AF2508" w:rsidRDefault="00AF2508">
      <w:pPr>
        <w:pStyle w:val="TOC5"/>
        <w:rPr>
          <w:rFonts w:ascii="Times New Roman" w:hAnsi="Times New Roman"/>
          <w:sz w:val="24"/>
          <w:szCs w:val="24"/>
        </w:rPr>
      </w:pPr>
      <w:r>
        <w:rPr>
          <w:szCs w:val="24"/>
        </w:rPr>
        <w:tab/>
        <w:t>6</w:t>
      </w:r>
      <w:r>
        <w:tab/>
      </w:r>
      <w:r>
        <w:tab/>
      </w:r>
      <w:r>
        <w:fldChar w:fldCharType="begin"/>
      </w:r>
      <w:r>
        <w:instrText xml:space="preserve"> PAGEREF _Toc161636678 \h </w:instrText>
      </w:r>
      <w:r>
        <w:fldChar w:fldCharType="separate"/>
      </w:r>
      <w:r w:rsidR="00AA7BA7">
        <w:t>3</w:t>
      </w:r>
      <w:r>
        <w:fldChar w:fldCharType="end"/>
      </w:r>
    </w:p>
    <w:p w:rsidR="00AF2508" w:rsidRDefault="00AF2508">
      <w:pPr>
        <w:pStyle w:val="TOC5"/>
        <w:rPr>
          <w:rFonts w:ascii="Times New Roman" w:hAnsi="Times New Roman"/>
          <w:sz w:val="24"/>
          <w:szCs w:val="24"/>
        </w:rPr>
      </w:pPr>
      <w:r>
        <w:rPr>
          <w:szCs w:val="24"/>
        </w:rPr>
        <w:tab/>
        <w:t>7</w:t>
      </w:r>
      <w:r>
        <w:tab/>
      </w:r>
      <w:r>
        <w:tab/>
      </w:r>
      <w:r>
        <w:fldChar w:fldCharType="begin"/>
      </w:r>
      <w:r>
        <w:instrText xml:space="preserve"> PAGEREF _Toc161636679 \h </w:instrText>
      </w:r>
      <w:r>
        <w:fldChar w:fldCharType="separate"/>
      </w:r>
      <w:r w:rsidR="00AA7BA7">
        <w:t>4</w:t>
      </w:r>
      <w:r>
        <w:fldChar w:fldCharType="end"/>
      </w:r>
    </w:p>
    <w:p w:rsidR="00AF2508" w:rsidRDefault="00AF2508">
      <w:pPr>
        <w:pStyle w:val="TOC2"/>
        <w:rPr>
          <w:rFonts w:ascii="Times New Roman" w:hAnsi="Times New Roman"/>
          <w:b w:val="0"/>
          <w:szCs w:val="24"/>
        </w:rPr>
      </w:pPr>
      <w:r>
        <w:t>Part 2</w:t>
      </w:r>
      <w:r>
        <w:rPr>
          <w:rFonts w:ascii="Times New Roman" w:hAnsi="Times New Roman"/>
          <w:b w:val="0"/>
          <w:szCs w:val="24"/>
        </w:rPr>
        <w:tab/>
      </w:r>
      <w:r>
        <w:t>Qualifications, powers and duties of the chief inspector and inspectors</w:t>
      </w:r>
    </w:p>
    <w:p w:rsidR="00AF2508" w:rsidRDefault="00AF2508">
      <w:pPr>
        <w:pStyle w:val="TOC5"/>
        <w:rPr>
          <w:rFonts w:ascii="Times New Roman" w:hAnsi="Times New Roman"/>
          <w:sz w:val="24"/>
          <w:szCs w:val="24"/>
        </w:rPr>
      </w:pPr>
      <w:r>
        <w:rPr>
          <w:szCs w:val="24"/>
        </w:rPr>
        <w:tab/>
        <w:t>11</w:t>
      </w:r>
      <w:r>
        <w:tab/>
      </w:r>
      <w:r>
        <w:tab/>
      </w:r>
      <w:r>
        <w:fldChar w:fldCharType="begin"/>
      </w:r>
      <w:r>
        <w:instrText xml:space="preserve"> PAGEREF _Toc161636681 \h </w:instrText>
      </w:r>
      <w:r>
        <w:fldChar w:fldCharType="separate"/>
      </w:r>
      <w:r w:rsidR="00AA7BA7">
        <w:t>5</w:t>
      </w:r>
      <w:r>
        <w:fldChar w:fldCharType="end"/>
      </w:r>
    </w:p>
    <w:p w:rsidR="00AF2508" w:rsidRDefault="00AF2508">
      <w:pPr>
        <w:pStyle w:val="TOC5"/>
        <w:rPr>
          <w:rFonts w:ascii="Times New Roman" w:hAnsi="Times New Roman"/>
          <w:sz w:val="24"/>
          <w:szCs w:val="24"/>
        </w:rPr>
      </w:pPr>
      <w:r>
        <w:rPr>
          <w:szCs w:val="24"/>
        </w:rPr>
        <w:tab/>
        <w:t>13</w:t>
      </w:r>
      <w:r>
        <w:tab/>
      </w:r>
      <w:r>
        <w:tab/>
      </w:r>
      <w:r>
        <w:fldChar w:fldCharType="begin"/>
      </w:r>
      <w:r>
        <w:instrText xml:space="preserve"> PAGEREF _Toc161636682 \h </w:instrText>
      </w:r>
      <w:r>
        <w:fldChar w:fldCharType="separate"/>
      </w:r>
      <w:r w:rsidR="00AA7BA7">
        <w:t>5</w:t>
      </w:r>
      <w:r>
        <w:fldChar w:fldCharType="end"/>
      </w:r>
    </w:p>
    <w:p w:rsidR="00AF2508" w:rsidRDefault="00AF2508">
      <w:pPr>
        <w:pStyle w:val="TOC5"/>
        <w:rPr>
          <w:rFonts w:ascii="Times New Roman" w:hAnsi="Times New Roman"/>
          <w:sz w:val="24"/>
          <w:szCs w:val="24"/>
        </w:rPr>
      </w:pPr>
      <w:r>
        <w:rPr>
          <w:szCs w:val="24"/>
        </w:rPr>
        <w:tab/>
        <w:t>14</w:t>
      </w:r>
      <w:r>
        <w:tab/>
      </w:r>
      <w:r>
        <w:tab/>
      </w:r>
      <w:r>
        <w:fldChar w:fldCharType="begin"/>
      </w:r>
      <w:r>
        <w:instrText xml:space="preserve"> PAGEREF _Toc161636683 \h </w:instrText>
      </w:r>
      <w:r>
        <w:fldChar w:fldCharType="separate"/>
      </w:r>
      <w:r w:rsidR="00AA7BA7">
        <w:t>6</w:t>
      </w:r>
      <w:r>
        <w:fldChar w:fldCharType="end"/>
      </w:r>
    </w:p>
    <w:p w:rsidR="00AF2508" w:rsidRDefault="00AF2508">
      <w:pPr>
        <w:pStyle w:val="TOC2"/>
        <w:rPr>
          <w:rFonts w:ascii="Times New Roman" w:hAnsi="Times New Roman"/>
          <w:b w:val="0"/>
          <w:szCs w:val="24"/>
        </w:rPr>
      </w:pPr>
      <w:r>
        <w:t>Part 4</w:t>
      </w:r>
      <w:r>
        <w:rPr>
          <w:rFonts w:ascii="Times New Roman" w:hAnsi="Times New Roman"/>
          <w:b w:val="0"/>
          <w:szCs w:val="24"/>
        </w:rPr>
        <w:tab/>
      </w:r>
      <w:r>
        <w:t>Lifts</w:t>
      </w:r>
    </w:p>
    <w:p w:rsidR="00AF2508" w:rsidRDefault="00AF2508">
      <w:pPr>
        <w:pStyle w:val="TOC3"/>
        <w:rPr>
          <w:rFonts w:ascii="Times New Roman" w:hAnsi="Times New Roman"/>
          <w:b w:val="0"/>
          <w:sz w:val="24"/>
          <w:szCs w:val="24"/>
        </w:rPr>
      </w:pPr>
      <w:r>
        <w:t>Division 4.1</w:t>
      </w:r>
      <w:r>
        <w:rPr>
          <w:rFonts w:ascii="Times New Roman" w:hAnsi="Times New Roman"/>
          <w:b w:val="0"/>
          <w:sz w:val="24"/>
          <w:szCs w:val="24"/>
        </w:rPr>
        <w:tab/>
      </w:r>
      <w:r>
        <w:t>Interpretation</w:t>
      </w:r>
    </w:p>
    <w:p w:rsidR="00AF2508" w:rsidRDefault="00AF2508">
      <w:pPr>
        <w:pStyle w:val="TOC5"/>
        <w:rPr>
          <w:rFonts w:ascii="Times New Roman" w:hAnsi="Times New Roman"/>
          <w:sz w:val="24"/>
          <w:szCs w:val="24"/>
        </w:rPr>
      </w:pPr>
      <w:r>
        <w:rPr>
          <w:szCs w:val="24"/>
        </w:rPr>
        <w:tab/>
        <w:t>16</w:t>
      </w:r>
      <w:r>
        <w:tab/>
      </w:r>
      <w:r>
        <w:tab/>
      </w:r>
      <w:r>
        <w:fldChar w:fldCharType="begin"/>
      </w:r>
      <w:r>
        <w:instrText xml:space="preserve"> PAGEREF _Toc161636686 \h </w:instrText>
      </w:r>
      <w:r>
        <w:fldChar w:fldCharType="separate"/>
      </w:r>
      <w:r w:rsidR="00AA7BA7">
        <w:t>7</w:t>
      </w:r>
      <w:r>
        <w:fldChar w:fldCharType="end"/>
      </w:r>
    </w:p>
    <w:p w:rsidR="00AF2508" w:rsidRDefault="00AF2508">
      <w:pPr>
        <w:pStyle w:val="TOC3"/>
        <w:rPr>
          <w:rFonts w:ascii="Times New Roman" w:hAnsi="Times New Roman"/>
          <w:b w:val="0"/>
          <w:sz w:val="24"/>
          <w:szCs w:val="24"/>
        </w:rPr>
      </w:pPr>
      <w:r>
        <w:t>Division 4.2</w:t>
      </w:r>
      <w:r>
        <w:rPr>
          <w:rFonts w:ascii="Times New Roman" w:hAnsi="Times New Roman"/>
          <w:b w:val="0"/>
          <w:sz w:val="24"/>
          <w:szCs w:val="24"/>
        </w:rPr>
        <w:tab/>
      </w:r>
      <w:r>
        <w:t>Design, construction and erection of lifts</w:t>
      </w:r>
    </w:p>
    <w:p w:rsidR="00AF2508" w:rsidRDefault="00AF2508">
      <w:pPr>
        <w:pStyle w:val="TOC4"/>
        <w:rPr>
          <w:rFonts w:ascii="Times New Roman" w:hAnsi="Times New Roman"/>
          <w:b w:val="0"/>
          <w:sz w:val="24"/>
          <w:szCs w:val="24"/>
        </w:rPr>
      </w:pPr>
      <w:r>
        <w:rPr>
          <w:szCs w:val="26"/>
        </w:rPr>
        <w:t>Permit to erect or alter lifts</w:t>
      </w:r>
    </w:p>
    <w:p w:rsidR="00AF2508" w:rsidRDefault="00AF2508">
      <w:pPr>
        <w:pStyle w:val="TOC5"/>
        <w:rPr>
          <w:rFonts w:ascii="Times New Roman" w:hAnsi="Times New Roman"/>
          <w:sz w:val="24"/>
          <w:szCs w:val="24"/>
        </w:rPr>
      </w:pPr>
      <w:r>
        <w:rPr>
          <w:szCs w:val="24"/>
        </w:rPr>
        <w:tab/>
        <w:t>17</w:t>
      </w:r>
      <w:r>
        <w:tab/>
      </w:r>
      <w:r>
        <w:tab/>
      </w:r>
      <w:r>
        <w:fldChar w:fldCharType="begin"/>
      </w:r>
      <w:r>
        <w:instrText xml:space="preserve"> PAGEREF _Toc161636689 \h </w:instrText>
      </w:r>
      <w:r>
        <w:fldChar w:fldCharType="separate"/>
      </w:r>
      <w:r w:rsidR="00AA7BA7">
        <w:t>7</w:t>
      </w:r>
      <w:r>
        <w:fldChar w:fldCharType="end"/>
      </w:r>
    </w:p>
    <w:p w:rsidR="00AF2508" w:rsidRDefault="00AF2508">
      <w:pPr>
        <w:pStyle w:val="TOC4"/>
        <w:rPr>
          <w:rFonts w:ascii="Times New Roman" w:hAnsi="Times New Roman"/>
          <w:b w:val="0"/>
          <w:sz w:val="24"/>
          <w:szCs w:val="24"/>
        </w:rPr>
      </w:pPr>
      <w:r>
        <w:rPr>
          <w:szCs w:val="26"/>
        </w:rPr>
        <w:t>Safe working load of a lift</w:t>
      </w:r>
    </w:p>
    <w:p w:rsidR="00AF2508" w:rsidRDefault="00AF2508">
      <w:pPr>
        <w:pStyle w:val="TOC5"/>
        <w:rPr>
          <w:rFonts w:ascii="Times New Roman" w:hAnsi="Times New Roman"/>
          <w:sz w:val="24"/>
          <w:szCs w:val="24"/>
        </w:rPr>
      </w:pPr>
      <w:r>
        <w:rPr>
          <w:szCs w:val="24"/>
        </w:rPr>
        <w:tab/>
        <w:t>18</w:t>
      </w:r>
      <w:r>
        <w:tab/>
      </w:r>
      <w:r>
        <w:tab/>
      </w:r>
      <w:r>
        <w:fldChar w:fldCharType="begin"/>
      </w:r>
      <w:r>
        <w:instrText xml:space="preserve"> PAGEREF _Toc161636691 \h </w:instrText>
      </w:r>
      <w:r>
        <w:fldChar w:fldCharType="separate"/>
      </w:r>
      <w:r w:rsidR="00AA7BA7">
        <w:t>8</w:t>
      </w:r>
      <w:r>
        <w:fldChar w:fldCharType="end"/>
      </w:r>
    </w:p>
    <w:p w:rsidR="00AF2508" w:rsidRDefault="00AF2508">
      <w:pPr>
        <w:pStyle w:val="TOC4"/>
        <w:rPr>
          <w:rFonts w:ascii="Times New Roman" w:hAnsi="Times New Roman"/>
          <w:b w:val="0"/>
          <w:sz w:val="24"/>
          <w:szCs w:val="24"/>
        </w:rPr>
      </w:pPr>
      <w:r>
        <w:rPr>
          <w:szCs w:val="26"/>
        </w:rPr>
        <w:t>Construction</w:t>
      </w:r>
    </w:p>
    <w:p w:rsidR="00AF2508" w:rsidRDefault="00AF2508">
      <w:pPr>
        <w:pStyle w:val="TOC5"/>
        <w:rPr>
          <w:rFonts w:ascii="Times New Roman" w:hAnsi="Times New Roman"/>
          <w:sz w:val="24"/>
          <w:szCs w:val="24"/>
        </w:rPr>
      </w:pPr>
      <w:r>
        <w:rPr>
          <w:szCs w:val="24"/>
        </w:rPr>
        <w:tab/>
        <w:t>19</w:t>
      </w:r>
      <w:r>
        <w:tab/>
      </w:r>
      <w:r>
        <w:tab/>
      </w:r>
      <w:r>
        <w:fldChar w:fldCharType="begin"/>
      </w:r>
      <w:r>
        <w:instrText xml:space="preserve"> PAGEREF _Toc161636693 \h </w:instrText>
      </w:r>
      <w:r>
        <w:fldChar w:fldCharType="separate"/>
      </w:r>
      <w:r w:rsidR="00AA7BA7">
        <w:t>9</w:t>
      </w:r>
      <w:r>
        <w:fldChar w:fldCharType="end"/>
      </w:r>
    </w:p>
    <w:p w:rsidR="00AF2508" w:rsidRDefault="00AF2508">
      <w:pPr>
        <w:pStyle w:val="TOC5"/>
        <w:rPr>
          <w:rFonts w:ascii="Times New Roman" w:hAnsi="Times New Roman"/>
          <w:sz w:val="24"/>
          <w:szCs w:val="24"/>
        </w:rPr>
      </w:pPr>
      <w:r>
        <w:rPr>
          <w:szCs w:val="24"/>
        </w:rPr>
        <w:tab/>
        <w:t>20</w:t>
      </w:r>
      <w:r>
        <w:tab/>
      </w:r>
      <w:r>
        <w:tab/>
      </w:r>
      <w:r>
        <w:fldChar w:fldCharType="begin"/>
      </w:r>
      <w:r>
        <w:instrText xml:space="preserve"> PAGEREF _Toc161636694 \h </w:instrText>
      </w:r>
      <w:r>
        <w:fldChar w:fldCharType="separate"/>
      </w:r>
      <w:r w:rsidR="00AA7BA7">
        <w:t>9</w:t>
      </w:r>
      <w:r>
        <w:fldChar w:fldCharType="end"/>
      </w:r>
    </w:p>
    <w:p w:rsidR="00AF2508" w:rsidRDefault="00AF2508">
      <w:pPr>
        <w:pStyle w:val="TOC5"/>
        <w:rPr>
          <w:rFonts w:ascii="Times New Roman" w:hAnsi="Times New Roman"/>
          <w:sz w:val="24"/>
          <w:szCs w:val="24"/>
        </w:rPr>
      </w:pPr>
      <w:r>
        <w:rPr>
          <w:szCs w:val="24"/>
        </w:rPr>
        <w:tab/>
        <w:t>21</w:t>
      </w:r>
      <w:r>
        <w:tab/>
      </w:r>
      <w:r>
        <w:tab/>
      </w:r>
      <w:r>
        <w:fldChar w:fldCharType="begin"/>
      </w:r>
      <w:r>
        <w:instrText xml:space="preserve"> PAGEREF _Toc161636695 \h </w:instrText>
      </w:r>
      <w:r>
        <w:fldChar w:fldCharType="separate"/>
      </w:r>
      <w:r w:rsidR="00AA7BA7">
        <w:t>9</w:t>
      </w:r>
      <w:r>
        <w:fldChar w:fldCharType="end"/>
      </w:r>
    </w:p>
    <w:p w:rsidR="00AF2508" w:rsidRDefault="00AF2508">
      <w:pPr>
        <w:pStyle w:val="TOC4"/>
        <w:rPr>
          <w:rFonts w:ascii="Times New Roman" w:hAnsi="Times New Roman"/>
          <w:b w:val="0"/>
          <w:sz w:val="24"/>
          <w:szCs w:val="24"/>
        </w:rPr>
      </w:pPr>
      <w:r>
        <w:t>Car loading automatic passenger lifts</w:t>
      </w:r>
    </w:p>
    <w:p w:rsidR="00AF2508" w:rsidRDefault="00AF2508">
      <w:pPr>
        <w:pStyle w:val="TOC5"/>
        <w:rPr>
          <w:rFonts w:ascii="Times New Roman" w:hAnsi="Times New Roman"/>
          <w:sz w:val="24"/>
          <w:szCs w:val="24"/>
        </w:rPr>
      </w:pPr>
      <w:r>
        <w:rPr>
          <w:szCs w:val="24"/>
        </w:rPr>
        <w:tab/>
        <w:t>22</w:t>
      </w:r>
      <w:r>
        <w:tab/>
      </w:r>
      <w:r>
        <w:tab/>
      </w:r>
      <w:r>
        <w:fldChar w:fldCharType="begin"/>
      </w:r>
      <w:r>
        <w:instrText xml:space="preserve"> PAGEREF _Toc161636697 \h </w:instrText>
      </w:r>
      <w:r>
        <w:fldChar w:fldCharType="separate"/>
      </w:r>
      <w:r w:rsidR="00AA7BA7">
        <w:t>10</w:t>
      </w:r>
      <w:r>
        <w:fldChar w:fldCharType="end"/>
      </w:r>
    </w:p>
    <w:p w:rsidR="00AF2508" w:rsidRDefault="00AF2508">
      <w:pPr>
        <w:pStyle w:val="TOC4"/>
        <w:rPr>
          <w:rFonts w:ascii="Times New Roman" w:hAnsi="Times New Roman"/>
          <w:b w:val="0"/>
          <w:sz w:val="24"/>
          <w:szCs w:val="24"/>
        </w:rPr>
      </w:pPr>
      <w:r>
        <w:t>Supporting structures and machine rooms</w:t>
      </w:r>
    </w:p>
    <w:p w:rsidR="00AF2508" w:rsidRDefault="00AF2508">
      <w:pPr>
        <w:pStyle w:val="TOC5"/>
        <w:rPr>
          <w:rFonts w:ascii="Times New Roman" w:hAnsi="Times New Roman"/>
          <w:sz w:val="24"/>
          <w:szCs w:val="24"/>
        </w:rPr>
      </w:pPr>
      <w:r>
        <w:rPr>
          <w:szCs w:val="24"/>
        </w:rPr>
        <w:tab/>
        <w:t>23</w:t>
      </w:r>
      <w:r>
        <w:tab/>
      </w:r>
      <w:r>
        <w:tab/>
      </w:r>
      <w:r>
        <w:fldChar w:fldCharType="begin"/>
      </w:r>
      <w:r>
        <w:instrText xml:space="preserve"> PAGEREF _Toc161636699 \h </w:instrText>
      </w:r>
      <w:r>
        <w:fldChar w:fldCharType="separate"/>
      </w:r>
      <w:r w:rsidR="00AA7BA7">
        <w:t>10</w:t>
      </w:r>
      <w:r>
        <w:fldChar w:fldCharType="end"/>
      </w:r>
    </w:p>
    <w:p w:rsidR="00AF2508" w:rsidRDefault="00AF2508">
      <w:pPr>
        <w:pStyle w:val="TOC4"/>
        <w:rPr>
          <w:rFonts w:ascii="Times New Roman" w:hAnsi="Times New Roman"/>
          <w:b w:val="0"/>
          <w:sz w:val="24"/>
          <w:szCs w:val="24"/>
        </w:rPr>
      </w:pPr>
      <w:r>
        <w:rPr>
          <w:szCs w:val="26"/>
        </w:rPr>
        <w:t>Overruns</w:t>
      </w:r>
    </w:p>
    <w:p w:rsidR="00AF2508" w:rsidRDefault="00AF2508">
      <w:pPr>
        <w:pStyle w:val="TOC5"/>
        <w:rPr>
          <w:rFonts w:ascii="Times New Roman" w:hAnsi="Times New Roman"/>
          <w:sz w:val="24"/>
          <w:szCs w:val="24"/>
        </w:rPr>
      </w:pPr>
      <w:r>
        <w:rPr>
          <w:szCs w:val="24"/>
        </w:rPr>
        <w:tab/>
        <w:t>24</w:t>
      </w:r>
      <w:r>
        <w:tab/>
      </w:r>
      <w:r>
        <w:tab/>
      </w:r>
      <w:r>
        <w:fldChar w:fldCharType="begin"/>
      </w:r>
      <w:r>
        <w:instrText xml:space="preserve"> PAGEREF _Toc161636701 \h </w:instrText>
      </w:r>
      <w:r>
        <w:fldChar w:fldCharType="separate"/>
      </w:r>
      <w:r w:rsidR="00AA7BA7">
        <w:t>11</w:t>
      </w:r>
      <w:r>
        <w:fldChar w:fldCharType="end"/>
      </w:r>
    </w:p>
    <w:p w:rsidR="00AF2508" w:rsidRDefault="00AF2508">
      <w:pPr>
        <w:pStyle w:val="TOC4"/>
        <w:rPr>
          <w:rFonts w:ascii="Times New Roman" w:hAnsi="Times New Roman"/>
          <w:b w:val="0"/>
          <w:sz w:val="24"/>
          <w:szCs w:val="24"/>
        </w:rPr>
      </w:pPr>
      <w:r>
        <w:rPr>
          <w:szCs w:val="26"/>
        </w:rPr>
        <w:t>Stops and buffers</w:t>
      </w:r>
    </w:p>
    <w:p w:rsidR="00AF2508" w:rsidRDefault="00AF2508">
      <w:pPr>
        <w:pStyle w:val="TOC5"/>
        <w:rPr>
          <w:rFonts w:ascii="Times New Roman" w:hAnsi="Times New Roman"/>
          <w:sz w:val="24"/>
          <w:szCs w:val="24"/>
        </w:rPr>
      </w:pPr>
      <w:r>
        <w:rPr>
          <w:szCs w:val="24"/>
        </w:rPr>
        <w:tab/>
        <w:t>25</w:t>
      </w:r>
      <w:r>
        <w:tab/>
      </w:r>
      <w:r>
        <w:tab/>
      </w:r>
      <w:r>
        <w:fldChar w:fldCharType="begin"/>
      </w:r>
      <w:r>
        <w:instrText xml:space="preserve"> PAGEREF _Toc161636703 \h </w:instrText>
      </w:r>
      <w:r>
        <w:fldChar w:fldCharType="separate"/>
      </w:r>
      <w:r w:rsidR="00AA7BA7">
        <w:t>12</w:t>
      </w:r>
      <w:r>
        <w:fldChar w:fldCharType="end"/>
      </w:r>
    </w:p>
    <w:p w:rsidR="00AF2508" w:rsidRDefault="00AF2508">
      <w:pPr>
        <w:pStyle w:val="TOC4"/>
        <w:rPr>
          <w:rFonts w:ascii="Times New Roman" w:hAnsi="Times New Roman"/>
          <w:b w:val="0"/>
          <w:sz w:val="24"/>
          <w:szCs w:val="24"/>
        </w:rPr>
      </w:pPr>
      <w:r>
        <w:rPr>
          <w:szCs w:val="26"/>
        </w:rPr>
        <w:t>Permanent stops</w:t>
      </w:r>
    </w:p>
    <w:p w:rsidR="00AF2508" w:rsidRDefault="00AF2508">
      <w:pPr>
        <w:pStyle w:val="TOC5"/>
        <w:rPr>
          <w:rFonts w:ascii="Times New Roman" w:hAnsi="Times New Roman"/>
          <w:sz w:val="24"/>
          <w:szCs w:val="24"/>
        </w:rPr>
      </w:pPr>
      <w:r>
        <w:rPr>
          <w:szCs w:val="24"/>
        </w:rPr>
        <w:tab/>
        <w:t>26</w:t>
      </w:r>
      <w:r>
        <w:tab/>
      </w:r>
      <w:r>
        <w:tab/>
      </w:r>
      <w:r>
        <w:fldChar w:fldCharType="begin"/>
      </w:r>
      <w:r>
        <w:instrText xml:space="preserve"> PAGEREF _Toc161636705 \h </w:instrText>
      </w:r>
      <w:r>
        <w:fldChar w:fldCharType="separate"/>
      </w:r>
      <w:r w:rsidR="00AA7BA7">
        <w:t>13</w:t>
      </w:r>
      <w:r>
        <w:fldChar w:fldCharType="end"/>
      </w:r>
    </w:p>
    <w:p w:rsidR="00AF2508" w:rsidRDefault="00AF2508">
      <w:pPr>
        <w:pStyle w:val="TOC4"/>
        <w:rPr>
          <w:rFonts w:ascii="Times New Roman" w:hAnsi="Times New Roman"/>
          <w:b w:val="0"/>
          <w:sz w:val="24"/>
          <w:szCs w:val="24"/>
        </w:rPr>
      </w:pPr>
      <w:r>
        <w:rPr>
          <w:szCs w:val="26"/>
        </w:rPr>
        <w:t>Pits</w:t>
      </w:r>
    </w:p>
    <w:p w:rsidR="00AF2508" w:rsidRDefault="00AF2508">
      <w:pPr>
        <w:pStyle w:val="TOC5"/>
        <w:rPr>
          <w:rFonts w:ascii="Times New Roman" w:hAnsi="Times New Roman"/>
          <w:sz w:val="24"/>
          <w:szCs w:val="24"/>
        </w:rPr>
      </w:pPr>
      <w:r>
        <w:rPr>
          <w:szCs w:val="24"/>
        </w:rPr>
        <w:tab/>
        <w:t>27</w:t>
      </w:r>
      <w:r>
        <w:tab/>
      </w:r>
      <w:r>
        <w:tab/>
      </w:r>
      <w:r>
        <w:fldChar w:fldCharType="begin"/>
      </w:r>
      <w:r>
        <w:instrText xml:space="preserve"> PAGEREF _Toc161636707 \h </w:instrText>
      </w:r>
      <w:r>
        <w:fldChar w:fldCharType="separate"/>
      </w:r>
      <w:r w:rsidR="00AA7BA7">
        <w:t>13</w:t>
      </w:r>
      <w:r>
        <w:fldChar w:fldCharType="end"/>
      </w:r>
    </w:p>
    <w:p w:rsidR="00AF2508" w:rsidRDefault="00AF2508">
      <w:pPr>
        <w:pStyle w:val="TOC4"/>
        <w:rPr>
          <w:rFonts w:ascii="Times New Roman" w:hAnsi="Times New Roman"/>
          <w:b w:val="0"/>
          <w:sz w:val="24"/>
          <w:szCs w:val="24"/>
        </w:rPr>
      </w:pPr>
      <w:r>
        <w:rPr>
          <w:szCs w:val="26"/>
        </w:rPr>
        <w:t>Enclosures</w:t>
      </w:r>
    </w:p>
    <w:p w:rsidR="00AF2508" w:rsidRDefault="00AF2508">
      <w:pPr>
        <w:pStyle w:val="TOC5"/>
        <w:rPr>
          <w:rFonts w:ascii="Times New Roman" w:hAnsi="Times New Roman"/>
          <w:sz w:val="24"/>
          <w:szCs w:val="24"/>
        </w:rPr>
      </w:pPr>
      <w:r>
        <w:rPr>
          <w:szCs w:val="24"/>
        </w:rPr>
        <w:tab/>
        <w:t>28</w:t>
      </w:r>
      <w:r>
        <w:tab/>
      </w:r>
      <w:r>
        <w:tab/>
      </w:r>
      <w:r>
        <w:fldChar w:fldCharType="begin"/>
      </w:r>
      <w:r>
        <w:instrText xml:space="preserve"> PAGEREF _Toc161636709 \h </w:instrText>
      </w:r>
      <w:r>
        <w:fldChar w:fldCharType="separate"/>
      </w:r>
      <w:r w:rsidR="00AA7BA7">
        <w:t>14</w:t>
      </w:r>
      <w:r>
        <w:fldChar w:fldCharType="end"/>
      </w:r>
    </w:p>
    <w:p w:rsidR="00AF2508" w:rsidRDefault="00AF2508">
      <w:pPr>
        <w:pStyle w:val="TOC4"/>
        <w:rPr>
          <w:rFonts w:ascii="Times New Roman" w:hAnsi="Times New Roman"/>
          <w:b w:val="0"/>
          <w:sz w:val="24"/>
          <w:szCs w:val="24"/>
        </w:rPr>
      </w:pPr>
      <w:r>
        <w:rPr>
          <w:szCs w:val="26"/>
        </w:rPr>
        <w:t>Enclosure doors</w:t>
      </w:r>
    </w:p>
    <w:p w:rsidR="00AF2508" w:rsidRDefault="00AF2508">
      <w:pPr>
        <w:pStyle w:val="TOC5"/>
        <w:rPr>
          <w:rFonts w:ascii="Times New Roman" w:hAnsi="Times New Roman"/>
          <w:sz w:val="24"/>
          <w:szCs w:val="24"/>
        </w:rPr>
      </w:pPr>
      <w:r>
        <w:rPr>
          <w:szCs w:val="24"/>
        </w:rPr>
        <w:tab/>
        <w:t>29</w:t>
      </w:r>
      <w:r>
        <w:tab/>
      </w:r>
      <w:r>
        <w:tab/>
      </w:r>
      <w:r>
        <w:fldChar w:fldCharType="begin"/>
      </w:r>
      <w:r>
        <w:instrText xml:space="preserve"> PAGEREF _Toc161636711 \h </w:instrText>
      </w:r>
      <w:r>
        <w:fldChar w:fldCharType="separate"/>
      </w:r>
      <w:r w:rsidR="00AA7BA7">
        <w:t>14</w:t>
      </w:r>
      <w:r>
        <w:fldChar w:fldCharType="end"/>
      </w:r>
    </w:p>
    <w:p w:rsidR="00AF2508" w:rsidRDefault="00AF2508">
      <w:pPr>
        <w:pStyle w:val="TOC4"/>
        <w:rPr>
          <w:rFonts w:ascii="Times New Roman" w:hAnsi="Times New Roman"/>
          <w:b w:val="0"/>
          <w:sz w:val="24"/>
          <w:szCs w:val="24"/>
        </w:rPr>
      </w:pPr>
      <w:r>
        <w:rPr>
          <w:szCs w:val="26"/>
        </w:rPr>
        <w:t>Clearance in wells</w:t>
      </w:r>
    </w:p>
    <w:p w:rsidR="00AF2508" w:rsidRDefault="00AF2508">
      <w:pPr>
        <w:pStyle w:val="TOC5"/>
        <w:rPr>
          <w:rFonts w:ascii="Times New Roman" w:hAnsi="Times New Roman"/>
          <w:sz w:val="24"/>
          <w:szCs w:val="24"/>
        </w:rPr>
      </w:pPr>
      <w:r>
        <w:rPr>
          <w:szCs w:val="24"/>
        </w:rPr>
        <w:tab/>
        <w:t>30</w:t>
      </w:r>
      <w:r>
        <w:tab/>
      </w:r>
      <w:r>
        <w:tab/>
      </w:r>
      <w:r>
        <w:fldChar w:fldCharType="begin"/>
      </w:r>
      <w:r>
        <w:instrText xml:space="preserve"> PAGEREF _Toc161636713 \h </w:instrText>
      </w:r>
      <w:r>
        <w:fldChar w:fldCharType="separate"/>
      </w:r>
      <w:r w:rsidR="00AA7BA7">
        <w:t>15</w:t>
      </w:r>
      <w:r>
        <w:fldChar w:fldCharType="end"/>
      </w:r>
    </w:p>
    <w:p w:rsidR="00AF2508" w:rsidRDefault="00AF2508">
      <w:pPr>
        <w:pStyle w:val="TOC4"/>
        <w:rPr>
          <w:rFonts w:ascii="Times New Roman" w:hAnsi="Times New Roman"/>
          <w:b w:val="0"/>
          <w:sz w:val="24"/>
          <w:szCs w:val="24"/>
        </w:rPr>
      </w:pPr>
      <w:r>
        <w:rPr>
          <w:szCs w:val="26"/>
        </w:rPr>
        <w:t>Ropes and sheaves</w:t>
      </w:r>
    </w:p>
    <w:p w:rsidR="00AF2508" w:rsidRDefault="00AF2508">
      <w:pPr>
        <w:pStyle w:val="TOC5"/>
        <w:rPr>
          <w:rFonts w:ascii="Times New Roman" w:hAnsi="Times New Roman"/>
          <w:sz w:val="24"/>
          <w:szCs w:val="24"/>
        </w:rPr>
      </w:pPr>
      <w:r>
        <w:rPr>
          <w:szCs w:val="24"/>
        </w:rPr>
        <w:tab/>
        <w:t>31</w:t>
      </w:r>
      <w:r>
        <w:tab/>
      </w:r>
      <w:r>
        <w:tab/>
      </w:r>
      <w:r>
        <w:fldChar w:fldCharType="begin"/>
      </w:r>
      <w:r>
        <w:instrText xml:space="preserve"> PAGEREF _Toc161636715 \h </w:instrText>
      </w:r>
      <w:r>
        <w:fldChar w:fldCharType="separate"/>
      </w:r>
      <w:r w:rsidR="00AA7BA7">
        <w:t>16</w:t>
      </w:r>
      <w:r>
        <w:fldChar w:fldCharType="end"/>
      </w:r>
    </w:p>
    <w:p w:rsidR="00AF2508" w:rsidRDefault="00AF2508">
      <w:pPr>
        <w:pStyle w:val="TOC4"/>
        <w:rPr>
          <w:rFonts w:ascii="Times New Roman" w:hAnsi="Times New Roman"/>
          <w:b w:val="0"/>
          <w:sz w:val="24"/>
          <w:szCs w:val="24"/>
        </w:rPr>
      </w:pPr>
      <w:r>
        <w:rPr>
          <w:szCs w:val="26"/>
        </w:rPr>
        <w:t>Lift cars</w:t>
      </w:r>
    </w:p>
    <w:p w:rsidR="00AF2508" w:rsidRDefault="00AF2508">
      <w:pPr>
        <w:pStyle w:val="TOC5"/>
        <w:rPr>
          <w:rFonts w:ascii="Times New Roman" w:hAnsi="Times New Roman"/>
          <w:sz w:val="24"/>
          <w:szCs w:val="24"/>
        </w:rPr>
      </w:pPr>
      <w:r>
        <w:rPr>
          <w:szCs w:val="24"/>
        </w:rPr>
        <w:tab/>
        <w:t>32</w:t>
      </w:r>
      <w:r>
        <w:tab/>
      </w:r>
      <w:r>
        <w:tab/>
      </w:r>
      <w:r>
        <w:fldChar w:fldCharType="begin"/>
      </w:r>
      <w:r>
        <w:instrText xml:space="preserve"> PAGEREF _Toc161636717 \h </w:instrText>
      </w:r>
      <w:r>
        <w:fldChar w:fldCharType="separate"/>
      </w:r>
      <w:r w:rsidR="00AA7BA7">
        <w:t>17</w:t>
      </w:r>
      <w:r>
        <w:fldChar w:fldCharType="end"/>
      </w:r>
    </w:p>
    <w:p w:rsidR="00AF2508" w:rsidRDefault="00AF2508">
      <w:pPr>
        <w:pStyle w:val="TOC4"/>
        <w:rPr>
          <w:rFonts w:ascii="Times New Roman" w:hAnsi="Times New Roman"/>
          <w:b w:val="0"/>
          <w:sz w:val="24"/>
          <w:szCs w:val="24"/>
        </w:rPr>
      </w:pPr>
      <w:r>
        <w:rPr>
          <w:szCs w:val="26"/>
        </w:rPr>
        <w:t>Car gates</w:t>
      </w:r>
    </w:p>
    <w:p w:rsidR="00AF2508" w:rsidRDefault="00AF2508">
      <w:pPr>
        <w:pStyle w:val="TOC5"/>
        <w:rPr>
          <w:rFonts w:ascii="Times New Roman" w:hAnsi="Times New Roman"/>
          <w:sz w:val="24"/>
          <w:szCs w:val="24"/>
        </w:rPr>
      </w:pPr>
      <w:r>
        <w:rPr>
          <w:szCs w:val="24"/>
        </w:rPr>
        <w:tab/>
        <w:t>33</w:t>
      </w:r>
      <w:r>
        <w:tab/>
      </w:r>
      <w:r>
        <w:tab/>
      </w:r>
      <w:r>
        <w:fldChar w:fldCharType="begin"/>
      </w:r>
      <w:r>
        <w:instrText xml:space="preserve"> PAGEREF _Toc161636719 \h </w:instrText>
      </w:r>
      <w:r>
        <w:fldChar w:fldCharType="separate"/>
      </w:r>
      <w:r w:rsidR="00AA7BA7">
        <w:t>18</w:t>
      </w:r>
      <w:r>
        <w:fldChar w:fldCharType="end"/>
      </w:r>
    </w:p>
    <w:p w:rsidR="00AF2508" w:rsidRDefault="00AF2508">
      <w:pPr>
        <w:pStyle w:val="TOC4"/>
        <w:rPr>
          <w:rFonts w:ascii="Times New Roman" w:hAnsi="Times New Roman"/>
          <w:b w:val="0"/>
          <w:sz w:val="24"/>
          <w:szCs w:val="24"/>
        </w:rPr>
      </w:pPr>
      <w:r>
        <w:rPr>
          <w:szCs w:val="26"/>
        </w:rPr>
        <w:t>Lighting and ventilation of cars</w:t>
      </w:r>
    </w:p>
    <w:p w:rsidR="00AF2508" w:rsidRDefault="00AF2508">
      <w:pPr>
        <w:pStyle w:val="TOC5"/>
        <w:rPr>
          <w:rFonts w:ascii="Times New Roman" w:hAnsi="Times New Roman"/>
          <w:sz w:val="24"/>
          <w:szCs w:val="24"/>
        </w:rPr>
      </w:pPr>
      <w:r>
        <w:rPr>
          <w:szCs w:val="24"/>
        </w:rPr>
        <w:tab/>
        <w:t>34</w:t>
      </w:r>
      <w:r>
        <w:tab/>
      </w:r>
      <w:r>
        <w:tab/>
      </w:r>
      <w:r>
        <w:fldChar w:fldCharType="begin"/>
      </w:r>
      <w:r>
        <w:instrText xml:space="preserve"> PAGEREF _Toc161636721 \h </w:instrText>
      </w:r>
      <w:r>
        <w:fldChar w:fldCharType="separate"/>
      </w:r>
      <w:r w:rsidR="00AA7BA7">
        <w:t>19</w:t>
      </w:r>
      <w:r>
        <w:fldChar w:fldCharType="end"/>
      </w:r>
    </w:p>
    <w:p w:rsidR="00AF2508" w:rsidRDefault="00AF2508">
      <w:pPr>
        <w:pStyle w:val="TOC4"/>
        <w:rPr>
          <w:rFonts w:ascii="Times New Roman" w:hAnsi="Times New Roman"/>
          <w:b w:val="0"/>
          <w:sz w:val="24"/>
          <w:szCs w:val="24"/>
        </w:rPr>
      </w:pPr>
      <w:r>
        <w:rPr>
          <w:szCs w:val="26"/>
        </w:rPr>
        <w:t>Safety gear</w:t>
      </w:r>
    </w:p>
    <w:p w:rsidR="00AF2508" w:rsidRDefault="00AF2508">
      <w:pPr>
        <w:pStyle w:val="TOC5"/>
        <w:rPr>
          <w:rFonts w:ascii="Times New Roman" w:hAnsi="Times New Roman"/>
          <w:sz w:val="24"/>
          <w:szCs w:val="24"/>
        </w:rPr>
      </w:pPr>
      <w:r>
        <w:rPr>
          <w:szCs w:val="24"/>
        </w:rPr>
        <w:tab/>
        <w:t>35</w:t>
      </w:r>
      <w:r>
        <w:tab/>
      </w:r>
      <w:r>
        <w:tab/>
      </w:r>
      <w:r>
        <w:fldChar w:fldCharType="begin"/>
      </w:r>
      <w:r>
        <w:instrText xml:space="preserve"> PAGEREF _Toc161636723 \h </w:instrText>
      </w:r>
      <w:r>
        <w:fldChar w:fldCharType="separate"/>
      </w:r>
      <w:r w:rsidR="00AA7BA7">
        <w:t>19</w:t>
      </w:r>
      <w:r>
        <w:fldChar w:fldCharType="end"/>
      </w:r>
    </w:p>
    <w:p w:rsidR="00AF2508" w:rsidRDefault="00AF2508">
      <w:pPr>
        <w:pStyle w:val="TOC4"/>
        <w:rPr>
          <w:rFonts w:ascii="Times New Roman" w:hAnsi="Times New Roman"/>
          <w:b w:val="0"/>
          <w:sz w:val="24"/>
          <w:szCs w:val="24"/>
        </w:rPr>
      </w:pPr>
      <w:r>
        <w:rPr>
          <w:szCs w:val="26"/>
        </w:rPr>
        <w:t>Machines</w:t>
      </w:r>
    </w:p>
    <w:p w:rsidR="00AF2508" w:rsidRDefault="00AF2508">
      <w:pPr>
        <w:pStyle w:val="TOC5"/>
        <w:rPr>
          <w:rFonts w:ascii="Times New Roman" w:hAnsi="Times New Roman"/>
          <w:sz w:val="24"/>
          <w:szCs w:val="24"/>
        </w:rPr>
      </w:pPr>
      <w:r>
        <w:rPr>
          <w:szCs w:val="24"/>
        </w:rPr>
        <w:tab/>
        <w:t>36</w:t>
      </w:r>
      <w:r>
        <w:tab/>
      </w:r>
      <w:r>
        <w:tab/>
      </w:r>
      <w:r>
        <w:fldChar w:fldCharType="begin"/>
      </w:r>
      <w:r>
        <w:instrText xml:space="preserve"> PAGEREF _Toc161636725 \h </w:instrText>
      </w:r>
      <w:r>
        <w:fldChar w:fldCharType="separate"/>
      </w:r>
      <w:r w:rsidR="00AA7BA7">
        <w:t>20</w:t>
      </w:r>
      <w:r>
        <w:fldChar w:fldCharType="end"/>
      </w:r>
    </w:p>
    <w:p w:rsidR="00AF2508" w:rsidRDefault="00AF2508">
      <w:pPr>
        <w:pStyle w:val="TOC4"/>
        <w:rPr>
          <w:rFonts w:ascii="Times New Roman" w:hAnsi="Times New Roman"/>
          <w:b w:val="0"/>
          <w:sz w:val="24"/>
          <w:szCs w:val="24"/>
        </w:rPr>
      </w:pPr>
      <w:r>
        <w:rPr>
          <w:szCs w:val="26"/>
        </w:rPr>
        <w:t>Counterweight</w:t>
      </w:r>
    </w:p>
    <w:p w:rsidR="00AF2508" w:rsidRDefault="00AF2508">
      <w:pPr>
        <w:pStyle w:val="TOC5"/>
        <w:rPr>
          <w:rFonts w:ascii="Times New Roman" w:hAnsi="Times New Roman"/>
          <w:sz w:val="24"/>
          <w:szCs w:val="24"/>
        </w:rPr>
      </w:pPr>
      <w:r>
        <w:rPr>
          <w:szCs w:val="24"/>
        </w:rPr>
        <w:tab/>
        <w:t>37</w:t>
      </w:r>
      <w:r>
        <w:tab/>
      </w:r>
      <w:r>
        <w:tab/>
      </w:r>
      <w:r>
        <w:fldChar w:fldCharType="begin"/>
      </w:r>
      <w:r>
        <w:instrText xml:space="preserve"> PAGEREF _Toc161636727 \h </w:instrText>
      </w:r>
      <w:r>
        <w:fldChar w:fldCharType="separate"/>
      </w:r>
      <w:r w:rsidR="00AA7BA7">
        <w:t>21</w:t>
      </w:r>
      <w:r>
        <w:fldChar w:fldCharType="end"/>
      </w:r>
    </w:p>
    <w:p w:rsidR="00AF2508" w:rsidRDefault="00AF2508">
      <w:pPr>
        <w:pStyle w:val="TOC4"/>
        <w:rPr>
          <w:rFonts w:ascii="Times New Roman" w:hAnsi="Times New Roman"/>
          <w:b w:val="0"/>
          <w:sz w:val="24"/>
          <w:szCs w:val="24"/>
        </w:rPr>
      </w:pPr>
      <w:r>
        <w:rPr>
          <w:szCs w:val="26"/>
        </w:rPr>
        <w:t>Guides</w:t>
      </w:r>
    </w:p>
    <w:p w:rsidR="00AF2508" w:rsidRDefault="00AF2508">
      <w:pPr>
        <w:pStyle w:val="TOC5"/>
        <w:rPr>
          <w:rFonts w:ascii="Times New Roman" w:hAnsi="Times New Roman"/>
          <w:sz w:val="24"/>
          <w:szCs w:val="24"/>
        </w:rPr>
      </w:pPr>
      <w:r>
        <w:rPr>
          <w:szCs w:val="24"/>
        </w:rPr>
        <w:tab/>
        <w:t>38</w:t>
      </w:r>
      <w:r>
        <w:tab/>
      </w:r>
      <w:r>
        <w:tab/>
      </w:r>
      <w:r>
        <w:fldChar w:fldCharType="begin"/>
      </w:r>
      <w:r>
        <w:instrText xml:space="preserve"> PAGEREF _Toc161636729 \h </w:instrText>
      </w:r>
      <w:r>
        <w:fldChar w:fldCharType="separate"/>
      </w:r>
      <w:r w:rsidR="00AA7BA7">
        <w:t>21</w:t>
      </w:r>
      <w:r>
        <w:fldChar w:fldCharType="end"/>
      </w:r>
    </w:p>
    <w:p w:rsidR="00AF2508" w:rsidRDefault="00AF2508">
      <w:pPr>
        <w:pStyle w:val="TOC4"/>
        <w:rPr>
          <w:rFonts w:ascii="Times New Roman" w:hAnsi="Times New Roman"/>
          <w:b w:val="0"/>
          <w:sz w:val="24"/>
          <w:szCs w:val="24"/>
        </w:rPr>
      </w:pPr>
      <w:r>
        <w:rPr>
          <w:szCs w:val="26"/>
        </w:rPr>
        <w:t>Electrical equipment</w:t>
      </w:r>
    </w:p>
    <w:p w:rsidR="00AF2508" w:rsidRDefault="00AF2508">
      <w:pPr>
        <w:pStyle w:val="TOC5"/>
        <w:rPr>
          <w:rFonts w:ascii="Times New Roman" w:hAnsi="Times New Roman"/>
          <w:sz w:val="24"/>
          <w:szCs w:val="24"/>
        </w:rPr>
      </w:pPr>
      <w:r>
        <w:rPr>
          <w:szCs w:val="24"/>
        </w:rPr>
        <w:tab/>
        <w:t>39</w:t>
      </w:r>
      <w:r>
        <w:tab/>
      </w:r>
      <w:r>
        <w:tab/>
      </w:r>
      <w:r>
        <w:fldChar w:fldCharType="begin"/>
      </w:r>
      <w:r>
        <w:instrText xml:space="preserve"> PAGEREF _Toc161636731 \h </w:instrText>
      </w:r>
      <w:r>
        <w:fldChar w:fldCharType="separate"/>
      </w:r>
      <w:r w:rsidR="00AA7BA7">
        <w:t>21</w:t>
      </w:r>
      <w:r>
        <w:fldChar w:fldCharType="end"/>
      </w:r>
    </w:p>
    <w:p w:rsidR="00AF2508" w:rsidRDefault="00AF2508">
      <w:pPr>
        <w:pStyle w:val="TOC4"/>
        <w:rPr>
          <w:rFonts w:ascii="Times New Roman" w:hAnsi="Times New Roman"/>
          <w:b w:val="0"/>
          <w:sz w:val="24"/>
          <w:szCs w:val="24"/>
        </w:rPr>
      </w:pPr>
      <w:r>
        <w:rPr>
          <w:szCs w:val="26"/>
        </w:rPr>
        <w:t>Car switch</w:t>
      </w:r>
    </w:p>
    <w:p w:rsidR="00AF2508" w:rsidRDefault="00AF2508">
      <w:pPr>
        <w:pStyle w:val="TOC5"/>
        <w:rPr>
          <w:rFonts w:ascii="Times New Roman" w:hAnsi="Times New Roman"/>
          <w:sz w:val="24"/>
          <w:szCs w:val="24"/>
        </w:rPr>
      </w:pPr>
      <w:r>
        <w:rPr>
          <w:szCs w:val="24"/>
        </w:rPr>
        <w:tab/>
        <w:t>40</w:t>
      </w:r>
      <w:r>
        <w:tab/>
      </w:r>
      <w:r>
        <w:tab/>
      </w:r>
      <w:r>
        <w:fldChar w:fldCharType="begin"/>
      </w:r>
      <w:r>
        <w:instrText xml:space="preserve"> PAGEREF _Toc161636733 \h </w:instrText>
      </w:r>
      <w:r>
        <w:fldChar w:fldCharType="separate"/>
      </w:r>
      <w:r w:rsidR="00AA7BA7">
        <w:t>22</w:t>
      </w:r>
      <w:r>
        <w:fldChar w:fldCharType="end"/>
      </w:r>
    </w:p>
    <w:p w:rsidR="00AF2508" w:rsidRDefault="00AF2508">
      <w:pPr>
        <w:pStyle w:val="TOC4"/>
        <w:rPr>
          <w:rFonts w:ascii="Times New Roman" w:hAnsi="Times New Roman"/>
          <w:b w:val="0"/>
          <w:sz w:val="24"/>
          <w:szCs w:val="24"/>
        </w:rPr>
      </w:pPr>
      <w:r>
        <w:rPr>
          <w:szCs w:val="26"/>
        </w:rPr>
        <w:t>Limit gear</w:t>
      </w:r>
    </w:p>
    <w:p w:rsidR="00AF2508" w:rsidRDefault="00AF2508">
      <w:pPr>
        <w:pStyle w:val="TOC5"/>
        <w:rPr>
          <w:rFonts w:ascii="Times New Roman" w:hAnsi="Times New Roman"/>
          <w:sz w:val="24"/>
          <w:szCs w:val="24"/>
        </w:rPr>
      </w:pPr>
      <w:r>
        <w:rPr>
          <w:szCs w:val="24"/>
        </w:rPr>
        <w:tab/>
        <w:t>41</w:t>
      </w:r>
      <w:r>
        <w:tab/>
      </w:r>
      <w:r>
        <w:tab/>
      </w:r>
      <w:r>
        <w:fldChar w:fldCharType="begin"/>
      </w:r>
      <w:r>
        <w:instrText xml:space="preserve"> PAGEREF _Toc161636735 \h </w:instrText>
      </w:r>
      <w:r>
        <w:fldChar w:fldCharType="separate"/>
      </w:r>
      <w:r w:rsidR="00AA7BA7">
        <w:t>22</w:t>
      </w:r>
      <w:r>
        <w:fldChar w:fldCharType="end"/>
      </w:r>
    </w:p>
    <w:p w:rsidR="00AF2508" w:rsidRDefault="00AF2508">
      <w:pPr>
        <w:pStyle w:val="TOC4"/>
        <w:rPr>
          <w:rFonts w:ascii="Times New Roman" w:hAnsi="Times New Roman"/>
          <w:b w:val="0"/>
          <w:sz w:val="24"/>
          <w:szCs w:val="24"/>
        </w:rPr>
      </w:pPr>
      <w:r>
        <w:rPr>
          <w:szCs w:val="26"/>
        </w:rPr>
        <w:t>Slack cable device</w:t>
      </w:r>
    </w:p>
    <w:p w:rsidR="00AF2508" w:rsidRDefault="00AF2508">
      <w:pPr>
        <w:pStyle w:val="TOC5"/>
        <w:rPr>
          <w:rFonts w:ascii="Times New Roman" w:hAnsi="Times New Roman"/>
          <w:sz w:val="24"/>
          <w:szCs w:val="24"/>
        </w:rPr>
      </w:pPr>
      <w:r>
        <w:rPr>
          <w:szCs w:val="24"/>
        </w:rPr>
        <w:tab/>
        <w:t>42</w:t>
      </w:r>
      <w:r>
        <w:tab/>
      </w:r>
      <w:r>
        <w:tab/>
      </w:r>
      <w:r>
        <w:fldChar w:fldCharType="begin"/>
      </w:r>
      <w:r>
        <w:instrText xml:space="preserve"> PAGEREF _Toc161636737 \h </w:instrText>
      </w:r>
      <w:r>
        <w:fldChar w:fldCharType="separate"/>
      </w:r>
      <w:r w:rsidR="00AA7BA7">
        <w:t>23</w:t>
      </w:r>
      <w:r>
        <w:fldChar w:fldCharType="end"/>
      </w:r>
    </w:p>
    <w:p w:rsidR="00AF2508" w:rsidRDefault="00AF2508">
      <w:pPr>
        <w:pStyle w:val="TOC4"/>
        <w:rPr>
          <w:rFonts w:ascii="Times New Roman" w:hAnsi="Times New Roman"/>
          <w:b w:val="0"/>
          <w:sz w:val="24"/>
          <w:szCs w:val="24"/>
        </w:rPr>
      </w:pPr>
      <w:r>
        <w:rPr>
          <w:szCs w:val="26"/>
        </w:rPr>
        <w:t>Safety gear switch</w:t>
      </w:r>
    </w:p>
    <w:p w:rsidR="00AF2508" w:rsidRDefault="00AF2508">
      <w:pPr>
        <w:pStyle w:val="TOC5"/>
        <w:rPr>
          <w:rFonts w:ascii="Times New Roman" w:hAnsi="Times New Roman"/>
          <w:sz w:val="24"/>
          <w:szCs w:val="24"/>
        </w:rPr>
      </w:pPr>
      <w:r>
        <w:rPr>
          <w:szCs w:val="24"/>
        </w:rPr>
        <w:tab/>
        <w:t>43</w:t>
      </w:r>
      <w:r>
        <w:tab/>
      </w:r>
      <w:r>
        <w:tab/>
      </w:r>
      <w:r>
        <w:fldChar w:fldCharType="begin"/>
      </w:r>
      <w:r>
        <w:instrText xml:space="preserve"> PAGEREF _Toc161636739 \h </w:instrText>
      </w:r>
      <w:r>
        <w:fldChar w:fldCharType="separate"/>
      </w:r>
      <w:r w:rsidR="00AA7BA7">
        <w:t>23</w:t>
      </w:r>
      <w:r>
        <w:fldChar w:fldCharType="end"/>
      </w:r>
    </w:p>
    <w:p w:rsidR="00AF2508" w:rsidRDefault="00AF2508">
      <w:pPr>
        <w:pStyle w:val="TOC4"/>
        <w:rPr>
          <w:rFonts w:ascii="Times New Roman" w:hAnsi="Times New Roman"/>
          <w:b w:val="0"/>
          <w:sz w:val="24"/>
          <w:szCs w:val="24"/>
        </w:rPr>
      </w:pPr>
      <w:r>
        <w:rPr>
          <w:szCs w:val="26"/>
        </w:rPr>
        <w:t>Stop button</w:t>
      </w:r>
    </w:p>
    <w:p w:rsidR="00AF2508" w:rsidRDefault="00AF2508">
      <w:pPr>
        <w:pStyle w:val="TOC5"/>
        <w:rPr>
          <w:rFonts w:ascii="Times New Roman" w:hAnsi="Times New Roman"/>
          <w:sz w:val="24"/>
          <w:szCs w:val="24"/>
        </w:rPr>
      </w:pPr>
      <w:r>
        <w:rPr>
          <w:szCs w:val="24"/>
        </w:rPr>
        <w:tab/>
        <w:t>44</w:t>
      </w:r>
      <w:r>
        <w:tab/>
      </w:r>
      <w:r>
        <w:tab/>
      </w:r>
      <w:r>
        <w:fldChar w:fldCharType="begin"/>
      </w:r>
      <w:r>
        <w:instrText xml:space="preserve"> PAGEREF _Toc161636741 \h </w:instrText>
      </w:r>
      <w:r>
        <w:fldChar w:fldCharType="separate"/>
      </w:r>
      <w:r w:rsidR="00AA7BA7">
        <w:t>23</w:t>
      </w:r>
      <w:r>
        <w:fldChar w:fldCharType="end"/>
      </w:r>
    </w:p>
    <w:p w:rsidR="00AF2508" w:rsidRDefault="00AF2508">
      <w:pPr>
        <w:pStyle w:val="TOC4"/>
        <w:rPr>
          <w:rFonts w:ascii="Times New Roman" w:hAnsi="Times New Roman"/>
          <w:b w:val="0"/>
          <w:sz w:val="24"/>
          <w:szCs w:val="24"/>
        </w:rPr>
      </w:pPr>
      <w:r>
        <w:rPr>
          <w:szCs w:val="26"/>
        </w:rPr>
        <w:t>Signal call system</w:t>
      </w:r>
    </w:p>
    <w:p w:rsidR="00AF2508" w:rsidRDefault="00AF2508">
      <w:pPr>
        <w:pStyle w:val="TOC5"/>
        <w:rPr>
          <w:rFonts w:ascii="Times New Roman" w:hAnsi="Times New Roman"/>
          <w:sz w:val="24"/>
          <w:szCs w:val="24"/>
        </w:rPr>
      </w:pPr>
      <w:r>
        <w:rPr>
          <w:szCs w:val="24"/>
        </w:rPr>
        <w:tab/>
        <w:t>45</w:t>
      </w:r>
      <w:r>
        <w:tab/>
      </w:r>
      <w:r>
        <w:tab/>
      </w:r>
      <w:r>
        <w:fldChar w:fldCharType="begin"/>
      </w:r>
      <w:r>
        <w:instrText xml:space="preserve"> PAGEREF _Toc161636743 \h </w:instrText>
      </w:r>
      <w:r>
        <w:fldChar w:fldCharType="separate"/>
      </w:r>
      <w:r w:rsidR="00AA7BA7">
        <w:t>24</w:t>
      </w:r>
      <w:r>
        <w:fldChar w:fldCharType="end"/>
      </w:r>
    </w:p>
    <w:p w:rsidR="00AF2508" w:rsidRDefault="00AF2508">
      <w:pPr>
        <w:pStyle w:val="TOC4"/>
        <w:rPr>
          <w:rFonts w:ascii="Times New Roman" w:hAnsi="Times New Roman"/>
          <w:b w:val="0"/>
          <w:sz w:val="24"/>
          <w:szCs w:val="24"/>
        </w:rPr>
      </w:pPr>
      <w:r>
        <w:rPr>
          <w:szCs w:val="26"/>
        </w:rPr>
        <w:t>Hydraulic equipment</w:t>
      </w:r>
    </w:p>
    <w:p w:rsidR="00AF2508" w:rsidRDefault="00AF2508">
      <w:pPr>
        <w:pStyle w:val="TOC5"/>
        <w:rPr>
          <w:rFonts w:ascii="Times New Roman" w:hAnsi="Times New Roman"/>
          <w:sz w:val="24"/>
          <w:szCs w:val="24"/>
        </w:rPr>
      </w:pPr>
      <w:r>
        <w:rPr>
          <w:szCs w:val="24"/>
        </w:rPr>
        <w:tab/>
        <w:t>46</w:t>
      </w:r>
      <w:r>
        <w:tab/>
      </w:r>
      <w:r>
        <w:tab/>
      </w:r>
      <w:r>
        <w:fldChar w:fldCharType="begin"/>
      </w:r>
      <w:r>
        <w:instrText xml:space="preserve"> PAGEREF _Toc161636745 \h </w:instrText>
      </w:r>
      <w:r>
        <w:fldChar w:fldCharType="separate"/>
      </w:r>
      <w:r w:rsidR="00AA7BA7">
        <w:t>24</w:t>
      </w:r>
      <w:r>
        <w:fldChar w:fldCharType="end"/>
      </w:r>
    </w:p>
    <w:p w:rsidR="00AF2508" w:rsidRDefault="00AF2508">
      <w:pPr>
        <w:pStyle w:val="TOC4"/>
        <w:rPr>
          <w:rFonts w:ascii="Times New Roman" w:hAnsi="Times New Roman"/>
          <w:b w:val="0"/>
          <w:sz w:val="24"/>
          <w:szCs w:val="24"/>
        </w:rPr>
      </w:pPr>
      <w:r>
        <w:rPr>
          <w:szCs w:val="26"/>
        </w:rPr>
        <w:t>Escalators</w:t>
      </w:r>
    </w:p>
    <w:p w:rsidR="00AF2508" w:rsidRDefault="00AF2508">
      <w:pPr>
        <w:pStyle w:val="TOC5"/>
        <w:rPr>
          <w:rFonts w:ascii="Times New Roman" w:hAnsi="Times New Roman"/>
          <w:sz w:val="24"/>
          <w:szCs w:val="24"/>
        </w:rPr>
      </w:pPr>
      <w:r>
        <w:rPr>
          <w:szCs w:val="24"/>
        </w:rPr>
        <w:tab/>
        <w:t>47</w:t>
      </w:r>
      <w:r>
        <w:tab/>
      </w:r>
      <w:r>
        <w:tab/>
      </w:r>
      <w:r>
        <w:fldChar w:fldCharType="begin"/>
      </w:r>
      <w:r>
        <w:instrText xml:space="preserve"> PAGEREF _Toc161636747 \h </w:instrText>
      </w:r>
      <w:r>
        <w:fldChar w:fldCharType="separate"/>
      </w:r>
      <w:r w:rsidR="00AA7BA7">
        <w:t>25</w:t>
      </w:r>
      <w:r>
        <w:fldChar w:fldCharType="end"/>
      </w:r>
    </w:p>
    <w:p w:rsidR="00AF2508" w:rsidRDefault="00AF2508">
      <w:pPr>
        <w:pStyle w:val="TOC4"/>
        <w:rPr>
          <w:rFonts w:ascii="Times New Roman" w:hAnsi="Times New Roman"/>
          <w:b w:val="0"/>
          <w:sz w:val="24"/>
          <w:szCs w:val="24"/>
        </w:rPr>
      </w:pPr>
      <w:r>
        <w:rPr>
          <w:szCs w:val="26"/>
        </w:rPr>
        <w:t>Trusses or girders</w:t>
      </w:r>
    </w:p>
    <w:p w:rsidR="00AF2508" w:rsidRDefault="00AF2508">
      <w:pPr>
        <w:pStyle w:val="TOC5"/>
        <w:rPr>
          <w:rFonts w:ascii="Times New Roman" w:hAnsi="Times New Roman"/>
          <w:sz w:val="24"/>
          <w:szCs w:val="24"/>
        </w:rPr>
      </w:pPr>
      <w:r>
        <w:rPr>
          <w:szCs w:val="24"/>
        </w:rPr>
        <w:tab/>
        <w:t>48</w:t>
      </w:r>
      <w:r>
        <w:tab/>
      </w:r>
      <w:r>
        <w:tab/>
      </w:r>
      <w:r>
        <w:fldChar w:fldCharType="begin"/>
      </w:r>
      <w:r>
        <w:instrText xml:space="preserve"> PAGEREF _Toc161636749 \h </w:instrText>
      </w:r>
      <w:r>
        <w:fldChar w:fldCharType="separate"/>
      </w:r>
      <w:r w:rsidR="00AA7BA7">
        <w:t>25</w:t>
      </w:r>
      <w:r>
        <w:fldChar w:fldCharType="end"/>
      </w:r>
    </w:p>
    <w:p w:rsidR="00AF2508" w:rsidRDefault="00AF2508">
      <w:pPr>
        <w:pStyle w:val="TOC4"/>
        <w:rPr>
          <w:rFonts w:ascii="Times New Roman" w:hAnsi="Times New Roman"/>
          <w:b w:val="0"/>
          <w:sz w:val="24"/>
          <w:szCs w:val="24"/>
        </w:rPr>
      </w:pPr>
      <w:r>
        <w:rPr>
          <w:szCs w:val="26"/>
        </w:rPr>
        <w:t>Track arrangement</w:t>
      </w:r>
    </w:p>
    <w:p w:rsidR="00AF2508" w:rsidRDefault="00AF2508">
      <w:pPr>
        <w:pStyle w:val="TOC5"/>
        <w:rPr>
          <w:rFonts w:ascii="Times New Roman" w:hAnsi="Times New Roman"/>
          <w:sz w:val="24"/>
          <w:szCs w:val="24"/>
        </w:rPr>
      </w:pPr>
      <w:r>
        <w:rPr>
          <w:szCs w:val="24"/>
        </w:rPr>
        <w:tab/>
        <w:t>49</w:t>
      </w:r>
      <w:r>
        <w:tab/>
      </w:r>
      <w:r>
        <w:tab/>
      </w:r>
      <w:r>
        <w:fldChar w:fldCharType="begin"/>
      </w:r>
      <w:r>
        <w:instrText xml:space="preserve"> PAGEREF _Toc161636751 \h </w:instrText>
      </w:r>
      <w:r>
        <w:fldChar w:fldCharType="separate"/>
      </w:r>
      <w:r w:rsidR="00AA7BA7">
        <w:t>25</w:t>
      </w:r>
      <w:r>
        <w:fldChar w:fldCharType="end"/>
      </w:r>
    </w:p>
    <w:p w:rsidR="00AF2508" w:rsidRDefault="00AF2508">
      <w:pPr>
        <w:pStyle w:val="TOC4"/>
        <w:rPr>
          <w:rFonts w:ascii="Times New Roman" w:hAnsi="Times New Roman"/>
          <w:b w:val="0"/>
          <w:sz w:val="24"/>
          <w:szCs w:val="24"/>
        </w:rPr>
      </w:pPr>
      <w:r>
        <w:rPr>
          <w:szCs w:val="26"/>
        </w:rPr>
        <w:t>Angle of inclination</w:t>
      </w:r>
    </w:p>
    <w:p w:rsidR="00AF2508" w:rsidRDefault="00AF2508">
      <w:pPr>
        <w:pStyle w:val="TOC5"/>
        <w:rPr>
          <w:rFonts w:ascii="Times New Roman" w:hAnsi="Times New Roman"/>
          <w:sz w:val="24"/>
          <w:szCs w:val="24"/>
        </w:rPr>
      </w:pPr>
      <w:r>
        <w:rPr>
          <w:szCs w:val="24"/>
        </w:rPr>
        <w:tab/>
        <w:t>50</w:t>
      </w:r>
      <w:r>
        <w:tab/>
      </w:r>
      <w:r>
        <w:tab/>
      </w:r>
      <w:r>
        <w:fldChar w:fldCharType="begin"/>
      </w:r>
      <w:r>
        <w:instrText xml:space="preserve"> PAGEREF _Toc161636753 \h </w:instrText>
      </w:r>
      <w:r>
        <w:fldChar w:fldCharType="separate"/>
      </w:r>
      <w:r w:rsidR="00AA7BA7">
        <w:t>26</w:t>
      </w:r>
      <w:r>
        <w:fldChar w:fldCharType="end"/>
      </w:r>
    </w:p>
    <w:p w:rsidR="00AF2508" w:rsidRDefault="00AF2508">
      <w:pPr>
        <w:pStyle w:val="TOC4"/>
        <w:rPr>
          <w:rFonts w:ascii="Times New Roman" w:hAnsi="Times New Roman"/>
          <w:b w:val="0"/>
          <w:sz w:val="24"/>
          <w:szCs w:val="24"/>
        </w:rPr>
      </w:pPr>
      <w:r>
        <w:rPr>
          <w:szCs w:val="26"/>
        </w:rPr>
        <w:t>Balustrading</w:t>
      </w:r>
    </w:p>
    <w:p w:rsidR="00AF2508" w:rsidRDefault="00AF2508">
      <w:pPr>
        <w:pStyle w:val="TOC5"/>
        <w:rPr>
          <w:rFonts w:ascii="Times New Roman" w:hAnsi="Times New Roman"/>
          <w:sz w:val="24"/>
          <w:szCs w:val="24"/>
        </w:rPr>
      </w:pPr>
      <w:r>
        <w:rPr>
          <w:szCs w:val="24"/>
        </w:rPr>
        <w:tab/>
        <w:t>51</w:t>
      </w:r>
      <w:r>
        <w:tab/>
      </w:r>
      <w:r>
        <w:tab/>
      </w:r>
      <w:r>
        <w:fldChar w:fldCharType="begin"/>
      </w:r>
      <w:r>
        <w:instrText xml:space="preserve"> PAGEREF _Toc161636755 \h </w:instrText>
      </w:r>
      <w:r>
        <w:fldChar w:fldCharType="separate"/>
      </w:r>
      <w:r w:rsidR="00AA7BA7">
        <w:t>26</w:t>
      </w:r>
      <w:r>
        <w:fldChar w:fldCharType="end"/>
      </w:r>
    </w:p>
    <w:p w:rsidR="00AF2508" w:rsidRDefault="00AF2508">
      <w:pPr>
        <w:pStyle w:val="TOC4"/>
        <w:rPr>
          <w:rFonts w:ascii="Times New Roman" w:hAnsi="Times New Roman"/>
          <w:b w:val="0"/>
          <w:sz w:val="24"/>
          <w:szCs w:val="24"/>
        </w:rPr>
      </w:pPr>
      <w:r>
        <w:rPr>
          <w:szCs w:val="26"/>
        </w:rPr>
        <w:t>Treads and landings</w:t>
      </w:r>
    </w:p>
    <w:p w:rsidR="00AF2508" w:rsidRDefault="00AF2508">
      <w:pPr>
        <w:pStyle w:val="TOC5"/>
        <w:rPr>
          <w:rFonts w:ascii="Times New Roman" w:hAnsi="Times New Roman"/>
          <w:sz w:val="24"/>
          <w:szCs w:val="24"/>
        </w:rPr>
      </w:pPr>
      <w:r>
        <w:rPr>
          <w:szCs w:val="24"/>
        </w:rPr>
        <w:tab/>
        <w:t>52</w:t>
      </w:r>
      <w:r>
        <w:tab/>
      </w:r>
      <w:r>
        <w:tab/>
      </w:r>
      <w:r>
        <w:fldChar w:fldCharType="begin"/>
      </w:r>
      <w:r>
        <w:instrText xml:space="preserve"> PAGEREF _Toc161636757 \h </w:instrText>
      </w:r>
      <w:r>
        <w:fldChar w:fldCharType="separate"/>
      </w:r>
      <w:r w:rsidR="00AA7BA7">
        <w:t>26</w:t>
      </w:r>
      <w:r>
        <w:fldChar w:fldCharType="end"/>
      </w:r>
    </w:p>
    <w:p w:rsidR="00AF2508" w:rsidRDefault="00AF2508">
      <w:pPr>
        <w:pStyle w:val="TOC4"/>
        <w:rPr>
          <w:rFonts w:ascii="Times New Roman" w:hAnsi="Times New Roman"/>
          <w:b w:val="0"/>
          <w:sz w:val="24"/>
          <w:szCs w:val="24"/>
        </w:rPr>
      </w:pPr>
      <w:r>
        <w:rPr>
          <w:szCs w:val="26"/>
        </w:rPr>
        <w:t>Power unit</w:t>
      </w:r>
    </w:p>
    <w:p w:rsidR="00AF2508" w:rsidRDefault="00AF2508">
      <w:pPr>
        <w:pStyle w:val="TOC5"/>
        <w:rPr>
          <w:rFonts w:ascii="Times New Roman" w:hAnsi="Times New Roman"/>
          <w:sz w:val="24"/>
          <w:szCs w:val="24"/>
        </w:rPr>
      </w:pPr>
      <w:r>
        <w:rPr>
          <w:szCs w:val="24"/>
        </w:rPr>
        <w:tab/>
        <w:t>53</w:t>
      </w:r>
      <w:r>
        <w:tab/>
      </w:r>
      <w:r>
        <w:tab/>
      </w:r>
      <w:r>
        <w:fldChar w:fldCharType="begin"/>
      </w:r>
      <w:r>
        <w:instrText xml:space="preserve"> PAGEREF _Toc161636759 \h </w:instrText>
      </w:r>
      <w:r>
        <w:fldChar w:fldCharType="separate"/>
      </w:r>
      <w:r w:rsidR="00AA7BA7">
        <w:t>26</w:t>
      </w:r>
      <w:r>
        <w:fldChar w:fldCharType="end"/>
      </w:r>
    </w:p>
    <w:p w:rsidR="00AF2508" w:rsidRDefault="00AF2508">
      <w:pPr>
        <w:pStyle w:val="TOC4"/>
        <w:rPr>
          <w:rFonts w:ascii="Times New Roman" w:hAnsi="Times New Roman"/>
          <w:b w:val="0"/>
          <w:sz w:val="24"/>
          <w:szCs w:val="24"/>
        </w:rPr>
      </w:pPr>
      <w:r>
        <w:rPr>
          <w:szCs w:val="26"/>
        </w:rPr>
        <w:t>Chains</w:t>
      </w:r>
    </w:p>
    <w:p w:rsidR="00AF2508" w:rsidRDefault="00AF2508">
      <w:pPr>
        <w:pStyle w:val="TOC5"/>
        <w:rPr>
          <w:rFonts w:ascii="Times New Roman" w:hAnsi="Times New Roman"/>
          <w:sz w:val="24"/>
          <w:szCs w:val="24"/>
        </w:rPr>
      </w:pPr>
      <w:r>
        <w:rPr>
          <w:szCs w:val="24"/>
        </w:rPr>
        <w:tab/>
        <w:t>54</w:t>
      </w:r>
      <w:r>
        <w:tab/>
      </w:r>
      <w:r>
        <w:tab/>
      </w:r>
      <w:r>
        <w:fldChar w:fldCharType="begin"/>
      </w:r>
      <w:r>
        <w:instrText xml:space="preserve"> PAGEREF _Toc161636761 \h </w:instrText>
      </w:r>
      <w:r>
        <w:fldChar w:fldCharType="separate"/>
      </w:r>
      <w:r w:rsidR="00AA7BA7">
        <w:t>27</w:t>
      </w:r>
      <w:r>
        <w:fldChar w:fldCharType="end"/>
      </w:r>
    </w:p>
    <w:p w:rsidR="00AF2508" w:rsidRDefault="00AF2508">
      <w:pPr>
        <w:pStyle w:val="TOC4"/>
        <w:rPr>
          <w:rFonts w:ascii="Times New Roman" w:hAnsi="Times New Roman"/>
          <w:b w:val="0"/>
          <w:sz w:val="24"/>
          <w:szCs w:val="24"/>
        </w:rPr>
      </w:pPr>
      <w:r>
        <w:rPr>
          <w:szCs w:val="26"/>
        </w:rPr>
        <w:t>Automatic brakes</w:t>
      </w:r>
    </w:p>
    <w:p w:rsidR="00AF2508" w:rsidRDefault="00AF2508">
      <w:pPr>
        <w:pStyle w:val="TOC5"/>
        <w:rPr>
          <w:rFonts w:ascii="Times New Roman" w:hAnsi="Times New Roman"/>
          <w:sz w:val="24"/>
          <w:szCs w:val="24"/>
        </w:rPr>
      </w:pPr>
      <w:r>
        <w:rPr>
          <w:szCs w:val="24"/>
        </w:rPr>
        <w:tab/>
        <w:t>55</w:t>
      </w:r>
      <w:r>
        <w:tab/>
      </w:r>
      <w:r>
        <w:tab/>
      </w:r>
      <w:r>
        <w:fldChar w:fldCharType="begin"/>
      </w:r>
      <w:r>
        <w:instrText xml:space="preserve"> PAGEREF _Toc161636763 \h </w:instrText>
      </w:r>
      <w:r>
        <w:fldChar w:fldCharType="separate"/>
      </w:r>
      <w:r w:rsidR="00AA7BA7">
        <w:t>27</w:t>
      </w:r>
      <w:r>
        <w:fldChar w:fldCharType="end"/>
      </w:r>
    </w:p>
    <w:p w:rsidR="00AF2508" w:rsidRDefault="00AF2508">
      <w:pPr>
        <w:pStyle w:val="TOC4"/>
        <w:rPr>
          <w:rFonts w:ascii="Times New Roman" w:hAnsi="Times New Roman"/>
          <w:b w:val="0"/>
          <w:sz w:val="24"/>
          <w:szCs w:val="24"/>
        </w:rPr>
      </w:pPr>
      <w:r>
        <w:rPr>
          <w:szCs w:val="26"/>
        </w:rPr>
        <w:t>Starting switch and stop button</w:t>
      </w:r>
    </w:p>
    <w:p w:rsidR="00AF2508" w:rsidRDefault="00AF2508">
      <w:pPr>
        <w:pStyle w:val="TOC5"/>
        <w:rPr>
          <w:rFonts w:ascii="Times New Roman" w:hAnsi="Times New Roman"/>
          <w:sz w:val="24"/>
          <w:szCs w:val="24"/>
        </w:rPr>
      </w:pPr>
      <w:r>
        <w:rPr>
          <w:szCs w:val="24"/>
        </w:rPr>
        <w:tab/>
        <w:t>56</w:t>
      </w:r>
      <w:r>
        <w:tab/>
      </w:r>
      <w:r>
        <w:tab/>
      </w:r>
      <w:r>
        <w:fldChar w:fldCharType="begin"/>
      </w:r>
      <w:r>
        <w:instrText xml:space="preserve"> PAGEREF _Toc161636765 \h </w:instrText>
      </w:r>
      <w:r>
        <w:fldChar w:fldCharType="separate"/>
      </w:r>
      <w:r w:rsidR="00AA7BA7">
        <w:t>27</w:t>
      </w:r>
      <w:r>
        <w:fldChar w:fldCharType="end"/>
      </w:r>
    </w:p>
    <w:p w:rsidR="00AF2508" w:rsidRDefault="00AF2508">
      <w:pPr>
        <w:pStyle w:val="TOC4"/>
        <w:rPr>
          <w:rFonts w:ascii="Times New Roman" w:hAnsi="Times New Roman"/>
          <w:b w:val="0"/>
          <w:sz w:val="24"/>
          <w:szCs w:val="24"/>
        </w:rPr>
      </w:pPr>
      <w:r>
        <w:rPr>
          <w:szCs w:val="26"/>
        </w:rPr>
        <w:t>Safety devices</w:t>
      </w:r>
    </w:p>
    <w:p w:rsidR="00AF2508" w:rsidRDefault="00AF2508">
      <w:pPr>
        <w:pStyle w:val="TOC5"/>
        <w:rPr>
          <w:rFonts w:ascii="Times New Roman" w:hAnsi="Times New Roman"/>
          <w:sz w:val="24"/>
          <w:szCs w:val="24"/>
        </w:rPr>
      </w:pPr>
      <w:r>
        <w:rPr>
          <w:szCs w:val="24"/>
        </w:rPr>
        <w:tab/>
        <w:t>57</w:t>
      </w:r>
      <w:r>
        <w:tab/>
      </w:r>
      <w:r>
        <w:tab/>
      </w:r>
      <w:r>
        <w:fldChar w:fldCharType="begin"/>
      </w:r>
      <w:r>
        <w:instrText xml:space="preserve"> PAGEREF _Toc161636767 \h </w:instrText>
      </w:r>
      <w:r>
        <w:fldChar w:fldCharType="separate"/>
      </w:r>
      <w:r w:rsidR="00AA7BA7">
        <w:t>27</w:t>
      </w:r>
      <w:r>
        <w:fldChar w:fldCharType="end"/>
      </w:r>
    </w:p>
    <w:p w:rsidR="00AF2508" w:rsidRDefault="00AF2508">
      <w:pPr>
        <w:pStyle w:val="TOC4"/>
        <w:rPr>
          <w:rFonts w:ascii="Times New Roman" w:hAnsi="Times New Roman"/>
          <w:b w:val="0"/>
          <w:sz w:val="24"/>
          <w:szCs w:val="24"/>
        </w:rPr>
      </w:pPr>
      <w:r>
        <w:rPr>
          <w:szCs w:val="26"/>
        </w:rPr>
        <w:t>Reverse phase relay</w:t>
      </w:r>
    </w:p>
    <w:p w:rsidR="00AF2508" w:rsidRDefault="00AF2508">
      <w:pPr>
        <w:pStyle w:val="TOC5"/>
        <w:rPr>
          <w:rFonts w:ascii="Times New Roman" w:hAnsi="Times New Roman"/>
          <w:sz w:val="24"/>
          <w:szCs w:val="24"/>
        </w:rPr>
      </w:pPr>
      <w:r>
        <w:rPr>
          <w:szCs w:val="24"/>
        </w:rPr>
        <w:tab/>
        <w:t>58</w:t>
      </w:r>
      <w:r>
        <w:tab/>
      </w:r>
      <w:r>
        <w:tab/>
      </w:r>
      <w:r>
        <w:fldChar w:fldCharType="begin"/>
      </w:r>
      <w:r>
        <w:instrText xml:space="preserve"> PAGEREF _Toc161636769 \h </w:instrText>
      </w:r>
      <w:r>
        <w:fldChar w:fldCharType="separate"/>
      </w:r>
      <w:r w:rsidR="00AA7BA7">
        <w:t>28</w:t>
      </w:r>
      <w:r>
        <w:fldChar w:fldCharType="end"/>
      </w:r>
    </w:p>
    <w:p w:rsidR="00AF2508" w:rsidRDefault="00AF2508">
      <w:pPr>
        <w:pStyle w:val="TOC4"/>
        <w:rPr>
          <w:rFonts w:ascii="Times New Roman" w:hAnsi="Times New Roman"/>
          <w:b w:val="0"/>
          <w:sz w:val="24"/>
          <w:szCs w:val="24"/>
        </w:rPr>
      </w:pPr>
      <w:r>
        <w:rPr>
          <w:szCs w:val="26"/>
        </w:rPr>
        <w:t>Machine room</w:t>
      </w:r>
    </w:p>
    <w:p w:rsidR="00AF2508" w:rsidRDefault="00AF2508">
      <w:pPr>
        <w:pStyle w:val="TOC5"/>
        <w:rPr>
          <w:rFonts w:ascii="Times New Roman" w:hAnsi="Times New Roman"/>
          <w:sz w:val="24"/>
          <w:szCs w:val="24"/>
        </w:rPr>
      </w:pPr>
      <w:r>
        <w:rPr>
          <w:szCs w:val="24"/>
        </w:rPr>
        <w:tab/>
        <w:t>59</w:t>
      </w:r>
      <w:r>
        <w:tab/>
      </w:r>
      <w:r>
        <w:tab/>
      </w:r>
      <w:r>
        <w:fldChar w:fldCharType="begin"/>
      </w:r>
      <w:r>
        <w:instrText xml:space="preserve"> PAGEREF _Toc161636771 \h </w:instrText>
      </w:r>
      <w:r>
        <w:fldChar w:fldCharType="separate"/>
      </w:r>
      <w:r w:rsidR="00AA7BA7">
        <w:t>28</w:t>
      </w:r>
      <w:r>
        <w:fldChar w:fldCharType="end"/>
      </w:r>
    </w:p>
    <w:p w:rsidR="00AF2508" w:rsidRDefault="00AF2508">
      <w:pPr>
        <w:pStyle w:val="TOC4"/>
        <w:rPr>
          <w:rFonts w:ascii="Times New Roman" w:hAnsi="Times New Roman"/>
          <w:b w:val="0"/>
          <w:sz w:val="24"/>
          <w:szCs w:val="24"/>
        </w:rPr>
      </w:pPr>
      <w:r>
        <w:rPr>
          <w:szCs w:val="26"/>
        </w:rPr>
        <w:t>Construction of conveyors</w:t>
      </w:r>
    </w:p>
    <w:p w:rsidR="00AF2508" w:rsidRDefault="00AF2508">
      <w:pPr>
        <w:pStyle w:val="TOC5"/>
        <w:rPr>
          <w:rFonts w:ascii="Times New Roman" w:hAnsi="Times New Roman"/>
          <w:sz w:val="24"/>
          <w:szCs w:val="24"/>
        </w:rPr>
      </w:pPr>
      <w:r>
        <w:rPr>
          <w:szCs w:val="24"/>
        </w:rPr>
        <w:tab/>
        <w:t>60</w:t>
      </w:r>
      <w:r>
        <w:tab/>
      </w:r>
      <w:r>
        <w:tab/>
      </w:r>
      <w:r>
        <w:fldChar w:fldCharType="begin"/>
      </w:r>
      <w:r>
        <w:instrText xml:space="preserve"> PAGEREF _Toc161636773 \h </w:instrText>
      </w:r>
      <w:r>
        <w:fldChar w:fldCharType="separate"/>
      </w:r>
      <w:r w:rsidR="00AA7BA7">
        <w:t>28</w:t>
      </w:r>
      <w:r>
        <w:fldChar w:fldCharType="end"/>
      </w:r>
    </w:p>
    <w:p w:rsidR="00AF2508" w:rsidRDefault="00AF2508">
      <w:pPr>
        <w:pStyle w:val="TOC4"/>
        <w:rPr>
          <w:rFonts w:ascii="Times New Roman" w:hAnsi="Times New Roman"/>
          <w:b w:val="0"/>
          <w:sz w:val="24"/>
          <w:szCs w:val="24"/>
        </w:rPr>
      </w:pPr>
      <w:r>
        <w:rPr>
          <w:szCs w:val="26"/>
        </w:rPr>
        <w:t>Electrical installation</w:t>
      </w:r>
    </w:p>
    <w:p w:rsidR="00AF2508" w:rsidRDefault="00AF2508">
      <w:pPr>
        <w:pStyle w:val="TOC5"/>
        <w:rPr>
          <w:rFonts w:ascii="Times New Roman" w:hAnsi="Times New Roman"/>
          <w:sz w:val="24"/>
          <w:szCs w:val="24"/>
        </w:rPr>
      </w:pPr>
      <w:r>
        <w:rPr>
          <w:szCs w:val="24"/>
        </w:rPr>
        <w:tab/>
        <w:t>61</w:t>
      </w:r>
      <w:r>
        <w:tab/>
      </w:r>
      <w:r>
        <w:tab/>
      </w:r>
      <w:r>
        <w:fldChar w:fldCharType="begin"/>
      </w:r>
      <w:r>
        <w:instrText xml:space="preserve"> PAGEREF _Toc161636775 \h </w:instrText>
      </w:r>
      <w:r>
        <w:fldChar w:fldCharType="separate"/>
      </w:r>
      <w:r w:rsidR="00AA7BA7">
        <w:t>29</w:t>
      </w:r>
      <w:r>
        <w:fldChar w:fldCharType="end"/>
      </w:r>
    </w:p>
    <w:p w:rsidR="00AF2508" w:rsidRDefault="00AF2508">
      <w:pPr>
        <w:pStyle w:val="TOC4"/>
        <w:rPr>
          <w:rFonts w:ascii="Times New Roman" w:hAnsi="Times New Roman"/>
          <w:b w:val="0"/>
          <w:sz w:val="24"/>
          <w:szCs w:val="24"/>
        </w:rPr>
      </w:pPr>
      <w:r>
        <w:rPr>
          <w:szCs w:val="26"/>
        </w:rPr>
        <w:t>Control</w:t>
      </w:r>
    </w:p>
    <w:p w:rsidR="00AF2508" w:rsidRDefault="00AF2508">
      <w:pPr>
        <w:pStyle w:val="TOC5"/>
        <w:rPr>
          <w:rFonts w:ascii="Times New Roman" w:hAnsi="Times New Roman"/>
          <w:sz w:val="24"/>
          <w:szCs w:val="24"/>
        </w:rPr>
      </w:pPr>
      <w:r>
        <w:rPr>
          <w:szCs w:val="24"/>
        </w:rPr>
        <w:tab/>
        <w:t>62</w:t>
      </w:r>
      <w:r>
        <w:tab/>
      </w:r>
      <w:r>
        <w:tab/>
      </w:r>
      <w:r>
        <w:fldChar w:fldCharType="begin"/>
      </w:r>
      <w:r>
        <w:instrText xml:space="preserve"> PAGEREF _Toc161636777 \h </w:instrText>
      </w:r>
      <w:r>
        <w:fldChar w:fldCharType="separate"/>
      </w:r>
      <w:r w:rsidR="00AA7BA7">
        <w:t>29</w:t>
      </w:r>
      <w:r>
        <w:fldChar w:fldCharType="end"/>
      </w:r>
    </w:p>
    <w:p w:rsidR="00AF2508" w:rsidRDefault="00AF2508">
      <w:pPr>
        <w:pStyle w:val="TOC4"/>
        <w:rPr>
          <w:rFonts w:ascii="Times New Roman" w:hAnsi="Times New Roman"/>
          <w:b w:val="0"/>
          <w:sz w:val="24"/>
          <w:szCs w:val="24"/>
        </w:rPr>
      </w:pPr>
      <w:r>
        <w:rPr>
          <w:szCs w:val="26"/>
        </w:rPr>
        <w:t>Enclosures</w:t>
      </w:r>
    </w:p>
    <w:p w:rsidR="00AF2508" w:rsidRDefault="00AF2508">
      <w:pPr>
        <w:pStyle w:val="TOC5"/>
        <w:rPr>
          <w:rFonts w:ascii="Times New Roman" w:hAnsi="Times New Roman"/>
          <w:sz w:val="24"/>
          <w:szCs w:val="24"/>
        </w:rPr>
      </w:pPr>
      <w:r>
        <w:rPr>
          <w:szCs w:val="24"/>
        </w:rPr>
        <w:tab/>
        <w:t>63</w:t>
      </w:r>
      <w:r>
        <w:tab/>
      </w:r>
      <w:r>
        <w:tab/>
      </w:r>
      <w:r>
        <w:fldChar w:fldCharType="begin"/>
      </w:r>
      <w:r>
        <w:instrText xml:space="preserve"> PAGEREF _Toc161636779 \h </w:instrText>
      </w:r>
      <w:r>
        <w:fldChar w:fldCharType="separate"/>
      </w:r>
      <w:r w:rsidR="00AA7BA7">
        <w:t>29</w:t>
      </w:r>
      <w:r>
        <w:fldChar w:fldCharType="end"/>
      </w:r>
    </w:p>
    <w:p w:rsidR="00AF2508" w:rsidRDefault="00AF2508">
      <w:pPr>
        <w:pStyle w:val="TOC4"/>
        <w:rPr>
          <w:rFonts w:ascii="Times New Roman" w:hAnsi="Times New Roman"/>
          <w:b w:val="0"/>
          <w:sz w:val="24"/>
          <w:szCs w:val="24"/>
        </w:rPr>
      </w:pPr>
      <w:r>
        <w:rPr>
          <w:szCs w:val="26"/>
        </w:rPr>
        <w:t>Provision for maintenance</w:t>
      </w:r>
    </w:p>
    <w:p w:rsidR="00AF2508" w:rsidRDefault="00AF2508">
      <w:pPr>
        <w:pStyle w:val="TOC5"/>
        <w:rPr>
          <w:rFonts w:ascii="Times New Roman" w:hAnsi="Times New Roman"/>
          <w:sz w:val="24"/>
          <w:szCs w:val="24"/>
        </w:rPr>
      </w:pPr>
      <w:r>
        <w:rPr>
          <w:szCs w:val="24"/>
        </w:rPr>
        <w:tab/>
        <w:t>64</w:t>
      </w:r>
      <w:r>
        <w:tab/>
      </w:r>
      <w:r>
        <w:tab/>
      </w:r>
      <w:r>
        <w:fldChar w:fldCharType="begin"/>
      </w:r>
      <w:r>
        <w:instrText xml:space="preserve"> PAGEREF _Toc161636781 \h </w:instrText>
      </w:r>
      <w:r>
        <w:fldChar w:fldCharType="separate"/>
      </w:r>
      <w:r w:rsidR="00AA7BA7">
        <w:t>30</w:t>
      </w:r>
      <w:r>
        <w:fldChar w:fldCharType="end"/>
      </w:r>
    </w:p>
    <w:p w:rsidR="00AF2508" w:rsidRDefault="00AF2508">
      <w:pPr>
        <w:pStyle w:val="TOC4"/>
        <w:rPr>
          <w:rFonts w:ascii="Times New Roman" w:hAnsi="Times New Roman"/>
          <w:b w:val="0"/>
          <w:sz w:val="24"/>
          <w:szCs w:val="24"/>
        </w:rPr>
      </w:pPr>
      <w:r>
        <w:rPr>
          <w:szCs w:val="26"/>
        </w:rPr>
        <w:t>No persons permitted to travel</w:t>
      </w:r>
    </w:p>
    <w:p w:rsidR="00AF2508" w:rsidRDefault="00AF2508">
      <w:pPr>
        <w:pStyle w:val="TOC5"/>
        <w:rPr>
          <w:rFonts w:ascii="Times New Roman" w:hAnsi="Times New Roman"/>
          <w:sz w:val="24"/>
          <w:szCs w:val="24"/>
        </w:rPr>
      </w:pPr>
      <w:r>
        <w:rPr>
          <w:szCs w:val="24"/>
        </w:rPr>
        <w:tab/>
        <w:t>65</w:t>
      </w:r>
      <w:r>
        <w:tab/>
      </w:r>
      <w:r>
        <w:tab/>
      </w:r>
      <w:r>
        <w:fldChar w:fldCharType="begin"/>
      </w:r>
      <w:r>
        <w:instrText xml:space="preserve"> PAGEREF _Toc161636783 \h </w:instrText>
      </w:r>
      <w:r>
        <w:fldChar w:fldCharType="separate"/>
      </w:r>
      <w:r w:rsidR="00AA7BA7">
        <w:t>30</w:t>
      </w:r>
      <w:r>
        <w:fldChar w:fldCharType="end"/>
      </w:r>
    </w:p>
    <w:p w:rsidR="00AF2508" w:rsidRDefault="00AF2508">
      <w:pPr>
        <w:pStyle w:val="TOC4"/>
        <w:rPr>
          <w:rFonts w:ascii="Times New Roman" w:hAnsi="Times New Roman"/>
          <w:b w:val="0"/>
          <w:sz w:val="24"/>
          <w:szCs w:val="24"/>
        </w:rPr>
      </w:pPr>
      <w:r>
        <w:rPr>
          <w:szCs w:val="26"/>
        </w:rPr>
        <w:t>Load notice</w:t>
      </w:r>
    </w:p>
    <w:p w:rsidR="00AF2508" w:rsidRDefault="00AF2508">
      <w:pPr>
        <w:pStyle w:val="TOC5"/>
        <w:rPr>
          <w:rFonts w:ascii="Times New Roman" w:hAnsi="Times New Roman"/>
          <w:sz w:val="24"/>
          <w:szCs w:val="24"/>
        </w:rPr>
      </w:pPr>
      <w:r>
        <w:rPr>
          <w:szCs w:val="24"/>
        </w:rPr>
        <w:tab/>
        <w:t>66</w:t>
      </w:r>
      <w:r>
        <w:tab/>
      </w:r>
      <w:r>
        <w:tab/>
      </w:r>
      <w:r>
        <w:fldChar w:fldCharType="begin"/>
      </w:r>
      <w:r>
        <w:instrText xml:space="preserve"> PAGEREF _Toc161636785 \h </w:instrText>
      </w:r>
      <w:r>
        <w:fldChar w:fldCharType="separate"/>
      </w:r>
      <w:r w:rsidR="00AA7BA7">
        <w:t>30</w:t>
      </w:r>
      <w:r>
        <w:fldChar w:fldCharType="end"/>
      </w:r>
    </w:p>
    <w:p w:rsidR="00AF2508" w:rsidRDefault="00AF2508">
      <w:pPr>
        <w:pStyle w:val="TOC3"/>
        <w:rPr>
          <w:rFonts w:ascii="Times New Roman" w:hAnsi="Times New Roman"/>
          <w:b w:val="0"/>
          <w:sz w:val="24"/>
          <w:szCs w:val="24"/>
        </w:rPr>
      </w:pPr>
      <w:r>
        <w:t>Division 4.3</w:t>
      </w:r>
      <w:r>
        <w:rPr>
          <w:rFonts w:ascii="Times New Roman" w:hAnsi="Times New Roman"/>
          <w:b w:val="0"/>
          <w:sz w:val="24"/>
          <w:szCs w:val="24"/>
        </w:rPr>
        <w:tab/>
      </w:r>
      <w:r>
        <w:t>Maintenance of lifts</w:t>
      </w:r>
    </w:p>
    <w:p w:rsidR="00AF2508" w:rsidRDefault="00AF2508">
      <w:pPr>
        <w:pStyle w:val="TOC5"/>
        <w:rPr>
          <w:rFonts w:ascii="Times New Roman" w:hAnsi="Times New Roman"/>
          <w:sz w:val="24"/>
          <w:szCs w:val="24"/>
        </w:rPr>
      </w:pPr>
      <w:r>
        <w:rPr>
          <w:szCs w:val="24"/>
        </w:rPr>
        <w:tab/>
        <w:t>67</w:t>
      </w:r>
      <w:r>
        <w:tab/>
      </w:r>
      <w:r>
        <w:tab/>
      </w:r>
      <w:r>
        <w:fldChar w:fldCharType="begin"/>
      </w:r>
      <w:r>
        <w:instrText xml:space="preserve"> PAGEREF _Toc161636787 \h </w:instrText>
      </w:r>
      <w:r>
        <w:fldChar w:fldCharType="separate"/>
      </w:r>
      <w:r w:rsidR="00AA7BA7">
        <w:t>30</w:t>
      </w:r>
      <w:r>
        <w:fldChar w:fldCharType="end"/>
      </w:r>
    </w:p>
    <w:p w:rsidR="00AF2508" w:rsidRDefault="00AF2508">
      <w:pPr>
        <w:pStyle w:val="TOC3"/>
        <w:rPr>
          <w:rFonts w:ascii="Times New Roman" w:hAnsi="Times New Roman"/>
          <w:b w:val="0"/>
          <w:sz w:val="24"/>
          <w:szCs w:val="24"/>
        </w:rPr>
      </w:pPr>
      <w:r>
        <w:t>Division 4.4</w:t>
      </w:r>
      <w:r>
        <w:rPr>
          <w:rFonts w:ascii="Times New Roman" w:hAnsi="Times New Roman"/>
          <w:b w:val="0"/>
          <w:sz w:val="24"/>
          <w:szCs w:val="24"/>
        </w:rPr>
        <w:tab/>
      </w:r>
      <w:r>
        <w:t>Use of lifts</w:t>
      </w:r>
    </w:p>
    <w:p w:rsidR="00AF2508" w:rsidRDefault="00AF2508">
      <w:pPr>
        <w:pStyle w:val="TOC5"/>
        <w:rPr>
          <w:rFonts w:ascii="Times New Roman" w:hAnsi="Times New Roman"/>
          <w:sz w:val="24"/>
          <w:szCs w:val="24"/>
        </w:rPr>
      </w:pPr>
      <w:r>
        <w:rPr>
          <w:szCs w:val="24"/>
        </w:rPr>
        <w:tab/>
        <w:t>68</w:t>
      </w:r>
      <w:r>
        <w:tab/>
      </w:r>
      <w:r>
        <w:tab/>
      </w:r>
      <w:r>
        <w:fldChar w:fldCharType="begin"/>
      </w:r>
      <w:r>
        <w:instrText xml:space="preserve"> PAGEREF _Toc161636789 \h </w:instrText>
      </w:r>
      <w:r>
        <w:fldChar w:fldCharType="separate"/>
      </w:r>
      <w:r w:rsidR="00AA7BA7">
        <w:t>32</w:t>
      </w:r>
      <w:r>
        <w:fldChar w:fldCharType="end"/>
      </w:r>
    </w:p>
    <w:p w:rsidR="00AF2508" w:rsidRDefault="00AF2508">
      <w:pPr>
        <w:pStyle w:val="TOC4"/>
        <w:rPr>
          <w:rFonts w:ascii="Times New Roman" w:hAnsi="Times New Roman"/>
          <w:b w:val="0"/>
          <w:sz w:val="24"/>
          <w:szCs w:val="24"/>
        </w:rPr>
      </w:pPr>
      <w:r>
        <w:rPr>
          <w:szCs w:val="26"/>
        </w:rPr>
        <w:t>Change of ownership</w:t>
      </w:r>
    </w:p>
    <w:p w:rsidR="00AF2508" w:rsidRDefault="00AF2508">
      <w:pPr>
        <w:pStyle w:val="TOC5"/>
        <w:rPr>
          <w:rFonts w:ascii="Times New Roman" w:hAnsi="Times New Roman"/>
          <w:sz w:val="24"/>
          <w:szCs w:val="24"/>
        </w:rPr>
      </w:pPr>
      <w:r>
        <w:rPr>
          <w:szCs w:val="24"/>
        </w:rPr>
        <w:tab/>
        <w:t>69</w:t>
      </w:r>
      <w:r>
        <w:tab/>
      </w:r>
      <w:r>
        <w:tab/>
      </w:r>
      <w:r>
        <w:fldChar w:fldCharType="begin"/>
      </w:r>
      <w:r>
        <w:instrText xml:space="preserve"> PAGEREF _Toc161636791 \h </w:instrText>
      </w:r>
      <w:r>
        <w:fldChar w:fldCharType="separate"/>
      </w:r>
      <w:r w:rsidR="00AA7BA7">
        <w:t>32</w:t>
      </w:r>
      <w:r>
        <w:fldChar w:fldCharType="end"/>
      </w:r>
    </w:p>
    <w:p w:rsidR="00AF2508" w:rsidRDefault="00AF2508">
      <w:pPr>
        <w:pStyle w:val="TOC5"/>
        <w:rPr>
          <w:rFonts w:ascii="Times New Roman" w:hAnsi="Times New Roman"/>
          <w:sz w:val="24"/>
          <w:szCs w:val="24"/>
        </w:rPr>
      </w:pPr>
      <w:r>
        <w:rPr>
          <w:szCs w:val="24"/>
        </w:rPr>
        <w:tab/>
        <w:t>70</w:t>
      </w:r>
      <w:r>
        <w:tab/>
      </w:r>
      <w:r>
        <w:tab/>
      </w:r>
      <w:r>
        <w:fldChar w:fldCharType="begin"/>
      </w:r>
      <w:r>
        <w:instrText xml:space="preserve"> PAGEREF _Toc161636792 \h </w:instrText>
      </w:r>
      <w:r>
        <w:fldChar w:fldCharType="separate"/>
      </w:r>
      <w:r w:rsidR="00AA7BA7">
        <w:t>33</w:t>
      </w:r>
      <w:r>
        <w:fldChar w:fldCharType="end"/>
      </w:r>
    </w:p>
    <w:p w:rsidR="00AF2508" w:rsidRDefault="00AF2508">
      <w:pPr>
        <w:pStyle w:val="TOC5"/>
        <w:rPr>
          <w:rFonts w:ascii="Times New Roman" w:hAnsi="Times New Roman"/>
          <w:sz w:val="24"/>
          <w:szCs w:val="24"/>
        </w:rPr>
      </w:pPr>
      <w:r>
        <w:rPr>
          <w:szCs w:val="24"/>
        </w:rPr>
        <w:tab/>
        <w:t>71</w:t>
      </w:r>
      <w:r>
        <w:tab/>
      </w:r>
      <w:r>
        <w:tab/>
      </w:r>
      <w:r>
        <w:fldChar w:fldCharType="begin"/>
      </w:r>
      <w:r>
        <w:instrText xml:space="preserve"> PAGEREF _Toc161636793 \h </w:instrText>
      </w:r>
      <w:r>
        <w:fldChar w:fldCharType="separate"/>
      </w:r>
      <w:r w:rsidR="00AA7BA7">
        <w:t>33</w:t>
      </w:r>
      <w:r>
        <w:fldChar w:fldCharType="end"/>
      </w:r>
    </w:p>
    <w:p w:rsidR="00AF2508" w:rsidRDefault="00AF2508">
      <w:pPr>
        <w:pStyle w:val="TOC5"/>
        <w:rPr>
          <w:rFonts w:ascii="Times New Roman" w:hAnsi="Times New Roman"/>
          <w:sz w:val="24"/>
          <w:szCs w:val="24"/>
        </w:rPr>
      </w:pPr>
      <w:r>
        <w:rPr>
          <w:szCs w:val="24"/>
        </w:rPr>
        <w:tab/>
        <w:t>72</w:t>
      </w:r>
      <w:r>
        <w:tab/>
      </w:r>
      <w:r>
        <w:tab/>
      </w:r>
      <w:r>
        <w:fldChar w:fldCharType="begin"/>
      </w:r>
      <w:r>
        <w:instrText xml:space="preserve"> PAGEREF _Toc161636794 \h </w:instrText>
      </w:r>
      <w:r>
        <w:fldChar w:fldCharType="separate"/>
      </w:r>
      <w:r w:rsidR="00AA7BA7">
        <w:t>33</w:t>
      </w:r>
      <w:r>
        <w:fldChar w:fldCharType="end"/>
      </w:r>
    </w:p>
    <w:p w:rsidR="00AF2508" w:rsidRDefault="00AF2508">
      <w:pPr>
        <w:pStyle w:val="TOC2"/>
        <w:rPr>
          <w:rFonts w:ascii="Times New Roman" w:hAnsi="Times New Roman"/>
          <w:b w:val="0"/>
          <w:szCs w:val="24"/>
        </w:rPr>
      </w:pPr>
      <w:r>
        <w:t>Part 5</w:t>
      </w:r>
      <w:r>
        <w:rPr>
          <w:rFonts w:ascii="Times New Roman" w:hAnsi="Times New Roman"/>
          <w:b w:val="0"/>
          <w:szCs w:val="24"/>
        </w:rPr>
        <w:tab/>
      </w:r>
      <w:r>
        <w:t>Safeguards and measures to be taken for securing the safety and health of persons engaged in building work</w:t>
      </w:r>
    </w:p>
    <w:p w:rsidR="00AF2508" w:rsidRDefault="00AF2508">
      <w:pPr>
        <w:pStyle w:val="TOC3"/>
        <w:rPr>
          <w:rFonts w:ascii="Times New Roman" w:hAnsi="Times New Roman"/>
          <w:b w:val="0"/>
          <w:sz w:val="24"/>
          <w:szCs w:val="24"/>
        </w:rPr>
      </w:pPr>
      <w:r>
        <w:t>Division 5.1</w:t>
      </w:r>
      <w:r>
        <w:rPr>
          <w:rFonts w:ascii="Times New Roman" w:hAnsi="Times New Roman"/>
          <w:b w:val="0"/>
          <w:sz w:val="24"/>
          <w:szCs w:val="24"/>
        </w:rPr>
        <w:tab/>
      </w:r>
      <w:r>
        <w:t>General</w:t>
      </w:r>
    </w:p>
    <w:p w:rsidR="00AF2508" w:rsidRDefault="00AF2508">
      <w:pPr>
        <w:pStyle w:val="TOC5"/>
        <w:rPr>
          <w:rFonts w:ascii="Times New Roman" w:hAnsi="Times New Roman"/>
          <w:sz w:val="24"/>
          <w:szCs w:val="24"/>
        </w:rPr>
      </w:pPr>
      <w:r>
        <w:rPr>
          <w:szCs w:val="24"/>
        </w:rPr>
        <w:tab/>
        <w:t>73</w:t>
      </w:r>
      <w:r>
        <w:tab/>
      </w:r>
      <w:r>
        <w:tab/>
      </w:r>
      <w:r>
        <w:fldChar w:fldCharType="begin"/>
      </w:r>
      <w:r>
        <w:instrText xml:space="preserve"> PAGEREF _Toc161636797 \h </w:instrText>
      </w:r>
      <w:r>
        <w:fldChar w:fldCharType="separate"/>
      </w:r>
      <w:r w:rsidR="00AA7BA7">
        <w:t>34</w:t>
      </w:r>
      <w:r>
        <w:fldChar w:fldCharType="end"/>
      </w:r>
    </w:p>
    <w:p w:rsidR="00AF2508" w:rsidRDefault="00AF2508">
      <w:pPr>
        <w:pStyle w:val="TOC5"/>
        <w:rPr>
          <w:rFonts w:ascii="Times New Roman" w:hAnsi="Times New Roman"/>
          <w:sz w:val="24"/>
          <w:szCs w:val="24"/>
        </w:rPr>
      </w:pPr>
      <w:r>
        <w:rPr>
          <w:szCs w:val="24"/>
        </w:rPr>
        <w:tab/>
        <w:t>74</w:t>
      </w:r>
      <w:r>
        <w:tab/>
      </w:r>
      <w:r>
        <w:tab/>
      </w:r>
      <w:r>
        <w:fldChar w:fldCharType="begin"/>
      </w:r>
      <w:r>
        <w:instrText xml:space="preserve"> PAGEREF _Toc161636798 \h </w:instrText>
      </w:r>
      <w:r>
        <w:fldChar w:fldCharType="separate"/>
      </w:r>
      <w:r w:rsidR="00AA7BA7">
        <w:t>38</w:t>
      </w:r>
      <w:r>
        <w:fldChar w:fldCharType="end"/>
      </w:r>
    </w:p>
    <w:p w:rsidR="00AF2508" w:rsidRDefault="00AF2508">
      <w:pPr>
        <w:pStyle w:val="TOC4"/>
        <w:rPr>
          <w:rFonts w:ascii="Times New Roman" w:hAnsi="Times New Roman"/>
          <w:b w:val="0"/>
          <w:sz w:val="24"/>
          <w:szCs w:val="24"/>
        </w:rPr>
      </w:pPr>
      <w:r>
        <w:t>Fencing of floors, landings, stairways and the like</w:t>
      </w:r>
    </w:p>
    <w:p w:rsidR="00AF2508" w:rsidRDefault="00AF2508">
      <w:pPr>
        <w:pStyle w:val="TOC5"/>
        <w:rPr>
          <w:rFonts w:ascii="Times New Roman" w:hAnsi="Times New Roman"/>
          <w:sz w:val="24"/>
          <w:szCs w:val="24"/>
        </w:rPr>
      </w:pPr>
      <w:r>
        <w:rPr>
          <w:szCs w:val="24"/>
        </w:rPr>
        <w:tab/>
        <w:t>75</w:t>
      </w:r>
      <w:r>
        <w:tab/>
      </w:r>
      <w:r>
        <w:tab/>
      </w:r>
      <w:r>
        <w:fldChar w:fldCharType="begin"/>
      </w:r>
      <w:r>
        <w:instrText xml:space="preserve"> PAGEREF _Toc161636800 \h </w:instrText>
      </w:r>
      <w:r>
        <w:fldChar w:fldCharType="separate"/>
      </w:r>
      <w:r w:rsidR="00AA7BA7">
        <w:t>39</w:t>
      </w:r>
      <w:r>
        <w:fldChar w:fldCharType="end"/>
      </w:r>
    </w:p>
    <w:p w:rsidR="00AF2508" w:rsidRDefault="00AF2508">
      <w:pPr>
        <w:pStyle w:val="TOC3"/>
        <w:rPr>
          <w:rFonts w:ascii="Times New Roman" w:hAnsi="Times New Roman"/>
          <w:b w:val="0"/>
          <w:sz w:val="24"/>
          <w:szCs w:val="24"/>
        </w:rPr>
      </w:pPr>
      <w:r>
        <w:t>Division 5.2</w:t>
      </w:r>
      <w:r>
        <w:rPr>
          <w:rFonts w:ascii="Times New Roman" w:hAnsi="Times New Roman"/>
          <w:b w:val="0"/>
          <w:sz w:val="24"/>
          <w:szCs w:val="24"/>
        </w:rPr>
        <w:tab/>
      </w:r>
      <w:r>
        <w:t>Constructing, erecting, adding to, altering, repairing, finishing, painting and cleaning buildings and structures</w:t>
      </w:r>
    </w:p>
    <w:p w:rsidR="00AF2508" w:rsidRDefault="00AF2508">
      <w:pPr>
        <w:pStyle w:val="TOC4"/>
        <w:rPr>
          <w:rFonts w:ascii="Times New Roman" w:hAnsi="Times New Roman"/>
          <w:b w:val="0"/>
          <w:sz w:val="24"/>
          <w:szCs w:val="24"/>
        </w:rPr>
      </w:pPr>
      <w:r>
        <w:rPr>
          <w:szCs w:val="26"/>
        </w:rPr>
        <w:t>Stability of walls</w:t>
      </w:r>
    </w:p>
    <w:p w:rsidR="00AF2508" w:rsidRDefault="00AF2508">
      <w:pPr>
        <w:pStyle w:val="TOC5"/>
        <w:rPr>
          <w:rFonts w:ascii="Times New Roman" w:hAnsi="Times New Roman"/>
          <w:sz w:val="24"/>
          <w:szCs w:val="24"/>
        </w:rPr>
      </w:pPr>
      <w:r>
        <w:rPr>
          <w:szCs w:val="24"/>
        </w:rPr>
        <w:tab/>
        <w:t>77</w:t>
      </w:r>
      <w:r>
        <w:tab/>
      </w:r>
      <w:r>
        <w:tab/>
      </w:r>
      <w:r>
        <w:fldChar w:fldCharType="begin"/>
      </w:r>
      <w:r>
        <w:instrText xml:space="preserve"> PAGEREF _Toc161636803 \h </w:instrText>
      </w:r>
      <w:r>
        <w:fldChar w:fldCharType="separate"/>
      </w:r>
      <w:r w:rsidR="00AA7BA7">
        <w:t>40</w:t>
      </w:r>
      <w:r>
        <w:fldChar w:fldCharType="end"/>
      </w:r>
    </w:p>
    <w:p w:rsidR="00AF2508" w:rsidRDefault="00AF2508">
      <w:pPr>
        <w:pStyle w:val="TOC4"/>
        <w:rPr>
          <w:rFonts w:ascii="Times New Roman" w:hAnsi="Times New Roman"/>
          <w:b w:val="0"/>
          <w:sz w:val="24"/>
          <w:szCs w:val="24"/>
        </w:rPr>
      </w:pPr>
      <w:r>
        <w:t>Protection in liftwells and stairwells</w:t>
      </w:r>
    </w:p>
    <w:p w:rsidR="00AF2508" w:rsidRDefault="00AF2508">
      <w:pPr>
        <w:pStyle w:val="TOC5"/>
        <w:rPr>
          <w:rFonts w:ascii="Times New Roman" w:hAnsi="Times New Roman"/>
          <w:sz w:val="24"/>
          <w:szCs w:val="24"/>
        </w:rPr>
      </w:pPr>
      <w:r>
        <w:rPr>
          <w:szCs w:val="24"/>
        </w:rPr>
        <w:tab/>
        <w:t>78</w:t>
      </w:r>
      <w:r>
        <w:tab/>
      </w:r>
      <w:r>
        <w:tab/>
      </w:r>
      <w:r>
        <w:fldChar w:fldCharType="begin"/>
      </w:r>
      <w:r>
        <w:instrText xml:space="preserve"> PAGEREF _Toc161636805 \h </w:instrText>
      </w:r>
      <w:r>
        <w:fldChar w:fldCharType="separate"/>
      </w:r>
      <w:r w:rsidR="00AA7BA7">
        <w:t>40</w:t>
      </w:r>
      <w:r>
        <w:fldChar w:fldCharType="end"/>
      </w:r>
    </w:p>
    <w:p w:rsidR="00AF2508" w:rsidRDefault="00AF2508">
      <w:pPr>
        <w:pStyle w:val="TOC4"/>
        <w:rPr>
          <w:rFonts w:ascii="Times New Roman" w:hAnsi="Times New Roman"/>
          <w:b w:val="0"/>
          <w:sz w:val="24"/>
          <w:szCs w:val="24"/>
        </w:rPr>
      </w:pPr>
      <w:r>
        <w:rPr>
          <w:szCs w:val="26"/>
        </w:rPr>
        <w:t>Temporary ramps</w:t>
      </w:r>
    </w:p>
    <w:p w:rsidR="00AF2508" w:rsidRDefault="00AF2508">
      <w:pPr>
        <w:pStyle w:val="TOC5"/>
        <w:rPr>
          <w:rFonts w:ascii="Times New Roman" w:hAnsi="Times New Roman"/>
          <w:sz w:val="24"/>
          <w:szCs w:val="24"/>
        </w:rPr>
      </w:pPr>
      <w:r>
        <w:rPr>
          <w:szCs w:val="24"/>
        </w:rPr>
        <w:tab/>
        <w:t>79</w:t>
      </w:r>
      <w:r>
        <w:tab/>
      </w:r>
      <w:r>
        <w:tab/>
      </w:r>
      <w:r>
        <w:fldChar w:fldCharType="begin"/>
      </w:r>
      <w:r>
        <w:instrText xml:space="preserve"> PAGEREF _Toc161636807 \h </w:instrText>
      </w:r>
      <w:r>
        <w:fldChar w:fldCharType="separate"/>
      </w:r>
      <w:r w:rsidR="00AA7BA7">
        <w:t>40</w:t>
      </w:r>
      <w:r>
        <w:fldChar w:fldCharType="end"/>
      </w:r>
    </w:p>
    <w:p w:rsidR="00AF2508" w:rsidRDefault="00AF2508">
      <w:pPr>
        <w:pStyle w:val="TOC4"/>
        <w:rPr>
          <w:rFonts w:ascii="Times New Roman" w:hAnsi="Times New Roman"/>
          <w:b w:val="0"/>
          <w:sz w:val="24"/>
          <w:szCs w:val="24"/>
        </w:rPr>
      </w:pPr>
      <w:r>
        <w:t>Provision and use of ladders and stepladders</w:t>
      </w:r>
    </w:p>
    <w:p w:rsidR="00AF2508" w:rsidRDefault="00AF2508">
      <w:pPr>
        <w:pStyle w:val="TOC5"/>
        <w:rPr>
          <w:rFonts w:ascii="Times New Roman" w:hAnsi="Times New Roman"/>
          <w:sz w:val="24"/>
          <w:szCs w:val="24"/>
        </w:rPr>
      </w:pPr>
      <w:r>
        <w:rPr>
          <w:szCs w:val="24"/>
        </w:rPr>
        <w:tab/>
        <w:t>80</w:t>
      </w:r>
      <w:r>
        <w:tab/>
      </w:r>
      <w:r>
        <w:tab/>
      </w:r>
      <w:r>
        <w:fldChar w:fldCharType="begin"/>
      </w:r>
      <w:r>
        <w:instrText xml:space="preserve"> PAGEREF _Toc161636809 \h </w:instrText>
      </w:r>
      <w:r>
        <w:fldChar w:fldCharType="separate"/>
      </w:r>
      <w:r w:rsidR="00AA7BA7">
        <w:t>41</w:t>
      </w:r>
      <w:r>
        <w:fldChar w:fldCharType="end"/>
      </w:r>
    </w:p>
    <w:p w:rsidR="00AF2508" w:rsidRDefault="00AF2508">
      <w:pPr>
        <w:pStyle w:val="TOC4"/>
        <w:rPr>
          <w:rFonts w:ascii="Times New Roman" w:hAnsi="Times New Roman"/>
          <w:b w:val="0"/>
          <w:sz w:val="24"/>
          <w:szCs w:val="24"/>
        </w:rPr>
      </w:pPr>
      <w:r>
        <w:t>Cleaning and maintenance of roof monitors, gutters, windows, louvres and ventilators</w:t>
      </w:r>
    </w:p>
    <w:p w:rsidR="00AF2508" w:rsidRDefault="00AF2508">
      <w:pPr>
        <w:pStyle w:val="TOC5"/>
        <w:rPr>
          <w:rFonts w:ascii="Times New Roman" w:hAnsi="Times New Roman"/>
          <w:sz w:val="24"/>
          <w:szCs w:val="24"/>
        </w:rPr>
      </w:pPr>
      <w:r>
        <w:rPr>
          <w:szCs w:val="24"/>
        </w:rPr>
        <w:tab/>
        <w:t>81</w:t>
      </w:r>
      <w:r>
        <w:tab/>
      </w:r>
      <w:r>
        <w:tab/>
      </w:r>
      <w:r>
        <w:fldChar w:fldCharType="begin"/>
      </w:r>
      <w:r>
        <w:instrText xml:space="preserve"> PAGEREF _Toc161636811 \h </w:instrText>
      </w:r>
      <w:r>
        <w:fldChar w:fldCharType="separate"/>
      </w:r>
      <w:r w:rsidR="00AA7BA7">
        <w:t>45</w:t>
      </w:r>
      <w:r>
        <w:fldChar w:fldCharType="end"/>
      </w:r>
    </w:p>
    <w:p w:rsidR="00AF2508" w:rsidRDefault="00AF2508">
      <w:pPr>
        <w:pStyle w:val="TOC4"/>
        <w:rPr>
          <w:rFonts w:ascii="Times New Roman" w:hAnsi="Times New Roman"/>
          <w:b w:val="0"/>
          <w:sz w:val="24"/>
          <w:szCs w:val="24"/>
        </w:rPr>
      </w:pPr>
      <w:r>
        <w:rPr>
          <w:szCs w:val="26"/>
        </w:rPr>
        <w:t>Window cleaning</w:t>
      </w:r>
    </w:p>
    <w:p w:rsidR="00AF2508" w:rsidRDefault="00AF2508">
      <w:pPr>
        <w:pStyle w:val="TOC5"/>
        <w:rPr>
          <w:rFonts w:ascii="Times New Roman" w:hAnsi="Times New Roman"/>
          <w:sz w:val="24"/>
          <w:szCs w:val="24"/>
        </w:rPr>
      </w:pPr>
      <w:r>
        <w:rPr>
          <w:szCs w:val="24"/>
        </w:rPr>
        <w:tab/>
        <w:t>82</w:t>
      </w:r>
      <w:r>
        <w:tab/>
      </w:r>
      <w:r>
        <w:tab/>
      </w:r>
      <w:r>
        <w:fldChar w:fldCharType="begin"/>
      </w:r>
      <w:r>
        <w:instrText xml:space="preserve"> PAGEREF _Toc161636813 \h </w:instrText>
      </w:r>
      <w:r>
        <w:fldChar w:fldCharType="separate"/>
      </w:r>
      <w:r w:rsidR="00AA7BA7">
        <w:t>46</w:t>
      </w:r>
      <w:r>
        <w:fldChar w:fldCharType="end"/>
      </w:r>
    </w:p>
    <w:p w:rsidR="00AF2508" w:rsidRDefault="00AF2508">
      <w:pPr>
        <w:pStyle w:val="TOC4"/>
        <w:rPr>
          <w:rFonts w:ascii="Times New Roman" w:hAnsi="Times New Roman"/>
          <w:b w:val="0"/>
          <w:sz w:val="24"/>
          <w:szCs w:val="24"/>
        </w:rPr>
      </w:pPr>
      <w:r>
        <w:rPr>
          <w:szCs w:val="26"/>
        </w:rPr>
        <w:t>Spray painting</w:t>
      </w:r>
    </w:p>
    <w:p w:rsidR="00AF2508" w:rsidRDefault="00AF2508">
      <w:pPr>
        <w:pStyle w:val="TOC5"/>
        <w:rPr>
          <w:rFonts w:ascii="Times New Roman" w:hAnsi="Times New Roman"/>
          <w:sz w:val="24"/>
          <w:szCs w:val="24"/>
        </w:rPr>
      </w:pPr>
      <w:r>
        <w:rPr>
          <w:szCs w:val="24"/>
        </w:rPr>
        <w:tab/>
        <w:t>83</w:t>
      </w:r>
      <w:r>
        <w:tab/>
      </w:r>
      <w:r>
        <w:tab/>
      </w:r>
      <w:r>
        <w:fldChar w:fldCharType="begin"/>
      </w:r>
      <w:r>
        <w:instrText xml:space="preserve"> PAGEREF _Toc161636815 \h </w:instrText>
      </w:r>
      <w:r>
        <w:fldChar w:fldCharType="separate"/>
      </w:r>
      <w:r w:rsidR="00AA7BA7">
        <w:t>60</w:t>
      </w:r>
      <w:r>
        <w:fldChar w:fldCharType="end"/>
      </w:r>
    </w:p>
    <w:p w:rsidR="00AF2508" w:rsidRDefault="00AF2508">
      <w:pPr>
        <w:pStyle w:val="TOC3"/>
        <w:rPr>
          <w:rFonts w:ascii="Times New Roman" w:hAnsi="Times New Roman"/>
          <w:b w:val="0"/>
          <w:sz w:val="24"/>
          <w:szCs w:val="24"/>
        </w:rPr>
      </w:pPr>
      <w:r>
        <w:t>Division 5.3</w:t>
      </w:r>
      <w:r>
        <w:rPr>
          <w:rFonts w:ascii="Times New Roman" w:hAnsi="Times New Roman"/>
          <w:b w:val="0"/>
          <w:sz w:val="24"/>
          <w:szCs w:val="24"/>
        </w:rPr>
        <w:tab/>
      </w:r>
      <w:r>
        <w:t>Demolition of buildings and structures</w:t>
      </w:r>
    </w:p>
    <w:p w:rsidR="00AF2508" w:rsidRDefault="00AF2508">
      <w:pPr>
        <w:pStyle w:val="TOC5"/>
        <w:rPr>
          <w:rFonts w:ascii="Times New Roman" w:hAnsi="Times New Roman"/>
          <w:sz w:val="24"/>
          <w:szCs w:val="24"/>
        </w:rPr>
      </w:pPr>
      <w:r>
        <w:rPr>
          <w:szCs w:val="24"/>
        </w:rPr>
        <w:tab/>
        <w:t>84</w:t>
      </w:r>
      <w:r>
        <w:tab/>
      </w:r>
      <w:r>
        <w:tab/>
      </w:r>
      <w:r>
        <w:fldChar w:fldCharType="begin"/>
      </w:r>
      <w:r>
        <w:instrText xml:space="preserve"> PAGEREF _Toc161636817 \h </w:instrText>
      </w:r>
      <w:r>
        <w:fldChar w:fldCharType="separate"/>
      </w:r>
      <w:r w:rsidR="00AA7BA7">
        <w:t>66</w:t>
      </w:r>
      <w:r>
        <w:fldChar w:fldCharType="end"/>
      </w:r>
    </w:p>
    <w:p w:rsidR="00AF2508" w:rsidRDefault="00AF2508">
      <w:pPr>
        <w:pStyle w:val="TOC2"/>
        <w:rPr>
          <w:rFonts w:ascii="Times New Roman" w:hAnsi="Times New Roman"/>
          <w:b w:val="0"/>
          <w:szCs w:val="24"/>
        </w:rPr>
      </w:pPr>
      <w:r>
        <w:t>Part 6</w:t>
      </w:r>
      <w:r>
        <w:rPr>
          <w:rFonts w:ascii="Times New Roman" w:hAnsi="Times New Roman"/>
          <w:b w:val="0"/>
          <w:szCs w:val="24"/>
        </w:rPr>
        <w:tab/>
      </w:r>
      <w:r>
        <w:t>The proper design, construction, erection and use of scaffolding</w:t>
      </w:r>
    </w:p>
    <w:p w:rsidR="00AF2508" w:rsidRDefault="00AF2508">
      <w:pPr>
        <w:pStyle w:val="TOC5"/>
        <w:rPr>
          <w:rFonts w:ascii="Times New Roman" w:hAnsi="Times New Roman"/>
          <w:sz w:val="24"/>
          <w:szCs w:val="24"/>
        </w:rPr>
      </w:pPr>
      <w:r>
        <w:rPr>
          <w:szCs w:val="24"/>
        </w:rPr>
        <w:tab/>
        <w:t>85</w:t>
      </w:r>
      <w:r>
        <w:rPr>
          <w:rFonts w:ascii="Times New Roman" w:hAnsi="Times New Roman"/>
          <w:sz w:val="24"/>
          <w:szCs w:val="24"/>
        </w:rPr>
        <w:tab/>
      </w:r>
      <w:r>
        <w:rPr>
          <w:szCs w:val="24"/>
        </w:rPr>
        <w:t>Definitions for pt 6</w:t>
      </w:r>
      <w:r>
        <w:tab/>
      </w:r>
      <w:r>
        <w:fldChar w:fldCharType="begin"/>
      </w:r>
      <w:r>
        <w:instrText xml:space="preserve"> PAGEREF _Toc161636819 \h </w:instrText>
      </w:r>
      <w:r>
        <w:fldChar w:fldCharType="separate"/>
      </w:r>
      <w:r w:rsidR="00AA7BA7">
        <w:t>69</w:t>
      </w:r>
      <w:r>
        <w:fldChar w:fldCharType="end"/>
      </w:r>
    </w:p>
    <w:p w:rsidR="00AF2508" w:rsidRDefault="00AF2508">
      <w:pPr>
        <w:pStyle w:val="TOC3"/>
        <w:rPr>
          <w:rFonts w:ascii="Times New Roman" w:hAnsi="Times New Roman"/>
          <w:b w:val="0"/>
          <w:sz w:val="24"/>
          <w:szCs w:val="24"/>
        </w:rPr>
      </w:pPr>
      <w:r>
        <w:rPr>
          <w:szCs w:val="28"/>
        </w:rPr>
        <w:t>General</w:t>
      </w:r>
    </w:p>
    <w:p w:rsidR="00AF2508" w:rsidRDefault="00AF2508">
      <w:pPr>
        <w:pStyle w:val="TOC5"/>
        <w:rPr>
          <w:rFonts w:ascii="Times New Roman" w:hAnsi="Times New Roman"/>
          <w:sz w:val="24"/>
          <w:szCs w:val="24"/>
        </w:rPr>
      </w:pPr>
      <w:r>
        <w:rPr>
          <w:szCs w:val="24"/>
        </w:rPr>
        <w:tab/>
        <w:t>86</w:t>
      </w:r>
      <w:r>
        <w:tab/>
      </w:r>
      <w:r>
        <w:tab/>
      </w:r>
      <w:r>
        <w:fldChar w:fldCharType="begin"/>
      </w:r>
      <w:r>
        <w:instrText xml:space="preserve"> PAGEREF _Toc161636821 \h </w:instrText>
      </w:r>
      <w:r>
        <w:fldChar w:fldCharType="separate"/>
      </w:r>
      <w:r w:rsidR="00AA7BA7">
        <w:t>70</w:t>
      </w:r>
      <w:r>
        <w:fldChar w:fldCharType="end"/>
      </w:r>
    </w:p>
    <w:p w:rsidR="00AF2508" w:rsidRDefault="00AF2508">
      <w:pPr>
        <w:pStyle w:val="TOC4"/>
        <w:rPr>
          <w:rFonts w:ascii="Times New Roman" w:hAnsi="Times New Roman"/>
          <w:b w:val="0"/>
          <w:sz w:val="24"/>
          <w:szCs w:val="24"/>
        </w:rPr>
      </w:pPr>
      <w:r>
        <w:t>Construction of single and independent pole scaffolding</w:t>
      </w:r>
    </w:p>
    <w:p w:rsidR="00AF2508" w:rsidRDefault="00AF2508">
      <w:pPr>
        <w:pStyle w:val="TOC5"/>
        <w:rPr>
          <w:rFonts w:ascii="Times New Roman" w:hAnsi="Times New Roman"/>
          <w:sz w:val="24"/>
          <w:szCs w:val="24"/>
        </w:rPr>
      </w:pPr>
      <w:r>
        <w:rPr>
          <w:szCs w:val="24"/>
        </w:rPr>
        <w:tab/>
        <w:t>87</w:t>
      </w:r>
      <w:r>
        <w:tab/>
      </w:r>
      <w:r>
        <w:tab/>
      </w:r>
      <w:r>
        <w:fldChar w:fldCharType="begin"/>
      </w:r>
      <w:r>
        <w:instrText xml:space="preserve"> PAGEREF _Toc161636823 \h </w:instrText>
      </w:r>
      <w:r>
        <w:fldChar w:fldCharType="separate"/>
      </w:r>
      <w:r w:rsidR="00AA7BA7">
        <w:t>74</w:t>
      </w:r>
      <w:r>
        <w:fldChar w:fldCharType="end"/>
      </w:r>
    </w:p>
    <w:p w:rsidR="00AF2508" w:rsidRDefault="00AF2508">
      <w:pPr>
        <w:pStyle w:val="TOC4"/>
        <w:rPr>
          <w:rFonts w:ascii="Times New Roman" w:hAnsi="Times New Roman"/>
          <w:b w:val="0"/>
          <w:sz w:val="24"/>
          <w:szCs w:val="24"/>
        </w:rPr>
      </w:pPr>
      <w:r>
        <w:rPr>
          <w:szCs w:val="26"/>
        </w:rPr>
        <w:t>Cantilever scaffolding</w:t>
      </w:r>
    </w:p>
    <w:p w:rsidR="00AF2508" w:rsidRDefault="00AF2508">
      <w:pPr>
        <w:pStyle w:val="TOC5"/>
        <w:rPr>
          <w:rFonts w:ascii="Times New Roman" w:hAnsi="Times New Roman"/>
          <w:sz w:val="24"/>
          <w:szCs w:val="24"/>
        </w:rPr>
      </w:pPr>
      <w:r>
        <w:rPr>
          <w:szCs w:val="24"/>
        </w:rPr>
        <w:tab/>
        <w:t>88</w:t>
      </w:r>
      <w:r>
        <w:tab/>
      </w:r>
      <w:r>
        <w:tab/>
      </w:r>
      <w:r>
        <w:fldChar w:fldCharType="begin"/>
      </w:r>
      <w:r>
        <w:instrText xml:space="preserve"> PAGEREF _Toc161636825 \h </w:instrText>
      </w:r>
      <w:r>
        <w:fldChar w:fldCharType="separate"/>
      </w:r>
      <w:r w:rsidR="00AA7BA7">
        <w:t>89</w:t>
      </w:r>
      <w:r>
        <w:fldChar w:fldCharType="end"/>
      </w:r>
    </w:p>
    <w:p w:rsidR="00AF2508" w:rsidRDefault="00AF2508">
      <w:pPr>
        <w:pStyle w:val="TOC4"/>
        <w:rPr>
          <w:rFonts w:ascii="Times New Roman" w:hAnsi="Times New Roman"/>
          <w:b w:val="0"/>
          <w:sz w:val="24"/>
          <w:szCs w:val="24"/>
        </w:rPr>
      </w:pPr>
      <w:r>
        <w:rPr>
          <w:szCs w:val="26"/>
        </w:rPr>
        <w:t>Bracket scaffolding</w:t>
      </w:r>
    </w:p>
    <w:p w:rsidR="00AF2508" w:rsidRDefault="00AF2508">
      <w:pPr>
        <w:pStyle w:val="TOC5"/>
        <w:rPr>
          <w:rFonts w:ascii="Times New Roman" w:hAnsi="Times New Roman"/>
          <w:sz w:val="24"/>
          <w:szCs w:val="24"/>
        </w:rPr>
      </w:pPr>
      <w:r>
        <w:rPr>
          <w:szCs w:val="24"/>
        </w:rPr>
        <w:tab/>
        <w:t>89</w:t>
      </w:r>
      <w:r>
        <w:tab/>
      </w:r>
      <w:r>
        <w:tab/>
      </w:r>
      <w:r>
        <w:fldChar w:fldCharType="begin"/>
      </w:r>
      <w:r>
        <w:instrText xml:space="preserve"> PAGEREF _Toc161636827 \h </w:instrText>
      </w:r>
      <w:r>
        <w:fldChar w:fldCharType="separate"/>
      </w:r>
      <w:r w:rsidR="00AA7BA7">
        <w:t>91</w:t>
      </w:r>
      <w:r>
        <w:fldChar w:fldCharType="end"/>
      </w:r>
    </w:p>
    <w:p w:rsidR="00AF2508" w:rsidRDefault="00AF2508">
      <w:pPr>
        <w:pStyle w:val="TOC4"/>
        <w:rPr>
          <w:rFonts w:ascii="Times New Roman" w:hAnsi="Times New Roman"/>
          <w:b w:val="0"/>
          <w:sz w:val="24"/>
          <w:szCs w:val="24"/>
        </w:rPr>
      </w:pPr>
      <w:r>
        <w:rPr>
          <w:szCs w:val="26"/>
        </w:rPr>
        <w:t>Suspended scaffolding</w:t>
      </w:r>
    </w:p>
    <w:p w:rsidR="00AF2508" w:rsidRDefault="00AF2508">
      <w:pPr>
        <w:pStyle w:val="TOC5"/>
        <w:rPr>
          <w:rFonts w:ascii="Times New Roman" w:hAnsi="Times New Roman"/>
          <w:sz w:val="24"/>
          <w:szCs w:val="24"/>
        </w:rPr>
      </w:pPr>
      <w:r>
        <w:rPr>
          <w:szCs w:val="24"/>
        </w:rPr>
        <w:tab/>
        <w:t>90</w:t>
      </w:r>
      <w:r>
        <w:tab/>
      </w:r>
      <w:r>
        <w:tab/>
      </w:r>
      <w:r>
        <w:fldChar w:fldCharType="begin"/>
      </w:r>
      <w:r>
        <w:instrText xml:space="preserve"> PAGEREF _Toc161636829 \h </w:instrText>
      </w:r>
      <w:r>
        <w:fldChar w:fldCharType="separate"/>
      </w:r>
      <w:r w:rsidR="00AA7BA7">
        <w:t>95</w:t>
      </w:r>
      <w:r>
        <w:fldChar w:fldCharType="end"/>
      </w:r>
    </w:p>
    <w:p w:rsidR="00AF2508" w:rsidRDefault="00AF2508">
      <w:pPr>
        <w:pStyle w:val="TOC4"/>
        <w:rPr>
          <w:rFonts w:ascii="Times New Roman" w:hAnsi="Times New Roman"/>
          <w:b w:val="0"/>
          <w:sz w:val="24"/>
          <w:szCs w:val="24"/>
        </w:rPr>
      </w:pPr>
      <w:r>
        <w:rPr>
          <w:szCs w:val="26"/>
        </w:rPr>
        <w:t>Light swinging stages</w:t>
      </w:r>
    </w:p>
    <w:p w:rsidR="00AF2508" w:rsidRDefault="00AF2508">
      <w:pPr>
        <w:pStyle w:val="TOC5"/>
        <w:rPr>
          <w:rFonts w:ascii="Times New Roman" w:hAnsi="Times New Roman"/>
          <w:sz w:val="24"/>
          <w:szCs w:val="24"/>
        </w:rPr>
      </w:pPr>
      <w:r>
        <w:rPr>
          <w:szCs w:val="24"/>
        </w:rPr>
        <w:tab/>
        <w:t>91</w:t>
      </w:r>
      <w:r>
        <w:tab/>
      </w:r>
      <w:r>
        <w:tab/>
      </w:r>
      <w:r>
        <w:fldChar w:fldCharType="begin"/>
      </w:r>
      <w:r>
        <w:instrText xml:space="preserve"> PAGEREF _Toc161636831 \h </w:instrText>
      </w:r>
      <w:r>
        <w:fldChar w:fldCharType="separate"/>
      </w:r>
      <w:r w:rsidR="00AA7BA7">
        <w:t>102</w:t>
      </w:r>
      <w:r>
        <w:fldChar w:fldCharType="end"/>
      </w:r>
    </w:p>
    <w:p w:rsidR="00AF2508" w:rsidRDefault="00AF2508">
      <w:pPr>
        <w:pStyle w:val="TOC4"/>
        <w:rPr>
          <w:rFonts w:ascii="Times New Roman" w:hAnsi="Times New Roman"/>
          <w:b w:val="0"/>
          <w:sz w:val="24"/>
          <w:szCs w:val="24"/>
        </w:rPr>
      </w:pPr>
      <w:r>
        <w:rPr>
          <w:szCs w:val="26"/>
        </w:rPr>
        <w:t>Boatswain’s chairs</w:t>
      </w:r>
    </w:p>
    <w:p w:rsidR="00AF2508" w:rsidRDefault="00AF2508">
      <w:pPr>
        <w:pStyle w:val="TOC5"/>
        <w:rPr>
          <w:rFonts w:ascii="Times New Roman" w:hAnsi="Times New Roman"/>
          <w:sz w:val="24"/>
          <w:szCs w:val="24"/>
        </w:rPr>
      </w:pPr>
      <w:r>
        <w:rPr>
          <w:szCs w:val="24"/>
        </w:rPr>
        <w:tab/>
        <w:t>92</w:t>
      </w:r>
      <w:r>
        <w:tab/>
      </w:r>
      <w:r>
        <w:tab/>
      </w:r>
      <w:r>
        <w:fldChar w:fldCharType="begin"/>
      </w:r>
      <w:r>
        <w:instrText xml:space="preserve"> PAGEREF _Toc161636833 \h </w:instrText>
      </w:r>
      <w:r>
        <w:fldChar w:fldCharType="separate"/>
      </w:r>
      <w:r w:rsidR="00AA7BA7">
        <w:t>107</w:t>
      </w:r>
      <w:r>
        <w:fldChar w:fldCharType="end"/>
      </w:r>
    </w:p>
    <w:p w:rsidR="00AF2508" w:rsidRDefault="00AF2508">
      <w:pPr>
        <w:pStyle w:val="TOC4"/>
        <w:rPr>
          <w:rFonts w:ascii="Times New Roman" w:hAnsi="Times New Roman"/>
          <w:b w:val="0"/>
          <w:sz w:val="24"/>
          <w:szCs w:val="24"/>
        </w:rPr>
      </w:pPr>
      <w:r>
        <w:t>Scaffolding for use on ships in dock or on slips</w:t>
      </w:r>
    </w:p>
    <w:p w:rsidR="00AF2508" w:rsidRDefault="00AF2508">
      <w:pPr>
        <w:pStyle w:val="TOC5"/>
        <w:rPr>
          <w:rFonts w:ascii="Times New Roman" w:hAnsi="Times New Roman"/>
          <w:sz w:val="24"/>
          <w:szCs w:val="24"/>
        </w:rPr>
      </w:pPr>
      <w:r>
        <w:rPr>
          <w:szCs w:val="24"/>
        </w:rPr>
        <w:tab/>
        <w:t>93</w:t>
      </w:r>
      <w:r>
        <w:tab/>
      </w:r>
      <w:r>
        <w:tab/>
      </w:r>
      <w:r>
        <w:fldChar w:fldCharType="begin"/>
      </w:r>
      <w:r>
        <w:instrText xml:space="preserve"> PAGEREF _Toc161636835 \h </w:instrText>
      </w:r>
      <w:r>
        <w:fldChar w:fldCharType="separate"/>
      </w:r>
      <w:r w:rsidR="00AA7BA7">
        <w:t>109</w:t>
      </w:r>
      <w:r>
        <w:fldChar w:fldCharType="end"/>
      </w:r>
    </w:p>
    <w:p w:rsidR="00AF2508" w:rsidRDefault="00AF2508">
      <w:pPr>
        <w:pStyle w:val="TOC4"/>
        <w:rPr>
          <w:rFonts w:ascii="Times New Roman" w:hAnsi="Times New Roman"/>
          <w:b w:val="0"/>
          <w:sz w:val="24"/>
          <w:szCs w:val="24"/>
        </w:rPr>
      </w:pPr>
      <w:r>
        <w:rPr>
          <w:szCs w:val="26"/>
        </w:rPr>
        <w:t>Runs and ramps</w:t>
      </w:r>
    </w:p>
    <w:p w:rsidR="00AF2508" w:rsidRDefault="00AF2508">
      <w:pPr>
        <w:pStyle w:val="TOC5"/>
        <w:rPr>
          <w:rFonts w:ascii="Times New Roman" w:hAnsi="Times New Roman"/>
          <w:sz w:val="24"/>
          <w:szCs w:val="24"/>
        </w:rPr>
      </w:pPr>
      <w:r>
        <w:rPr>
          <w:szCs w:val="24"/>
        </w:rPr>
        <w:tab/>
        <w:t>94</w:t>
      </w:r>
      <w:r>
        <w:tab/>
      </w:r>
      <w:r>
        <w:tab/>
      </w:r>
      <w:r>
        <w:fldChar w:fldCharType="begin"/>
      </w:r>
      <w:r>
        <w:instrText xml:space="preserve"> PAGEREF _Toc161636837 \h </w:instrText>
      </w:r>
      <w:r>
        <w:fldChar w:fldCharType="separate"/>
      </w:r>
      <w:r w:rsidR="00AA7BA7">
        <w:t>113</w:t>
      </w:r>
      <w:r>
        <w:fldChar w:fldCharType="end"/>
      </w:r>
    </w:p>
    <w:p w:rsidR="00AF2508" w:rsidRDefault="00AF2508">
      <w:pPr>
        <w:pStyle w:val="TOC2"/>
        <w:rPr>
          <w:rFonts w:ascii="Times New Roman" w:hAnsi="Times New Roman"/>
          <w:b w:val="0"/>
          <w:szCs w:val="24"/>
        </w:rPr>
      </w:pPr>
      <w:r>
        <w:t>Part 7</w:t>
      </w:r>
      <w:r>
        <w:rPr>
          <w:rFonts w:ascii="Times New Roman" w:hAnsi="Times New Roman"/>
          <w:b w:val="0"/>
          <w:szCs w:val="24"/>
        </w:rPr>
        <w:tab/>
      </w:r>
      <w:r>
        <w:t>Safeguards and measures to be taken for securing the safety and health of persons engaged in excavation work</w:t>
      </w:r>
    </w:p>
    <w:p w:rsidR="00AF2508" w:rsidRDefault="00AF2508">
      <w:pPr>
        <w:pStyle w:val="TOC3"/>
        <w:rPr>
          <w:rFonts w:ascii="Times New Roman" w:hAnsi="Times New Roman"/>
          <w:b w:val="0"/>
          <w:sz w:val="24"/>
          <w:szCs w:val="24"/>
        </w:rPr>
      </w:pPr>
      <w:r>
        <w:t>Division 7.1</w:t>
      </w:r>
      <w:r>
        <w:rPr>
          <w:rFonts w:ascii="Times New Roman" w:hAnsi="Times New Roman"/>
          <w:b w:val="0"/>
          <w:sz w:val="24"/>
          <w:szCs w:val="24"/>
        </w:rPr>
        <w:tab/>
      </w:r>
      <w:r>
        <w:t>General</w:t>
      </w:r>
    </w:p>
    <w:p w:rsidR="00AF2508" w:rsidRDefault="00AF2508">
      <w:pPr>
        <w:pStyle w:val="TOC5"/>
        <w:rPr>
          <w:rFonts w:ascii="Times New Roman" w:hAnsi="Times New Roman"/>
          <w:sz w:val="24"/>
          <w:szCs w:val="24"/>
        </w:rPr>
      </w:pPr>
      <w:r>
        <w:rPr>
          <w:szCs w:val="24"/>
        </w:rPr>
        <w:tab/>
        <w:t>95</w:t>
      </w:r>
      <w:r>
        <w:tab/>
      </w:r>
      <w:r>
        <w:tab/>
      </w:r>
      <w:r>
        <w:fldChar w:fldCharType="begin"/>
      </w:r>
      <w:r>
        <w:instrText xml:space="preserve"> PAGEREF _Toc161636840 \h </w:instrText>
      </w:r>
      <w:r>
        <w:fldChar w:fldCharType="separate"/>
      </w:r>
      <w:r w:rsidR="00AA7BA7">
        <w:t>115</w:t>
      </w:r>
      <w:r>
        <w:fldChar w:fldCharType="end"/>
      </w:r>
    </w:p>
    <w:p w:rsidR="00AF2508" w:rsidRDefault="00AF2508">
      <w:pPr>
        <w:pStyle w:val="TOC3"/>
        <w:rPr>
          <w:rFonts w:ascii="Times New Roman" w:hAnsi="Times New Roman"/>
          <w:b w:val="0"/>
          <w:sz w:val="24"/>
          <w:szCs w:val="24"/>
        </w:rPr>
      </w:pPr>
      <w:r>
        <w:t>Division 7.2</w:t>
      </w:r>
      <w:r>
        <w:rPr>
          <w:rFonts w:ascii="Times New Roman" w:hAnsi="Times New Roman"/>
          <w:b w:val="0"/>
          <w:sz w:val="24"/>
          <w:szCs w:val="24"/>
        </w:rPr>
        <w:tab/>
      </w:r>
      <w:r>
        <w:t>Cofferdams and caissons</w:t>
      </w:r>
    </w:p>
    <w:p w:rsidR="00AF2508" w:rsidRDefault="00AF2508">
      <w:pPr>
        <w:pStyle w:val="TOC5"/>
        <w:rPr>
          <w:rFonts w:ascii="Times New Roman" w:hAnsi="Times New Roman"/>
          <w:sz w:val="24"/>
          <w:szCs w:val="24"/>
        </w:rPr>
      </w:pPr>
      <w:r>
        <w:rPr>
          <w:szCs w:val="24"/>
        </w:rPr>
        <w:tab/>
        <w:t>96</w:t>
      </w:r>
      <w:r>
        <w:tab/>
      </w:r>
      <w:r>
        <w:tab/>
      </w:r>
      <w:r>
        <w:fldChar w:fldCharType="begin"/>
      </w:r>
      <w:r>
        <w:instrText xml:space="preserve"> PAGEREF _Toc161636842 \h </w:instrText>
      </w:r>
      <w:r>
        <w:fldChar w:fldCharType="separate"/>
      </w:r>
      <w:r w:rsidR="00AA7BA7">
        <w:t>118</w:t>
      </w:r>
      <w:r>
        <w:fldChar w:fldCharType="end"/>
      </w:r>
    </w:p>
    <w:p w:rsidR="00AF2508" w:rsidRDefault="00AF2508">
      <w:pPr>
        <w:pStyle w:val="TOC3"/>
        <w:rPr>
          <w:rFonts w:ascii="Times New Roman" w:hAnsi="Times New Roman"/>
          <w:b w:val="0"/>
          <w:sz w:val="24"/>
          <w:szCs w:val="24"/>
        </w:rPr>
      </w:pPr>
      <w:r>
        <w:t>Division 7.3</w:t>
      </w:r>
      <w:r>
        <w:rPr>
          <w:rFonts w:ascii="Times New Roman" w:hAnsi="Times New Roman"/>
          <w:b w:val="0"/>
          <w:sz w:val="24"/>
          <w:szCs w:val="24"/>
        </w:rPr>
        <w:tab/>
      </w:r>
      <w:r>
        <w:t>Trenches</w:t>
      </w:r>
    </w:p>
    <w:p w:rsidR="00AF2508" w:rsidRDefault="00AF2508">
      <w:pPr>
        <w:pStyle w:val="TOC5"/>
        <w:rPr>
          <w:rFonts w:ascii="Times New Roman" w:hAnsi="Times New Roman"/>
          <w:sz w:val="24"/>
          <w:szCs w:val="24"/>
        </w:rPr>
      </w:pPr>
      <w:r>
        <w:rPr>
          <w:szCs w:val="24"/>
        </w:rPr>
        <w:tab/>
        <w:t>97</w:t>
      </w:r>
      <w:r>
        <w:tab/>
      </w:r>
      <w:r>
        <w:tab/>
      </w:r>
      <w:r>
        <w:fldChar w:fldCharType="begin"/>
      </w:r>
      <w:r>
        <w:instrText xml:space="preserve"> PAGEREF _Toc161636844 \h </w:instrText>
      </w:r>
      <w:r>
        <w:fldChar w:fldCharType="separate"/>
      </w:r>
      <w:r w:rsidR="00AA7BA7">
        <w:t>119</w:t>
      </w:r>
      <w:r>
        <w:fldChar w:fldCharType="end"/>
      </w:r>
    </w:p>
    <w:p w:rsidR="00AF2508" w:rsidRDefault="00AF2508">
      <w:pPr>
        <w:pStyle w:val="TOC3"/>
        <w:rPr>
          <w:rFonts w:ascii="Times New Roman" w:hAnsi="Times New Roman"/>
          <w:b w:val="0"/>
          <w:sz w:val="24"/>
          <w:szCs w:val="24"/>
        </w:rPr>
      </w:pPr>
      <w:r>
        <w:t>Division 7.4</w:t>
      </w:r>
      <w:r>
        <w:rPr>
          <w:rFonts w:ascii="Times New Roman" w:hAnsi="Times New Roman"/>
          <w:b w:val="0"/>
          <w:sz w:val="24"/>
          <w:szCs w:val="24"/>
        </w:rPr>
        <w:tab/>
      </w:r>
      <w:r>
        <w:t>Shafts, wells and tunnels</w:t>
      </w:r>
    </w:p>
    <w:p w:rsidR="00AF2508" w:rsidRDefault="00AF2508">
      <w:pPr>
        <w:pStyle w:val="TOC5"/>
        <w:rPr>
          <w:rFonts w:ascii="Times New Roman" w:hAnsi="Times New Roman"/>
          <w:sz w:val="24"/>
          <w:szCs w:val="24"/>
        </w:rPr>
      </w:pPr>
      <w:r>
        <w:rPr>
          <w:szCs w:val="24"/>
        </w:rPr>
        <w:tab/>
        <w:t>98</w:t>
      </w:r>
      <w:r>
        <w:tab/>
      </w:r>
      <w:r>
        <w:tab/>
      </w:r>
      <w:r>
        <w:fldChar w:fldCharType="begin"/>
      </w:r>
      <w:r>
        <w:instrText xml:space="preserve"> PAGEREF _Toc161636846 \h </w:instrText>
      </w:r>
      <w:r>
        <w:fldChar w:fldCharType="separate"/>
      </w:r>
      <w:r w:rsidR="00AA7BA7">
        <w:t>121</w:t>
      </w:r>
      <w:r>
        <w:fldChar w:fldCharType="end"/>
      </w:r>
    </w:p>
    <w:p w:rsidR="00AF2508" w:rsidRDefault="00AF2508">
      <w:pPr>
        <w:pStyle w:val="TOC2"/>
        <w:rPr>
          <w:rFonts w:ascii="Times New Roman" w:hAnsi="Times New Roman"/>
          <w:b w:val="0"/>
          <w:szCs w:val="24"/>
        </w:rPr>
      </w:pPr>
      <w:r>
        <w:t>Part 8</w:t>
      </w:r>
      <w:r>
        <w:rPr>
          <w:rFonts w:ascii="Times New Roman" w:hAnsi="Times New Roman"/>
          <w:b w:val="0"/>
          <w:szCs w:val="24"/>
        </w:rPr>
        <w:tab/>
      </w:r>
      <w:r>
        <w:t>Safeguards and measures to be taken for securing the safety and health of persons engaged in compressed air work</w:t>
      </w:r>
    </w:p>
    <w:p w:rsidR="00AF2508" w:rsidRDefault="00AF2508">
      <w:pPr>
        <w:pStyle w:val="TOC3"/>
        <w:rPr>
          <w:rFonts w:ascii="Times New Roman" w:hAnsi="Times New Roman"/>
          <w:b w:val="0"/>
          <w:sz w:val="24"/>
          <w:szCs w:val="24"/>
        </w:rPr>
      </w:pPr>
      <w:r>
        <w:t>Division 8.1</w:t>
      </w:r>
      <w:r>
        <w:rPr>
          <w:rFonts w:ascii="Times New Roman" w:hAnsi="Times New Roman"/>
          <w:b w:val="0"/>
          <w:sz w:val="24"/>
          <w:szCs w:val="24"/>
        </w:rPr>
        <w:tab/>
      </w:r>
      <w:r>
        <w:t>Diving</w:t>
      </w:r>
    </w:p>
    <w:p w:rsidR="00AF2508" w:rsidRDefault="00AF2508">
      <w:pPr>
        <w:pStyle w:val="TOC5"/>
        <w:rPr>
          <w:rFonts w:ascii="Times New Roman" w:hAnsi="Times New Roman"/>
          <w:sz w:val="24"/>
          <w:szCs w:val="24"/>
        </w:rPr>
      </w:pPr>
      <w:r>
        <w:rPr>
          <w:szCs w:val="24"/>
        </w:rPr>
        <w:tab/>
        <w:t>99</w:t>
      </w:r>
      <w:r>
        <w:tab/>
      </w:r>
      <w:r>
        <w:tab/>
      </w:r>
      <w:r>
        <w:fldChar w:fldCharType="begin"/>
      </w:r>
      <w:r>
        <w:instrText xml:space="preserve"> PAGEREF _Toc161636849 \h </w:instrText>
      </w:r>
      <w:r>
        <w:fldChar w:fldCharType="separate"/>
      </w:r>
      <w:r w:rsidR="00AA7BA7">
        <w:t>123</w:t>
      </w:r>
      <w:r>
        <w:fldChar w:fldCharType="end"/>
      </w:r>
    </w:p>
    <w:p w:rsidR="00AF2508" w:rsidRDefault="00AF2508">
      <w:pPr>
        <w:pStyle w:val="TOC3"/>
        <w:rPr>
          <w:rFonts w:ascii="Times New Roman" w:hAnsi="Times New Roman"/>
          <w:b w:val="0"/>
          <w:sz w:val="24"/>
          <w:szCs w:val="24"/>
        </w:rPr>
      </w:pPr>
      <w:r>
        <w:t>Division 8.2</w:t>
      </w:r>
      <w:r>
        <w:rPr>
          <w:rFonts w:ascii="Times New Roman" w:hAnsi="Times New Roman"/>
          <w:b w:val="0"/>
          <w:sz w:val="24"/>
          <w:szCs w:val="24"/>
        </w:rPr>
        <w:tab/>
      </w:r>
      <w:r>
        <w:t>Tunnelling</w:t>
      </w:r>
    </w:p>
    <w:p w:rsidR="00AF2508" w:rsidRDefault="00AF2508">
      <w:pPr>
        <w:pStyle w:val="TOC5"/>
        <w:rPr>
          <w:rFonts w:ascii="Times New Roman" w:hAnsi="Times New Roman"/>
          <w:sz w:val="24"/>
          <w:szCs w:val="24"/>
        </w:rPr>
      </w:pPr>
      <w:r>
        <w:rPr>
          <w:szCs w:val="24"/>
        </w:rPr>
        <w:tab/>
        <w:t>100</w:t>
      </w:r>
      <w:r>
        <w:tab/>
      </w:r>
      <w:r>
        <w:tab/>
      </w:r>
      <w:r>
        <w:fldChar w:fldCharType="begin"/>
      </w:r>
      <w:r>
        <w:instrText xml:space="preserve"> PAGEREF _Toc161636851 \h </w:instrText>
      </w:r>
      <w:r>
        <w:fldChar w:fldCharType="separate"/>
      </w:r>
      <w:r w:rsidR="00AA7BA7">
        <w:t>139</w:t>
      </w:r>
      <w:r>
        <w:fldChar w:fldCharType="end"/>
      </w:r>
    </w:p>
    <w:p w:rsidR="00AF2508" w:rsidRDefault="00AF2508">
      <w:pPr>
        <w:pStyle w:val="TOC3"/>
        <w:rPr>
          <w:rFonts w:ascii="Times New Roman" w:hAnsi="Times New Roman"/>
          <w:b w:val="0"/>
          <w:sz w:val="24"/>
          <w:szCs w:val="24"/>
        </w:rPr>
      </w:pPr>
      <w:r>
        <w:t>Division 8.3</w:t>
      </w:r>
      <w:r>
        <w:rPr>
          <w:rFonts w:ascii="Times New Roman" w:hAnsi="Times New Roman"/>
          <w:b w:val="0"/>
          <w:sz w:val="24"/>
          <w:szCs w:val="24"/>
        </w:rPr>
        <w:tab/>
      </w:r>
      <w:r>
        <w:t>Caissons</w:t>
      </w:r>
    </w:p>
    <w:p w:rsidR="00AF2508" w:rsidRDefault="00AF2508">
      <w:pPr>
        <w:pStyle w:val="TOC5"/>
        <w:rPr>
          <w:rFonts w:ascii="Times New Roman" w:hAnsi="Times New Roman"/>
          <w:sz w:val="24"/>
          <w:szCs w:val="24"/>
        </w:rPr>
      </w:pPr>
      <w:r>
        <w:rPr>
          <w:szCs w:val="24"/>
        </w:rPr>
        <w:tab/>
        <w:t>101</w:t>
      </w:r>
      <w:r>
        <w:tab/>
      </w:r>
      <w:r>
        <w:tab/>
      </w:r>
      <w:r>
        <w:fldChar w:fldCharType="begin"/>
      </w:r>
      <w:r>
        <w:instrText xml:space="preserve"> PAGEREF _Toc161636853 \h </w:instrText>
      </w:r>
      <w:r>
        <w:fldChar w:fldCharType="separate"/>
      </w:r>
      <w:r w:rsidR="00AA7BA7">
        <w:t>153</w:t>
      </w:r>
      <w:r>
        <w:fldChar w:fldCharType="end"/>
      </w:r>
    </w:p>
    <w:p w:rsidR="00AF2508" w:rsidRDefault="00AF2508">
      <w:pPr>
        <w:pStyle w:val="TOC2"/>
        <w:rPr>
          <w:rFonts w:ascii="Times New Roman" w:hAnsi="Times New Roman"/>
          <w:b w:val="0"/>
          <w:szCs w:val="24"/>
        </w:rPr>
      </w:pPr>
      <w:r>
        <w:t>Part 9A</w:t>
      </w:r>
      <w:r>
        <w:rPr>
          <w:rFonts w:ascii="Times New Roman" w:hAnsi="Times New Roman"/>
          <w:b w:val="0"/>
          <w:szCs w:val="24"/>
        </w:rPr>
        <w:tab/>
      </w:r>
      <w:r>
        <w:t>Explosive-powered tools—safety measures</w:t>
      </w:r>
    </w:p>
    <w:p w:rsidR="00AF2508" w:rsidRDefault="00AF2508">
      <w:pPr>
        <w:pStyle w:val="TOC4"/>
        <w:rPr>
          <w:rFonts w:ascii="Times New Roman" w:hAnsi="Times New Roman"/>
          <w:b w:val="0"/>
          <w:sz w:val="24"/>
          <w:szCs w:val="24"/>
        </w:rPr>
      </w:pPr>
      <w:r>
        <w:rPr>
          <w:szCs w:val="26"/>
        </w:rPr>
        <w:t>Application and interpretation</w:t>
      </w:r>
    </w:p>
    <w:p w:rsidR="00AF2508" w:rsidRDefault="00AF2508">
      <w:pPr>
        <w:pStyle w:val="TOC5"/>
        <w:rPr>
          <w:rFonts w:ascii="Times New Roman" w:hAnsi="Times New Roman"/>
          <w:sz w:val="24"/>
          <w:szCs w:val="24"/>
        </w:rPr>
      </w:pPr>
      <w:r>
        <w:rPr>
          <w:szCs w:val="24"/>
        </w:rPr>
        <w:tab/>
        <w:t>118A</w:t>
      </w:r>
      <w:r>
        <w:tab/>
      </w:r>
      <w:r>
        <w:tab/>
      </w:r>
      <w:r>
        <w:fldChar w:fldCharType="begin"/>
      </w:r>
      <w:r>
        <w:instrText xml:space="preserve"> PAGEREF _Toc161636856 \h </w:instrText>
      </w:r>
      <w:r>
        <w:fldChar w:fldCharType="separate"/>
      </w:r>
      <w:r w:rsidR="00AA7BA7">
        <w:t>167</w:t>
      </w:r>
      <w:r>
        <w:fldChar w:fldCharType="end"/>
      </w:r>
    </w:p>
    <w:p w:rsidR="00AF2508" w:rsidRDefault="00AF2508">
      <w:pPr>
        <w:pStyle w:val="TOC4"/>
        <w:rPr>
          <w:rFonts w:ascii="Times New Roman" w:hAnsi="Times New Roman"/>
          <w:b w:val="0"/>
          <w:sz w:val="24"/>
          <w:szCs w:val="24"/>
        </w:rPr>
      </w:pPr>
      <w:r>
        <w:t>Operators of explosive-powered tools</w:t>
      </w:r>
    </w:p>
    <w:p w:rsidR="00AF2508" w:rsidRDefault="00AF2508">
      <w:pPr>
        <w:pStyle w:val="TOC5"/>
        <w:rPr>
          <w:rFonts w:ascii="Times New Roman" w:hAnsi="Times New Roman"/>
          <w:sz w:val="24"/>
          <w:szCs w:val="24"/>
        </w:rPr>
      </w:pPr>
      <w:r>
        <w:rPr>
          <w:szCs w:val="24"/>
        </w:rPr>
        <w:tab/>
        <w:t>118B</w:t>
      </w:r>
      <w:r>
        <w:tab/>
      </w:r>
      <w:r>
        <w:tab/>
      </w:r>
      <w:r>
        <w:fldChar w:fldCharType="begin"/>
      </w:r>
      <w:r>
        <w:instrText xml:space="preserve"> PAGEREF _Toc161636858 \h </w:instrText>
      </w:r>
      <w:r>
        <w:fldChar w:fldCharType="separate"/>
      </w:r>
      <w:r w:rsidR="00AA7BA7">
        <w:t>168</w:t>
      </w:r>
      <w:r>
        <w:fldChar w:fldCharType="end"/>
      </w:r>
    </w:p>
    <w:p w:rsidR="00AF2508" w:rsidRDefault="00AF2508">
      <w:pPr>
        <w:pStyle w:val="TOC4"/>
        <w:rPr>
          <w:rFonts w:ascii="Times New Roman" w:hAnsi="Times New Roman"/>
          <w:b w:val="0"/>
          <w:sz w:val="24"/>
          <w:szCs w:val="24"/>
        </w:rPr>
      </w:pPr>
      <w:r>
        <w:t>General requirements for explosive-powered tools and projectiles</w:t>
      </w:r>
    </w:p>
    <w:p w:rsidR="00AF2508" w:rsidRDefault="00AF2508">
      <w:pPr>
        <w:pStyle w:val="TOC5"/>
        <w:rPr>
          <w:rFonts w:ascii="Times New Roman" w:hAnsi="Times New Roman"/>
          <w:sz w:val="24"/>
          <w:szCs w:val="24"/>
        </w:rPr>
      </w:pPr>
      <w:r>
        <w:rPr>
          <w:szCs w:val="24"/>
        </w:rPr>
        <w:tab/>
        <w:t>118C</w:t>
      </w:r>
      <w:r>
        <w:tab/>
      </w:r>
      <w:r>
        <w:tab/>
      </w:r>
      <w:r>
        <w:fldChar w:fldCharType="begin"/>
      </w:r>
      <w:r>
        <w:instrText xml:space="preserve"> PAGEREF _Toc161636860 \h </w:instrText>
      </w:r>
      <w:r>
        <w:fldChar w:fldCharType="separate"/>
      </w:r>
      <w:r w:rsidR="00AA7BA7">
        <w:t>168</w:t>
      </w:r>
      <w:r>
        <w:fldChar w:fldCharType="end"/>
      </w:r>
    </w:p>
    <w:p w:rsidR="00AF2508" w:rsidRDefault="00AF2508">
      <w:pPr>
        <w:pStyle w:val="TOC4"/>
        <w:rPr>
          <w:rFonts w:ascii="Times New Roman" w:hAnsi="Times New Roman"/>
          <w:b w:val="0"/>
          <w:sz w:val="24"/>
          <w:szCs w:val="24"/>
        </w:rPr>
      </w:pPr>
      <w:r>
        <w:t>Inspection and repair of explosive-powered tools</w:t>
      </w:r>
    </w:p>
    <w:p w:rsidR="00AF2508" w:rsidRDefault="00AF2508">
      <w:pPr>
        <w:pStyle w:val="TOC5"/>
        <w:rPr>
          <w:rFonts w:ascii="Times New Roman" w:hAnsi="Times New Roman"/>
          <w:sz w:val="24"/>
          <w:szCs w:val="24"/>
        </w:rPr>
      </w:pPr>
      <w:r>
        <w:rPr>
          <w:szCs w:val="24"/>
        </w:rPr>
        <w:tab/>
        <w:t>118D</w:t>
      </w:r>
      <w:r>
        <w:tab/>
      </w:r>
      <w:r>
        <w:tab/>
      </w:r>
      <w:r>
        <w:fldChar w:fldCharType="begin"/>
      </w:r>
      <w:r>
        <w:instrText xml:space="preserve"> PAGEREF _Toc161636862 \h </w:instrText>
      </w:r>
      <w:r>
        <w:fldChar w:fldCharType="separate"/>
      </w:r>
      <w:r w:rsidR="00AA7BA7">
        <w:t>169</w:t>
      </w:r>
      <w:r>
        <w:fldChar w:fldCharType="end"/>
      </w:r>
    </w:p>
    <w:p w:rsidR="00AF2508" w:rsidRDefault="00AF2508">
      <w:pPr>
        <w:pStyle w:val="TOC4"/>
        <w:rPr>
          <w:rFonts w:ascii="Times New Roman" w:hAnsi="Times New Roman"/>
          <w:b w:val="0"/>
          <w:sz w:val="24"/>
          <w:szCs w:val="24"/>
        </w:rPr>
      </w:pPr>
      <w:r>
        <w:rPr>
          <w:szCs w:val="26"/>
        </w:rPr>
        <w:t>Use of explosive-powered tools</w:t>
      </w:r>
    </w:p>
    <w:p w:rsidR="00AF2508" w:rsidRDefault="00AF2508">
      <w:pPr>
        <w:pStyle w:val="TOC5"/>
        <w:rPr>
          <w:rFonts w:ascii="Times New Roman" w:hAnsi="Times New Roman"/>
          <w:sz w:val="24"/>
          <w:szCs w:val="24"/>
        </w:rPr>
      </w:pPr>
      <w:r>
        <w:rPr>
          <w:szCs w:val="24"/>
        </w:rPr>
        <w:tab/>
        <w:t>118E</w:t>
      </w:r>
      <w:r>
        <w:tab/>
      </w:r>
      <w:r>
        <w:tab/>
      </w:r>
      <w:r>
        <w:fldChar w:fldCharType="begin"/>
      </w:r>
      <w:r>
        <w:instrText xml:space="preserve"> PAGEREF _Toc161636864 \h </w:instrText>
      </w:r>
      <w:r>
        <w:fldChar w:fldCharType="separate"/>
      </w:r>
      <w:r w:rsidR="00AA7BA7">
        <w:t>171</w:t>
      </w:r>
      <w:r>
        <w:fldChar w:fldCharType="end"/>
      </w:r>
    </w:p>
    <w:p w:rsidR="00AF2508" w:rsidRDefault="00AF2508">
      <w:pPr>
        <w:pStyle w:val="TOC4"/>
        <w:rPr>
          <w:rFonts w:ascii="Times New Roman" w:hAnsi="Times New Roman"/>
          <w:b w:val="0"/>
          <w:sz w:val="24"/>
          <w:szCs w:val="24"/>
        </w:rPr>
      </w:pPr>
      <w:r>
        <w:t>Care and storage of explosive-powered tools and cartridges</w:t>
      </w:r>
    </w:p>
    <w:p w:rsidR="00AF2508" w:rsidRDefault="00AF2508">
      <w:pPr>
        <w:pStyle w:val="TOC5"/>
        <w:rPr>
          <w:rFonts w:ascii="Times New Roman" w:hAnsi="Times New Roman"/>
          <w:sz w:val="24"/>
          <w:szCs w:val="24"/>
        </w:rPr>
      </w:pPr>
      <w:r>
        <w:rPr>
          <w:szCs w:val="24"/>
        </w:rPr>
        <w:tab/>
        <w:t>118F</w:t>
      </w:r>
      <w:r>
        <w:tab/>
      </w:r>
      <w:r>
        <w:tab/>
      </w:r>
      <w:r>
        <w:fldChar w:fldCharType="begin"/>
      </w:r>
      <w:r>
        <w:instrText xml:space="preserve"> PAGEREF _Toc161636866 \h </w:instrText>
      </w:r>
      <w:r>
        <w:fldChar w:fldCharType="separate"/>
      </w:r>
      <w:r w:rsidR="00AA7BA7">
        <w:t>175</w:t>
      </w:r>
      <w:r>
        <w:fldChar w:fldCharType="end"/>
      </w:r>
    </w:p>
    <w:p w:rsidR="00AF2508" w:rsidRDefault="00AF2508">
      <w:pPr>
        <w:pStyle w:val="TOC4"/>
        <w:rPr>
          <w:rFonts w:ascii="Times New Roman" w:hAnsi="Times New Roman"/>
          <w:b w:val="0"/>
          <w:sz w:val="24"/>
          <w:szCs w:val="24"/>
        </w:rPr>
      </w:pPr>
      <w:r>
        <w:rPr>
          <w:szCs w:val="26"/>
        </w:rPr>
        <w:t>Protective devices</w:t>
      </w:r>
    </w:p>
    <w:p w:rsidR="00AF2508" w:rsidRDefault="00AF2508">
      <w:pPr>
        <w:pStyle w:val="TOC5"/>
        <w:rPr>
          <w:rFonts w:ascii="Times New Roman" w:hAnsi="Times New Roman"/>
          <w:sz w:val="24"/>
          <w:szCs w:val="24"/>
        </w:rPr>
      </w:pPr>
      <w:r>
        <w:rPr>
          <w:szCs w:val="24"/>
        </w:rPr>
        <w:tab/>
        <w:t>118G</w:t>
      </w:r>
      <w:r>
        <w:tab/>
      </w:r>
      <w:r>
        <w:tab/>
      </w:r>
      <w:r>
        <w:fldChar w:fldCharType="begin"/>
      </w:r>
      <w:r>
        <w:instrText xml:space="preserve"> PAGEREF _Toc161636868 \h </w:instrText>
      </w:r>
      <w:r>
        <w:fldChar w:fldCharType="separate"/>
      </w:r>
      <w:r w:rsidR="00AA7BA7">
        <w:t>176</w:t>
      </w:r>
      <w:r>
        <w:fldChar w:fldCharType="end"/>
      </w:r>
    </w:p>
    <w:p w:rsidR="00AF2508" w:rsidRDefault="00AF2508">
      <w:pPr>
        <w:pStyle w:val="TOC4"/>
        <w:rPr>
          <w:rFonts w:ascii="Times New Roman" w:hAnsi="Times New Roman"/>
          <w:b w:val="0"/>
          <w:sz w:val="24"/>
          <w:szCs w:val="24"/>
        </w:rPr>
      </w:pPr>
      <w:r>
        <w:rPr>
          <w:szCs w:val="26"/>
        </w:rPr>
        <w:t>Warning notices</w:t>
      </w:r>
    </w:p>
    <w:p w:rsidR="00AF2508" w:rsidRDefault="00AF2508">
      <w:pPr>
        <w:pStyle w:val="TOC5"/>
        <w:rPr>
          <w:rFonts w:ascii="Times New Roman" w:hAnsi="Times New Roman"/>
          <w:sz w:val="24"/>
          <w:szCs w:val="24"/>
        </w:rPr>
      </w:pPr>
      <w:r>
        <w:rPr>
          <w:szCs w:val="24"/>
        </w:rPr>
        <w:tab/>
        <w:t>118H</w:t>
      </w:r>
      <w:r>
        <w:tab/>
      </w:r>
      <w:r>
        <w:tab/>
      </w:r>
      <w:r>
        <w:fldChar w:fldCharType="begin"/>
      </w:r>
      <w:r>
        <w:instrText xml:space="preserve"> PAGEREF _Toc161636870 \h </w:instrText>
      </w:r>
      <w:r>
        <w:fldChar w:fldCharType="separate"/>
      </w:r>
      <w:r w:rsidR="00AA7BA7">
        <w:t>176</w:t>
      </w:r>
      <w:r>
        <w:fldChar w:fldCharType="end"/>
      </w:r>
    </w:p>
    <w:p w:rsidR="00AF2508" w:rsidRDefault="00AF2508">
      <w:pPr>
        <w:pStyle w:val="TOC2"/>
        <w:rPr>
          <w:rFonts w:ascii="Times New Roman" w:hAnsi="Times New Roman"/>
          <w:b w:val="0"/>
          <w:szCs w:val="24"/>
        </w:rPr>
      </w:pPr>
      <w:r>
        <w:t>Part 10</w:t>
      </w:r>
      <w:r>
        <w:rPr>
          <w:rFonts w:ascii="Times New Roman" w:hAnsi="Times New Roman"/>
          <w:b w:val="0"/>
          <w:szCs w:val="24"/>
        </w:rPr>
        <w:tab/>
      </w:r>
      <w:r>
        <w:t>Measures to be taken for securing the health of persons in building work, excavation work and compressed air work by provision of first-aid equipment, shelter, change and dining accommodation, sanitary conveniences and washing facilities</w:t>
      </w:r>
    </w:p>
    <w:p w:rsidR="00AF2508" w:rsidRDefault="00AF2508">
      <w:pPr>
        <w:pStyle w:val="TOC3"/>
        <w:rPr>
          <w:rFonts w:ascii="Times New Roman" w:hAnsi="Times New Roman"/>
          <w:b w:val="0"/>
          <w:sz w:val="24"/>
          <w:szCs w:val="24"/>
        </w:rPr>
      </w:pPr>
      <w:r>
        <w:t>Division 10.1</w:t>
      </w:r>
      <w:r>
        <w:rPr>
          <w:rFonts w:ascii="Times New Roman" w:hAnsi="Times New Roman"/>
          <w:b w:val="0"/>
          <w:sz w:val="24"/>
          <w:szCs w:val="24"/>
        </w:rPr>
        <w:tab/>
      </w:r>
      <w:r>
        <w:t>First-aid equipment</w:t>
      </w:r>
    </w:p>
    <w:p w:rsidR="00AF2508" w:rsidRDefault="00AF2508">
      <w:pPr>
        <w:pStyle w:val="TOC5"/>
        <w:rPr>
          <w:rFonts w:ascii="Times New Roman" w:hAnsi="Times New Roman"/>
          <w:sz w:val="24"/>
          <w:szCs w:val="24"/>
        </w:rPr>
      </w:pPr>
      <w:r>
        <w:rPr>
          <w:szCs w:val="24"/>
        </w:rPr>
        <w:tab/>
        <w:t>119</w:t>
      </w:r>
      <w:r>
        <w:tab/>
      </w:r>
      <w:r>
        <w:tab/>
      </w:r>
      <w:r>
        <w:fldChar w:fldCharType="begin"/>
      </w:r>
      <w:r>
        <w:instrText xml:space="preserve"> PAGEREF _Toc161636873 \h </w:instrText>
      </w:r>
      <w:r>
        <w:fldChar w:fldCharType="separate"/>
      </w:r>
      <w:r w:rsidR="00AA7BA7">
        <w:t>178</w:t>
      </w:r>
      <w:r>
        <w:fldChar w:fldCharType="end"/>
      </w:r>
    </w:p>
    <w:p w:rsidR="00AF2508" w:rsidRDefault="00AF2508">
      <w:pPr>
        <w:pStyle w:val="TOC3"/>
        <w:rPr>
          <w:rFonts w:ascii="Times New Roman" w:hAnsi="Times New Roman"/>
          <w:b w:val="0"/>
          <w:sz w:val="24"/>
          <w:szCs w:val="24"/>
        </w:rPr>
      </w:pPr>
      <w:r>
        <w:t>Division 10.2</w:t>
      </w:r>
      <w:r>
        <w:rPr>
          <w:rFonts w:ascii="Times New Roman" w:hAnsi="Times New Roman"/>
          <w:b w:val="0"/>
          <w:sz w:val="24"/>
          <w:szCs w:val="24"/>
        </w:rPr>
        <w:tab/>
      </w:r>
      <w:r>
        <w:t>Shelter, change and dining accommodation</w:t>
      </w:r>
    </w:p>
    <w:p w:rsidR="00AF2508" w:rsidRDefault="00AF2508">
      <w:pPr>
        <w:pStyle w:val="TOC5"/>
        <w:rPr>
          <w:rFonts w:ascii="Times New Roman" w:hAnsi="Times New Roman"/>
          <w:sz w:val="24"/>
          <w:szCs w:val="24"/>
        </w:rPr>
      </w:pPr>
      <w:r>
        <w:rPr>
          <w:szCs w:val="24"/>
        </w:rPr>
        <w:tab/>
        <w:t>120</w:t>
      </w:r>
      <w:r>
        <w:tab/>
      </w:r>
      <w:r>
        <w:tab/>
      </w:r>
      <w:r>
        <w:fldChar w:fldCharType="begin"/>
      </w:r>
      <w:r>
        <w:instrText xml:space="preserve"> PAGEREF _Toc161636875 \h </w:instrText>
      </w:r>
      <w:r>
        <w:fldChar w:fldCharType="separate"/>
      </w:r>
      <w:r w:rsidR="00AA7BA7">
        <w:t>185</w:t>
      </w:r>
      <w:r>
        <w:fldChar w:fldCharType="end"/>
      </w:r>
    </w:p>
    <w:p w:rsidR="00AF2508" w:rsidRDefault="00AF2508">
      <w:pPr>
        <w:pStyle w:val="TOC3"/>
        <w:rPr>
          <w:rFonts w:ascii="Times New Roman" w:hAnsi="Times New Roman"/>
          <w:b w:val="0"/>
          <w:sz w:val="24"/>
          <w:szCs w:val="24"/>
        </w:rPr>
      </w:pPr>
      <w:r>
        <w:t>Division 10.3</w:t>
      </w:r>
      <w:r>
        <w:rPr>
          <w:rFonts w:ascii="Times New Roman" w:hAnsi="Times New Roman"/>
          <w:b w:val="0"/>
          <w:sz w:val="24"/>
          <w:szCs w:val="24"/>
        </w:rPr>
        <w:tab/>
      </w:r>
      <w:r>
        <w:t>Sanitary conveniences and washing facilities</w:t>
      </w:r>
    </w:p>
    <w:p w:rsidR="00AF2508" w:rsidRDefault="00AF2508">
      <w:pPr>
        <w:pStyle w:val="TOC5"/>
        <w:rPr>
          <w:rFonts w:ascii="Times New Roman" w:hAnsi="Times New Roman"/>
          <w:sz w:val="24"/>
          <w:szCs w:val="24"/>
        </w:rPr>
      </w:pPr>
      <w:r>
        <w:rPr>
          <w:szCs w:val="24"/>
        </w:rPr>
        <w:tab/>
        <w:t>121</w:t>
      </w:r>
      <w:r>
        <w:tab/>
      </w:r>
      <w:r>
        <w:tab/>
      </w:r>
      <w:r>
        <w:fldChar w:fldCharType="begin"/>
      </w:r>
      <w:r>
        <w:instrText xml:space="preserve"> PAGEREF _Toc161636877 \h </w:instrText>
      </w:r>
      <w:r>
        <w:fldChar w:fldCharType="separate"/>
      </w:r>
      <w:r w:rsidR="00AA7BA7">
        <w:t>188</w:t>
      </w:r>
      <w:r>
        <w:fldChar w:fldCharType="end"/>
      </w:r>
    </w:p>
    <w:p w:rsidR="00AF2508" w:rsidRDefault="00AF2508">
      <w:pPr>
        <w:pStyle w:val="TOC2"/>
        <w:rPr>
          <w:rFonts w:ascii="Times New Roman" w:hAnsi="Times New Roman"/>
          <w:b w:val="0"/>
          <w:szCs w:val="24"/>
        </w:rPr>
      </w:pPr>
      <w:r>
        <w:t>Part 11</w:t>
      </w:r>
      <w:r>
        <w:rPr>
          <w:rFonts w:ascii="Times New Roman" w:hAnsi="Times New Roman"/>
          <w:b w:val="0"/>
          <w:szCs w:val="24"/>
        </w:rPr>
        <w:tab/>
      </w:r>
      <w:r>
        <w:t>Basic requirements about design and construction, erection, use, maintenance, inspection and testing with particular reference to cranes, lifts, hoists, scaffolding and plant</w:t>
      </w:r>
    </w:p>
    <w:p w:rsidR="00AF2508" w:rsidRDefault="00AF2508">
      <w:pPr>
        <w:pStyle w:val="TOC5"/>
        <w:rPr>
          <w:rFonts w:ascii="Times New Roman" w:hAnsi="Times New Roman"/>
          <w:sz w:val="24"/>
          <w:szCs w:val="24"/>
        </w:rPr>
      </w:pPr>
      <w:r>
        <w:rPr>
          <w:szCs w:val="24"/>
        </w:rPr>
        <w:tab/>
        <w:t>122</w:t>
      </w:r>
      <w:r>
        <w:tab/>
      </w:r>
      <w:r>
        <w:tab/>
      </w:r>
      <w:r>
        <w:fldChar w:fldCharType="begin"/>
      </w:r>
      <w:r>
        <w:instrText xml:space="preserve"> PAGEREF _Toc161636879 \h </w:instrText>
      </w:r>
      <w:r>
        <w:fldChar w:fldCharType="separate"/>
      </w:r>
      <w:r w:rsidR="00AA7BA7">
        <w:t>191</w:t>
      </w:r>
      <w:r>
        <w:fldChar w:fldCharType="end"/>
      </w:r>
    </w:p>
    <w:p w:rsidR="00AF2508" w:rsidRDefault="00AF2508">
      <w:pPr>
        <w:pStyle w:val="TOC4"/>
        <w:rPr>
          <w:rFonts w:ascii="Times New Roman" w:hAnsi="Times New Roman"/>
          <w:b w:val="0"/>
          <w:sz w:val="24"/>
          <w:szCs w:val="24"/>
        </w:rPr>
      </w:pPr>
      <w:r>
        <w:rPr>
          <w:szCs w:val="26"/>
        </w:rPr>
        <w:t>Wind loads</w:t>
      </w:r>
    </w:p>
    <w:p w:rsidR="00AF2508" w:rsidRDefault="00AF2508">
      <w:pPr>
        <w:pStyle w:val="TOC5"/>
        <w:rPr>
          <w:rFonts w:ascii="Times New Roman" w:hAnsi="Times New Roman"/>
          <w:sz w:val="24"/>
          <w:szCs w:val="24"/>
        </w:rPr>
      </w:pPr>
      <w:r>
        <w:rPr>
          <w:szCs w:val="24"/>
        </w:rPr>
        <w:tab/>
        <w:t>123</w:t>
      </w:r>
      <w:r>
        <w:tab/>
      </w:r>
      <w:r>
        <w:tab/>
      </w:r>
      <w:r>
        <w:fldChar w:fldCharType="begin"/>
      </w:r>
      <w:r>
        <w:instrText xml:space="preserve"> PAGEREF _Toc161636881 \h </w:instrText>
      </w:r>
      <w:r>
        <w:fldChar w:fldCharType="separate"/>
      </w:r>
      <w:r w:rsidR="00AA7BA7">
        <w:t>203</w:t>
      </w:r>
      <w:r>
        <w:fldChar w:fldCharType="end"/>
      </w:r>
    </w:p>
    <w:p w:rsidR="00AF2508" w:rsidRDefault="00AF2508">
      <w:pPr>
        <w:pStyle w:val="TOC4"/>
        <w:rPr>
          <w:rFonts w:ascii="Times New Roman" w:hAnsi="Times New Roman"/>
          <w:b w:val="0"/>
          <w:sz w:val="24"/>
          <w:szCs w:val="24"/>
        </w:rPr>
      </w:pPr>
      <w:r>
        <w:t>Horizontal forces (other than those due to wind)</w:t>
      </w:r>
    </w:p>
    <w:p w:rsidR="00AF2508" w:rsidRDefault="00AF2508">
      <w:pPr>
        <w:pStyle w:val="TOC5"/>
        <w:rPr>
          <w:rFonts w:ascii="Times New Roman" w:hAnsi="Times New Roman"/>
          <w:sz w:val="24"/>
          <w:szCs w:val="24"/>
        </w:rPr>
      </w:pPr>
      <w:r>
        <w:rPr>
          <w:szCs w:val="24"/>
        </w:rPr>
        <w:tab/>
        <w:t>124</w:t>
      </w:r>
      <w:r>
        <w:tab/>
      </w:r>
      <w:r>
        <w:tab/>
      </w:r>
      <w:r>
        <w:fldChar w:fldCharType="begin"/>
      </w:r>
      <w:r>
        <w:instrText xml:space="preserve"> PAGEREF _Toc161636883 \h </w:instrText>
      </w:r>
      <w:r>
        <w:fldChar w:fldCharType="separate"/>
      </w:r>
      <w:r w:rsidR="00AA7BA7">
        <w:t>207</w:t>
      </w:r>
      <w:r>
        <w:fldChar w:fldCharType="end"/>
      </w:r>
    </w:p>
    <w:p w:rsidR="00AF2508" w:rsidRDefault="00AF2508">
      <w:pPr>
        <w:pStyle w:val="TOC4"/>
        <w:rPr>
          <w:rFonts w:ascii="Times New Roman" w:hAnsi="Times New Roman"/>
          <w:b w:val="0"/>
          <w:sz w:val="24"/>
          <w:szCs w:val="24"/>
        </w:rPr>
      </w:pPr>
      <w:r>
        <w:rPr>
          <w:szCs w:val="26"/>
        </w:rPr>
        <w:t>Dynamic and repealed loadings</w:t>
      </w:r>
    </w:p>
    <w:p w:rsidR="00AF2508" w:rsidRDefault="00AF2508">
      <w:pPr>
        <w:pStyle w:val="TOC5"/>
        <w:rPr>
          <w:rFonts w:ascii="Times New Roman" w:hAnsi="Times New Roman"/>
          <w:sz w:val="24"/>
          <w:szCs w:val="24"/>
        </w:rPr>
      </w:pPr>
      <w:r>
        <w:rPr>
          <w:szCs w:val="24"/>
        </w:rPr>
        <w:tab/>
        <w:t>125</w:t>
      </w:r>
      <w:r>
        <w:tab/>
      </w:r>
      <w:r>
        <w:tab/>
      </w:r>
      <w:r>
        <w:fldChar w:fldCharType="begin"/>
      </w:r>
      <w:r>
        <w:instrText xml:space="preserve"> PAGEREF _Toc161636885 \h </w:instrText>
      </w:r>
      <w:r>
        <w:fldChar w:fldCharType="separate"/>
      </w:r>
      <w:r w:rsidR="00AA7BA7">
        <w:t>208</w:t>
      </w:r>
      <w:r>
        <w:fldChar w:fldCharType="end"/>
      </w:r>
    </w:p>
    <w:p w:rsidR="00AF2508" w:rsidRDefault="00AF2508">
      <w:pPr>
        <w:pStyle w:val="TOC4"/>
        <w:rPr>
          <w:rFonts w:ascii="Times New Roman" w:hAnsi="Times New Roman"/>
          <w:b w:val="0"/>
          <w:sz w:val="24"/>
          <w:szCs w:val="24"/>
        </w:rPr>
      </w:pPr>
      <w:r>
        <w:rPr>
          <w:szCs w:val="26"/>
        </w:rPr>
        <w:t>Maximum permissible stresses</w:t>
      </w:r>
    </w:p>
    <w:p w:rsidR="00AF2508" w:rsidRDefault="00AF2508">
      <w:pPr>
        <w:pStyle w:val="TOC5"/>
        <w:rPr>
          <w:rFonts w:ascii="Times New Roman" w:hAnsi="Times New Roman"/>
          <w:sz w:val="24"/>
          <w:szCs w:val="24"/>
        </w:rPr>
      </w:pPr>
      <w:r>
        <w:rPr>
          <w:szCs w:val="24"/>
        </w:rPr>
        <w:tab/>
        <w:t>126</w:t>
      </w:r>
      <w:r>
        <w:tab/>
      </w:r>
      <w:r>
        <w:tab/>
      </w:r>
      <w:r>
        <w:fldChar w:fldCharType="begin"/>
      </w:r>
      <w:r>
        <w:instrText xml:space="preserve"> PAGEREF _Toc161636887 \h </w:instrText>
      </w:r>
      <w:r>
        <w:fldChar w:fldCharType="separate"/>
      </w:r>
      <w:r w:rsidR="00AA7BA7">
        <w:t>209</w:t>
      </w:r>
      <w:r>
        <w:fldChar w:fldCharType="end"/>
      </w:r>
    </w:p>
    <w:p w:rsidR="00AF2508" w:rsidRDefault="00AF2508">
      <w:pPr>
        <w:pStyle w:val="TOC4"/>
        <w:rPr>
          <w:rFonts w:ascii="Times New Roman" w:hAnsi="Times New Roman"/>
          <w:b w:val="0"/>
          <w:sz w:val="24"/>
          <w:szCs w:val="24"/>
        </w:rPr>
      </w:pPr>
      <w:r>
        <w:rPr>
          <w:szCs w:val="26"/>
        </w:rPr>
        <w:t>General</w:t>
      </w:r>
    </w:p>
    <w:p w:rsidR="00AF2508" w:rsidRDefault="00AF2508">
      <w:pPr>
        <w:pStyle w:val="TOC5"/>
        <w:rPr>
          <w:rFonts w:ascii="Times New Roman" w:hAnsi="Times New Roman"/>
          <w:sz w:val="24"/>
          <w:szCs w:val="24"/>
        </w:rPr>
      </w:pPr>
      <w:r>
        <w:rPr>
          <w:szCs w:val="24"/>
        </w:rPr>
        <w:tab/>
        <w:t>127</w:t>
      </w:r>
      <w:r>
        <w:tab/>
      </w:r>
      <w:r>
        <w:tab/>
      </w:r>
      <w:r>
        <w:fldChar w:fldCharType="begin"/>
      </w:r>
      <w:r>
        <w:instrText xml:space="preserve"> PAGEREF _Toc161636889 \h </w:instrText>
      </w:r>
      <w:r>
        <w:fldChar w:fldCharType="separate"/>
      </w:r>
      <w:r w:rsidR="00AA7BA7">
        <w:t>233</w:t>
      </w:r>
      <w:r>
        <w:fldChar w:fldCharType="end"/>
      </w:r>
    </w:p>
    <w:p w:rsidR="00AF2508" w:rsidRDefault="00AF2508">
      <w:pPr>
        <w:pStyle w:val="TOC4"/>
        <w:rPr>
          <w:rFonts w:ascii="Times New Roman" w:hAnsi="Times New Roman"/>
          <w:b w:val="0"/>
          <w:sz w:val="24"/>
          <w:szCs w:val="24"/>
        </w:rPr>
      </w:pPr>
      <w:r>
        <w:rPr>
          <w:szCs w:val="26"/>
        </w:rPr>
        <w:t>Stability</w:t>
      </w:r>
    </w:p>
    <w:p w:rsidR="00AF2508" w:rsidRDefault="00AF2508">
      <w:pPr>
        <w:pStyle w:val="TOC5"/>
        <w:rPr>
          <w:rFonts w:ascii="Times New Roman" w:hAnsi="Times New Roman"/>
          <w:sz w:val="24"/>
          <w:szCs w:val="24"/>
        </w:rPr>
      </w:pPr>
      <w:r>
        <w:rPr>
          <w:szCs w:val="24"/>
        </w:rPr>
        <w:tab/>
        <w:t>128</w:t>
      </w:r>
      <w:r>
        <w:tab/>
      </w:r>
      <w:r>
        <w:tab/>
      </w:r>
      <w:r>
        <w:fldChar w:fldCharType="begin"/>
      </w:r>
      <w:r>
        <w:instrText xml:space="preserve"> PAGEREF _Toc161636891 \h </w:instrText>
      </w:r>
      <w:r>
        <w:fldChar w:fldCharType="separate"/>
      </w:r>
      <w:r w:rsidR="00AA7BA7">
        <w:t>267</w:t>
      </w:r>
      <w:r>
        <w:fldChar w:fldCharType="end"/>
      </w:r>
    </w:p>
    <w:p w:rsidR="00AF2508" w:rsidRDefault="00AF2508">
      <w:pPr>
        <w:pStyle w:val="TOC4"/>
        <w:rPr>
          <w:rFonts w:ascii="Times New Roman" w:hAnsi="Times New Roman"/>
          <w:b w:val="0"/>
          <w:sz w:val="24"/>
          <w:szCs w:val="24"/>
        </w:rPr>
      </w:pPr>
      <w:r>
        <w:rPr>
          <w:szCs w:val="26"/>
        </w:rPr>
        <w:t>Test loads</w:t>
      </w:r>
    </w:p>
    <w:p w:rsidR="00AF2508" w:rsidRDefault="00AF2508">
      <w:pPr>
        <w:pStyle w:val="TOC5"/>
        <w:rPr>
          <w:rFonts w:ascii="Times New Roman" w:hAnsi="Times New Roman"/>
          <w:sz w:val="24"/>
          <w:szCs w:val="24"/>
        </w:rPr>
      </w:pPr>
      <w:r>
        <w:rPr>
          <w:szCs w:val="24"/>
        </w:rPr>
        <w:tab/>
        <w:t>129</w:t>
      </w:r>
      <w:r>
        <w:tab/>
      </w:r>
      <w:r>
        <w:tab/>
      </w:r>
      <w:r>
        <w:fldChar w:fldCharType="begin"/>
      </w:r>
      <w:r>
        <w:instrText xml:space="preserve"> PAGEREF _Toc161636893 \h </w:instrText>
      </w:r>
      <w:r>
        <w:fldChar w:fldCharType="separate"/>
      </w:r>
      <w:r w:rsidR="00AA7BA7">
        <w:t>271</w:t>
      </w:r>
      <w:r>
        <w:fldChar w:fldCharType="end"/>
      </w:r>
    </w:p>
    <w:p w:rsidR="00AF2508" w:rsidRDefault="00AF2508">
      <w:pPr>
        <w:pStyle w:val="TOC4"/>
        <w:rPr>
          <w:rFonts w:ascii="Times New Roman" w:hAnsi="Times New Roman"/>
          <w:b w:val="0"/>
          <w:sz w:val="24"/>
          <w:szCs w:val="24"/>
        </w:rPr>
      </w:pPr>
      <w:r>
        <w:rPr>
          <w:szCs w:val="26"/>
        </w:rPr>
        <w:t>Mechanical</w:t>
      </w:r>
    </w:p>
    <w:p w:rsidR="00AF2508" w:rsidRDefault="00AF2508">
      <w:pPr>
        <w:pStyle w:val="TOC5"/>
        <w:rPr>
          <w:rFonts w:ascii="Times New Roman" w:hAnsi="Times New Roman"/>
          <w:sz w:val="24"/>
          <w:szCs w:val="24"/>
        </w:rPr>
      </w:pPr>
      <w:r>
        <w:rPr>
          <w:szCs w:val="24"/>
        </w:rPr>
        <w:tab/>
        <w:t>130</w:t>
      </w:r>
      <w:r>
        <w:tab/>
      </w:r>
      <w:r>
        <w:tab/>
      </w:r>
      <w:r>
        <w:fldChar w:fldCharType="begin"/>
      </w:r>
      <w:r>
        <w:instrText xml:space="preserve"> PAGEREF _Toc161636895 \h </w:instrText>
      </w:r>
      <w:r>
        <w:fldChar w:fldCharType="separate"/>
      </w:r>
      <w:r w:rsidR="00AA7BA7">
        <w:t>272</w:t>
      </w:r>
      <w:r>
        <w:fldChar w:fldCharType="end"/>
      </w:r>
    </w:p>
    <w:p w:rsidR="00AF2508" w:rsidRDefault="00AF2508">
      <w:pPr>
        <w:pStyle w:val="TOC4"/>
        <w:rPr>
          <w:rFonts w:ascii="Times New Roman" w:hAnsi="Times New Roman"/>
          <w:b w:val="0"/>
          <w:sz w:val="24"/>
          <w:szCs w:val="24"/>
        </w:rPr>
      </w:pPr>
      <w:r>
        <w:rPr>
          <w:szCs w:val="26"/>
        </w:rPr>
        <w:t>Materials</w:t>
      </w:r>
    </w:p>
    <w:p w:rsidR="00AF2508" w:rsidRDefault="00AF2508">
      <w:pPr>
        <w:pStyle w:val="TOC5"/>
        <w:rPr>
          <w:rFonts w:ascii="Times New Roman" w:hAnsi="Times New Roman"/>
          <w:sz w:val="24"/>
          <w:szCs w:val="24"/>
        </w:rPr>
      </w:pPr>
      <w:r>
        <w:rPr>
          <w:szCs w:val="24"/>
        </w:rPr>
        <w:tab/>
        <w:t>131</w:t>
      </w:r>
      <w:r>
        <w:tab/>
      </w:r>
      <w:r>
        <w:tab/>
      </w:r>
      <w:r>
        <w:fldChar w:fldCharType="begin"/>
      </w:r>
      <w:r>
        <w:instrText xml:space="preserve"> PAGEREF _Toc161636897 \h </w:instrText>
      </w:r>
      <w:r>
        <w:fldChar w:fldCharType="separate"/>
      </w:r>
      <w:r w:rsidR="00AA7BA7">
        <w:t>292</w:t>
      </w:r>
      <w:r>
        <w:fldChar w:fldCharType="end"/>
      </w:r>
    </w:p>
    <w:p w:rsidR="00AF2508" w:rsidRDefault="00AF2508">
      <w:pPr>
        <w:pStyle w:val="TOC3"/>
        <w:rPr>
          <w:rFonts w:ascii="Times New Roman" w:hAnsi="Times New Roman"/>
          <w:b w:val="0"/>
          <w:sz w:val="24"/>
          <w:szCs w:val="24"/>
        </w:rPr>
      </w:pPr>
      <w:r>
        <w:rPr>
          <w:szCs w:val="28"/>
        </w:rPr>
        <w:t>Fencing—general</w:t>
      </w:r>
    </w:p>
    <w:p w:rsidR="00AF2508" w:rsidRDefault="00AF2508">
      <w:pPr>
        <w:pStyle w:val="TOC5"/>
        <w:rPr>
          <w:rFonts w:ascii="Times New Roman" w:hAnsi="Times New Roman"/>
          <w:sz w:val="24"/>
          <w:szCs w:val="24"/>
        </w:rPr>
      </w:pPr>
      <w:r>
        <w:rPr>
          <w:szCs w:val="24"/>
        </w:rPr>
        <w:tab/>
        <w:t>132</w:t>
      </w:r>
      <w:r>
        <w:tab/>
      </w:r>
      <w:r>
        <w:tab/>
      </w:r>
      <w:r>
        <w:fldChar w:fldCharType="begin"/>
      </w:r>
      <w:r>
        <w:instrText xml:space="preserve"> PAGEREF _Toc161636899 \h </w:instrText>
      </w:r>
      <w:r>
        <w:fldChar w:fldCharType="separate"/>
      </w:r>
      <w:r w:rsidR="00AA7BA7">
        <w:t>295</w:t>
      </w:r>
      <w:r>
        <w:fldChar w:fldCharType="end"/>
      </w:r>
    </w:p>
    <w:p w:rsidR="00AF2508" w:rsidRDefault="00AF2508">
      <w:pPr>
        <w:pStyle w:val="TOC4"/>
        <w:rPr>
          <w:rFonts w:ascii="Times New Roman" w:hAnsi="Times New Roman"/>
          <w:b w:val="0"/>
          <w:sz w:val="24"/>
          <w:szCs w:val="24"/>
        </w:rPr>
      </w:pPr>
      <w:r>
        <w:rPr>
          <w:szCs w:val="26"/>
        </w:rPr>
        <w:t>Jointers</w:t>
      </w:r>
    </w:p>
    <w:p w:rsidR="00AF2508" w:rsidRDefault="00AF2508">
      <w:pPr>
        <w:pStyle w:val="TOC5"/>
        <w:rPr>
          <w:rFonts w:ascii="Times New Roman" w:hAnsi="Times New Roman"/>
          <w:sz w:val="24"/>
          <w:szCs w:val="24"/>
        </w:rPr>
      </w:pPr>
      <w:r>
        <w:rPr>
          <w:szCs w:val="24"/>
        </w:rPr>
        <w:tab/>
        <w:t>132A</w:t>
      </w:r>
      <w:r>
        <w:tab/>
      </w:r>
      <w:r>
        <w:tab/>
      </w:r>
      <w:r>
        <w:fldChar w:fldCharType="begin"/>
      </w:r>
      <w:r>
        <w:instrText xml:space="preserve"> PAGEREF _Toc161636901 \h </w:instrText>
      </w:r>
      <w:r>
        <w:fldChar w:fldCharType="separate"/>
      </w:r>
      <w:r w:rsidR="00AA7BA7">
        <w:t>297</w:t>
      </w:r>
      <w:r>
        <w:fldChar w:fldCharType="end"/>
      </w:r>
    </w:p>
    <w:p w:rsidR="00AF2508" w:rsidRDefault="00AF2508">
      <w:pPr>
        <w:pStyle w:val="TOC4"/>
        <w:rPr>
          <w:rFonts w:ascii="Times New Roman" w:hAnsi="Times New Roman"/>
          <w:b w:val="0"/>
          <w:sz w:val="24"/>
          <w:szCs w:val="24"/>
        </w:rPr>
      </w:pPr>
      <w:r>
        <w:rPr>
          <w:szCs w:val="26"/>
        </w:rPr>
        <w:t>Electrical</w:t>
      </w:r>
    </w:p>
    <w:p w:rsidR="00AF2508" w:rsidRDefault="00AF2508">
      <w:pPr>
        <w:pStyle w:val="TOC5"/>
        <w:rPr>
          <w:rFonts w:ascii="Times New Roman" w:hAnsi="Times New Roman"/>
          <w:sz w:val="24"/>
          <w:szCs w:val="24"/>
        </w:rPr>
      </w:pPr>
      <w:r>
        <w:rPr>
          <w:szCs w:val="24"/>
        </w:rPr>
        <w:tab/>
        <w:t>133</w:t>
      </w:r>
      <w:r>
        <w:tab/>
      </w:r>
      <w:r>
        <w:tab/>
      </w:r>
      <w:r>
        <w:fldChar w:fldCharType="begin"/>
      </w:r>
      <w:r>
        <w:instrText xml:space="preserve"> PAGEREF _Toc161636903 \h </w:instrText>
      </w:r>
      <w:r>
        <w:fldChar w:fldCharType="separate"/>
      </w:r>
      <w:r w:rsidR="00AA7BA7">
        <w:t>298</w:t>
      </w:r>
      <w:r>
        <w:fldChar w:fldCharType="end"/>
      </w:r>
    </w:p>
    <w:p w:rsidR="00AF2508" w:rsidRDefault="00AF2508">
      <w:pPr>
        <w:pStyle w:val="TOC4"/>
        <w:rPr>
          <w:rFonts w:ascii="Times New Roman" w:hAnsi="Times New Roman"/>
          <w:b w:val="0"/>
          <w:sz w:val="24"/>
          <w:szCs w:val="24"/>
        </w:rPr>
      </w:pPr>
      <w:r>
        <w:rPr>
          <w:szCs w:val="26"/>
        </w:rPr>
        <w:t>Stiff-leg derrick cranes</w:t>
      </w:r>
    </w:p>
    <w:p w:rsidR="00AF2508" w:rsidRDefault="00AF2508">
      <w:pPr>
        <w:pStyle w:val="TOC5"/>
        <w:rPr>
          <w:rFonts w:ascii="Times New Roman" w:hAnsi="Times New Roman"/>
          <w:sz w:val="24"/>
          <w:szCs w:val="24"/>
        </w:rPr>
      </w:pPr>
      <w:r>
        <w:rPr>
          <w:szCs w:val="24"/>
        </w:rPr>
        <w:tab/>
        <w:t>134</w:t>
      </w:r>
      <w:r>
        <w:tab/>
      </w:r>
      <w:r>
        <w:tab/>
      </w:r>
      <w:r>
        <w:fldChar w:fldCharType="begin"/>
      </w:r>
      <w:r>
        <w:instrText xml:space="preserve"> PAGEREF _Toc161636905 \h </w:instrText>
      </w:r>
      <w:r>
        <w:fldChar w:fldCharType="separate"/>
      </w:r>
      <w:r w:rsidR="00AA7BA7">
        <w:t>305</w:t>
      </w:r>
      <w:r>
        <w:fldChar w:fldCharType="end"/>
      </w:r>
    </w:p>
    <w:p w:rsidR="00AF2508" w:rsidRDefault="00AF2508">
      <w:pPr>
        <w:pStyle w:val="TOC4"/>
        <w:rPr>
          <w:rFonts w:ascii="Times New Roman" w:hAnsi="Times New Roman"/>
          <w:b w:val="0"/>
          <w:sz w:val="24"/>
          <w:szCs w:val="24"/>
        </w:rPr>
      </w:pPr>
      <w:r>
        <w:t>Caterpillar cranes and mobile cranes</w:t>
      </w:r>
    </w:p>
    <w:p w:rsidR="00AF2508" w:rsidRDefault="00AF2508">
      <w:pPr>
        <w:pStyle w:val="TOC5"/>
        <w:rPr>
          <w:rFonts w:ascii="Times New Roman" w:hAnsi="Times New Roman"/>
          <w:sz w:val="24"/>
          <w:szCs w:val="24"/>
        </w:rPr>
      </w:pPr>
      <w:r>
        <w:rPr>
          <w:szCs w:val="24"/>
        </w:rPr>
        <w:tab/>
        <w:t>135</w:t>
      </w:r>
      <w:r>
        <w:tab/>
      </w:r>
      <w:r>
        <w:tab/>
      </w:r>
      <w:r>
        <w:fldChar w:fldCharType="begin"/>
      </w:r>
      <w:r>
        <w:instrText xml:space="preserve"> PAGEREF _Toc161636907 \h </w:instrText>
      </w:r>
      <w:r>
        <w:fldChar w:fldCharType="separate"/>
      </w:r>
      <w:r w:rsidR="00AA7BA7">
        <w:t>308</w:t>
      </w:r>
      <w:r>
        <w:fldChar w:fldCharType="end"/>
      </w:r>
    </w:p>
    <w:p w:rsidR="00AF2508" w:rsidRDefault="00AF2508">
      <w:pPr>
        <w:pStyle w:val="TOC3"/>
        <w:rPr>
          <w:rFonts w:ascii="Times New Roman" w:hAnsi="Times New Roman"/>
          <w:b w:val="0"/>
          <w:sz w:val="24"/>
          <w:szCs w:val="24"/>
        </w:rPr>
      </w:pPr>
      <w:r>
        <w:t>Gravity operated overwinding limit devices</w:t>
      </w:r>
    </w:p>
    <w:p w:rsidR="00AF2508" w:rsidRDefault="00AF2508">
      <w:pPr>
        <w:pStyle w:val="TOC4"/>
        <w:rPr>
          <w:rFonts w:ascii="Times New Roman" w:hAnsi="Times New Roman"/>
          <w:b w:val="0"/>
          <w:sz w:val="24"/>
          <w:szCs w:val="24"/>
        </w:rPr>
      </w:pPr>
      <w:r>
        <w:rPr>
          <w:szCs w:val="26"/>
        </w:rPr>
        <w:t>Electrical</w:t>
      </w:r>
    </w:p>
    <w:p w:rsidR="00AF2508" w:rsidRDefault="00AF2508">
      <w:pPr>
        <w:pStyle w:val="TOC5"/>
        <w:rPr>
          <w:rFonts w:ascii="Times New Roman" w:hAnsi="Times New Roman"/>
          <w:sz w:val="24"/>
          <w:szCs w:val="24"/>
        </w:rPr>
      </w:pPr>
      <w:r>
        <w:rPr>
          <w:szCs w:val="24"/>
        </w:rPr>
        <w:tab/>
        <w:t>136</w:t>
      </w:r>
      <w:r>
        <w:tab/>
      </w:r>
      <w:r>
        <w:tab/>
      </w:r>
      <w:r>
        <w:fldChar w:fldCharType="begin"/>
      </w:r>
      <w:r>
        <w:instrText xml:space="preserve"> PAGEREF _Toc161636910 \h </w:instrText>
      </w:r>
      <w:r>
        <w:fldChar w:fldCharType="separate"/>
      </w:r>
      <w:r w:rsidR="00AA7BA7">
        <w:t>309</w:t>
      </w:r>
      <w:r>
        <w:fldChar w:fldCharType="end"/>
      </w:r>
    </w:p>
    <w:p w:rsidR="00AF2508" w:rsidRDefault="00AF2508">
      <w:pPr>
        <w:pStyle w:val="TOC4"/>
        <w:rPr>
          <w:rFonts w:ascii="Times New Roman" w:hAnsi="Times New Roman"/>
          <w:b w:val="0"/>
          <w:sz w:val="24"/>
          <w:szCs w:val="24"/>
        </w:rPr>
      </w:pPr>
      <w:r>
        <w:rPr>
          <w:szCs w:val="26"/>
        </w:rPr>
        <w:t>Fork-lift trucks</w:t>
      </w:r>
    </w:p>
    <w:p w:rsidR="00AF2508" w:rsidRDefault="00AF2508">
      <w:pPr>
        <w:pStyle w:val="TOC5"/>
        <w:rPr>
          <w:rFonts w:ascii="Times New Roman" w:hAnsi="Times New Roman"/>
          <w:sz w:val="24"/>
          <w:szCs w:val="24"/>
        </w:rPr>
      </w:pPr>
      <w:r>
        <w:rPr>
          <w:szCs w:val="24"/>
        </w:rPr>
        <w:tab/>
        <w:t>137</w:t>
      </w:r>
      <w:r>
        <w:tab/>
      </w:r>
      <w:r>
        <w:tab/>
      </w:r>
      <w:r>
        <w:fldChar w:fldCharType="begin"/>
      </w:r>
      <w:r>
        <w:instrText xml:space="preserve"> PAGEREF _Toc161636912 \h </w:instrText>
      </w:r>
      <w:r>
        <w:fldChar w:fldCharType="separate"/>
      </w:r>
      <w:r w:rsidR="00AA7BA7">
        <w:t>312</w:t>
      </w:r>
      <w:r>
        <w:fldChar w:fldCharType="end"/>
      </w:r>
    </w:p>
    <w:p w:rsidR="00AF2508" w:rsidRDefault="00AF2508">
      <w:pPr>
        <w:pStyle w:val="TOC4"/>
        <w:rPr>
          <w:rFonts w:ascii="Times New Roman" w:hAnsi="Times New Roman"/>
          <w:b w:val="0"/>
          <w:sz w:val="24"/>
          <w:szCs w:val="24"/>
        </w:rPr>
      </w:pPr>
      <w:r>
        <w:rPr>
          <w:szCs w:val="26"/>
        </w:rPr>
        <w:t>Commercial type hoists</w:t>
      </w:r>
    </w:p>
    <w:p w:rsidR="00AF2508" w:rsidRDefault="00AF2508">
      <w:pPr>
        <w:pStyle w:val="TOC5"/>
        <w:rPr>
          <w:rFonts w:ascii="Times New Roman" w:hAnsi="Times New Roman"/>
          <w:sz w:val="24"/>
          <w:szCs w:val="24"/>
        </w:rPr>
      </w:pPr>
      <w:r>
        <w:rPr>
          <w:szCs w:val="24"/>
        </w:rPr>
        <w:tab/>
        <w:t>138</w:t>
      </w:r>
      <w:r>
        <w:tab/>
      </w:r>
      <w:r>
        <w:tab/>
      </w:r>
      <w:r>
        <w:fldChar w:fldCharType="begin"/>
      </w:r>
      <w:r>
        <w:instrText xml:space="preserve"> PAGEREF _Toc161636914 \h </w:instrText>
      </w:r>
      <w:r>
        <w:fldChar w:fldCharType="separate"/>
      </w:r>
      <w:r w:rsidR="00AA7BA7">
        <w:t>314</w:t>
      </w:r>
      <w:r>
        <w:fldChar w:fldCharType="end"/>
      </w:r>
    </w:p>
    <w:p w:rsidR="00AF2508" w:rsidRDefault="00AF2508">
      <w:pPr>
        <w:pStyle w:val="TOC4"/>
        <w:rPr>
          <w:rFonts w:ascii="Times New Roman" w:hAnsi="Times New Roman"/>
          <w:b w:val="0"/>
          <w:sz w:val="24"/>
          <w:szCs w:val="24"/>
        </w:rPr>
      </w:pPr>
      <w:r>
        <w:t>Tower hoists for constructional, building, demolition, or excavation works</w:t>
      </w:r>
    </w:p>
    <w:p w:rsidR="00AF2508" w:rsidRDefault="00AF2508">
      <w:pPr>
        <w:pStyle w:val="TOC5"/>
        <w:rPr>
          <w:rFonts w:ascii="Times New Roman" w:hAnsi="Times New Roman"/>
          <w:sz w:val="24"/>
          <w:szCs w:val="24"/>
        </w:rPr>
      </w:pPr>
      <w:r>
        <w:rPr>
          <w:szCs w:val="24"/>
        </w:rPr>
        <w:tab/>
        <w:t>139</w:t>
      </w:r>
      <w:r>
        <w:tab/>
      </w:r>
      <w:r>
        <w:tab/>
      </w:r>
      <w:r>
        <w:fldChar w:fldCharType="begin"/>
      </w:r>
      <w:r>
        <w:instrText xml:space="preserve"> PAGEREF _Toc161636916 \h </w:instrText>
      </w:r>
      <w:r>
        <w:fldChar w:fldCharType="separate"/>
      </w:r>
      <w:r w:rsidR="00AA7BA7">
        <w:t>316</w:t>
      </w:r>
      <w:r>
        <w:fldChar w:fldCharType="end"/>
      </w:r>
    </w:p>
    <w:p w:rsidR="00AF2508" w:rsidRDefault="00AF2508">
      <w:pPr>
        <w:pStyle w:val="TOC4"/>
        <w:rPr>
          <w:rFonts w:ascii="Times New Roman" w:hAnsi="Times New Roman"/>
          <w:b w:val="0"/>
          <w:sz w:val="24"/>
          <w:szCs w:val="24"/>
        </w:rPr>
      </w:pPr>
      <w:r>
        <w:t>Whip or sheerleg hoists for constructional, building, demolition, or excavation works</w:t>
      </w:r>
    </w:p>
    <w:p w:rsidR="00AF2508" w:rsidRDefault="00AF2508">
      <w:pPr>
        <w:pStyle w:val="TOC5"/>
        <w:rPr>
          <w:rFonts w:ascii="Times New Roman" w:hAnsi="Times New Roman"/>
          <w:sz w:val="24"/>
          <w:szCs w:val="24"/>
        </w:rPr>
      </w:pPr>
      <w:r>
        <w:rPr>
          <w:szCs w:val="24"/>
        </w:rPr>
        <w:tab/>
        <w:t>140</w:t>
      </w:r>
      <w:r>
        <w:tab/>
      </w:r>
      <w:r>
        <w:tab/>
      </w:r>
      <w:r>
        <w:fldChar w:fldCharType="begin"/>
      </w:r>
      <w:r>
        <w:instrText xml:space="preserve"> PAGEREF _Toc161636918 \h </w:instrText>
      </w:r>
      <w:r>
        <w:fldChar w:fldCharType="separate"/>
      </w:r>
      <w:r w:rsidR="00AA7BA7">
        <w:t>324</w:t>
      </w:r>
      <w:r>
        <w:fldChar w:fldCharType="end"/>
      </w:r>
    </w:p>
    <w:p w:rsidR="00AF2508" w:rsidRDefault="00AF2508">
      <w:pPr>
        <w:pStyle w:val="TOC2"/>
        <w:rPr>
          <w:rFonts w:ascii="Times New Roman" w:hAnsi="Times New Roman"/>
          <w:b w:val="0"/>
          <w:szCs w:val="24"/>
        </w:rPr>
      </w:pPr>
      <w:r>
        <w:t>Part 12</w:t>
      </w:r>
      <w:r>
        <w:rPr>
          <w:rFonts w:ascii="Times New Roman" w:hAnsi="Times New Roman"/>
          <w:b w:val="0"/>
          <w:szCs w:val="24"/>
        </w:rPr>
        <w:tab/>
      </w:r>
      <w:r>
        <w:t>Plant and gear</w:t>
      </w:r>
    </w:p>
    <w:p w:rsidR="00AF2508" w:rsidRDefault="00AF2508">
      <w:pPr>
        <w:pStyle w:val="TOC4"/>
        <w:rPr>
          <w:rFonts w:ascii="Times New Roman" w:hAnsi="Times New Roman"/>
          <w:b w:val="0"/>
          <w:sz w:val="24"/>
          <w:szCs w:val="24"/>
        </w:rPr>
      </w:pPr>
      <w:r>
        <w:rPr>
          <w:szCs w:val="26"/>
        </w:rPr>
        <w:t>General</w:t>
      </w:r>
    </w:p>
    <w:p w:rsidR="00AF2508" w:rsidRDefault="00AF2508">
      <w:pPr>
        <w:pStyle w:val="TOC5"/>
        <w:rPr>
          <w:rFonts w:ascii="Times New Roman" w:hAnsi="Times New Roman"/>
          <w:sz w:val="24"/>
          <w:szCs w:val="24"/>
        </w:rPr>
      </w:pPr>
      <w:r>
        <w:rPr>
          <w:szCs w:val="24"/>
        </w:rPr>
        <w:tab/>
        <w:t>141</w:t>
      </w:r>
      <w:r>
        <w:tab/>
      </w:r>
      <w:r>
        <w:tab/>
      </w:r>
      <w:r>
        <w:fldChar w:fldCharType="begin"/>
      </w:r>
      <w:r>
        <w:instrText xml:space="preserve"> PAGEREF _Toc161636921 \h </w:instrText>
      </w:r>
      <w:r>
        <w:fldChar w:fldCharType="separate"/>
      </w:r>
      <w:r w:rsidR="00AA7BA7">
        <w:t>327</w:t>
      </w:r>
      <w:r>
        <w:fldChar w:fldCharType="end"/>
      </w:r>
    </w:p>
    <w:p w:rsidR="00AF2508" w:rsidRDefault="00AF2508">
      <w:pPr>
        <w:pStyle w:val="TOC3"/>
        <w:rPr>
          <w:rFonts w:ascii="Times New Roman" w:hAnsi="Times New Roman"/>
          <w:b w:val="0"/>
          <w:sz w:val="24"/>
          <w:szCs w:val="24"/>
        </w:rPr>
      </w:pPr>
      <w:r>
        <w:rPr>
          <w:szCs w:val="28"/>
        </w:rPr>
        <w:t>Ladders</w:t>
      </w:r>
    </w:p>
    <w:p w:rsidR="00AF2508" w:rsidRDefault="00AF2508">
      <w:pPr>
        <w:pStyle w:val="TOC4"/>
        <w:rPr>
          <w:rFonts w:ascii="Times New Roman" w:hAnsi="Times New Roman"/>
          <w:b w:val="0"/>
          <w:sz w:val="24"/>
          <w:szCs w:val="24"/>
        </w:rPr>
      </w:pPr>
      <w:r>
        <w:rPr>
          <w:szCs w:val="26"/>
        </w:rPr>
        <w:t>Definitions</w:t>
      </w:r>
    </w:p>
    <w:p w:rsidR="00AF2508" w:rsidRDefault="00AF2508">
      <w:pPr>
        <w:pStyle w:val="TOC5"/>
        <w:rPr>
          <w:rFonts w:ascii="Times New Roman" w:hAnsi="Times New Roman"/>
          <w:sz w:val="24"/>
          <w:szCs w:val="24"/>
        </w:rPr>
      </w:pPr>
      <w:r>
        <w:rPr>
          <w:szCs w:val="24"/>
        </w:rPr>
        <w:tab/>
        <w:t>142</w:t>
      </w:r>
      <w:r>
        <w:tab/>
      </w:r>
      <w:r>
        <w:tab/>
      </w:r>
      <w:r>
        <w:fldChar w:fldCharType="begin"/>
      </w:r>
      <w:r>
        <w:instrText xml:space="preserve"> PAGEREF _Toc161636924 \h </w:instrText>
      </w:r>
      <w:r>
        <w:fldChar w:fldCharType="separate"/>
      </w:r>
      <w:r w:rsidR="00AA7BA7">
        <w:t>327</w:t>
      </w:r>
      <w:r>
        <w:fldChar w:fldCharType="end"/>
      </w:r>
    </w:p>
    <w:p w:rsidR="00AF2508" w:rsidRDefault="00AF2508">
      <w:pPr>
        <w:pStyle w:val="TOC4"/>
        <w:rPr>
          <w:rFonts w:ascii="Times New Roman" w:hAnsi="Times New Roman"/>
          <w:b w:val="0"/>
          <w:sz w:val="24"/>
          <w:szCs w:val="24"/>
        </w:rPr>
      </w:pPr>
      <w:r>
        <w:t>Chain for use in connection with cranes, lifts, hoists, scaffolding, plant, gear, or building work, excavation work, or compressed air work</w:t>
      </w:r>
    </w:p>
    <w:p w:rsidR="00AF2508" w:rsidRDefault="00AF2508">
      <w:pPr>
        <w:pStyle w:val="TOC5"/>
        <w:rPr>
          <w:rFonts w:ascii="Times New Roman" w:hAnsi="Times New Roman"/>
          <w:sz w:val="24"/>
          <w:szCs w:val="24"/>
        </w:rPr>
      </w:pPr>
      <w:r>
        <w:rPr>
          <w:szCs w:val="24"/>
        </w:rPr>
        <w:tab/>
        <w:t>143</w:t>
      </w:r>
      <w:r>
        <w:tab/>
      </w:r>
      <w:r>
        <w:tab/>
      </w:r>
      <w:r>
        <w:fldChar w:fldCharType="begin"/>
      </w:r>
      <w:r>
        <w:instrText xml:space="preserve"> PAGEREF _Toc161636926 \h </w:instrText>
      </w:r>
      <w:r>
        <w:fldChar w:fldCharType="separate"/>
      </w:r>
      <w:r w:rsidR="00AA7BA7">
        <w:t>347</w:t>
      </w:r>
      <w:r>
        <w:fldChar w:fldCharType="end"/>
      </w:r>
    </w:p>
    <w:p w:rsidR="00AF2508" w:rsidRDefault="00AF2508">
      <w:pPr>
        <w:pStyle w:val="TOC4"/>
        <w:rPr>
          <w:rFonts w:ascii="Times New Roman" w:hAnsi="Times New Roman"/>
          <w:b w:val="0"/>
          <w:sz w:val="24"/>
          <w:szCs w:val="24"/>
        </w:rPr>
      </w:pPr>
      <w:r>
        <w:t>Steel wire ropes for use in connection with cranes, lifts, hoists, scaffolding, plant, gear, or building work, excavation work, or compressed air work</w:t>
      </w:r>
    </w:p>
    <w:p w:rsidR="00AF2508" w:rsidRDefault="00AF2508">
      <w:pPr>
        <w:pStyle w:val="TOC5"/>
        <w:rPr>
          <w:rFonts w:ascii="Times New Roman" w:hAnsi="Times New Roman"/>
          <w:sz w:val="24"/>
          <w:szCs w:val="24"/>
        </w:rPr>
      </w:pPr>
      <w:r>
        <w:rPr>
          <w:szCs w:val="24"/>
        </w:rPr>
        <w:tab/>
        <w:t>144</w:t>
      </w:r>
      <w:r>
        <w:tab/>
      </w:r>
      <w:r>
        <w:tab/>
      </w:r>
      <w:r>
        <w:fldChar w:fldCharType="begin"/>
      </w:r>
      <w:r>
        <w:instrText xml:space="preserve"> PAGEREF _Toc161636928 \h </w:instrText>
      </w:r>
      <w:r>
        <w:fldChar w:fldCharType="separate"/>
      </w:r>
      <w:r w:rsidR="00AA7BA7">
        <w:t>360</w:t>
      </w:r>
      <w:r>
        <w:fldChar w:fldCharType="end"/>
      </w:r>
    </w:p>
    <w:p w:rsidR="00AF2508" w:rsidRDefault="00AF2508">
      <w:pPr>
        <w:pStyle w:val="TOC4"/>
        <w:rPr>
          <w:rFonts w:ascii="Times New Roman" w:hAnsi="Times New Roman"/>
          <w:b w:val="0"/>
          <w:sz w:val="24"/>
          <w:szCs w:val="24"/>
        </w:rPr>
      </w:pPr>
      <w:r>
        <w:t>Fibre rope for use in connection with cranes, lifts, hoists, scaffolding, plant, gear, or building work, excavation work, or compressed air work</w:t>
      </w:r>
    </w:p>
    <w:p w:rsidR="00AF2508" w:rsidRDefault="00AF2508">
      <w:pPr>
        <w:pStyle w:val="TOC5"/>
        <w:rPr>
          <w:rFonts w:ascii="Times New Roman" w:hAnsi="Times New Roman"/>
          <w:sz w:val="24"/>
          <w:szCs w:val="24"/>
        </w:rPr>
      </w:pPr>
      <w:r>
        <w:rPr>
          <w:szCs w:val="24"/>
        </w:rPr>
        <w:tab/>
        <w:t>145</w:t>
      </w:r>
      <w:r>
        <w:tab/>
      </w:r>
      <w:r>
        <w:tab/>
      </w:r>
      <w:r>
        <w:fldChar w:fldCharType="begin"/>
      </w:r>
      <w:r>
        <w:instrText xml:space="preserve"> PAGEREF _Toc161636930 \h </w:instrText>
      </w:r>
      <w:r>
        <w:fldChar w:fldCharType="separate"/>
      </w:r>
      <w:r w:rsidR="00AA7BA7">
        <w:t>399</w:t>
      </w:r>
      <w:r>
        <w:fldChar w:fldCharType="end"/>
      </w:r>
    </w:p>
    <w:p w:rsidR="00AF2508" w:rsidRDefault="00AF2508">
      <w:pPr>
        <w:pStyle w:val="TOC4"/>
        <w:rPr>
          <w:rFonts w:ascii="Times New Roman" w:hAnsi="Times New Roman"/>
          <w:b w:val="0"/>
          <w:sz w:val="24"/>
          <w:szCs w:val="24"/>
        </w:rPr>
      </w:pPr>
      <w:r>
        <w:rPr>
          <w:szCs w:val="26"/>
        </w:rPr>
        <w:t>Airlocks</w:t>
      </w:r>
    </w:p>
    <w:p w:rsidR="00AF2508" w:rsidRDefault="00AF2508">
      <w:pPr>
        <w:pStyle w:val="TOC5"/>
        <w:rPr>
          <w:rFonts w:ascii="Times New Roman" w:hAnsi="Times New Roman"/>
          <w:sz w:val="24"/>
          <w:szCs w:val="24"/>
        </w:rPr>
      </w:pPr>
      <w:r>
        <w:rPr>
          <w:szCs w:val="24"/>
        </w:rPr>
        <w:tab/>
        <w:t>146</w:t>
      </w:r>
      <w:r>
        <w:tab/>
      </w:r>
      <w:r>
        <w:tab/>
      </w:r>
      <w:r>
        <w:fldChar w:fldCharType="begin"/>
      </w:r>
      <w:r>
        <w:instrText xml:space="preserve"> PAGEREF _Toc161636932 \h </w:instrText>
      </w:r>
      <w:r>
        <w:fldChar w:fldCharType="separate"/>
      </w:r>
      <w:r w:rsidR="00AA7BA7">
        <w:t>403</w:t>
      </w:r>
      <w:r>
        <w:fldChar w:fldCharType="end"/>
      </w:r>
    </w:p>
    <w:p w:rsidR="00AF2508" w:rsidRDefault="00AF2508">
      <w:pPr>
        <w:pStyle w:val="TOC4"/>
        <w:rPr>
          <w:rFonts w:ascii="Times New Roman" w:hAnsi="Times New Roman"/>
          <w:b w:val="0"/>
          <w:sz w:val="24"/>
          <w:szCs w:val="24"/>
        </w:rPr>
      </w:pPr>
      <w:r>
        <w:rPr>
          <w:szCs w:val="26"/>
        </w:rPr>
        <w:t>Bordeaux connections</w:t>
      </w:r>
    </w:p>
    <w:p w:rsidR="00AF2508" w:rsidRDefault="00AF2508">
      <w:pPr>
        <w:pStyle w:val="TOC5"/>
        <w:rPr>
          <w:rFonts w:ascii="Times New Roman" w:hAnsi="Times New Roman"/>
          <w:sz w:val="24"/>
          <w:szCs w:val="24"/>
        </w:rPr>
      </w:pPr>
      <w:r>
        <w:rPr>
          <w:szCs w:val="24"/>
        </w:rPr>
        <w:tab/>
        <w:t>147</w:t>
      </w:r>
      <w:r>
        <w:tab/>
      </w:r>
      <w:r>
        <w:tab/>
      </w:r>
      <w:r>
        <w:fldChar w:fldCharType="begin"/>
      </w:r>
      <w:r>
        <w:instrText xml:space="preserve"> PAGEREF _Toc161636934 \h </w:instrText>
      </w:r>
      <w:r>
        <w:fldChar w:fldCharType="separate"/>
      </w:r>
      <w:r w:rsidR="00AA7BA7">
        <w:t>403</w:t>
      </w:r>
      <w:r>
        <w:fldChar w:fldCharType="end"/>
      </w:r>
    </w:p>
    <w:p w:rsidR="00AF2508" w:rsidRDefault="00AF2508">
      <w:pPr>
        <w:pStyle w:val="TOC4"/>
        <w:rPr>
          <w:rFonts w:ascii="Times New Roman" w:hAnsi="Times New Roman"/>
          <w:b w:val="0"/>
          <w:sz w:val="24"/>
          <w:szCs w:val="24"/>
        </w:rPr>
      </w:pPr>
      <w:r>
        <w:rPr>
          <w:szCs w:val="26"/>
        </w:rPr>
        <w:t>Sockets for wire ropes</w:t>
      </w:r>
    </w:p>
    <w:p w:rsidR="00AF2508" w:rsidRDefault="00AF2508">
      <w:pPr>
        <w:pStyle w:val="TOC5"/>
        <w:rPr>
          <w:rFonts w:ascii="Times New Roman" w:hAnsi="Times New Roman"/>
          <w:sz w:val="24"/>
          <w:szCs w:val="24"/>
        </w:rPr>
      </w:pPr>
      <w:r>
        <w:rPr>
          <w:szCs w:val="24"/>
        </w:rPr>
        <w:tab/>
        <w:t>148</w:t>
      </w:r>
      <w:r>
        <w:tab/>
      </w:r>
      <w:r>
        <w:tab/>
      </w:r>
      <w:r>
        <w:fldChar w:fldCharType="begin"/>
      </w:r>
      <w:r>
        <w:instrText xml:space="preserve"> PAGEREF _Toc161636936 \h </w:instrText>
      </w:r>
      <w:r>
        <w:fldChar w:fldCharType="separate"/>
      </w:r>
      <w:r w:rsidR="00AA7BA7">
        <w:t>403</w:t>
      </w:r>
      <w:r>
        <w:fldChar w:fldCharType="end"/>
      </w:r>
    </w:p>
    <w:p w:rsidR="00AF2508" w:rsidRDefault="00AF2508">
      <w:pPr>
        <w:pStyle w:val="TOC4"/>
        <w:rPr>
          <w:rFonts w:ascii="Times New Roman" w:hAnsi="Times New Roman"/>
          <w:b w:val="0"/>
          <w:sz w:val="24"/>
          <w:szCs w:val="24"/>
        </w:rPr>
      </w:pPr>
      <w:r>
        <w:rPr>
          <w:szCs w:val="26"/>
        </w:rPr>
        <w:t>Thimbles for wire and fibre rope</w:t>
      </w:r>
    </w:p>
    <w:p w:rsidR="00AF2508" w:rsidRDefault="00AF2508">
      <w:pPr>
        <w:pStyle w:val="TOC5"/>
        <w:rPr>
          <w:rFonts w:ascii="Times New Roman" w:hAnsi="Times New Roman"/>
          <w:sz w:val="24"/>
          <w:szCs w:val="24"/>
        </w:rPr>
      </w:pPr>
      <w:r>
        <w:rPr>
          <w:szCs w:val="24"/>
        </w:rPr>
        <w:tab/>
        <w:t>149</w:t>
      </w:r>
      <w:r>
        <w:tab/>
      </w:r>
      <w:r>
        <w:tab/>
      </w:r>
      <w:r>
        <w:fldChar w:fldCharType="begin"/>
      </w:r>
      <w:r>
        <w:instrText xml:space="preserve"> PAGEREF _Toc161636938 \h </w:instrText>
      </w:r>
      <w:r>
        <w:fldChar w:fldCharType="separate"/>
      </w:r>
      <w:r w:rsidR="00AA7BA7">
        <w:t>403</w:t>
      </w:r>
      <w:r>
        <w:fldChar w:fldCharType="end"/>
      </w:r>
    </w:p>
    <w:p w:rsidR="00AF2508" w:rsidRDefault="00AF2508">
      <w:pPr>
        <w:pStyle w:val="TOC4"/>
        <w:rPr>
          <w:rFonts w:ascii="Times New Roman" w:hAnsi="Times New Roman"/>
          <w:b w:val="0"/>
          <w:sz w:val="24"/>
          <w:szCs w:val="24"/>
        </w:rPr>
      </w:pPr>
      <w:r>
        <w:rPr>
          <w:szCs w:val="26"/>
        </w:rPr>
        <w:t>Steel eye bolts</w:t>
      </w:r>
    </w:p>
    <w:p w:rsidR="00AF2508" w:rsidRDefault="00AF2508">
      <w:pPr>
        <w:pStyle w:val="TOC5"/>
        <w:rPr>
          <w:rFonts w:ascii="Times New Roman" w:hAnsi="Times New Roman"/>
          <w:sz w:val="24"/>
          <w:szCs w:val="24"/>
        </w:rPr>
      </w:pPr>
      <w:r>
        <w:rPr>
          <w:szCs w:val="24"/>
        </w:rPr>
        <w:tab/>
        <w:t>150</w:t>
      </w:r>
      <w:r>
        <w:tab/>
      </w:r>
      <w:r>
        <w:tab/>
      </w:r>
      <w:r>
        <w:fldChar w:fldCharType="begin"/>
      </w:r>
      <w:r>
        <w:instrText xml:space="preserve"> PAGEREF _Toc161636940 \h </w:instrText>
      </w:r>
      <w:r>
        <w:fldChar w:fldCharType="separate"/>
      </w:r>
      <w:r w:rsidR="00AA7BA7">
        <w:t>404</w:t>
      </w:r>
      <w:r>
        <w:fldChar w:fldCharType="end"/>
      </w:r>
    </w:p>
    <w:p w:rsidR="00AF2508" w:rsidRDefault="00AF2508">
      <w:pPr>
        <w:pStyle w:val="TOC4"/>
        <w:rPr>
          <w:rFonts w:ascii="Times New Roman" w:hAnsi="Times New Roman"/>
          <w:b w:val="0"/>
          <w:sz w:val="24"/>
          <w:szCs w:val="24"/>
        </w:rPr>
      </w:pPr>
      <w:r>
        <w:t>Mild steel rigging screws, and stretching screws and turnbuckles</w:t>
      </w:r>
    </w:p>
    <w:p w:rsidR="00AF2508" w:rsidRDefault="00AF2508">
      <w:pPr>
        <w:pStyle w:val="TOC5"/>
        <w:rPr>
          <w:rFonts w:ascii="Times New Roman" w:hAnsi="Times New Roman"/>
          <w:sz w:val="24"/>
          <w:szCs w:val="24"/>
        </w:rPr>
      </w:pPr>
      <w:r>
        <w:rPr>
          <w:szCs w:val="24"/>
        </w:rPr>
        <w:tab/>
        <w:t>151</w:t>
      </w:r>
      <w:r>
        <w:tab/>
      </w:r>
      <w:r>
        <w:tab/>
      </w:r>
      <w:r>
        <w:fldChar w:fldCharType="begin"/>
      </w:r>
      <w:r>
        <w:instrText xml:space="preserve"> PAGEREF _Toc161636942 \h </w:instrText>
      </w:r>
      <w:r>
        <w:fldChar w:fldCharType="separate"/>
      </w:r>
      <w:r w:rsidR="00AA7BA7">
        <w:t>404</w:t>
      </w:r>
      <w:r>
        <w:fldChar w:fldCharType="end"/>
      </w:r>
    </w:p>
    <w:p w:rsidR="00AF2508" w:rsidRDefault="00AF2508">
      <w:pPr>
        <w:pStyle w:val="TOC4"/>
        <w:rPr>
          <w:rFonts w:ascii="Times New Roman" w:hAnsi="Times New Roman"/>
          <w:b w:val="0"/>
          <w:sz w:val="24"/>
          <w:szCs w:val="24"/>
        </w:rPr>
      </w:pPr>
      <w:r>
        <w:rPr>
          <w:szCs w:val="26"/>
        </w:rPr>
        <w:t>Mild steel shackles</w:t>
      </w:r>
    </w:p>
    <w:p w:rsidR="00AF2508" w:rsidRDefault="00AF2508">
      <w:pPr>
        <w:pStyle w:val="TOC5"/>
        <w:rPr>
          <w:rFonts w:ascii="Times New Roman" w:hAnsi="Times New Roman"/>
          <w:sz w:val="24"/>
          <w:szCs w:val="24"/>
        </w:rPr>
      </w:pPr>
      <w:r>
        <w:rPr>
          <w:szCs w:val="24"/>
        </w:rPr>
        <w:tab/>
        <w:t>152</w:t>
      </w:r>
      <w:r>
        <w:tab/>
      </w:r>
      <w:r>
        <w:tab/>
      </w:r>
      <w:r>
        <w:fldChar w:fldCharType="begin"/>
      </w:r>
      <w:r>
        <w:instrText xml:space="preserve"> PAGEREF _Toc161636944 \h </w:instrText>
      </w:r>
      <w:r>
        <w:fldChar w:fldCharType="separate"/>
      </w:r>
      <w:r w:rsidR="00AA7BA7">
        <w:t>404</w:t>
      </w:r>
      <w:r>
        <w:fldChar w:fldCharType="end"/>
      </w:r>
    </w:p>
    <w:p w:rsidR="00AF2508" w:rsidRDefault="00AF2508">
      <w:pPr>
        <w:pStyle w:val="TOC4"/>
        <w:rPr>
          <w:rFonts w:ascii="Times New Roman" w:hAnsi="Times New Roman"/>
          <w:b w:val="0"/>
          <w:sz w:val="24"/>
          <w:szCs w:val="24"/>
        </w:rPr>
      </w:pPr>
      <w:r>
        <w:t>Rings, links alternative to rings, egg links and Intermediate links</w:t>
      </w:r>
    </w:p>
    <w:p w:rsidR="00AF2508" w:rsidRDefault="00AF2508">
      <w:pPr>
        <w:pStyle w:val="TOC5"/>
        <w:rPr>
          <w:rFonts w:ascii="Times New Roman" w:hAnsi="Times New Roman"/>
          <w:sz w:val="24"/>
          <w:szCs w:val="24"/>
        </w:rPr>
      </w:pPr>
      <w:r>
        <w:rPr>
          <w:szCs w:val="24"/>
        </w:rPr>
        <w:tab/>
        <w:t>153</w:t>
      </w:r>
      <w:r>
        <w:tab/>
      </w:r>
      <w:r>
        <w:tab/>
      </w:r>
      <w:r>
        <w:fldChar w:fldCharType="begin"/>
      </w:r>
      <w:r>
        <w:instrText xml:space="preserve"> PAGEREF _Toc161636946 \h </w:instrText>
      </w:r>
      <w:r>
        <w:fldChar w:fldCharType="separate"/>
      </w:r>
      <w:r w:rsidR="00AA7BA7">
        <w:t>405</w:t>
      </w:r>
      <w:r>
        <w:fldChar w:fldCharType="end"/>
      </w:r>
    </w:p>
    <w:p w:rsidR="00AF2508" w:rsidRDefault="00AF2508">
      <w:pPr>
        <w:pStyle w:val="TOC4"/>
        <w:rPr>
          <w:rFonts w:ascii="Times New Roman" w:hAnsi="Times New Roman"/>
          <w:b w:val="0"/>
          <w:sz w:val="24"/>
          <w:szCs w:val="24"/>
        </w:rPr>
      </w:pPr>
      <w:r>
        <w:rPr>
          <w:szCs w:val="26"/>
        </w:rPr>
        <w:t>Handrails</w:t>
      </w:r>
    </w:p>
    <w:p w:rsidR="00AF2508" w:rsidRDefault="00AF2508">
      <w:pPr>
        <w:pStyle w:val="TOC5"/>
        <w:rPr>
          <w:rFonts w:ascii="Times New Roman" w:hAnsi="Times New Roman"/>
          <w:sz w:val="24"/>
          <w:szCs w:val="24"/>
        </w:rPr>
      </w:pPr>
      <w:r>
        <w:rPr>
          <w:szCs w:val="24"/>
        </w:rPr>
        <w:tab/>
        <w:t>154</w:t>
      </w:r>
      <w:r>
        <w:tab/>
      </w:r>
      <w:r>
        <w:tab/>
      </w:r>
      <w:r>
        <w:fldChar w:fldCharType="begin"/>
      </w:r>
      <w:r>
        <w:instrText xml:space="preserve"> PAGEREF _Toc161636948 \h </w:instrText>
      </w:r>
      <w:r>
        <w:fldChar w:fldCharType="separate"/>
      </w:r>
      <w:r w:rsidR="00AA7BA7">
        <w:t>405</w:t>
      </w:r>
      <w:r>
        <w:fldChar w:fldCharType="end"/>
      </w:r>
    </w:p>
    <w:p w:rsidR="00AF2508" w:rsidRDefault="00AF2508">
      <w:pPr>
        <w:pStyle w:val="TOC4"/>
        <w:rPr>
          <w:rFonts w:ascii="Times New Roman" w:hAnsi="Times New Roman"/>
          <w:b w:val="0"/>
          <w:sz w:val="24"/>
          <w:szCs w:val="24"/>
        </w:rPr>
      </w:pPr>
      <w:r>
        <w:rPr>
          <w:szCs w:val="26"/>
        </w:rPr>
        <w:t>Rope clips</w:t>
      </w:r>
    </w:p>
    <w:p w:rsidR="00AF2508" w:rsidRDefault="00AF2508">
      <w:pPr>
        <w:pStyle w:val="TOC5"/>
        <w:rPr>
          <w:rFonts w:ascii="Times New Roman" w:hAnsi="Times New Roman"/>
          <w:sz w:val="24"/>
          <w:szCs w:val="24"/>
        </w:rPr>
      </w:pPr>
      <w:r>
        <w:rPr>
          <w:szCs w:val="24"/>
        </w:rPr>
        <w:tab/>
        <w:t>155</w:t>
      </w:r>
      <w:r>
        <w:tab/>
      </w:r>
      <w:r>
        <w:tab/>
      </w:r>
      <w:r>
        <w:fldChar w:fldCharType="begin"/>
      </w:r>
      <w:r>
        <w:instrText xml:space="preserve"> PAGEREF _Toc161636950 \h </w:instrText>
      </w:r>
      <w:r>
        <w:fldChar w:fldCharType="separate"/>
      </w:r>
      <w:r w:rsidR="00AA7BA7">
        <w:t>406</w:t>
      </w:r>
      <w:r>
        <w:fldChar w:fldCharType="end"/>
      </w:r>
    </w:p>
    <w:p w:rsidR="00AF2508" w:rsidRDefault="00AF2508">
      <w:pPr>
        <w:pStyle w:val="TOC4"/>
        <w:rPr>
          <w:rFonts w:ascii="Times New Roman" w:hAnsi="Times New Roman"/>
          <w:b w:val="0"/>
          <w:sz w:val="24"/>
          <w:szCs w:val="24"/>
        </w:rPr>
      </w:pPr>
      <w:r>
        <w:rPr>
          <w:szCs w:val="26"/>
        </w:rPr>
        <w:t>Gin blocks used with fibre rope</w:t>
      </w:r>
    </w:p>
    <w:p w:rsidR="00AF2508" w:rsidRDefault="00AF2508">
      <w:pPr>
        <w:pStyle w:val="TOC5"/>
        <w:rPr>
          <w:rFonts w:ascii="Times New Roman" w:hAnsi="Times New Roman"/>
          <w:sz w:val="24"/>
          <w:szCs w:val="24"/>
        </w:rPr>
      </w:pPr>
      <w:r>
        <w:rPr>
          <w:szCs w:val="24"/>
        </w:rPr>
        <w:tab/>
        <w:t>156</w:t>
      </w:r>
      <w:r>
        <w:tab/>
      </w:r>
      <w:r>
        <w:tab/>
      </w:r>
      <w:r>
        <w:fldChar w:fldCharType="begin"/>
      </w:r>
      <w:r>
        <w:instrText xml:space="preserve"> PAGEREF _Toc161636952 \h </w:instrText>
      </w:r>
      <w:r>
        <w:fldChar w:fldCharType="separate"/>
      </w:r>
      <w:r w:rsidR="00AA7BA7">
        <w:t>406</w:t>
      </w:r>
      <w:r>
        <w:fldChar w:fldCharType="end"/>
      </w:r>
    </w:p>
    <w:p w:rsidR="00AF2508" w:rsidRDefault="00AF2508">
      <w:pPr>
        <w:pStyle w:val="TOC4"/>
        <w:rPr>
          <w:rFonts w:ascii="Times New Roman" w:hAnsi="Times New Roman"/>
          <w:b w:val="0"/>
          <w:sz w:val="24"/>
          <w:szCs w:val="24"/>
        </w:rPr>
      </w:pPr>
      <w:r>
        <w:rPr>
          <w:szCs w:val="26"/>
        </w:rPr>
        <w:t>Lift boxes</w:t>
      </w:r>
    </w:p>
    <w:p w:rsidR="00AF2508" w:rsidRDefault="00AF2508">
      <w:pPr>
        <w:pStyle w:val="TOC5"/>
        <w:rPr>
          <w:rFonts w:ascii="Times New Roman" w:hAnsi="Times New Roman"/>
          <w:sz w:val="24"/>
          <w:szCs w:val="24"/>
        </w:rPr>
      </w:pPr>
      <w:r>
        <w:rPr>
          <w:szCs w:val="24"/>
        </w:rPr>
        <w:tab/>
        <w:t>157</w:t>
      </w:r>
      <w:r>
        <w:tab/>
      </w:r>
      <w:r>
        <w:tab/>
      </w:r>
      <w:r>
        <w:fldChar w:fldCharType="begin"/>
      </w:r>
      <w:r>
        <w:instrText xml:space="preserve"> PAGEREF _Toc161636954 \h </w:instrText>
      </w:r>
      <w:r>
        <w:fldChar w:fldCharType="separate"/>
      </w:r>
      <w:r w:rsidR="00AA7BA7">
        <w:t>407</w:t>
      </w:r>
      <w:r>
        <w:fldChar w:fldCharType="end"/>
      </w:r>
    </w:p>
    <w:p w:rsidR="00AF2508" w:rsidRDefault="00AF2508">
      <w:pPr>
        <w:pStyle w:val="TOC2"/>
        <w:keepLines/>
        <w:rPr>
          <w:rFonts w:ascii="Times New Roman" w:hAnsi="Times New Roman"/>
          <w:b w:val="0"/>
          <w:szCs w:val="24"/>
        </w:rPr>
      </w:pPr>
      <w:r>
        <w:t>Part 13</w:t>
      </w:r>
      <w:r>
        <w:rPr>
          <w:rFonts w:ascii="Times New Roman" w:hAnsi="Times New Roman"/>
          <w:b w:val="0"/>
          <w:szCs w:val="24"/>
        </w:rPr>
        <w:tab/>
      </w:r>
      <w:r>
        <w:t>Precautions and measures to be taken for securing the safety of persons in connection with roofs sheathed with asbestos cement or other brittle material</w:t>
      </w:r>
    </w:p>
    <w:p w:rsidR="00AF2508" w:rsidRDefault="00AF2508">
      <w:pPr>
        <w:pStyle w:val="TOC5"/>
        <w:rPr>
          <w:rFonts w:ascii="Times New Roman" w:hAnsi="Times New Roman"/>
          <w:sz w:val="24"/>
          <w:szCs w:val="24"/>
        </w:rPr>
      </w:pPr>
      <w:r>
        <w:rPr>
          <w:szCs w:val="24"/>
        </w:rPr>
        <w:tab/>
        <w:t>158</w:t>
      </w:r>
      <w:r>
        <w:tab/>
      </w:r>
      <w:r>
        <w:tab/>
      </w:r>
      <w:r>
        <w:fldChar w:fldCharType="begin"/>
      </w:r>
      <w:r>
        <w:instrText xml:space="preserve"> PAGEREF _Toc161636956 \h </w:instrText>
      </w:r>
      <w:r>
        <w:fldChar w:fldCharType="separate"/>
      </w:r>
      <w:r w:rsidR="00AA7BA7">
        <w:t>408</w:t>
      </w:r>
      <w:r>
        <w:fldChar w:fldCharType="end"/>
      </w:r>
    </w:p>
    <w:p w:rsidR="00AF2508" w:rsidRDefault="00AF2508">
      <w:pPr>
        <w:pStyle w:val="TOC2"/>
        <w:rPr>
          <w:rFonts w:ascii="Times New Roman" w:hAnsi="Times New Roman"/>
          <w:b w:val="0"/>
          <w:szCs w:val="24"/>
        </w:rPr>
      </w:pPr>
      <w:r>
        <w:t>Part 16</w:t>
      </w:r>
      <w:r>
        <w:rPr>
          <w:rFonts w:ascii="Times New Roman" w:hAnsi="Times New Roman"/>
          <w:b w:val="0"/>
          <w:szCs w:val="24"/>
        </w:rPr>
        <w:tab/>
      </w:r>
      <w:r>
        <w:t>Miscellaneous and penalties</w:t>
      </w:r>
    </w:p>
    <w:p w:rsidR="00AF2508" w:rsidRDefault="00AF2508">
      <w:pPr>
        <w:pStyle w:val="TOC4"/>
        <w:rPr>
          <w:rFonts w:ascii="Times New Roman" w:hAnsi="Times New Roman"/>
          <w:b w:val="0"/>
          <w:sz w:val="24"/>
          <w:szCs w:val="24"/>
        </w:rPr>
      </w:pPr>
      <w:r>
        <w:rPr>
          <w:szCs w:val="26"/>
        </w:rPr>
        <w:t>General penalty</w:t>
      </w:r>
    </w:p>
    <w:p w:rsidR="00AF2508" w:rsidRDefault="00AF2508">
      <w:pPr>
        <w:pStyle w:val="TOC5"/>
        <w:rPr>
          <w:rFonts w:ascii="Times New Roman" w:hAnsi="Times New Roman"/>
          <w:sz w:val="24"/>
          <w:szCs w:val="24"/>
        </w:rPr>
      </w:pPr>
      <w:r>
        <w:rPr>
          <w:szCs w:val="24"/>
        </w:rPr>
        <w:tab/>
        <w:t>164</w:t>
      </w:r>
      <w:r>
        <w:tab/>
      </w:r>
      <w:r>
        <w:tab/>
      </w:r>
      <w:r>
        <w:fldChar w:fldCharType="begin"/>
      </w:r>
      <w:r>
        <w:instrText xml:space="preserve"> PAGEREF _Toc161636959 \h </w:instrText>
      </w:r>
      <w:r>
        <w:fldChar w:fldCharType="separate"/>
      </w:r>
      <w:r w:rsidR="00AA7BA7">
        <w:t>417</w:t>
      </w:r>
      <w:r>
        <w:fldChar w:fldCharType="end"/>
      </w:r>
    </w:p>
    <w:p w:rsidR="00AF2508" w:rsidRDefault="00AF2508">
      <w:pPr>
        <w:pStyle w:val="TOC6"/>
        <w:rPr>
          <w:rFonts w:ascii="Times New Roman" w:hAnsi="Times New Roman"/>
          <w:b w:val="0"/>
          <w:szCs w:val="24"/>
        </w:rPr>
      </w:pPr>
      <w:r>
        <w:t>Schedule 3</w:t>
      </w:r>
      <w:r>
        <w:rPr>
          <w:rFonts w:ascii="Times New Roman" w:hAnsi="Times New Roman"/>
          <w:b w:val="0"/>
          <w:szCs w:val="24"/>
        </w:rPr>
        <w:tab/>
      </w:r>
      <w:r>
        <w:t>Method of treatment of silica paint for the purpose of ascertaining the percentage of free silica present</w:t>
      </w:r>
      <w:r>
        <w:tab/>
      </w:r>
      <w:r>
        <w:rPr>
          <w:b w:val="0"/>
          <w:sz w:val="20"/>
        </w:rPr>
        <w:fldChar w:fldCharType="begin"/>
      </w:r>
      <w:r>
        <w:rPr>
          <w:b w:val="0"/>
          <w:sz w:val="20"/>
        </w:rPr>
        <w:instrText xml:space="preserve"> PAGEREF _Toc161636960 \h </w:instrText>
      </w:r>
      <w:r>
        <w:rPr>
          <w:b w:val="0"/>
          <w:sz w:val="20"/>
        </w:rPr>
      </w:r>
      <w:r>
        <w:rPr>
          <w:b w:val="0"/>
          <w:sz w:val="20"/>
        </w:rPr>
        <w:fldChar w:fldCharType="separate"/>
      </w:r>
      <w:r w:rsidR="00AA7BA7">
        <w:rPr>
          <w:b w:val="0"/>
          <w:sz w:val="20"/>
        </w:rPr>
        <w:t>418</w:t>
      </w:r>
      <w:r>
        <w:rPr>
          <w:b w:val="0"/>
          <w:sz w:val="20"/>
        </w:rPr>
        <w:fldChar w:fldCharType="end"/>
      </w:r>
    </w:p>
    <w:p w:rsidR="00AF2508" w:rsidRDefault="00AF2508">
      <w:pPr>
        <w:pStyle w:val="TOC6"/>
        <w:rPr>
          <w:rFonts w:ascii="Times New Roman" w:hAnsi="Times New Roman"/>
          <w:b w:val="0"/>
          <w:szCs w:val="24"/>
        </w:rPr>
      </w:pPr>
      <w:r>
        <w:t>Schedule 4</w:t>
      </w:r>
      <w:r>
        <w:rPr>
          <w:rFonts w:ascii="Times New Roman" w:hAnsi="Times New Roman"/>
          <w:b w:val="0"/>
          <w:szCs w:val="24"/>
        </w:rPr>
        <w:tab/>
      </w:r>
      <w:r>
        <w:t>Processes to which s 73 (1) (o) applies</w:t>
      </w:r>
      <w:r>
        <w:tab/>
      </w:r>
      <w:r>
        <w:rPr>
          <w:b w:val="0"/>
          <w:sz w:val="20"/>
        </w:rPr>
        <w:fldChar w:fldCharType="begin"/>
      </w:r>
      <w:r>
        <w:rPr>
          <w:b w:val="0"/>
          <w:sz w:val="20"/>
        </w:rPr>
        <w:instrText xml:space="preserve"> PAGEREF _Toc161636961 \h </w:instrText>
      </w:r>
      <w:r>
        <w:rPr>
          <w:b w:val="0"/>
          <w:sz w:val="20"/>
        </w:rPr>
      </w:r>
      <w:r>
        <w:rPr>
          <w:b w:val="0"/>
          <w:sz w:val="20"/>
        </w:rPr>
        <w:fldChar w:fldCharType="separate"/>
      </w:r>
      <w:r w:rsidR="00AA7BA7">
        <w:rPr>
          <w:b w:val="0"/>
          <w:sz w:val="20"/>
        </w:rPr>
        <w:t>419</w:t>
      </w:r>
      <w:r>
        <w:rPr>
          <w:b w:val="0"/>
          <w:sz w:val="20"/>
        </w:rPr>
        <w:fldChar w:fldCharType="end"/>
      </w:r>
    </w:p>
    <w:p w:rsidR="00AF2508" w:rsidRDefault="00AF2508">
      <w:pPr>
        <w:pStyle w:val="TOC6"/>
        <w:rPr>
          <w:rFonts w:ascii="Times New Roman" w:hAnsi="Times New Roman"/>
          <w:b w:val="0"/>
          <w:szCs w:val="24"/>
        </w:rPr>
      </w:pPr>
      <w:r>
        <w:t>Schedule 5</w:t>
      </w:r>
      <w:r>
        <w:rPr>
          <w:rFonts w:ascii="Times New Roman" w:hAnsi="Times New Roman"/>
          <w:b w:val="0"/>
          <w:szCs w:val="24"/>
        </w:rPr>
        <w:tab/>
      </w:r>
      <w:r>
        <w:t>Method of treatment of a lead compound for the purpose of determining the percentage of dry compound of lead</w:t>
      </w:r>
      <w:r>
        <w:tab/>
      </w:r>
      <w:r>
        <w:rPr>
          <w:b w:val="0"/>
          <w:sz w:val="20"/>
        </w:rPr>
        <w:fldChar w:fldCharType="begin"/>
      </w:r>
      <w:r>
        <w:rPr>
          <w:b w:val="0"/>
          <w:sz w:val="20"/>
        </w:rPr>
        <w:instrText xml:space="preserve"> PAGEREF _Toc161636962 \h </w:instrText>
      </w:r>
      <w:r>
        <w:rPr>
          <w:b w:val="0"/>
          <w:sz w:val="20"/>
        </w:rPr>
      </w:r>
      <w:r>
        <w:rPr>
          <w:b w:val="0"/>
          <w:sz w:val="20"/>
        </w:rPr>
        <w:fldChar w:fldCharType="separate"/>
      </w:r>
      <w:r w:rsidR="00AA7BA7">
        <w:rPr>
          <w:b w:val="0"/>
          <w:sz w:val="20"/>
        </w:rPr>
        <w:t>420</w:t>
      </w:r>
      <w:r>
        <w:rPr>
          <w:b w:val="0"/>
          <w:sz w:val="20"/>
        </w:rPr>
        <w:fldChar w:fldCharType="end"/>
      </w:r>
    </w:p>
    <w:p w:rsidR="00AF2508" w:rsidRDefault="00AF2508">
      <w:pPr>
        <w:pStyle w:val="TOC6"/>
        <w:rPr>
          <w:rFonts w:ascii="Times New Roman" w:hAnsi="Times New Roman"/>
          <w:b w:val="0"/>
          <w:szCs w:val="24"/>
        </w:rPr>
      </w:pPr>
      <w:r>
        <w:rPr>
          <w:szCs w:val="34"/>
        </w:rPr>
        <w:t>Schedule 7</w:t>
      </w:r>
      <w:r>
        <w:tab/>
      </w:r>
      <w:r>
        <w:tab/>
      </w:r>
      <w:r>
        <w:rPr>
          <w:b w:val="0"/>
          <w:sz w:val="20"/>
        </w:rPr>
        <w:fldChar w:fldCharType="begin"/>
      </w:r>
      <w:r>
        <w:rPr>
          <w:b w:val="0"/>
          <w:sz w:val="20"/>
        </w:rPr>
        <w:instrText xml:space="preserve"> PAGEREF _Toc161636963 \h </w:instrText>
      </w:r>
      <w:r>
        <w:rPr>
          <w:b w:val="0"/>
          <w:sz w:val="20"/>
        </w:rPr>
      </w:r>
      <w:r>
        <w:rPr>
          <w:b w:val="0"/>
          <w:sz w:val="20"/>
        </w:rPr>
        <w:fldChar w:fldCharType="separate"/>
      </w:r>
      <w:r w:rsidR="00AA7BA7">
        <w:rPr>
          <w:b w:val="0"/>
          <w:sz w:val="20"/>
        </w:rPr>
        <w:t>421</w:t>
      </w:r>
      <w:r>
        <w:rPr>
          <w:b w:val="0"/>
          <w:sz w:val="20"/>
        </w:rPr>
        <w:fldChar w:fldCharType="end"/>
      </w:r>
    </w:p>
    <w:p w:rsidR="00AF2508" w:rsidRDefault="00AF2508">
      <w:pPr>
        <w:pStyle w:val="TOC6"/>
        <w:rPr>
          <w:rFonts w:ascii="Times New Roman" w:hAnsi="Times New Roman"/>
          <w:b w:val="0"/>
          <w:szCs w:val="24"/>
        </w:rPr>
      </w:pPr>
      <w:r>
        <w:t>Schedule 8</w:t>
      </w:r>
      <w:r>
        <w:rPr>
          <w:rFonts w:ascii="Times New Roman" w:hAnsi="Times New Roman"/>
          <w:b w:val="0"/>
          <w:szCs w:val="24"/>
        </w:rPr>
        <w:tab/>
      </w:r>
      <w:r>
        <w:t>Medical standards and examination report for compressed air workers</w:t>
      </w:r>
      <w:r>
        <w:tab/>
      </w:r>
      <w:r>
        <w:rPr>
          <w:b w:val="0"/>
          <w:sz w:val="20"/>
        </w:rPr>
        <w:fldChar w:fldCharType="begin"/>
      </w:r>
      <w:r>
        <w:rPr>
          <w:b w:val="0"/>
          <w:sz w:val="20"/>
        </w:rPr>
        <w:instrText xml:space="preserve"> PAGEREF _Toc161636964 \h </w:instrText>
      </w:r>
      <w:r>
        <w:rPr>
          <w:b w:val="0"/>
          <w:sz w:val="20"/>
        </w:rPr>
      </w:r>
      <w:r>
        <w:rPr>
          <w:b w:val="0"/>
          <w:sz w:val="20"/>
        </w:rPr>
        <w:fldChar w:fldCharType="separate"/>
      </w:r>
      <w:r w:rsidR="00AA7BA7">
        <w:rPr>
          <w:b w:val="0"/>
          <w:sz w:val="20"/>
        </w:rPr>
        <w:t>455</w:t>
      </w:r>
      <w:r>
        <w:rPr>
          <w:b w:val="0"/>
          <w:sz w:val="20"/>
        </w:rPr>
        <w:fldChar w:fldCharType="end"/>
      </w:r>
    </w:p>
    <w:p w:rsidR="00AF2508" w:rsidRDefault="00AF2508">
      <w:pPr>
        <w:pStyle w:val="TOC6"/>
        <w:rPr>
          <w:rFonts w:ascii="Times New Roman" w:hAnsi="Times New Roman"/>
          <w:b w:val="0"/>
          <w:szCs w:val="24"/>
        </w:rPr>
      </w:pPr>
      <w:r>
        <w:t>Schedule 9</w:t>
      </w:r>
      <w:r>
        <w:rPr>
          <w:rFonts w:ascii="Times New Roman" w:hAnsi="Times New Roman"/>
          <w:b w:val="0"/>
          <w:szCs w:val="24"/>
        </w:rPr>
        <w:tab/>
      </w:r>
      <w:r>
        <w:t>Symptoms and treatment of compressed air illness</w:t>
      </w:r>
      <w:r>
        <w:tab/>
      </w:r>
      <w:r>
        <w:rPr>
          <w:b w:val="0"/>
          <w:sz w:val="20"/>
        </w:rPr>
        <w:fldChar w:fldCharType="begin"/>
      </w:r>
      <w:r>
        <w:rPr>
          <w:b w:val="0"/>
          <w:sz w:val="20"/>
        </w:rPr>
        <w:instrText xml:space="preserve"> PAGEREF _Toc161636965 \h </w:instrText>
      </w:r>
      <w:r>
        <w:rPr>
          <w:b w:val="0"/>
          <w:sz w:val="20"/>
        </w:rPr>
      </w:r>
      <w:r>
        <w:rPr>
          <w:b w:val="0"/>
          <w:sz w:val="20"/>
        </w:rPr>
        <w:fldChar w:fldCharType="separate"/>
      </w:r>
      <w:r w:rsidR="00AA7BA7">
        <w:rPr>
          <w:b w:val="0"/>
          <w:sz w:val="20"/>
        </w:rPr>
        <w:t>458</w:t>
      </w:r>
      <w:r>
        <w:rPr>
          <w:b w:val="0"/>
          <w:sz w:val="20"/>
        </w:rPr>
        <w:fldChar w:fldCharType="end"/>
      </w:r>
    </w:p>
    <w:p w:rsidR="00AF2508" w:rsidRDefault="00AF2508">
      <w:pPr>
        <w:pStyle w:val="TOC6"/>
        <w:rPr>
          <w:rFonts w:ascii="Times New Roman" w:hAnsi="Times New Roman"/>
          <w:b w:val="0"/>
          <w:szCs w:val="24"/>
        </w:rPr>
      </w:pPr>
      <w:r>
        <w:rPr>
          <w:szCs w:val="34"/>
        </w:rPr>
        <w:t>Dictionary</w:t>
      </w:r>
      <w:r>
        <w:rPr>
          <w:szCs w:val="34"/>
        </w:rPr>
        <w:tab/>
      </w:r>
      <w:r>
        <w:tab/>
      </w:r>
      <w:r>
        <w:rPr>
          <w:b w:val="0"/>
          <w:sz w:val="20"/>
        </w:rPr>
        <w:fldChar w:fldCharType="begin"/>
      </w:r>
      <w:r>
        <w:rPr>
          <w:b w:val="0"/>
          <w:sz w:val="20"/>
        </w:rPr>
        <w:instrText xml:space="preserve"> PAGEREF _Toc161636966 \h </w:instrText>
      </w:r>
      <w:r>
        <w:rPr>
          <w:b w:val="0"/>
          <w:sz w:val="20"/>
        </w:rPr>
      </w:r>
      <w:r>
        <w:rPr>
          <w:b w:val="0"/>
          <w:sz w:val="20"/>
        </w:rPr>
        <w:fldChar w:fldCharType="separate"/>
      </w:r>
      <w:r w:rsidR="00AA7BA7">
        <w:rPr>
          <w:b w:val="0"/>
          <w:sz w:val="20"/>
        </w:rPr>
        <w:t>460</w:t>
      </w:r>
      <w:r>
        <w:rPr>
          <w:b w:val="0"/>
          <w:sz w:val="20"/>
        </w:rPr>
        <w:fldChar w:fldCharType="end"/>
      </w:r>
    </w:p>
    <w:p w:rsidR="00AF2508" w:rsidRDefault="00AF2508">
      <w:pPr>
        <w:pStyle w:val="TOC7"/>
        <w:spacing w:before="480"/>
        <w:rPr>
          <w:rFonts w:ascii="Times New Roman" w:hAnsi="Times New Roman"/>
          <w:b w:val="0"/>
          <w:sz w:val="24"/>
          <w:szCs w:val="24"/>
        </w:rPr>
      </w:pPr>
      <w:r>
        <w:rPr>
          <w:szCs w:val="28"/>
        </w:rPr>
        <w:t>Endnotes</w:t>
      </w:r>
    </w:p>
    <w:p w:rsidR="00AF2508" w:rsidRDefault="00AF2508">
      <w:pPr>
        <w:pStyle w:val="TOC5"/>
        <w:rPr>
          <w:rFonts w:ascii="Times New Roman" w:hAnsi="Times New Roman"/>
          <w:sz w:val="24"/>
          <w:szCs w:val="24"/>
        </w:rPr>
      </w:pPr>
      <w:r>
        <w:rPr>
          <w:szCs w:val="24"/>
        </w:rPr>
        <w:tab/>
        <w:t>1</w:t>
      </w:r>
      <w:r>
        <w:rPr>
          <w:rFonts w:ascii="Times New Roman" w:hAnsi="Times New Roman"/>
          <w:sz w:val="24"/>
          <w:szCs w:val="24"/>
        </w:rPr>
        <w:tab/>
      </w:r>
      <w:r>
        <w:rPr>
          <w:szCs w:val="24"/>
        </w:rPr>
        <w:t>About the endnotes</w:t>
      </w:r>
      <w:r>
        <w:tab/>
      </w:r>
      <w:r>
        <w:fldChar w:fldCharType="begin"/>
      </w:r>
      <w:r>
        <w:instrText xml:space="preserve"> PAGEREF _Toc161636968 \h </w:instrText>
      </w:r>
      <w:r>
        <w:fldChar w:fldCharType="separate"/>
      </w:r>
      <w:r w:rsidR="00AA7BA7">
        <w:t>466</w:t>
      </w:r>
      <w:r>
        <w:fldChar w:fldCharType="end"/>
      </w:r>
    </w:p>
    <w:p w:rsidR="00AF2508" w:rsidRDefault="00AF2508">
      <w:pPr>
        <w:pStyle w:val="TOC5"/>
        <w:rPr>
          <w:rFonts w:ascii="Times New Roman" w:hAnsi="Times New Roman"/>
          <w:sz w:val="24"/>
          <w:szCs w:val="24"/>
        </w:rPr>
      </w:pPr>
      <w:r>
        <w:rPr>
          <w:szCs w:val="24"/>
        </w:rPr>
        <w:tab/>
        <w:t>2</w:t>
      </w:r>
      <w:r>
        <w:rPr>
          <w:rFonts w:ascii="Times New Roman" w:hAnsi="Times New Roman"/>
          <w:sz w:val="24"/>
          <w:szCs w:val="24"/>
        </w:rPr>
        <w:tab/>
      </w:r>
      <w:r>
        <w:rPr>
          <w:szCs w:val="24"/>
        </w:rPr>
        <w:t>Abbreviation key</w:t>
      </w:r>
      <w:r>
        <w:tab/>
      </w:r>
      <w:r>
        <w:fldChar w:fldCharType="begin"/>
      </w:r>
      <w:r>
        <w:instrText xml:space="preserve"> PAGEREF _Toc161636969 \h </w:instrText>
      </w:r>
      <w:r>
        <w:fldChar w:fldCharType="separate"/>
      </w:r>
      <w:r w:rsidR="00AA7BA7">
        <w:t>466</w:t>
      </w:r>
      <w:r>
        <w:fldChar w:fldCharType="end"/>
      </w:r>
    </w:p>
    <w:p w:rsidR="00AF2508" w:rsidRDefault="00AF2508">
      <w:pPr>
        <w:pStyle w:val="TOC5"/>
        <w:rPr>
          <w:rFonts w:ascii="Times New Roman" w:hAnsi="Times New Roman"/>
          <w:sz w:val="24"/>
          <w:szCs w:val="24"/>
        </w:rPr>
      </w:pPr>
      <w:r>
        <w:rPr>
          <w:szCs w:val="24"/>
        </w:rPr>
        <w:tab/>
        <w:t>3</w:t>
      </w:r>
      <w:r>
        <w:rPr>
          <w:rFonts w:ascii="Times New Roman" w:hAnsi="Times New Roman"/>
          <w:sz w:val="24"/>
          <w:szCs w:val="24"/>
        </w:rPr>
        <w:tab/>
      </w:r>
      <w:r>
        <w:rPr>
          <w:szCs w:val="24"/>
        </w:rPr>
        <w:t>Legislation history</w:t>
      </w:r>
      <w:r>
        <w:tab/>
      </w:r>
      <w:r>
        <w:fldChar w:fldCharType="begin"/>
      </w:r>
      <w:r>
        <w:instrText xml:space="preserve"> PAGEREF _Toc161636970 \h </w:instrText>
      </w:r>
      <w:r>
        <w:fldChar w:fldCharType="separate"/>
      </w:r>
      <w:r w:rsidR="00AA7BA7">
        <w:t>467</w:t>
      </w:r>
      <w:r>
        <w:fldChar w:fldCharType="end"/>
      </w:r>
    </w:p>
    <w:p w:rsidR="00AF2508" w:rsidRDefault="00AF2508">
      <w:pPr>
        <w:pStyle w:val="TOC5"/>
        <w:rPr>
          <w:rFonts w:ascii="Times New Roman" w:hAnsi="Times New Roman"/>
          <w:sz w:val="24"/>
          <w:szCs w:val="24"/>
        </w:rPr>
      </w:pPr>
      <w:r>
        <w:rPr>
          <w:szCs w:val="24"/>
        </w:rPr>
        <w:tab/>
        <w:t>4</w:t>
      </w:r>
      <w:r>
        <w:rPr>
          <w:rFonts w:ascii="Times New Roman" w:hAnsi="Times New Roman"/>
          <w:sz w:val="24"/>
          <w:szCs w:val="24"/>
        </w:rPr>
        <w:tab/>
      </w:r>
      <w:r>
        <w:rPr>
          <w:szCs w:val="24"/>
        </w:rPr>
        <w:t>Amendment history</w:t>
      </w:r>
      <w:r>
        <w:tab/>
      </w:r>
      <w:r>
        <w:fldChar w:fldCharType="begin"/>
      </w:r>
      <w:r>
        <w:instrText xml:space="preserve"> PAGEREF _Toc161636971 \h </w:instrText>
      </w:r>
      <w:r>
        <w:fldChar w:fldCharType="separate"/>
      </w:r>
      <w:r w:rsidR="00AA7BA7">
        <w:t>471</w:t>
      </w:r>
      <w:r>
        <w:fldChar w:fldCharType="end"/>
      </w:r>
    </w:p>
    <w:p w:rsidR="00AF2508" w:rsidRDefault="00AF2508">
      <w:pPr>
        <w:pStyle w:val="TOC5"/>
        <w:rPr>
          <w:rFonts w:ascii="Times New Roman" w:hAnsi="Times New Roman"/>
          <w:sz w:val="24"/>
          <w:szCs w:val="24"/>
        </w:rPr>
      </w:pPr>
      <w:r>
        <w:rPr>
          <w:szCs w:val="24"/>
        </w:rPr>
        <w:tab/>
        <w:t>5</w:t>
      </w:r>
      <w:r>
        <w:rPr>
          <w:rFonts w:ascii="Times New Roman" w:hAnsi="Times New Roman"/>
          <w:sz w:val="24"/>
          <w:szCs w:val="24"/>
        </w:rPr>
        <w:tab/>
      </w:r>
      <w:r>
        <w:rPr>
          <w:szCs w:val="24"/>
        </w:rPr>
        <w:t>Earlier republications</w:t>
      </w:r>
      <w:r>
        <w:tab/>
      </w:r>
      <w:r>
        <w:fldChar w:fldCharType="begin"/>
      </w:r>
      <w:r>
        <w:instrText xml:space="preserve"> PAGEREF _Toc161636972 \h </w:instrText>
      </w:r>
      <w:r>
        <w:fldChar w:fldCharType="separate"/>
      </w:r>
      <w:r w:rsidR="00AA7BA7">
        <w:t>482</w:t>
      </w:r>
      <w:r>
        <w:fldChar w:fldCharType="end"/>
      </w:r>
    </w:p>
    <w:p w:rsidR="00AF2508" w:rsidRDefault="00AF2508">
      <w:pPr>
        <w:pStyle w:val="BillBasic"/>
      </w:pPr>
      <w:r>
        <w:fldChar w:fldCharType="end"/>
      </w:r>
    </w:p>
    <w:p w:rsidR="00AF2508" w:rsidRDefault="00AF2508">
      <w:pPr>
        <w:pStyle w:val="01Contents"/>
        <w:sectPr w:rsidR="00AF2508">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F2508" w:rsidRDefault="00136775">
      <w:pPr>
        <w:jc w:val="center"/>
      </w:pPr>
      <w:r>
        <w:rPr>
          <w:noProof/>
          <w:lang w:eastAsia="en-AU"/>
        </w:rPr>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F2508" w:rsidRDefault="00AF2508">
      <w:pPr>
        <w:jc w:val="center"/>
        <w:rPr>
          <w:rFonts w:ascii="Arial" w:hAnsi="Arial"/>
        </w:rPr>
      </w:pPr>
      <w:r>
        <w:rPr>
          <w:rFonts w:ascii="Arial" w:hAnsi="Arial"/>
        </w:rPr>
        <w:t>Australian Capital Territory</w:t>
      </w:r>
    </w:p>
    <w:p w:rsidR="00AF2508" w:rsidRDefault="00E5176C">
      <w:pPr>
        <w:pStyle w:val="Billname"/>
      </w:pPr>
      <w:bookmarkStart w:id="6" w:name="Citation"/>
      <w:r>
        <w:t>Scaffolding and Lifts Regulation 1950</w:t>
      </w:r>
      <w:bookmarkEnd w:id="6"/>
      <w:r w:rsidR="00AF2508">
        <w:t xml:space="preserve">     </w:t>
      </w:r>
    </w:p>
    <w:p w:rsidR="00AF2508" w:rsidRDefault="00AF2508">
      <w:pPr>
        <w:spacing w:before="240" w:after="60"/>
        <w:rPr>
          <w:rFonts w:ascii="Arial" w:hAnsi="Arial"/>
        </w:rPr>
      </w:pPr>
    </w:p>
    <w:p w:rsidR="00AF2508" w:rsidRDefault="00AF2508">
      <w:pPr>
        <w:pStyle w:val="N-line3"/>
      </w:pPr>
    </w:p>
    <w:p w:rsidR="00AF2508" w:rsidRDefault="00AF2508">
      <w:pPr>
        <w:pStyle w:val="CoverInForce"/>
      </w:pPr>
      <w:r>
        <w:t>made under the</w:t>
      </w:r>
    </w:p>
    <w:p w:rsidR="00AF2508" w:rsidRDefault="00E5176C">
      <w:pPr>
        <w:pStyle w:val="CoverActName"/>
      </w:pPr>
      <w:bookmarkStart w:id="7" w:name="Actname"/>
      <w:r>
        <w:t>Scaffolding and Lifts Act 1912</w:t>
      </w:r>
      <w:bookmarkEnd w:id="7"/>
    </w:p>
    <w:p w:rsidR="00AF2508" w:rsidRDefault="00AF2508">
      <w:pPr>
        <w:pStyle w:val="N-line3"/>
      </w:pPr>
    </w:p>
    <w:p w:rsidR="00AF2508" w:rsidRDefault="00AF2508">
      <w:pPr>
        <w:pStyle w:val="Placeholder"/>
      </w:pPr>
      <w:r>
        <w:rPr>
          <w:rStyle w:val="charContents"/>
          <w:sz w:val="16"/>
        </w:rPr>
        <w:t xml:space="preserve">  </w:t>
      </w:r>
      <w:r>
        <w:rPr>
          <w:rStyle w:val="charPage"/>
        </w:rPr>
        <w:t xml:space="preserve">  </w:t>
      </w:r>
    </w:p>
    <w:p w:rsidR="00AF2508" w:rsidRDefault="00AF2508">
      <w:pPr>
        <w:pStyle w:val="Placeholder"/>
      </w:pPr>
      <w:r>
        <w:rPr>
          <w:rStyle w:val="CharChapNo"/>
        </w:rPr>
        <w:t xml:space="preserve">  </w:t>
      </w:r>
      <w:r>
        <w:rPr>
          <w:rStyle w:val="CharChapText"/>
        </w:rPr>
        <w:t xml:space="preserve">  </w:t>
      </w:r>
    </w:p>
    <w:p w:rsidR="00AF2508" w:rsidRDefault="00AF2508">
      <w:pPr>
        <w:pStyle w:val="Placeholder"/>
      </w:pPr>
      <w:r>
        <w:rPr>
          <w:rStyle w:val="CharPartNo"/>
        </w:rPr>
        <w:t xml:space="preserve">  </w:t>
      </w:r>
      <w:r>
        <w:rPr>
          <w:rStyle w:val="CharPartText"/>
        </w:rPr>
        <w:t xml:space="preserve">  </w:t>
      </w:r>
    </w:p>
    <w:p w:rsidR="00AF2508" w:rsidRDefault="00AF2508">
      <w:pPr>
        <w:pStyle w:val="Placeholder"/>
      </w:pPr>
      <w:r>
        <w:rPr>
          <w:rStyle w:val="CharDivNo"/>
        </w:rPr>
        <w:t xml:space="preserve">  </w:t>
      </w:r>
      <w:r>
        <w:rPr>
          <w:rStyle w:val="CharDivText"/>
        </w:rPr>
        <w:t xml:space="preserve">  </w:t>
      </w:r>
    </w:p>
    <w:p w:rsidR="00AF2508" w:rsidRDefault="00AF2508">
      <w:pPr>
        <w:pStyle w:val="Placeholder"/>
      </w:pPr>
      <w:r>
        <w:rPr>
          <w:rStyle w:val="CharSectNo"/>
        </w:rPr>
        <w:t xml:space="preserve">  </w:t>
      </w:r>
    </w:p>
    <w:p w:rsidR="00AF2508" w:rsidRDefault="00AF2508"/>
    <w:p w:rsidR="00AF2508" w:rsidRDefault="00AF2508">
      <w:pPr>
        <w:pStyle w:val="PageBreak"/>
      </w:pPr>
      <w:r>
        <w:br w:type="page"/>
      </w:r>
    </w:p>
    <w:p w:rsidR="00AF2508" w:rsidRDefault="00AF2508">
      <w:pPr>
        <w:pStyle w:val="AH2Part"/>
      </w:pPr>
      <w:bookmarkStart w:id="8" w:name="_Toc161636672"/>
      <w:r>
        <w:rPr>
          <w:rStyle w:val="CharPartNo"/>
        </w:rPr>
        <w:t>Part 1</w:t>
      </w:r>
      <w:r>
        <w:tab/>
      </w:r>
      <w:r>
        <w:rPr>
          <w:rStyle w:val="CharPartText"/>
        </w:rPr>
        <w:t>Preliminary</w:t>
      </w:r>
      <w:bookmarkEnd w:id="8"/>
    </w:p>
    <w:p w:rsidR="00AF2508" w:rsidRDefault="00AF2508">
      <w:pPr>
        <w:pStyle w:val="AH5Sec"/>
      </w:pPr>
      <w:bookmarkStart w:id="9" w:name="_Toc161636673"/>
      <w:r>
        <w:rPr>
          <w:rStyle w:val="CharSectNo"/>
        </w:rPr>
        <w:t>1</w:t>
      </w:r>
      <w:r>
        <w:tab/>
        <w:t>Name of regulation</w:t>
      </w:r>
      <w:bookmarkEnd w:id="9"/>
    </w:p>
    <w:p w:rsidR="00AF2508" w:rsidRDefault="00AF2508">
      <w:pPr>
        <w:pStyle w:val="Amainreturn"/>
      </w:pPr>
      <w:r>
        <w:rPr>
          <w:color w:val="000000"/>
        </w:rPr>
        <w:t xml:space="preserve">This regulation is the </w:t>
      </w:r>
      <w:r>
        <w:rPr>
          <w:rStyle w:val="charItals"/>
        </w:rPr>
        <w:t>Scaffolding and Lifts Regulation 1950</w:t>
      </w:r>
      <w:r>
        <w:rPr>
          <w:color w:val="000000"/>
        </w:rPr>
        <w:t>.</w:t>
      </w:r>
    </w:p>
    <w:p w:rsidR="00AF2508" w:rsidRDefault="00AF2508">
      <w:pPr>
        <w:pStyle w:val="AH5Sec"/>
      </w:pPr>
      <w:bookmarkStart w:id="10" w:name="_Toc161636674"/>
      <w:r>
        <w:rPr>
          <w:rStyle w:val="CharSectNo"/>
        </w:rPr>
        <w:t>2</w:t>
      </w:r>
      <w:r>
        <w:rPr>
          <w:color w:val="000000"/>
        </w:rPr>
        <w:tab/>
        <w:t>Dictionary</w:t>
      </w:r>
      <w:bookmarkEnd w:id="10"/>
    </w:p>
    <w:p w:rsidR="00AF2508" w:rsidRDefault="00AF2508">
      <w:pPr>
        <w:pStyle w:val="Amainreturn"/>
        <w:keepNext/>
        <w:rPr>
          <w:color w:val="000000"/>
        </w:rPr>
      </w:pPr>
      <w:r>
        <w:rPr>
          <w:color w:val="000000"/>
        </w:rPr>
        <w:t>The dictionary at the end of this regulation is part of this regulation.</w:t>
      </w:r>
    </w:p>
    <w:p w:rsidR="00AF2508" w:rsidRDefault="00AF2508">
      <w:pPr>
        <w:pStyle w:val="aNote"/>
        <w:keepNext/>
        <w:rPr>
          <w:color w:val="000000"/>
        </w:rPr>
      </w:pPr>
      <w:r>
        <w:rPr>
          <w:rStyle w:val="charItals"/>
          <w:color w:val="000000"/>
        </w:rPr>
        <w:t>Note 1</w:t>
      </w:r>
      <w:r>
        <w:rPr>
          <w:color w:val="000000"/>
        </w:rPr>
        <w:tab/>
        <w:t>The dictionary at the end of this regulation defines certain terms used in this regulation, and includes references (</w:t>
      </w:r>
      <w:r>
        <w:rPr>
          <w:rStyle w:val="charBoldItals"/>
          <w:color w:val="000000"/>
        </w:rPr>
        <w:t>signpost definitions</w:t>
      </w:r>
      <w:r>
        <w:rPr>
          <w:color w:val="000000"/>
        </w:rPr>
        <w:t>) to other terms defined elsewhere in this regulation.</w:t>
      </w:r>
    </w:p>
    <w:p w:rsidR="00AF2508" w:rsidRDefault="00AF2508">
      <w:pPr>
        <w:pStyle w:val="aNote"/>
        <w:rPr>
          <w:color w:val="000000"/>
        </w:rPr>
      </w:pPr>
      <w:r>
        <w:rPr>
          <w:color w:val="000000"/>
        </w:rPr>
        <w:tab/>
        <w:t>For example, the signpost definition ‘</w:t>
      </w:r>
      <w:r>
        <w:rPr>
          <w:rStyle w:val="charBoldItals"/>
          <w:color w:val="000000"/>
        </w:rPr>
        <w:t>cantilever scaffolding</w:t>
      </w:r>
      <w:r>
        <w:rPr>
          <w:color w:val="000000"/>
        </w:rPr>
        <w:t>—see section 85.’ means that the term ‘cantilever scaffolding’ is defined in that section.</w:t>
      </w:r>
    </w:p>
    <w:p w:rsidR="00AF2508" w:rsidRDefault="00AF2508">
      <w:pPr>
        <w:pStyle w:val="aNote"/>
        <w:rPr>
          <w:color w:val="000000"/>
        </w:rPr>
      </w:pPr>
      <w:r>
        <w:rPr>
          <w:rStyle w:val="charItals"/>
          <w:color w:val="000000"/>
        </w:rPr>
        <w:t>Note 2</w:t>
      </w:r>
      <w:r>
        <w:rPr>
          <w:color w:val="000000"/>
        </w:rPr>
        <w:tab/>
        <w:t>A definition in the dictionary (including a signpost definition) applies to the entire regulation unless the definition, or another provision of the regulation, provides otherwise or the contrary intention otherwise appears (see Legislation Act, s 155 and s 156 (1)).</w:t>
      </w:r>
    </w:p>
    <w:p w:rsidR="00AF2508" w:rsidRDefault="00AF2508">
      <w:pPr>
        <w:pStyle w:val="AH5Sec"/>
      </w:pPr>
      <w:bookmarkStart w:id="11" w:name="_Toc161636675"/>
      <w:r>
        <w:rPr>
          <w:rStyle w:val="CharSectNo"/>
        </w:rPr>
        <w:t>3</w:t>
      </w:r>
      <w:r>
        <w:rPr>
          <w:color w:val="000000"/>
        </w:rPr>
        <w:tab/>
        <w:t>Notes</w:t>
      </w:r>
      <w:bookmarkEnd w:id="11"/>
    </w:p>
    <w:p w:rsidR="00AF2508" w:rsidRDefault="00AF2508">
      <w:pPr>
        <w:pStyle w:val="Amainreturn"/>
        <w:keepNext/>
        <w:rPr>
          <w:color w:val="000000"/>
        </w:rPr>
      </w:pPr>
      <w:r>
        <w:rPr>
          <w:color w:val="000000"/>
        </w:rPr>
        <w:t>A note included in this regulation is explanatory and is not part of this regulation.</w:t>
      </w:r>
    </w:p>
    <w:p w:rsidR="00AF2508" w:rsidRDefault="00AF2508">
      <w:pPr>
        <w:pStyle w:val="aNote"/>
        <w:rPr>
          <w:color w:val="000000"/>
        </w:rPr>
      </w:pPr>
      <w:r>
        <w:rPr>
          <w:i/>
          <w:iCs/>
          <w:color w:val="000000"/>
        </w:rPr>
        <w:t>Note</w:t>
      </w:r>
      <w:r>
        <w:rPr>
          <w:i/>
          <w:iCs/>
          <w:color w:val="000000"/>
        </w:rPr>
        <w:tab/>
      </w:r>
      <w:r>
        <w:rPr>
          <w:color w:val="000000"/>
        </w:rPr>
        <w:t>See the Legislation Act, s 127 (1), (4) and (5) for the legal status of notes.</w:t>
      </w:r>
    </w:p>
    <w:p w:rsidR="00AF2508" w:rsidRDefault="00AF2508">
      <w:pPr>
        <w:pStyle w:val="AH5Sec"/>
      </w:pPr>
      <w:bookmarkStart w:id="12" w:name="_Toc161636676"/>
      <w:r>
        <w:rPr>
          <w:rStyle w:val="CharSectNo"/>
        </w:rPr>
        <w:t>4</w:t>
      </w:r>
      <w:r>
        <w:tab/>
        <w:t>Plates, figures and sketches</w:t>
      </w:r>
      <w:bookmarkEnd w:id="12"/>
    </w:p>
    <w:p w:rsidR="00AF2508" w:rsidRDefault="00AF2508">
      <w:pPr>
        <w:pStyle w:val="Amainreturn"/>
      </w:pPr>
      <w:r>
        <w:t>Any plates, figures or sketches shown in this regulation and to which reference is made in the text should not be construed as specifications but should be considered as types for information or guidance only in construction.</w:t>
      </w:r>
    </w:p>
    <w:p w:rsidR="00AF2508" w:rsidRDefault="00AF2508">
      <w:pPr>
        <w:pStyle w:val="AH5Sec"/>
      </w:pPr>
      <w:bookmarkStart w:id="13" w:name="_Toc161636677"/>
      <w:r>
        <w:rPr>
          <w:rStyle w:val="CharSectNo"/>
        </w:rPr>
        <w:t>5</w:t>
      </w:r>
      <w:bookmarkEnd w:id="13"/>
      <w:r>
        <w:rPr>
          <w:rStyle w:val="CharSectNo"/>
        </w:rPr>
        <w:tab/>
        <w:t xml:space="preserve">  </w:t>
      </w:r>
    </w:p>
    <w:p w:rsidR="00AF2508" w:rsidRDefault="00AF2508">
      <w:pPr>
        <w:pStyle w:val="Amainreturn"/>
      </w:pPr>
      <w:r>
        <w:t>If the chief inspector is satisfied that for any particular class or description of crane, lift, hoist, scaffolding, plant or gear, or roof sheathed or intended to be sheathed with asbestos cement or other brittle material or of any special description or method of building work, excavation work, or compressed air work, the application of any requirement of this regulation relating to safety or health is, in any class or description of circumstances, not necessary in the interests of safety or health or is not reasonably practicable, the chief inspector may by written certificate (which the chief inspector may at the chief inspector’s discretion revoke at any time) grant an exemption from that requirement for that class of description of crane, lift, hoist, scaffolding, plant or gear, or roof sheathed with asbestos cement or other brittle material or of that special description or method of building work, excavation work or compressed air work in the circumstances and subject to the conditions that may be specified in the certificate.</w:t>
      </w:r>
    </w:p>
    <w:p w:rsidR="00AF2508" w:rsidRDefault="00AF2508">
      <w:pPr>
        <w:pStyle w:val="AH5Sec"/>
        <w:rPr>
          <w:rStyle w:val="CharSectNo"/>
        </w:rPr>
      </w:pPr>
      <w:bookmarkStart w:id="14" w:name="_Toc161636678"/>
      <w:r>
        <w:rPr>
          <w:rStyle w:val="CharSectNo"/>
        </w:rPr>
        <w:t>6</w:t>
      </w:r>
      <w:bookmarkEnd w:id="14"/>
      <w:r>
        <w:rPr>
          <w:rStyle w:val="CharSectNo"/>
        </w:rPr>
        <w:tab/>
        <w:t xml:space="preserve">  </w:t>
      </w:r>
    </w:p>
    <w:p w:rsidR="00AF2508" w:rsidRDefault="00AF2508">
      <w:pPr>
        <w:pStyle w:val="Amain"/>
      </w:pPr>
      <w:r>
        <w:tab/>
        <w:t>(1)</w:t>
      </w:r>
      <w:r>
        <w:tab/>
        <w:t>If the obligation to observe any of the provisions of this regulation is not by this regulation specifically imposed on any person it is the obligation of every person who directly or by his or her servants or agents—</w:t>
      </w:r>
    </w:p>
    <w:p w:rsidR="00AF2508" w:rsidRDefault="00AF2508">
      <w:pPr>
        <w:pStyle w:val="Apara"/>
      </w:pPr>
      <w:r>
        <w:tab/>
        <w:t>(a)</w:t>
      </w:r>
      <w:r>
        <w:tab/>
        <w:t>carries out any building work, excavation work or compressed air work; or</w:t>
      </w:r>
    </w:p>
    <w:p w:rsidR="00AF2508" w:rsidRDefault="00AF2508">
      <w:pPr>
        <w:pStyle w:val="Apara"/>
        <w:keepLines/>
      </w:pPr>
      <w:r>
        <w:tab/>
        <w:t>(b)</w:t>
      </w:r>
      <w:r>
        <w:tab/>
        <w:t>designs, constructs, erects, sets up or builds, or sets or places in position, works, uses, tests or maintains any crane, lift, hoist, scaffolding, plant or gear, or roof sheathed or intended to be sheathed with asbestos cement or other brittle material;</w:t>
      </w:r>
    </w:p>
    <w:p w:rsidR="00AF2508" w:rsidRDefault="00AF2508">
      <w:pPr>
        <w:pStyle w:val="Amainreturn"/>
      </w:pPr>
      <w:r>
        <w:t>to comply with the provisions of this regulation.</w:t>
      </w:r>
    </w:p>
    <w:p w:rsidR="00AF2508" w:rsidRDefault="00AF2508">
      <w:pPr>
        <w:pStyle w:val="Amain"/>
      </w:pPr>
      <w:r>
        <w:tab/>
        <w:t>(2)</w:t>
      </w:r>
      <w:r>
        <w:tab/>
        <w:t>A person must not directly or by his or her servants or agents use any crane, lift, hoist, scaffolding, plant or gear, unless it has been classified, designed, constructed, erected, set up, built or set or placed in position, and installed, and unless the person uses and maintains it, in accordance with the provisions of this regulation.</w:t>
      </w:r>
    </w:p>
    <w:p w:rsidR="00AF2508" w:rsidRDefault="00AF2508">
      <w:pPr>
        <w:pStyle w:val="AH5Sec"/>
      </w:pPr>
      <w:bookmarkStart w:id="15" w:name="_Toc161636679"/>
      <w:r>
        <w:rPr>
          <w:rStyle w:val="CharSectNo"/>
        </w:rPr>
        <w:t>7</w:t>
      </w:r>
      <w:bookmarkEnd w:id="15"/>
      <w:r>
        <w:tab/>
        <w:t xml:space="preserve">  </w:t>
      </w:r>
    </w:p>
    <w:p w:rsidR="00AF2508" w:rsidRDefault="00AF2508">
      <w:pPr>
        <w:pStyle w:val="Amainreturn"/>
      </w:pPr>
      <w:r>
        <w:t>Every person must use the safeguards given and provided in accordance with this regulation and a person must not interfere detrimentally in any way with the use of the safeguards by any other person, nor with the use of any safeguard method or process.</w:t>
      </w:r>
    </w:p>
    <w:p w:rsidR="00AF2508" w:rsidRDefault="00AF2508">
      <w:pPr>
        <w:pStyle w:val="PageBreak"/>
      </w:pPr>
      <w:r>
        <w:br w:type="page"/>
      </w:r>
    </w:p>
    <w:p w:rsidR="00AF2508" w:rsidRDefault="00AF2508">
      <w:pPr>
        <w:pStyle w:val="AH2Part"/>
      </w:pPr>
      <w:bookmarkStart w:id="16" w:name="_Toc161636680"/>
      <w:r>
        <w:rPr>
          <w:rStyle w:val="CharPartNo"/>
        </w:rPr>
        <w:t>Part 2</w:t>
      </w:r>
      <w:r>
        <w:tab/>
      </w:r>
      <w:r>
        <w:rPr>
          <w:rStyle w:val="CharPartText"/>
        </w:rPr>
        <w:t>Qualifications, powers and duties of the chief inspector and inspectors</w:t>
      </w:r>
      <w:bookmarkEnd w:id="16"/>
    </w:p>
    <w:p w:rsidR="00AF2508" w:rsidRDefault="00AF2508">
      <w:pPr>
        <w:pStyle w:val="AH5Sec"/>
      </w:pPr>
      <w:bookmarkStart w:id="17" w:name="_Toc161636681"/>
      <w:r>
        <w:rPr>
          <w:rStyle w:val="CharSectNo"/>
        </w:rPr>
        <w:t>11</w:t>
      </w:r>
      <w:bookmarkEnd w:id="17"/>
      <w:r>
        <w:tab/>
        <w:t xml:space="preserve">  </w:t>
      </w:r>
    </w:p>
    <w:p w:rsidR="00AF2508" w:rsidRDefault="00AF2508">
      <w:pPr>
        <w:pStyle w:val="Amainreturn"/>
      </w:pPr>
      <w:r>
        <w:t>A person must not falsely pretend to be an inspector.</w:t>
      </w:r>
    </w:p>
    <w:p w:rsidR="00AF2508" w:rsidRDefault="00AF2508">
      <w:pPr>
        <w:pStyle w:val="AH5Sec"/>
      </w:pPr>
      <w:bookmarkStart w:id="18" w:name="_Toc161636682"/>
      <w:r>
        <w:rPr>
          <w:rStyle w:val="CharSectNo"/>
        </w:rPr>
        <w:t>13</w:t>
      </w:r>
      <w:bookmarkEnd w:id="18"/>
      <w:r>
        <w:tab/>
        <w:t xml:space="preserve">  </w:t>
      </w:r>
    </w:p>
    <w:p w:rsidR="00AF2508" w:rsidRDefault="00AF2508">
      <w:pPr>
        <w:pStyle w:val="Amainreturn"/>
      </w:pPr>
      <w:r>
        <w:t>An inspector has the power to—</w:t>
      </w:r>
    </w:p>
    <w:p w:rsidR="00AF2508" w:rsidRDefault="00AF2508">
      <w:pPr>
        <w:pStyle w:val="Apara"/>
      </w:pPr>
      <w:r>
        <w:tab/>
        <w:t>(a)</w:t>
      </w:r>
      <w:r>
        <w:tab/>
        <w:t>conduct prosecutions whether the information is laid in the inspector’s name or not; and</w:t>
      </w:r>
    </w:p>
    <w:p w:rsidR="00AF2508" w:rsidRDefault="00AF2508">
      <w:pPr>
        <w:pStyle w:val="Apara"/>
      </w:pPr>
      <w:r>
        <w:tab/>
        <w:t>(b)</w:t>
      </w:r>
      <w:r>
        <w:tab/>
        <w:t>attend and examine witnesses at any inquest into the cause of the death of any person following on an accident arising from the construction, erection, setting up or building or setting or placing in position, installation, alteration, working or use of any crane, gear, hoist, lift, plant, scaffolding or part of it, or occurring in relation to any building work, excavation work or compressed air work or any roof sheathed with asbestos cement or other brittle material; and</w:t>
      </w:r>
    </w:p>
    <w:p w:rsidR="00AF2508" w:rsidRDefault="00AF2508">
      <w:pPr>
        <w:pStyle w:val="Apara"/>
      </w:pPr>
      <w:r>
        <w:tab/>
        <w:t>(c)</w:t>
      </w:r>
      <w:r>
        <w:tab/>
        <w:t>direct the owner of, or person in charge or apparently in charge of any crane, lift, hoist, scaffolding, plant or gear, or the contractor or person in charge or apparently in charge of any building work, excavation work or compressed air work, to take the measures and provide the equipment and assistance that the inspector may require to facilitate any inspection, and the person must forthwith carry out the directions.</w:t>
      </w:r>
    </w:p>
    <w:p w:rsidR="00AF2508" w:rsidRDefault="00AF2508">
      <w:pPr>
        <w:pStyle w:val="AH5Sec"/>
      </w:pPr>
      <w:bookmarkStart w:id="19" w:name="_Toc161636683"/>
      <w:r>
        <w:rPr>
          <w:rStyle w:val="CharSectNo"/>
        </w:rPr>
        <w:t>14</w:t>
      </w:r>
      <w:bookmarkEnd w:id="19"/>
      <w:r>
        <w:tab/>
        <w:t xml:space="preserve">  </w:t>
      </w:r>
    </w:p>
    <w:p w:rsidR="00AF2508" w:rsidRDefault="00AF2508">
      <w:pPr>
        <w:pStyle w:val="Amainreturn"/>
        <w:keepLines/>
      </w:pPr>
      <w:r>
        <w:t>An inspector may require the production of any certificate or permit that by the Act or this regulation is required to be held by any person or require the production of any notice, record or document that is by the Act or by this regulation required to be kept or exhibited and to inspect, examine and copy it.</w:t>
      </w:r>
    </w:p>
    <w:p w:rsidR="00AF2508" w:rsidRDefault="00AF2508">
      <w:pPr>
        <w:pStyle w:val="PageBreak"/>
      </w:pPr>
      <w:r>
        <w:br w:type="page"/>
      </w:r>
    </w:p>
    <w:p w:rsidR="00AF2508" w:rsidRDefault="00AF2508">
      <w:pPr>
        <w:pStyle w:val="AH2Part"/>
      </w:pPr>
      <w:bookmarkStart w:id="20" w:name="_Toc161636684"/>
      <w:r>
        <w:rPr>
          <w:rStyle w:val="CharPartNo"/>
        </w:rPr>
        <w:t>Part 4</w:t>
      </w:r>
      <w:r>
        <w:tab/>
      </w:r>
      <w:r>
        <w:rPr>
          <w:rStyle w:val="CharPartText"/>
        </w:rPr>
        <w:t>Lifts</w:t>
      </w:r>
      <w:bookmarkEnd w:id="20"/>
    </w:p>
    <w:p w:rsidR="00AF2508" w:rsidRDefault="00AF2508">
      <w:pPr>
        <w:pStyle w:val="AH3Div"/>
      </w:pPr>
      <w:bookmarkStart w:id="21" w:name="_Toc161636685"/>
      <w:r>
        <w:rPr>
          <w:rStyle w:val="CharDivNo"/>
        </w:rPr>
        <w:t>Division 4.1</w:t>
      </w:r>
      <w:r>
        <w:tab/>
      </w:r>
      <w:r>
        <w:rPr>
          <w:rStyle w:val="CharDivText"/>
        </w:rPr>
        <w:t>Interpretation</w:t>
      </w:r>
      <w:bookmarkEnd w:id="21"/>
    </w:p>
    <w:p w:rsidR="00AF2508" w:rsidRDefault="00AF2508">
      <w:pPr>
        <w:pStyle w:val="AH5Sec"/>
      </w:pPr>
      <w:bookmarkStart w:id="22" w:name="_Toc161636686"/>
      <w:r>
        <w:rPr>
          <w:rStyle w:val="CharSectNo"/>
        </w:rPr>
        <w:t>16</w:t>
      </w:r>
      <w:bookmarkEnd w:id="22"/>
      <w:r>
        <w:tab/>
        <w:t xml:space="preserve">  </w:t>
      </w:r>
    </w:p>
    <w:p w:rsidR="00AF2508" w:rsidRDefault="00AF2508">
      <w:pPr>
        <w:pStyle w:val="Amain"/>
      </w:pPr>
      <w:r>
        <w:tab/>
        <w:t>(1)</w:t>
      </w:r>
      <w:r>
        <w:tab/>
        <w:t>In this part:</w:t>
      </w:r>
    </w:p>
    <w:p w:rsidR="00AF2508" w:rsidRDefault="00AF2508">
      <w:pPr>
        <w:pStyle w:val="aDef"/>
      </w:pPr>
      <w:r>
        <w:rPr>
          <w:rStyle w:val="charBoldItals"/>
        </w:rPr>
        <w:t>conveyor</w:t>
      </w:r>
      <w:r>
        <w:t xml:space="preserve"> means a lift so arranged that goods are raised or lowered by means of an endless belt or chain or by fittings attached to the lift, in an inclined or vertical direction.</w:t>
      </w:r>
    </w:p>
    <w:p w:rsidR="00AF2508" w:rsidRDefault="00AF2508">
      <w:pPr>
        <w:pStyle w:val="aDef"/>
      </w:pPr>
      <w:r>
        <w:rPr>
          <w:rStyle w:val="charBoldItals"/>
        </w:rPr>
        <w:t>safety gear</w:t>
      </w:r>
      <w:r>
        <w:t xml:space="preserve"> means a mechanical device or mechanism attached to the underside of a lift car that on operation will stop and sustain the car independently of the lifting ropes.</w:t>
      </w:r>
    </w:p>
    <w:p w:rsidR="00AF2508" w:rsidRDefault="00AF2508">
      <w:pPr>
        <w:pStyle w:val="aDef"/>
      </w:pPr>
      <w:r>
        <w:rPr>
          <w:rStyle w:val="charBoldItals"/>
        </w:rPr>
        <w:t>service lift</w:t>
      </w:r>
      <w:r>
        <w:t xml:space="preserve"> means a lift the car of which has a floor area of not more than 9 square feet and a height of not more than 4 feet, used to carry goods only, and controlled from without the lift-well, and also includes any lift certified by the chief inspector to be a service lift.</w:t>
      </w:r>
    </w:p>
    <w:p w:rsidR="00AF2508" w:rsidRDefault="00AF2508">
      <w:pPr>
        <w:pStyle w:val="Assectheading"/>
      </w:pPr>
      <w:r>
        <w:t>S.A.A. Lift Code</w:t>
      </w:r>
    </w:p>
    <w:p w:rsidR="00AF2508" w:rsidRDefault="00AF2508">
      <w:pPr>
        <w:pStyle w:val="Amain"/>
      </w:pPr>
      <w:r>
        <w:tab/>
        <w:t>(2)</w:t>
      </w:r>
      <w:r>
        <w:tab/>
        <w:t>The provisions of Code No C.A. 3—1947 published by Standards Australia entitled ‘Australian Standard Rules for the Design, Installation, Testing and Operation of Lifts and Escalators’ apply to any matter or thing not provided for in this regulation.</w:t>
      </w:r>
    </w:p>
    <w:p w:rsidR="00AF2508" w:rsidRDefault="00AF2508">
      <w:pPr>
        <w:pStyle w:val="AH3Div"/>
      </w:pPr>
      <w:bookmarkStart w:id="23" w:name="_Toc161636687"/>
      <w:r>
        <w:rPr>
          <w:rStyle w:val="CharDivNo"/>
        </w:rPr>
        <w:t>Division 4.2</w:t>
      </w:r>
      <w:r>
        <w:rPr>
          <w:rStyle w:val="CharDivNo"/>
        </w:rPr>
        <w:tab/>
      </w:r>
      <w:r>
        <w:rPr>
          <w:rStyle w:val="CharDivText"/>
        </w:rPr>
        <w:t>Design, construction and erection of lifts</w:t>
      </w:r>
      <w:bookmarkEnd w:id="23"/>
    </w:p>
    <w:p w:rsidR="00AF2508" w:rsidRDefault="00AF2508">
      <w:pPr>
        <w:pStyle w:val="AH4SubDiv"/>
      </w:pPr>
      <w:bookmarkStart w:id="24" w:name="_Toc161636688"/>
      <w:r>
        <w:t>Permit to erect or alter lifts</w:t>
      </w:r>
      <w:bookmarkEnd w:id="24"/>
    </w:p>
    <w:p w:rsidR="00AF2508" w:rsidRDefault="00AF2508">
      <w:pPr>
        <w:pStyle w:val="AH5Sec"/>
      </w:pPr>
      <w:bookmarkStart w:id="25" w:name="_Toc161636689"/>
      <w:r>
        <w:rPr>
          <w:rStyle w:val="CharSectNo"/>
        </w:rPr>
        <w:t>17</w:t>
      </w:r>
      <w:bookmarkEnd w:id="25"/>
      <w:r>
        <w:tab/>
        <w:t xml:space="preserve">  </w:t>
      </w:r>
    </w:p>
    <w:p w:rsidR="00AF2508" w:rsidRDefault="00AF2508">
      <w:pPr>
        <w:pStyle w:val="Amain"/>
      </w:pPr>
      <w:r>
        <w:tab/>
        <w:t>(1)</w:t>
      </w:r>
      <w:r>
        <w:tab/>
        <w:t>No person shall erect or alter a lift without first obtaining a permit from the chief inspector.</w:t>
      </w:r>
    </w:p>
    <w:p w:rsidR="00AF2508" w:rsidRDefault="00AF2508">
      <w:pPr>
        <w:pStyle w:val="Amain"/>
      </w:pPr>
      <w:r>
        <w:tab/>
        <w:t>(2)</w:t>
      </w:r>
      <w:r>
        <w:tab/>
        <w:t>The applicant for a permit to erect a lift shall lodge with the chief inspector a description and plans of the lift that includes particulars of the machine, control, operating and safety devices, size and construction of car, and a general layout showing the size of the motor room and means of access to it, supports for the machine and guides, the overruns, the pit and the lift-well enclosures, and shall specify the maximum load that the lift is designed to carry and the rated speed of the lift.</w:t>
      </w:r>
    </w:p>
    <w:p w:rsidR="00AF2508" w:rsidRDefault="00AF2508">
      <w:pPr>
        <w:pStyle w:val="Amain"/>
      </w:pPr>
      <w:r>
        <w:tab/>
        <w:t>(3)</w:t>
      </w:r>
      <w:r>
        <w:tab/>
        <w:t>The applicant for a permit to alter a lift shall lodge a description and particulars of the proposed alterations.</w:t>
      </w:r>
    </w:p>
    <w:p w:rsidR="00AF2508" w:rsidRDefault="00AF2508">
      <w:pPr>
        <w:pStyle w:val="Amain"/>
      </w:pPr>
      <w:r>
        <w:tab/>
        <w:t>(4)</w:t>
      </w:r>
      <w:r>
        <w:tab/>
        <w:t>The description and plans shall be filed in the office of the chief inspector.</w:t>
      </w:r>
    </w:p>
    <w:p w:rsidR="00AF2508" w:rsidRDefault="00AF2508">
      <w:pPr>
        <w:pStyle w:val="Amain"/>
      </w:pPr>
      <w:r>
        <w:tab/>
        <w:t>(5)</w:t>
      </w:r>
      <w:r>
        <w:tab/>
        <w:t>Before granting a permit the chief inspector may require any alterations in the design to be made that appear to the chief inspector to be necessary for the safe working of the lift or to ensure compliance with this regulation.</w:t>
      </w:r>
    </w:p>
    <w:p w:rsidR="00AF2508" w:rsidRDefault="00AF2508">
      <w:pPr>
        <w:pStyle w:val="Amain"/>
      </w:pPr>
      <w:r>
        <w:tab/>
        <w:t>(6)</w:t>
      </w:r>
      <w:r>
        <w:tab/>
        <w:t>Every lift shall be erected in accordance with the description and plans submitted to and approved by the chief inspector and in accordance with any direction endorsed on the permit and in conformity with this regulation.</w:t>
      </w:r>
    </w:p>
    <w:p w:rsidR="00AF2508" w:rsidRDefault="00AF2508">
      <w:pPr>
        <w:pStyle w:val="AH4SubDiv"/>
      </w:pPr>
      <w:bookmarkStart w:id="26" w:name="_Toc161636690"/>
      <w:r>
        <w:t>Safe working load of a lift</w:t>
      </w:r>
      <w:bookmarkEnd w:id="26"/>
    </w:p>
    <w:p w:rsidR="00AF2508" w:rsidRDefault="00AF2508">
      <w:pPr>
        <w:pStyle w:val="AH5Sec"/>
      </w:pPr>
      <w:bookmarkStart w:id="27" w:name="_Toc161636691"/>
      <w:r>
        <w:rPr>
          <w:rStyle w:val="CharSectNo"/>
        </w:rPr>
        <w:t>18</w:t>
      </w:r>
      <w:bookmarkEnd w:id="27"/>
      <w:r>
        <w:tab/>
        <w:t xml:space="preserve">  </w:t>
      </w:r>
    </w:p>
    <w:p w:rsidR="00AF2508" w:rsidRDefault="00AF2508">
      <w:pPr>
        <w:pStyle w:val="Amain"/>
      </w:pPr>
      <w:r>
        <w:tab/>
        <w:t>(1)</w:t>
      </w:r>
      <w:r>
        <w:tab/>
        <w:t>The safe working load specified in the permit to erect or alter a lift shall be the safe working load of the lift.</w:t>
      </w:r>
    </w:p>
    <w:p w:rsidR="00AF2508" w:rsidRDefault="00AF2508">
      <w:pPr>
        <w:pStyle w:val="Amain"/>
      </w:pPr>
      <w:r>
        <w:tab/>
        <w:t>(2)</w:t>
      </w:r>
      <w:r>
        <w:tab/>
        <w:t>The chief inspector may by written notice served on the owner vary the safe working load of any lift and the safe working load as varied shall then be the safe working load of the lift until revoked or further varied by the chief inspector.</w:t>
      </w:r>
    </w:p>
    <w:p w:rsidR="00AF2508" w:rsidRDefault="00AF2508">
      <w:pPr>
        <w:pStyle w:val="Amain"/>
      </w:pPr>
      <w:r>
        <w:tab/>
        <w:t>(3)</w:t>
      </w:r>
      <w:r>
        <w:tab/>
        <w:t>The notice stating the safe working load required to be exhibited under section 70 may state a safe working load less than the safe working load as determined under this section.</w:t>
      </w:r>
    </w:p>
    <w:p w:rsidR="00AF2508" w:rsidRDefault="00AF2508">
      <w:pPr>
        <w:pStyle w:val="Amain"/>
      </w:pPr>
      <w:r>
        <w:tab/>
        <w:t>(4)</w:t>
      </w:r>
      <w:r>
        <w:tab/>
        <w:t>The notice stating the safe working load required to be exhibited in the car of a passenger lift shall state the maximum number of people to be carried, which number shall not be greater than the safe working load in pounds divided by 150.</w:t>
      </w:r>
    </w:p>
    <w:p w:rsidR="00AF2508" w:rsidRDefault="00AF2508">
      <w:pPr>
        <w:pStyle w:val="Amain"/>
      </w:pPr>
      <w:r>
        <w:tab/>
        <w:t>(5)</w:t>
      </w:r>
      <w:r>
        <w:tab/>
        <w:t>The notice stating the safe working load required to be exhibited in relation to lifts other than passenger lifts must state the load in pounds.</w:t>
      </w:r>
    </w:p>
    <w:p w:rsidR="00AF2508" w:rsidRDefault="00AF2508">
      <w:pPr>
        <w:pStyle w:val="AH4SubDiv"/>
      </w:pPr>
      <w:bookmarkStart w:id="28" w:name="_Toc161636692"/>
      <w:r>
        <w:t>Construction</w:t>
      </w:r>
      <w:bookmarkEnd w:id="28"/>
    </w:p>
    <w:p w:rsidR="00AF2508" w:rsidRDefault="00AF2508">
      <w:pPr>
        <w:pStyle w:val="AH5Sec"/>
      </w:pPr>
      <w:bookmarkStart w:id="29" w:name="_Toc161636693"/>
      <w:r>
        <w:rPr>
          <w:rStyle w:val="CharSectNo"/>
        </w:rPr>
        <w:t>19</w:t>
      </w:r>
      <w:bookmarkEnd w:id="29"/>
      <w:r>
        <w:tab/>
        <w:t xml:space="preserve">  </w:t>
      </w:r>
    </w:p>
    <w:p w:rsidR="00AF2508" w:rsidRDefault="00AF2508">
      <w:pPr>
        <w:pStyle w:val="Amainreturn"/>
      </w:pPr>
      <w:r>
        <w:t>Every lift and every part of it shall be of sound material, good construction, adequate strength, free from patent defects and be suitable and safe for the purpose for which it is intended.</w:t>
      </w:r>
    </w:p>
    <w:p w:rsidR="00AF2508" w:rsidRDefault="00AF2508">
      <w:pPr>
        <w:pStyle w:val="AH5Sec"/>
      </w:pPr>
      <w:bookmarkStart w:id="30" w:name="_Toc161636694"/>
      <w:r>
        <w:rPr>
          <w:rStyle w:val="CharSectNo"/>
        </w:rPr>
        <w:t>20</w:t>
      </w:r>
      <w:bookmarkEnd w:id="30"/>
      <w:r>
        <w:tab/>
        <w:t xml:space="preserve">  </w:t>
      </w:r>
    </w:p>
    <w:p w:rsidR="00AF2508" w:rsidRDefault="00AF2508">
      <w:pPr>
        <w:pStyle w:val="Amainreturn"/>
      </w:pPr>
      <w:r>
        <w:t>All work performed and all machines, equipment and material used in connection with any lift shall be subject to the approval of the chief inspector, who shall, as often as it appears to the chief inspector necessary, cause them to be inspected and tested.</w:t>
      </w:r>
    </w:p>
    <w:p w:rsidR="00AF2508" w:rsidRDefault="00AF2508">
      <w:pPr>
        <w:pStyle w:val="AH5Sec"/>
      </w:pPr>
      <w:bookmarkStart w:id="31" w:name="_Toc161636695"/>
      <w:r>
        <w:rPr>
          <w:rStyle w:val="CharSectNo"/>
        </w:rPr>
        <w:t>21</w:t>
      </w:r>
      <w:bookmarkEnd w:id="31"/>
      <w:r>
        <w:tab/>
        <w:t xml:space="preserve">  </w:t>
      </w:r>
    </w:p>
    <w:p w:rsidR="00AF2508" w:rsidRDefault="00AF2508">
      <w:pPr>
        <w:pStyle w:val="Amainreturn"/>
      </w:pPr>
      <w:r>
        <w:t>No person other than a person engaged on the erection, or alteration of a lift, shall work, use or interfere with the lift until the lift has been approved by an inspector for general use.</w:t>
      </w:r>
    </w:p>
    <w:p w:rsidR="00AF2508" w:rsidRDefault="00AF2508">
      <w:pPr>
        <w:pStyle w:val="AH4SubDiv"/>
      </w:pPr>
      <w:bookmarkStart w:id="32" w:name="_Toc161636696"/>
      <w:r>
        <w:t>Car loading automatic passenger lifts</w:t>
      </w:r>
      <w:bookmarkEnd w:id="32"/>
    </w:p>
    <w:p w:rsidR="00AF2508" w:rsidRDefault="00AF2508">
      <w:pPr>
        <w:pStyle w:val="AH5Sec"/>
      </w:pPr>
      <w:bookmarkStart w:id="33" w:name="_Toc161636697"/>
      <w:r>
        <w:rPr>
          <w:rStyle w:val="CharSectNo"/>
        </w:rPr>
        <w:t>22</w:t>
      </w:r>
      <w:bookmarkEnd w:id="33"/>
      <w:r>
        <w:tab/>
        <w:t xml:space="preserve">  </w:t>
      </w:r>
    </w:p>
    <w:p w:rsidR="00AF2508" w:rsidRDefault="00AF2508">
      <w:pPr>
        <w:pStyle w:val="Amain"/>
      </w:pPr>
      <w:r>
        <w:tab/>
        <w:t>(1)</w:t>
      </w:r>
      <w:r>
        <w:tab/>
        <w:t>Every passenger lift being an automatic lift shall be designed and constructed on the basis of a load of not less than 75 pounds per square foot of net car or platform floor area.</w:t>
      </w:r>
    </w:p>
    <w:p w:rsidR="00AF2508" w:rsidRDefault="00AF2508">
      <w:pPr>
        <w:pStyle w:val="Amain"/>
        <w:keepLines/>
      </w:pPr>
      <w:r>
        <w:tab/>
        <w:t>(2)</w:t>
      </w:r>
      <w:r>
        <w:tab/>
        <w:t>The chief inspector may exempt from the operation of this section any lift designed to carry beds, stretchers or invalid chairs in a hospital or similar institution, or any lift with a car floor area not exceeding 9 square feet.</w:t>
      </w:r>
    </w:p>
    <w:p w:rsidR="00AF2508" w:rsidRDefault="00AF2508">
      <w:pPr>
        <w:pStyle w:val="AH4SubDiv"/>
      </w:pPr>
      <w:bookmarkStart w:id="34" w:name="_Toc161636698"/>
      <w:r>
        <w:t>Supporting structures and machine rooms</w:t>
      </w:r>
      <w:bookmarkEnd w:id="34"/>
    </w:p>
    <w:p w:rsidR="00AF2508" w:rsidRDefault="00AF2508">
      <w:pPr>
        <w:pStyle w:val="AH5Sec"/>
      </w:pPr>
      <w:bookmarkStart w:id="35" w:name="_Toc161636699"/>
      <w:r>
        <w:rPr>
          <w:rStyle w:val="CharSectNo"/>
        </w:rPr>
        <w:t>23</w:t>
      </w:r>
      <w:bookmarkEnd w:id="35"/>
      <w:r>
        <w:tab/>
        <w:t xml:space="preserve">  </w:t>
      </w:r>
    </w:p>
    <w:p w:rsidR="00AF2508" w:rsidRDefault="00AF2508">
      <w:pPr>
        <w:pStyle w:val="Amain"/>
      </w:pPr>
      <w:r>
        <w:tab/>
        <w:t>(1)</w:t>
      </w:r>
      <w:r>
        <w:tab/>
        <w:t>The supporting structure of every lift shall be designed and constructed in accordance with part 11.</w:t>
      </w:r>
    </w:p>
    <w:p w:rsidR="00AF2508" w:rsidRDefault="00AF2508">
      <w:pPr>
        <w:pStyle w:val="Amain"/>
      </w:pPr>
      <w:r>
        <w:tab/>
        <w:t>(2)</w:t>
      </w:r>
      <w:r>
        <w:tab/>
        <w:t>The machine, control mechanism and all parts of the equipment of every lift, other than those parts that must necessarily be placed elsewhere to effectively perform their functions shall be housed in a machine room.</w:t>
      </w:r>
    </w:p>
    <w:p w:rsidR="00AF2508" w:rsidRDefault="00AF2508">
      <w:pPr>
        <w:pStyle w:val="Amain"/>
      </w:pPr>
      <w:r>
        <w:tab/>
        <w:t>(3)</w:t>
      </w:r>
      <w:r>
        <w:tab/>
        <w:t>The area and height of the machine room shall be adequate to permit of free and safe access for purposes of inspection and maintenance of all parts of the machine and lift equipment located in it, and the machine room shall be adequately illuminated and ventilated and shall be provided with safe and convenient means of access.</w:t>
      </w:r>
    </w:p>
    <w:p w:rsidR="00AF2508" w:rsidRDefault="00AF2508">
      <w:pPr>
        <w:pStyle w:val="Amain"/>
      </w:pPr>
      <w:r>
        <w:tab/>
        <w:t>(4)</w:t>
      </w:r>
      <w:r>
        <w:tab/>
        <w:t>Every entrance to the machine room shall be provided with a door.</w:t>
      </w:r>
    </w:p>
    <w:p w:rsidR="00AF2508" w:rsidRDefault="00AF2508">
      <w:pPr>
        <w:pStyle w:val="Amain"/>
      </w:pPr>
      <w:r>
        <w:tab/>
        <w:t>(5)</w:t>
      </w:r>
      <w:r>
        <w:tab/>
        <w:t>Every door to the machine room shall be provided with a lock that can be opened from outside the room only by the use of a key.</w:t>
      </w:r>
    </w:p>
    <w:p w:rsidR="00AF2508" w:rsidRDefault="00AF2508">
      <w:pPr>
        <w:pStyle w:val="Amain"/>
      </w:pPr>
      <w:r>
        <w:tab/>
        <w:t>(6)</w:t>
      </w:r>
      <w:r>
        <w:tab/>
        <w:t>If the door locks on closing, it shall be of a type that does not require a key to unlock it from within the machine room.</w:t>
      </w:r>
    </w:p>
    <w:p w:rsidR="00AF2508" w:rsidRDefault="00AF2508">
      <w:pPr>
        <w:pStyle w:val="Amain"/>
      </w:pPr>
      <w:r>
        <w:tab/>
        <w:t>(7)</w:t>
      </w:r>
      <w:r>
        <w:tab/>
        <w:t>If lift machine room equipment is situatedd on more than 1 floor, effective means of switching off the power shall be provided at each floor.</w:t>
      </w:r>
    </w:p>
    <w:p w:rsidR="00AF2508" w:rsidRDefault="00AF2508">
      <w:pPr>
        <w:pStyle w:val="AH4SubDiv"/>
      </w:pPr>
      <w:bookmarkStart w:id="36" w:name="_Toc161636700"/>
      <w:r>
        <w:t>Overruns</w:t>
      </w:r>
      <w:bookmarkEnd w:id="36"/>
    </w:p>
    <w:p w:rsidR="00AF2508" w:rsidRDefault="00AF2508">
      <w:pPr>
        <w:pStyle w:val="AH5Sec"/>
      </w:pPr>
      <w:bookmarkStart w:id="37" w:name="_Toc161636701"/>
      <w:r>
        <w:rPr>
          <w:rStyle w:val="CharSectNo"/>
        </w:rPr>
        <w:t>24</w:t>
      </w:r>
      <w:bookmarkEnd w:id="37"/>
      <w:r>
        <w:tab/>
        <w:t xml:space="preserve">  </w:t>
      </w:r>
    </w:p>
    <w:p w:rsidR="00AF2508" w:rsidRDefault="00AF2508">
      <w:pPr>
        <w:pStyle w:val="Amain"/>
      </w:pPr>
      <w:r>
        <w:tab/>
        <w:t>(1)</w:t>
      </w:r>
      <w:r>
        <w:tab/>
        <w:t>The overrun provided for a car and for a counterweight of any lift other than for a service lift, shall be not less than that specified in table 24:</w:t>
      </w:r>
    </w:p>
    <w:p w:rsidR="00AF2508" w:rsidRDefault="00AF2508">
      <w:pPr>
        <w:pStyle w:val="TableHd"/>
      </w:pPr>
      <w:r>
        <w:t>Table 24</w:t>
      </w:r>
    </w:p>
    <w:tbl>
      <w:tblPr>
        <w:tblW w:w="0" w:type="auto"/>
        <w:tblLayout w:type="fixed"/>
        <w:tblCellMar>
          <w:left w:w="80" w:type="dxa"/>
          <w:right w:w="80" w:type="dxa"/>
        </w:tblCellMar>
        <w:tblLook w:val="0000" w:firstRow="0" w:lastRow="0" w:firstColumn="0" w:lastColumn="0" w:noHBand="0" w:noVBand="0"/>
      </w:tblPr>
      <w:tblGrid>
        <w:gridCol w:w="1760"/>
        <w:gridCol w:w="960"/>
        <w:gridCol w:w="520"/>
        <w:gridCol w:w="320"/>
        <w:gridCol w:w="240"/>
        <w:gridCol w:w="960"/>
        <w:gridCol w:w="720"/>
        <w:gridCol w:w="180"/>
        <w:gridCol w:w="936"/>
        <w:gridCol w:w="804"/>
      </w:tblGrid>
      <w:tr w:rsidR="00AF2508">
        <w:trPr>
          <w:cantSplit/>
        </w:trPr>
        <w:tc>
          <w:tcPr>
            <w:tcW w:w="3240" w:type="dxa"/>
            <w:gridSpan w:val="3"/>
            <w:tcBorders>
              <w:bottom w:val="single" w:sz="6" w:space="0" w:color="auto"/>
            </w:tcBorders>
          </w:tcPr>
          <w:p w:rsidR="00AF2508" w:rsidRDefault="00AF2508">
            <w:pPr>
              <w:pStyle w:val="TableColHd"/>
              <w:jc w:val="center"/>
            </w:pPr>
            <w:r>
              <w:t>Car</w:t>
            </w:r>
          </w:p>
        </w:tc>
        <w:tc>
          <w:tcPr>
            <w:tcW w:w="4160" w:type="dxa"/>
            <w:gridSpan w:val="7"/>
            <w:tcBorders>
              <w:bottom w:val="single" w:sz="6" w:space="0" w:color="auto"/>
            </w:tcBorders>
          </w:tcPr>
          <w:p w:rsidR="00AF2508" w:rsidRDefault="00AF2508">
            <w:pPr>
              <w:pStyle w:val="TableColHd"/>
              <w:jc w:val="center"/>
            </w:pPr>
            <w:r>
              <w:t>Counterweight</w:t>
            </w:r>
          </w:p>
        </w:tc>
      </w:tr>
      <w:tr w:rsidR="00AF2508">
        <w:trPr>
          <w:cantSplit/>
        </w:trPr>
        <w:tc>
          <w:tcPr>
            <w:tcW w:w="1760" w:type="dxa"/>
            <w:vAlign w:val="bottom"/>
          </w:tcPr>
          <w:p w:rsidR="00AF2508" w:rsidRDefault="00AF2508">
            <w:pPr>
              <w:rPr>
                <w:rFonts w:ascii="Arial" w:hAnsi="Arial"/>
                <w:sz w:val="20"/>
              </w:rPr>
            </w:pPr>
          </w:p>
        </w:tc>
        <w:tc>
          <w:tcPr>
            <w:tcW w:w="1800" w:type="dxa"/>
            <w:gridSpan w:val="3"/>
            <w:tcBorders>
              <w:bottom w:val="single" w:sz="4" w:space="0" w:color="auto"/>
            </w:tcBorders>
            <w:vAlign w:val="bottom"/>
          </w:tcPr>
          <w:p w:rsidR="00AF2508" w:rsidRDefault="00AF2508">
            <w:pPr>
              <w:rPr>
                <w:rFonts w:ascii="Arial" w:hAnsi="Arial"/>
                <w:sz w:val="20"/>
              </w:rPr>
            </w:pPr>
            <w:r>
              <w:rPr>
                <w:rFonts w:ascii="Arial" w:hAnsi="Arial"/>
                <w:sz w:val="20"/>
              </w:rPr>
              <w:t>top overrun</w:t>
            </w:r>
          </w:p>
        </w:tc>
        <w:tc>
          <w:tcPr>
            <w:tcW w:w="240" w:type="dxa"/>
            <w:tcBorders>
              <w:left w:val="nil"/>
            </w:tcBorders>
            <w:vAlign w:val="bottom"/>
          </w:tcPr>
          <w:p w:rsidR="00AF2508" w:rsidRDefault="00AF2508">
            <w:pPr>
              <w:rPr>
                <w:rFonts w:ascii="Arial" w:hAnsi="Arial"/>
                <w:sz w:val="20"/>
              </w:rPr>
            </w:pPr>
          </w:p>
        </w:tc>
        <w:tc>
          <w:tcPr>
            <w:tcW w:w="1680" w:type="dxa"/>
            <w:gridSpan w:val="2"/>
            <w:vAlign w:val="bottom"/>
          </w:tcPr>
          <w:p w:rsidR="00AF2508" w:rsidRDefault="00AF2508">
            <w:pPr>
              <w:rPr>
                <w:rFonts w:ascii="Arial" w:hAnsi="Arial"/>
                <w:color w:val="000000"/>
                <w:sz w:val="20"/>
              </w:rPr>
            </w:pPr>
            <w:r>
              <w:rPr>
                <w:rFonts w:ascii="Arial" w:hAnsi="Arial"/>
                <w:color w:val="000000"/>
                <w:sz w:val="20"/>
              </w:rPr>
              <w:t>bottom overrun</w:t>
            </w:r>
          </w:p>
        </w:tc>
        <w:tc>
          <w:tcPr>
            <w:tcW w:w="180" w:type="dxa"/>
            <w:vAlign w:val="bottom"/>
          </w:tcPr>
          <w:p w:rsidR="00AF2508" w:rsidRDefault="00AF2508">
            <w:pPr>
              <w:rPr>
                <w:rFonts w:ascii="Arial" w:hAnsi="Arial"/>
                <w:color w:val="000000"/>
                <w:sz w:val="20"/>
              </w:rPr>
            </w:pPr>
          </w:p>
        </w:tc>
        <w:tc>
          <w:tcPr>
            <w:tcW w:w="1740" w:type="dxa"/>
            <w:gridSpan w:val="2"/>
            <w:vAlign w:val="bottom"/>
          </w:tcPr>
          <w:p w:rsidR="00AF2508" w:rsidRDefault="00AF2508">
            <w:pPr>
              <w:rPr>
                <w:rFonts w:ascii="Arial" w:hAnsi="Arial"/>
                <w:color w:val="000000"/>
                <w:sz w:val="20"/>
              </w:rPr>
            </w:pPr>
            <w:r>
              <w:rPr>
                <w:rFonts w:ascii="Arial" w:hAnsi="Arial"/>
                <w:color w:val="000000"/>
                <w:sz w:val="20"/>
              </w:rPr>
              <w:t>top overrun (with car landed)</w:t>
            </w:r>
          </w:p>
        </w:tc>
      </w:tr>
      <w:tr w:rsidR="00AF2508">
        <w:trPr>
          <w:cantSplit/>
        </w:trPr>
        <w:tc>
          <w:tcPr>
            <w:tcW w:w="1760" w:type="dxa"/>
            <w:tcBorders>
              <w:bottom w:val="single" w:sz="6" w:space="0" w:color="auto"/>
            </w:tcBorders>
          </w:tcPr>
          <w:p w:rsidR="00AF2508" w:rsidRDefault="00AF2508">
            <w:pPr>
              <w:rPr>
                <w:rFonts w:ascii="Arial" w:hAnsi="Arial"/>
                <w:sz w:val="20"/>
              </w:rPr>
            </w:pPr>
            <w:r>
              <w:rPr>
                <w:rFonts w:ascii="Arial" w:hAnsi="Arial"/>
                <w:sz w:val="20"/>
              </w:rPr>
              <w:t xml:space="preserve">rated speed </w:t>
            </w:r>
            <w:r>
              <w:rPr>
                <w:rFonts w:ascii="Arial" w:hAnsi="Arial"/>
                <w:sz w:val="20"/>
              </w:rPr>
              <w:br/>
              <w:t>in feet per/min</w:t>
            </w:r>
          </w:p>
        </w:tc>
        <w:tc>
          <w:tcPr>
            <w:tcW w:w="960" w:type="dxa"/>
            <w:tcBorders>
              <w:top w:val="single" w:sz="4" w:space="0" w:color="auto"/>
              <w:bottom w:val="single" w:sz="6" w:space="0" w:color="auto"/>
            </w:tcBorders>
          </w:tcPr>
          <w:p w:rsidR="00AF2508" w:rsidRDefault="00AF2508">
            <w:pPr>
              <w:rPr>
                <w:rFonts w:ascii="Arial" w:hAnsi="Arial"/>
                <w:sz w:val="20"/>
              </w:rPr>
            </w:pPr>
            <w:r>
              <w:rPr>
                <w:rFonts w:ascii="Arial" w:hAnsi="Arial"/>
                <w:sz w:val="20"/>
              </w:rPr>
              <w:t>traction drive</w:t>
            </w:r>
          </w:p>
        </w:tc>
        <w:tc>
          <w:tcPr>
            <w:tcW w:w="840" w:type="dxa"/>
            <w:gridSpan w:val="2"/>
            <w:tcBorders>
              <w:bottom w:val="single" w:sz="6" w:space="0" w:color="auto"/>
            </w:tcBorders>
          </w:tcPr>
          <w:p w:rsidR="00AF2508" w:rsidRDefault="00AF2508">
            <w:pPr>
              <w:rPr>
                <w:rFonts w:ascii="Arial" w:hAnsi="Arial"/>
                <w:sz w:val="20"/>
              </w:rPr>
            </w:pPr>
            <w:r>
              <w:rPr>
                <w:rFonts w:ascii="Arial" w:hAnsi="Arial"/>
                <w:sz w:val="20"/>
              </w:rPr>
              <w:t>drum drive</w:t>
            </w:r>
          </w:p>
        </w:tc>
        <w:tc>
          <w:tcPr>
            <w:tcW w:w="240" w:type="dxa"/>
            <w:tcBorders>
              <w:left w:val="nil"/>
              <w:bottom w:val="single" w:sz="6" w:space="0" w:color="auto"/>
            </w:tcBorders>
          </w:tcPr>
          <w:p w:rsidR="00AF2508" w:rsidRDefault="00AF2508">
            <w:pPr>
              <w:rPr>
                <w:rFonts w:ascii="Arial" w:hAnsi="Arial"/>
                <w:sz w:val="20"/>
              </w:rPr>
            </w:pPr>
          </w:p>
        </w:tc>
        <w:tc>
          <w:tcPr>
            <w:tcW w:w="960" w:type="dxa"/>
            <w:tcBorders>
              <w:top w:val="single" w:sz="4" w:space="0" w:color="auto"/>
              <w:bottom w:val="single" w:sz="6" w:space="0" w:color="auto"/>
            </w:tcBorders>
          </w:tcPr>
          <w:p w:rsidR="00AF2508" w:rsidRDefault="00AF2508">
            <w:pPr>
              <w:rPr>
                <w:rFonts w:ascii="Arial" w:hAnsi="Arial"/>
                <w:sz w:val="20"/>
              </w:rPr>
            </w:pPr>
            <w:r>
              <w:rPr>
                <w:rFonts w:ascii="Arial" w:hAnsi="Arial"/>
                <w:sz w:val="20"/>
              </w:rPr>
              <w:t>traction drive</w:t>
            </w:r>
          </w:p>
        </w:tc>
        <w:tc>
          <w:tcPr>
            <w:tcW w:w="720" w:type="dxa"/>
            <w:tcBorders>
              <w:top w:val="single" w:sz="4" w:space="0" w:color="auto"/>
              <w:bottom w:val="single" w:sz="6" w:space="0" w:color="auto"/>
            </w:tcBorders>
          </w:tcPr>
          <w:p w:rsidR="00AF2508" w:rsidRDefault="00AF2508">
            <w:pPr>
              <w:rPr>
                <w:rFonts w:ascii="Arial" w:hAnsi="Arial"/>
                <w:sz w:val="20"/>
              </w:rPr>
            </w:pPr>
            <w:r>
              <w:rPr>
                <w:rFonts w:ascii="Arial" w:hAnsi="Arial"/>
                <w:sz w:val="20"/>
              </w:rPr>
              <w:t>drum drive</w:t>
            </w:r>
          </w:p>
        </w:tc>
        <w:tc>
          <w:tcPr>
            <w:tcW w:w="180" w:type="dxa"/>
            <w:tcBorders>
              <w:bottom w:val="single" w:sz="6" w:space="0" w:color="auto"/>
            </w:tcBorders>
          </w:tcPr>
          <w:p w:rsidR="00AF2508" w:rsidRDefault="00AF2508">
            <w:pPr>
              <w:rPr>
                <w:rFonts w:ascii="Arial" w:hAnsi="Arial"/>
                <w:sz w:val="20"/>
              </w:rPr>
            </w:pPr>
          </w:p>
        </w:tc>
        <w:tc>
          <w:tcPr>
            <w:tcW w:w="936" w:type="dxa"/>
            <w:tcBorders>
              <w:top w:val="single" w:sz="4" w:space="0" w:color="auto"/>
              <w:bottom w:val="single" w:sz="6" w:space="0" w:color="auto"/>
            </w:tcBorders>
          </w:tcPr>
          <w:p w:rsidR="00AF2508" w:rsidRDefault="00AF2508">
            <w:pPr>
              <w:rPr>
                <w:rFonts w:ascii="Arial" w:hAnsi="Arial"/>
                <w:sz w:val="20"/>
              </w:rPr>
            </w:pPr>
            <w:r>
              <w:rPr>
                <w:rFonts w:ascii="Arial" w:hAnsi="Arial"/>
                <w:sz w:val="20"/>
              </w:rPr>
              <w:t>traction drive</w:t>
            </w:r>
          </w:p>
        </w:tc>
        <w:tc>
          <w:tcPr>
            <w:tcW w:w="804" w:type="dxa"/>
            <w:tcBorders>
              <w:top w:val="single" w:sz="4" w:space="0" w:color="auto"/>
              <w:bottom w:val="single" w:sz="6" w:space="0" w:color="auto"/>
            </w:tcBorders>
          </w:tcPr>
          <w:p w:rsidR="00AF2508" w:rsidRDefault="00AF2508">
            <w:pPr>
              <w:rPr>
                <w:rFonts w:ascii="Arial" w:hAnsi="Arial"/>
                <w:sz w:val="20"/>
              </w:rPr>
            </w:pPr>
            <w:r>
              <w:rPr>
                <w:rFonts w:ascii="Arial" w:hAnsi="Arial"/>
                <w:sz w:val="20"/>
              </w:rPr>
              <w:t>drum drive</w:t>
            </w:r>
          </w:p>
        </w:tc>
      </w:tr>
      <w:tr w:rsidR="00AF2508">
        <w:trPr>
          <w:cantSplit/>
        </w:trPr>
        <w:tc>
          <w:tcPr>
            <w:tcW w:w="1760" w:type="dxa"/>
            <w:tcBorders>
              <w:top w:val="single" w:sz="6" w:space="0" w:color="auto"/>
            </w:tcBorders>
          </w:tcPr>
          <w:p w:rsidR="00AF2508" w:rsidRDefault="00AF2508">
            <w:pPr>
              <w:rPr>
                <w:rFonts w:ascii="Arial" w:hAnsi="Arial"/>
                <w:sz w:val="20"/>
              </w:rPr>
            </w:pPr>
          </w:p>
        </w:tc>
        <w:tc>
          <w:tcPr>
            <w:tcW w:w="960" w:type="dxa"/>
            <w:tcBorders>
              <w:top w:val="single" w:sz="6" w:space="0" w:color="auto"/>
            </w:tcBorders>
          </w:tcPr>
          <w:p w:rsidR="00AF2508" w:rsidRDefault="00AF2508">
            <w:pPr>
              <w:rPr>
                <w:rFonts w:ascii="Arial" w:hAnsi="Arial"/>
                <w:sz w:val="20"/>
              </w:rPr>
            </w:pPr>
            <w:r>
              <w:rPr>
                <w:rFonts w:ascii="Arial" w:hAnsi="Arial"/>
                <w:sz w:val="20"/>
              </w:rPr>
              <w:t>ft.  in.</w:t>
            </w:r>
          </w:p>
        </w:tc>
        <w:tc>
          <w:tcPr>
            <w:tcW w:w="840" w:type="dxa"/>
            <w:gridSpan w:val="2"/>
            <w:tcBorders>
              <w:top w:val="single" w:sz="6" w:space="0" w:color="auto"/>
            </w:tcBorders>
          </w:tcPr>
          <w:p w:rsidR="00AF2508" w:rsidRDefault="00AF2508">
            <w:pPr>
              <w:rPr>
                <w:rFonts w:ascii="Arial" w:hAnsi="Arial"/>
                <w:sz w:val="20"/>
              </w:rPr>
            </w:pPr>
            <w:r>
              <w:rPr>
                <w:rFonts w:ascii="Arial" w:hAnsi="Arial"/>
                <w:sz w:val="20"/>
              </w:rPr>
              <w:t>ft.  in.</w:t>
            </w:r>
          </w:p>
        </w:tc>
        <w:tc>
          <w:tcPr>
            <w:tcW w:w="240" w:type="dxa"/>
            <w:tcBorders>
              <w:top w:val="single" w:sz="6" w:space="0" w:color="auto"/>
              <w:left w:val="nil"/>
            </w:tcBorders>
          </w:tcPr>
          <w:p w:rsidR="00AF2508" w:rsidRDefault="00AF2508">
            <w:pPr>
              <w:rPr>
                <w:rFonts w:ascii="Arial" w:hAnsi="Arial"/>
                <w:sz w:val="20"/>
              </w:rPr>
            </w:pPr>
          </w:p>
        </w:tc>
        <w:tc>
          <w:tcPr>
            <w:tcW w:w="960" w:type="dxa"/>
            <w:tcBorders>
              <w:top w:val="single" w:sz="6" w:space="0" w:color="auto"/>
            </w:tcBorders>
          </w:tcPr>
          <w:p w:rsidR="00AF2508" w:rsidRDefault="00AF2508">
            <w:pPr>
              <w:rPr>
                <w:rFonts w:ascii="Arial" w:hAnsi="Arial"/>
                <w:sz w:val="20"/>
              </w:rPr>
            </w:pPr>
            <w:r>
              <w:rPr>
                <w:rFonts w:ascii="Arial" w:hAnsi="Arial"/>
                <w:sz w:val="20"/>
              </w:rPr>
              <w:t>ft.  in.</w:t>
            </w:r>
          </w:p>
        </w:tc>
        <w:tc>
          <w:tcPr>
            <w:tcW w:w="720" w:type="dxa"/>
            <w:tcBorders>
              <w:top w:val="single" w:sz="6" w:space="0" w:color="auto"/>
            </w:tcBorders>
          </w:tcPr>
          <w:p w:rsidR="00AF2508" w:rsidRDefault="00AF2508">
            <w:pPr>
              <w:rPr>
                <w:rFonts w:ascii="Arial" w:hAnsi="Arial"/>
                <w:sz w:val="20"/>
              </w:rPr>
            </w:pPr>
            <w:r>
              <w:rPr>
                <w:rFonts w:ascii="Arial" w:hAnsi="Arial"/>
                <w:sz w:val="20"/>
              </w:rPr>
              <w:t>ft.  in.</w:t>
            </w:r>
          </w:p>
        </w:tc>
        <w:tc>
          <w:tcPr>
            <w:tcW w:w="180" w:type="dxa"/>
            <w:tcBorders>
              <w:top w:val="single" w:sz="6" w:space="0" w:color="auto"/>
            </w:tcBorders>
          </w:tcPr>
          <w:p w:rsidR="00AF2508" w:rsidRDefault="00AF2508">
            <w:pPr>
              <w:rPr>
                <w:rFonts w:ascii="Arial" w:hAnsi="Arial"/>
                <w:sz w:val="20"/>
              </w:rPr>
            </w:pPr>
          </w:p>
        </w:tc>
        <w:tc>
          <w:tcPr>
            <w:tcW w:w="936" w:type="dxa"/>
            <w:tcBorders>
              <w:top w:val="single" w:sz="6" w:space="0" w:color="auto"/>
            </w:tcBorders>
          </w:tcPr>
          <w:p w:rsidR="00AF2508" w:rsidRDefault="00AF2508">
            <w:pPr>
              <w:rPr>
                <w:rFonts w:ascii="Arial" w:hAnsi="Arial"/>
                <w:sz w:val="20"/>
              </w:rPr>
            </w:pPr>
            <w:r>
              <w:rPr>
                <w:rFonts w:ascii="Arial" w:hAnsi="Arial"/>
                <w:sz w:val="20"/>
              </w:rPr>
              <w:t>ft.  in.</w:t>
            </w:r>
          </w:p>
        </w:tc>
        <w:tc>
          <w:tcPr>
            <w:tcW w:w="804" w:type="dxa"/>
            <w:tcBorders>
              <w:top w:val="single" w:sz="6" w:space="0" w:color="auto"/>
            </w:tcBorders>
          </w:tcPr>
          <w:p w:rsidR="00AF2508" w:rsidRDefault="00AF2508">
            <w:pPr>
              <w:rPr>
                <w:rFonts w:ascii="Arial" w:hAnsi="Arial"/>
                <w:sz w:val="20"/>
              </w:rPr>
            </w:pPr>
            <w:r>
              <w:rPr>
                <w:rFonts w:ascii="Arial" w:hAnsi="Arial"/>
                <w:sz w:val="20"/>
              </w:rPr>
              <w:t>ft.  in.</w:t>
            </w:r>
          </w:p>
        </w:tc>
      </w:tr>
      <w:tr w:rsidR="00AF2508">
        <w:trPr>
          <w:cantSplit/>
        </w:trPr>
        <w:tc>
          <w:tcPr>
            <w:tcW w:w="1760" w:type="dxa"/>
          </w:tcPr>
          <w:p w:rsidR="00AF2508" w:rsidRDefault="00AF2508">
            <w:pPr>
              <w:rPr>
                <w:rFonts w:ascii="Arial" w:hAnsi="Arial"/>
                <w:sz w:val="20"/>
              </w:rPr>
            </w:pPr>
            <w:r>
              <w:rPr>
                <w:rFonts w:ascii="Arial" w:hAnsi="Arial"/>
                <w:sz w:val="20"/>
              </w:rPr>
              <w:t>0 to 100</w:t>
            </w:r>
            <w:r>
              <w:rPr>
                <w:rFonts w:ascii="Arial" w:hAnsi="Arial"/>
                <w:sz w:val="20"/>
              </w:rPr>
              <w:tab/>
            </w:r>
          </w:p>
        </w:tc>
        <w:tc>
          <w:tcPr>
            <w:tcW w:w="960" w:type="dxa"/>
          </w:tcPr>
          <w:p w:rsidR="00AF2508" w:rsidRDefault="00AF2508">
            <w:pPr>
              <w:rPr>
                <w:rFonts w:ascii="Arial" w:hAnsi="Arial"/>
                <w:sz w:val="20"/>
              </w:rPr>
            </w:pPr>
            <w:r>
              <w:rPr>
                <w:rFonts w:ascii="Arial" w:hAnsi="Arial"/>
                <w:sz w:val="20"/>
              </w:rPr>
              <w:t>3     0</w:t>
            </w:r>
          </w:p>
        </w:tc>
        <w:tc>
          <w:tcPr>
            <w:tcW w:w="840" w:type="dxa"/>
            <w:gridSpan w:val="2"/>
          </w:tcPr>
          <w:p w:rsidR="00AF2508" w:rsidRDefault="00AF2508">
            <w:pPr>
              <w:rPr>
                <w:rFonts w:ascii="Arial" w:hAnsi="Arial"/>
                <w:sz w:val="20"/>
              </w:rPr>
            </w:pPr>
            <w:r>
              <w:rPr>
                <w:rFonts w:ascii="Arial" w:hAnsi="Arial"/>
                <w:sz w:val="20"/>
              </w:rPr>
              <w:t>4     0</w:t>
            </w:r>
          </w:p>
        </w:tc>
        <w:tc>
          <w:tcPr>
            <w:tcW w:w="240" w:type="dxa"/>
            <w:tcBorders>
              <w:left w:val="nil"/>
            </w:tcBorders>
          </w:tcPr>
          <w:p w:rsidR="00AF2508" w:rsidRDefault="00AF2508">
            <w:pPr>
              <w:rPr>
                <w:rFonts w:ascii="Arial" w:hAnsi="Arial"/>
                <w:sz w:val="20"/>
              </w:rPr>
            </w:pPr>
          </w:p>
        </w:tc>
        <w:tc>
          <w:tcPr>
            <w:tcW w:w="960" w:type="dxa"/>
          </w:tcPr>
          <w:p w:rsidR="00AF2508" w:rsidRDefault="00AF2508">
            <w:pPr>
              <w:rPr>
                <w:rFonts w:ascii="Arial" w:hAnsi="Arial"/>
                <w:sz w:val="20"/>
              </w:rPr>
            </w:pPr>
            <w:r>
              <w:rPr>
                <w:rFonts w:ascii="Arial" w:hAnsi="Arial"/>
                <w:sz w:val="20"/>
              </w:rPr>
              <w:t>1      6</w:t>
            </w:r>
          </w:p>
        </w:tc>
        <w:tc>
          <w:tcPr>
            <w:tcW w:w="720" w:type="dxa"/>
          </w:tcPr>
          <w:p w:rsidR="00AF2508" w:rsidRDefault="00AF2508">
            <w:pPr>
              <w:rPr>
                <w:rFonts w:ascii="Arial" w:hAnsi="Arial"/>
                <w:sz w:val="20"/>
              </w:rPr>
            </w:pPr>
            <w:r>
              <w:rPr>
                <w:rFonts w:ascii="Arial" w:hAnsi="Arial"/>
                <w:sz w:val="20"/>
              </w:rPr>
              <w:t>1      6</w:t>
            </w:r>
          </w:p>
        </w:tc>
        <w:tc>
          <w:tcPr>
            <w:tcW w:w="180" w:type="dxa"/>
          </w:tcPr>
          <w:p w:rsidR="00AF2508" w:rsidRDefault="00AF2508">
            <w:pPr>
              <w:rPr>
                <w:rFonts w:ascii="Arial" w:hAnsi="Arial"/>
                <w:sz w:val="20"/>
              </w:rPr>
            </w:pPr>
          </w:p>
        </w:tc>
        <w:tc>
          <w:tcPr>
            <w:tcW w:w="936" w:type="dxa"/>
          </w:tcPr>
          <w:p w:rsidR="00AF2508" w:rsidRDefault="00AF2508">
            <w:pPr>
              <w:rPr>
                <w:rFonts w:ascii="Arial" w:hAnsi="Arial"/>
                <w:sz w:val="20"/>
              </w:rPr>
            </w:pPr>
            <w:r>
              <w:rPr>
                <w:rFonts w:ascii="Arial" w:hAnsi="Arial"/>
                <w:sz w:val="20"/>
              </w:rPr>
              <w:t>1      6</w:t>
            </w:r>
          </w:p>
        </w:tc>
        <w:tc>
          <w:tcPr>
            <w:tcW w:w="804" w:type="dxa"/>
          </w:tcPr>
          <w:p w:rsidR="00AF2508" w:rsidRDefault="00AF2508">
            <w:pPr>
              <w:rPr>
                <w:rFonts w:ascii="Arial" w:hAnsi="Arial"/>
                <w:sz w:val="20"/>
              </w:rPr>
            </w:pPr>
            <w:r>
              <w:rPr>
                <w:rFonts w:ascii="Arial" w:hAnsi="Arial"/>
                <w:sz w:val="20"/>
              </w:rPr>
              <w:t>3     0</w:t>
            </w:r>
          </w:p>
        </w:tc>
      </w:tr>
      <w:tr w:rsidR="00AF2508">
        <w:trPr>
          <w:cantSplit/>
        </w:trPr>
        <w:tc>
          <w:tcPr>
            <w:tcW w:w="1760" w:type="dxa"/>
          </w:tcPr>
          <w:p w:rsidR="00AF2508" w:rsidRDefault="00AF2508">
            <w:pPr>
              <w:rPr>
                <w:rFonts w:ascii="Arial" w:hAnsi="Arial"/>
                <w:sz w:val="20"/>
              </w:rPr>
            </w:pPr>
            <w:r>
              <w:rPr>
                <w:rFonts w:ascii="Arial" w:hAnsi="Arial"/>
                <w:sz w:val="20"/>
              </w:rPr>
              <w:t>101 to 200</w:t>
            </w:r>
            <w:r>
              <w:rPr>
                <w:rFonts w:ascii="Arial" w:hAnsi="Arial"/>
                <w:sz w:val="20"/>
              </w:rPr>
              <w:tab/>
            </w:r>
          </w:p>
        </w:tc>
        <w:tc>
          <w:tcPr>
            <w:tcW w:w="960" w:type="dxa"/>
          </w:tcPr>
          <w:p w:rsidR="00AF2508" w:rsidRDefault="00AF2508">
            <w:pPr>
              <w:rPr>
                <w:rFonts w:ascii="Arial" w:hAnsi="Arial"/>
                <w:sz w:val="20"/>
              </w:rPr>
            </w:pPr>
            <w:r>
              <w:rPr>
                <w:rFonts w:ascii="Arial" w:hAnsi="Arial"/>
                <w:sz w:val="20"/>
              </w:rPr>
              <w:t>3     0</w:t>
            </w:r>
          </w:p>
        </w:tc>
        <w:tc>
          <w:tcPr>
            <w:tcW w:w="840" w:type="dxa"/>
            <w:gridSpan w:val="2"/>
          </w:tcPr>
          <w:p w:rsidR="00AF2508" w:rsidRDefault="00AF2508">
            <w:pPr>
              <w:rPr>
                <w:rFonts w:ascii="Arial" w:hAnsi="Arial"/>
                <w:sz w:val="20"/>
              </w:rPr>
            </w:pPr>
            <w:r>
              <w:rPr>
                <w:rFonts w:ascii="Arial" w:hAnsi="Arial"/>
                <w:sz w:val="20"/>
              </w:rPr>
              <w:t>4     0</w:t>
            </w:r>
          </w:p>
        </w:tc>
        <w:tc>
          <w:tcPr>
            <w:tcW w:w="240" w:type="dxa"/>
            <w:tcBorders>
              <w:left w:val="nil"/>
            </w:tcBorders>
          </w:tcPr>
          <w:p w:rsidR="00AF2508" w:rsidRDefault="00AF2508">
            <w:pPr>
              <w:rPr>
                <w:rFonts w:ascii="Arial" w:hAnsi="Arial"/>
                <w:sz w:val="20"/>
              </w:rPr>
            </w:pPr>
          </w:p>
        </w:tc>
        <w:tc>
          <w:tcPr>
            <w:tcW w:w="960" w:type="dxa"/>
          </w:tcPr>
          <w:p w:rsidR="00AF2508" w:rsidRDefault="00AF2508">
            <w:pPr>
              <w:rPr>
                <w:rFonts w:ascii="Arial" w:hAnsi="Arial"/>
                <w:sz w:val="20"/>
              </w:rPr>
            </w:pPr>
            <w:r>
              <w:rPr>
                <w:rFonts w:ascii="Arial" w:hAnsi="Arial"/>
                <w:sz w:val="20"/>
              </w:rPr>
              <w:t>2     0</w:t>
            </w:r>
          </w:p>
        </w:tc>
        <w:tc>
          <w:tcPr>
            <w:tcW w:w="720" w:type="dxa"/>
          </w:tcPr>
          <w:p w:rsidR="00AF2508" w:rsidRDefault="00AF2508">
            <w:pPr>
              <w:rPr>
                <w:rFonts w:ascii="Arial" w:hAnsi="Arial"/>
                <w:sz w:val="20"/>
              </w:rPr>
            </w:pPr>
            <w:r>
              <w:rPr>
                <w:rFonts w:ascii="Arial" w:hAnsi="Arial"/>
                <w:sz w:val="20"/>
              </w:rPr>
              <w:t>2      0</w:t>
            </w:r>
          </w:p>
        </w:tc>
        <w:tc>
          <w:tcPr>
            <w:tcW w:w="180" w:type="dxa"/>
          </w:tcPr>
          <w:p w:rsidR="00AF2508" w:rsidRDefault="00AF2508">
            <w:pPr>
              <w:rPr>
                <w:rFonts w:ascii="Arial" w:hAnsi="Arial"/>
                <w:sz w:val="20"/>
              </w:rPr>
            </w:pPr>
          </w:p>
        </w:tc>
        <w:tc>
          <w:tcPr>
            <w:tcW w:w="936" w:type="dxa"/>
          </w:tcPr>
          <w:p w:rsidR="00AF2508" w:rsidRDefault="00AF2508">
            <w:pPr>
              <w:rPr>
                <w:rFonts w:ascii="Arial" w:hAnsi="Arial"/>
                <w:sz w:val="20"/>
              </w:rPr>
            </w:pPr>
            <w:r>
              <w:rPr>
                <w:rFonts w:ascii="Arial" w:hAnsi="Arial"/>
                <w:sz w:val="20"/>
              </w:rPr>
              <w:t>1      6</w:t>
            </w:r>
          </w:p>
        </w:tc>
        <w:tc>
          <w:tcPr>
            <w:tcW w:w="804" w:type="dxa"/>
          </w:tcPr>
          <w:p w:rsidR="00AF2508" w:rsidRDefault="00AF2508">
            <w:pPr>
              <w:rPr>
                <w:rFonts w:ascii="Arial" w:hAnsi="Arial"/>
                <w:sz w:val="20"/>
              </w:rPr>
            </w:pPr>
            <w:r>
              <w:rPr>
                <w:rFonts w:ascii="Arial" w:hAnsi="Arial"/>
                <w:sz w:val="20"/>
              </w:rPr>
              <w:t>3     0</w:t>
            </w:r>
          </w:p>
        </w:tc>
      </w:tr>
      <w:tr w:rsidR="00AF2508">
        <w:trPr>
          <w:cantSplit/>
        </w:trPr>
        <w:tc>
          <w:tcPr>
            <w:tcW w:w="1760" w:type="dxa"/>
          </w:tcPr>
          <w:p w:rsidR="00AF2508" w:rsidRDefault="00AF2508">
            <w:pPr>
              <w:rPr>
                <w:rFonts w:ascii="Arial" w:hAnsi="Arial"/>
                <w:sz w:val="20"/>
              </w:rPr>
            </w:pPr>
            <w:r>
              <w:rPr>
                <w:rFonts w:ascii="Arial" w:hAnsi="Arial"/>
                <w:sz w:val="20"/>
              </w:rPr>
              <w:t>201 to 300</w:t>
            </w:r>
            <w:r>
              <w:rPr>
                <w:rFonts w:ascii="Arial" w:hAnsi="Arial"/>
                <w:sz w:val="20"/>
              </w:rPr>
              <w:tab/>
            </w:r>
          </w:p>
        </w:tc>
        <w:tc>
          <w:tcPr>
            <w:tcW w:w="960" w:type="dxa"/>
          </w:tcPr>
          <w:p w:rsidR="00AF2508" w:rsidRDefault="00AF2508">
            <w:pPr>
              <w:rPr>
                <w:rFonts w:ascii="Arial" w:hAnsi="Arial"/>
                <w:sz w:val="20"/>
              </w:rPr>
            </w:pPr>
            <w:r>
              <w:rPr>
                <w:rFonts w:ascii="Arial" w:hAnsi="Arial"/>
                <w:sz w:val="20"/>
              </w:rPr>
              <w:t>4     0</w:t>
            </w:r>
          </w:p>
        </w:tc>
        <w:tc>
          <w:tcPr>
            <w:tcW w:w="840" w:type="dxa"/>
            <w:gridSpan w:val="2"/>
          </w:tcPr>
          <w:p w:rsidR="00AF2508" w:rsidRDefault="00AF2508">
            <w:pPr>
              <w:rPr>
                <w:rFonts w:ascii="Arial" w:hAnsi="Arial"/>
                <w:sz w:val="20"/>
              </w:rPr>
            </w:pPr>
            <w:r>
              <w:rPr>
                <w:rFonts w:ascii="Arial" w:hAnsi="Arial"/>
                <w:sz w:val="20"/>
              </w:rPr>
              <w:t>5     4</w:t>
            </w:r>
          </w:p>
        </w:tc>
        <w:tc>
          <w:tcPr>
            <w:tcW w:w="240" w:type="dxa"/>
            <w:tcBorders>
              <w:left w:val="nil"/>
            </w:tcBorders>
          </w:tcPr>
          <w:p w:rsidR="00AF2508" w:rsidRDefault="00AF2508">
            <w:pPr>
              <w:rPr>
                <w:rFonts w:ascii="Arial" w:hAnsi="Arial"/>
                <w:sz w:val="20"/>
              </w:rPr>
            </w:pPr>
          </w:p>
        </w:tc>
        <w:tc>
          <w:tcPr>
            <w:tcW w:w="960" w:type="dxa"/>
          </w:tcPr>
          <w:p w:rsidR="00AF2508" w:rsidRDefault="00AF2508">
            <w:pPr>
              <w:rPr>
                <w:rFonts w:ascii="Arial" w:hAnsi="Arial"/>
                <w:sz w:val="20"/>
              </w:rPr>
            </w:pPr>
            <w:r>
              <w:rPr>
                <w:rFonts w:ascii="Arial" w:hAnsi="Arial"/>
                <w:sz w:val="20"/>
              </w:rPr>
              <w:t>2     6</w:t>
            </w:r>
          </w:p>
        </w:tc>
        <w:tc>
          <w:tcPr>
            <w:tcW w:w="720" w:type="dxa"/>
          </w:tcPr>
          <w:p w:rsidR="00AF2508" w:rsidRDefault="00AF2508">
            <w:pPr>
              <w:rPr>
                <w:rFonts w:ascii="Arial" w:hAnsi="Arial"/>
                <w:sz w:val="20"/>
              </w:rPr>
            </w:pPr>
            <w:r>
              <w:rPr>
                <w:rFonts w:ascii="Arial" w:hAnsi="Arial"/>
                <w:sz w:val="20"/>
              </w:rPr>
              <w:t>2      6</w:t>
            </w:r>
          </w:p>
        </w:tc>
        <w:tc>
          <w:tcPr>
            <w:tcW w:w="180" w:type="dxa"/>
          </w:tcPr>
          <w:p w:rsidR="00AF2508" w:rsidRDefault="00AF2508">
            <w:pPr>
              <w:rPr>
                <w:rFonts w:ascii="Arial" w:hAnsi="Arial"/>
                <w:sz w:val="20"/>
              </w:rPr>
            </w:pPr>
          </w:p>
        </w:tc>
        <w:tc>
          <w:tcPr>
            <w:tcW w:w="936" w:type="dxa"/>
          </w:tcPr>
          <w:p w:rsidR="00AF2508" w:rsidRDefault="00AF2508">
            <w:pPr>
              <w:rPr>
                <w:rFonts w:ascii="Arial" w:hAnsi="Arial"/>
                <w:sz w:val="20"/>
              </w:rPr>
            </w:pPr>
            <w:r>
              <w:rPr>
                <w:rFonts w:ascii="Arial" w:hAnsi="Arial"/>
                <w:sz w:val="20"/>
              </w:rPr>
              <w:t>2      0</w:t>
            </w:r>
          </w:p>
        </w:tc>
        <w:tc>
          <w:tcPr>
            <w:tcW w:w="804" w:type="dxa"/>
          </w:tcPr>
          <w:p w:rsidR="00AF2508" w:rsidRDefault="00AF2508">
            <w:pPr>
              <w:rPr>
                <w:rFonts w:ascii="Arial" w:hAnsi="Arial"/>
                <w:sz w:val="20"/>
              </w:rPr>
            </w:pPr>
            <w:r>
              <w:rPr>
                <w:rFonts w:ascii="Arial" w:hAnsi="Arial"/>
                <w:sz w:val="20"/>
              </w:rPr>
              <w:t>4     0</w:t>
            </w:r>
          </w:p>
        </w:tc>
      </w:tr>
      <w:tr w:rsidR="00AF2508">
        <w:trPr>
          <w:cantSplit/>
        </w:trPr>
        <w:tc>
          <w:tcPr>
            <w:tcW w:w="1760" w:type="dxa"/>
          </w:tcPr>
          <w:p w:rsidR="00AF2508" w:rsidRDefault="00AF2508">
            <w:pPr>
              <w:rPr>
                <w:rFonts w:ascii="Arial" w:hAnsi="Arial"/>
                <w:sz w:val="20"/>
              </w:rPr>
            </w:pPr>
            <w:r>
              <w:rPr>
                <w:rFonts w:ascii="Arial" w:hAnsi="Arial"/>
                <w:sz w:val="20"/>
              </w:rPr>
              <w:t>301 to 400</w:t>
            </w:r>
            <w:r>
              <w:rPr>
                <w:rFonts w:ascii="Arial" w:hAnsi="Arial"/>
                <w:sz w:val="20"/>
              </w:rPr>
              <w:tab/>
            </w:r>
          </w:p>
        </w:tc>
        <w:tc>
          <w:tcPr>
            <w:tcW w:w="960" w:type="dxa"/>
          </w:tcPr>
          <w:p w:rsidR="00AF2508" w:rsidRDefault="00AF2508">
            <w:pPr>
              <w:rPr>
                <w:rFonts w:ascii="Arial" w:hAnsi="Arial"/>
                <w:sz w:val="20"/>
              </w:rPr>
            </w:pPr>
            <w:r>
              <w:rPr>
                <w:rFonts w:ascii="Arial" w:hAnsi="Arial"/>
                <w:sz w:val="20"/>
              </w:rPr>
              <w:t>5     0</w:t>
            </w:r>
          </w:p>
        </w:tc>
        <w:tc>
          <w:tcPr>
            <w:tcW w:w="840" w:type="dxa"/>
            <w:gridSpan w:val="2"/>
          </w:tcPr>
          <w:p w:rsidR="00AF2508" w:rsidRDefault="00AF2508">
            <w:pPr>
              <w:rPr>
                <w:rFonts w:ascii="Arial" w:hAnsi="Arial"/>
                <w:sz w:val="20"/>
              </w:rPr>
            </w:pPr>
            <w:r>
              <w:rPr>
                <w:rFonts w:ascii="Arial" w:hAnsi="Arial"/>
                <w:sz w:val="20"/>
              </w:rPr>
              <w:t xml:space="preserve">. . </w:t>
            </w:r>
          </w:p>
        </w:tc>
        <w:tc>
          <w:tcPr>
            <w:tcW w:w="240" w:type="dxa"/>
            <w:tcBorders>
              <w:left w:val="nil"/>
            </w:tcBorders>
          </w:tcPr>
          <w:p w:rsidR="00AF2508" w:rsidRDefault="00AF2508">
            <w:pPr>
              <w:rPr>
                <w:rFonts w:ascii="Arial" w:hAnsi="Arial"/>
                <w:sz w:val="20"/>
              </w:rPr>
            </w:pPr>
          </w:p>
        </w:tc>
        <w:tc>
          <w:tcPr>
            <w:tcW w:w="960" w:type="dxa"/>
          </w:tcPr>
          <w:p w:rsidR="00AF2508" w:rsidRDefault="00AF2508">
            <w:pPr>
              <w:rPr>
                <w:rFonts w:ascii="Arial" w:hAnsi="Arial"/>
                <w:sz w:val="20"/>
              </w:rPr>
            </w:pPr>
            <w:r>
              <w:rPr>
                <w:rFonts w:ascii="Arial" w:hAnsi="Arial"/>
                <w:sz w:val="20"/>
              </w:rPr>
              <w:t>3     0</w:t>
            </w:r>
          </w:p>
        </w:tc>
        <w:tc>
          <w:tcPr>
            <w:tcW w:w="720" w:type="dxa"/>
          </w:tcPr>
          <w:p w:rsidR="00AF2508" w:rsidRDefault="00AF2508">
            <w:pPr>
              <w:rPr>
                <w:rFonts w:ascii="Arial" w:hAnsi="Arial"/>
                <w:sz w:val="20"/>
              </w:rPr>
            </w:pPr>
            <w:r>
              <w:rPr>
                <w:rFonts w:ascii="Arial" w:hAnsi="Arial"/>
                <w:sz w:val="20"/>
              </w:rPr>
              <w:t xml:space="preserve">. . </w:t>
            </w:r>
          </w:p>
        </w:tc>
        <w:tc>
          <w:tcPr>
            <w:tcW w:w="180" w:type="dxa"/>
          </w:tcPr>
          <w:p w:rsidR="00AF2508" w:rsidRDefault="00AF2508">
            <w:pPr>
              <w:rPr>
                <w:rFonts w:ascii="Arial" w:hAnsi="Arial"/>
                <w:sz w:val="20"/>
              </w:rPr>
            </w:pPr>
          </w:p>
        </w:tc>
        <w:tc>
          <w:tcPr>
            <w:tcW w:w="936" w:type="dxa"/>
          </w:tcPr>
          <w:p w:rsidR="00AF2508" w:rsidRDefault="00AF2508">
            <w:pPr>
              <w:rPr>
                <w:rFonts w:ascii="Arial" w:hAnsi="Arial"/>
                <w:sz w:val="20"/>
              </w:rPr>
            </w:pPr>
            <w:r>
              <w:rPr>
                <w:rFonts w:ascii="Arial" w:hAnsi="Arial"/>
                <w:sz w:val="20"/>
              </w:rPr>
              <w:t>2      6</w:t>
            </w:r>
          </w:p>
        </w:tc>
        <w:tc>
          <w:tcPr>
            <w:tcW w:w="804" w:type="dxa"/>
          </w:tcPr>
          <w:p w:rsidR="00AF2508" w:rsidRDefault="00AF2508">
            <w:pPr>
              <w:rPr>
                <w:rFonts w:ascii="Arial" w:hAnsi="Arial"/>
                <w:sz w:val="20"/>
              </w:rPr>
            </w:pPr>
            <w:r>
              <w:rPr>
                <w:rFonts w:ascii="Arial" w:hAnsi="Arial"/>
                <w:sz w:val="20"/>
              </w:rPr>
              <w:t xml:space="preserve">. . </w:t>
            </w:r>
          </w:p>
        </w:tc>
      </w:tr>
      <w:tr w:rsidR="00AF2508">
        <w:trPr>
          <w:cantSplit/>
        </w:trPr>
        <w:tc>
          <w:tcPr>
            <w:tcW w:w="1760" w:type="dxa"/>
          </w:tcPr>
          <w:p w:rsidR="00AF2508" w:rsidRDefault="00AF2508">
            <w:pPr>
              <w:rPr>
                <w:rFonts w:ascii="Arial" w:hAnsi="Arial"/>
                <w:sz w:val="20"/>
              </w:rPr>
            </w:pPr>
            <w:r>
              <w:rPr>
                <w:rFonts w:ascii="Arial" w:hAnsi="Arial"/>
                <w:sz w:val="20"/>
              </w:rPr>
              <w:t>401 to 500</w:t>
            </w:r>
            <w:r>
              <w:rPr>
                <w:rFonts w:ascii="Arial" w:hAnsi="Arial"/>
                <w:sz w:val="20"/>
              </w:rPr>
              <w:tab/>
            </w:r>
          </w:p>
        </w:tc>
        <w:tc>
          <w:tcPr>
            <w:tcW w:w="960" w:type="dxa"/>
          </w:tcPr>
          <w:p w:rsidR="00AF2508" w:rsidRDefault="00AF2508">
            <w:pPr>
              <w:rPr>
                <w:rFonts w:ascii="Arial" w:hAnsi="Arial"/>
                <w:sz w:val="20"/>
              </w:rPr>
            </w:pPr>
            <w:r>
              <w:rPr>
                <w:rFonts w:ascii="Arial" w:hAnsi="Arial"/>
                <w:sz w:val="20"/>
              </w:rPr>
              <w:t>6     0</w:t>
            </w:r>
          </w:p>
        </w:tc>
        <w:tc>
          <w:tcPr>
            <w:tcW w:w="840" w:type="dxa"/>
            <w:gridSpan w:val="2"/>
          </w:tcPr>
          <w:p w:rsidR="00AF2508" w:rsidRDefault="00AF2508">
            <w:pPr>
              <w:rPr>
                <w:rFonts w:ascii="Arial" w:hAnsi="Arial"/>
                <w:sz w:val="20"/>
              </w:rPr>
            </w:pPr>
            <w:r>
              <w:rPr>
                <w:rFonts w:ascii="Arial" w:hAnsi="Arial"/>
                <w:sz w:val="20"/>
              </w:rPr>
              <w:t xml:space="preserve">. . </w:t>
            </w:r>
          </w:p>
        </w:tc>
        <w:tc>
          <w:tcPr>
            <w:tcW w:w="240" w:type="dxa"/>
            <w:tcBorders>
              <w:left w:val="nil"/>
            </w:tcBorders>
          </w:tcPr>
          <w:p w:rsidR="00AF2508" w:rsidRDefault="00AF2508">
            <w:pPr>
              <w:rPr>
                <w:rFonts w:ascii="Arial" w:hAnsi="Arial"/>
                <w:sz w:val="20"/>
              </w:rPr>
            </w:pPr>
          </w:p>
        </w:tc>
        <w:tc>
          <w:tcPr>
            <w:tcW w:w="960" w:type="dxa"/>
          </w:tcPr>
          <w:p w:rsidR="00AF2508" w:rsidRDefault="00AF2508">
            <w:pPr>
              <w:rPr>
                <w:rFonts w:ascii="Arial" w:hAnsi="Arial"/>
                <w:sz w:val="20"/>
              </w:rPr>
            </w:pPr>
            <w:r>
              <w:rPr>
                <w:rFonts w:ascii="Arial" w:hAnsi="Arial"/>
                <w:sz w:val="20"/>
              </w:rPr>
              <w:t xml:space="preserve">3     6 </w:t>
            </w:r>
          </w:p>
        </w:tc>
        <w:tc>
          <w:tcPr>
            <w:tcW w:w="720" w:type="dxa"/>
          </w:tcPr>
          <w:p w:rsidR="00AF2508" w:rsidRDefault="00AF2508">
            <w:pPr>
              <w:rPr>
                <w:rFonts w:ascii="Arial" w:hAnsi="Arial"/>
                <w:sz w:val="20"/>
              </w:rPr>
            </w:pPr>
            <w:r>
              <w:rPr>
                <w:rFonts w:ascii="Arial" w:hAnsi="Arial"/>
                <w:sz w:val="20"/>
              </w:rPr>
              <w:t xml:space="preserve">. . </w:t>
            </w:r>
          </w:p>
        </w:tc>
        <w:tc>
          <w:tcPr>
            <w:tcW w:w="180" w:type="dxa"/>
          </w:tcPr>
          <w:p w:rsidR="00AF2508" w:rsidRDefault="00AF2508">
            <w:pPr>
              <w:rPr>
                <w:rFonts w:ascii="Arial" w:hAnsi="Arial"/>
                <w:sz w:val="20"/>
              </w:rPr>
            </w:pPr>
          </w:p>
        </w:tc>
        <w:tc>
          <w:tcPr>
            <w:tcW w:w="936" w:type="dxa"/>
          </w:tcPr>
          <w:p w:rsidR="00AF2508" w:rsidRDefault="00AF2508">
            <w:pPr>
              <w:rPr>
                <w:rFonts w:ascii="Arial" w:hAnsi="Arial"/>
                <w:sz w:val="20"/>
              </w:rPr>
            </w:pPr>
            <w:r>
              <w:rPr>
                <w:rFonts w:ascii="Arial" w:hAnsi="Arial"/>
                <w:sz w:val="20"/>
              </w:rPr>
              <w:t>3      0</w:t>
            </w:r>
          </w:p>
        </w:tc>
        <w:tc>
          <w:tcPr>
            <w:tcW w:w="804" w:type="dxa"/>
          </w:tcPr>
          <w:p w:rsidR="00AF2508" w:rsidRDefault="00AF2508">
            <w:pPr>
              <w:rPr>
                <w:rFonts w:ascii="Arial" w:hAnsi="Arial"/>
                <w:sz w:val="20"/>
              </w:rPr>
            </w:pPr>
            <w:r>
              <w:rPr>
                <w:rFonts w:ascii="Arial" w:hAnsi="Arial"/>
                <w:sz w:val="20"/>
              </w:rPr>
              <w:t xml:space="preserve">. . </w:t>
            </w:r>
          </w:p>
        </w:tc>
      </w:tr>
      <w:tr w:rsidR="00AF2508">
        <w:trPr>
          <w:cantSplit/>
        </w:trPr>
        <w:tc>
          <w:tcPr>
            <w:tcW w:w="1760" w:type="dxa"/>
            <w:tcBorders>
              <w:bottom w:val="single" w:sz="6" w:space="0" w:color="auto"/>
            </w:tcBorders>
          </w:tcPr>
          <w:p w:rsidR="00AF2508" w:rsidRDefault="00AF2508">
            <w:pPr>
              <w:rPr>
                <w:rFonts w:ascii="Arial" w:hAnsi="Arial"/>
                <w:sz w:val="20"/>
              </w:rPr>
            </w:pPr>
            <w:r>
              <w:rPr>
                <w:rFonts w:ascii="Arial" w:hAnsi="Arial"/>
                <w:sz w:val="20"/>
              </w:rPr>
              <w:t>501 to 600</w:t>
            </w:r>
            <w:r>
              <w:rPr>
                <w:rFonts w:ascii="Arial" w:hAnsi="Arial"/>
                <w:sz w:val="20"/>
              </w:rPr>
              <w:tab/>
            </w:r>
          </w:p>
        </w:tc>
        <w:tc>
          <w:tcPr>
            <w:tcW w:w="960" w:type="dxa"/>
            <w:tcBorders>
              <w:bottom w:val="single" w:sz="6" w:space="0" w:color="auto"/>
            </w:tcBorders>
          </w:tcPr>
          <w:p w:rsidR="00AF2508" w:rsidRDefault="00AF2508">
            <w:pPr>
              <w:rPr>
                <w:rFonts w:ascii="Arial" w:hAnsi="Arial"/>
                <w:sz w:val="20"/>
              </w:rPr>
            </w:pPr>
            <w:r>
              <w:rPr>
                <w:rFonts w:ascii="Arial" w:hAnsi="Arial"/>
                <w:sz w:val="20"/>
              </w:rPr>
              <w:t>7     0</w:t>
            </w:r>
          </w:p>
        </w:tc>
        <w:tc>
          <w:tcPr>
            <w:tcW w:w="840" w:type="dxa"/>
            <w:gridSpan w:val="2"/>
            <w:tcBorders>
              <w:bottom w:val="single" w:sz="6" w:space="0" w:color="auto"/>
            </w:tcBorders>
          </w:tcPr>
          <w:p w:rsidR="00AF2508" w:rsidRDefault="00AF2508">
            <w:pPr>
              <w:rPr>
                <w:rFonts w:ascii="Arial" w:hAnsi="Arial"/>
                <w:sz w:val="20"/>
              </w:rPr>
            </w:pPr>
            <w:r>
              <w:rPr>
                <w:rFonts w:ascii="Arial" w:hAnsi="Arial"/>
                <w:sz w:val="20"/>
              </w:rPr>
              <w:t xml:space="preserve">. . </w:t>
            </w:r>
          </w:p>
        </w:tc>
        <w:tc>
          <w:tcPr>
            <w:tcW w:w="240" w:type="dxa"/>
            <w:tcBorders>
              <w:left w:val="nil"/>
              <w:bottom w:val="single" w:sz="6" w:space="0" w:color="auto"/>
            </w:tcBorders>
          </w:tcPr>
          <w:p w:rsidR="00AF2508" w:rsidRDefault="00AF2508">
            <w:pPr>
              <w:rPr>
                <w:rFonts w:ascii="Arial" w:hAnsi="Arial"/>
                <w:sz w:val="20"/>
              </w:rPr>
            </w:pPr>
          </w:p>
        </w:tc>
        <w:tc>
          <w:tcPr>
            <w:tcW w:w="960" w:type="dxa"/>
            <w:tcBorders>
              <w:bottom w:val="single" w:sz="6" w:space="0" w:color="auto"/>
            </w:tcBorders>
          </w:tcPr>
          <w:p w:rsidR="00AF2508" w:rsidRDefault="00AF2508">
            <w:pPr>
              <w:rPr>
                <w:rFonts w:ascii="Arial" w:hAnsi="Arial"/>
                <w:sz w:val="20"/>
              </w:rPr>
            </w:pPr>
            <w:r>
              <w:rPr>
                <w:rFonts w:ascii="Arial" w:hAnsi="Arial"/>
                <w:sz w:val="20"/>
              </w:rPr>
              <w:t>4     0</w:t>
            </w:r>
          </w:p>
        </w:tc>
        <w:tc>
          <w:tcPr>
            <w:tcW w:w="720" w:type="dxa"/>
            <w:tcBorders>
              <w:bottom w:val="single" w:sz="6" w:space="0" w:color="auto"/>
            </w:tcBorders>
          </w:tcPr>
          <w:p w:rsidR="00AF2508" w:rsidRDefault="00AF2508">
            <w:pPr>
              <w:rPr>
                <w:rFonts w:ascii="Arial" w:hAnsi="Arial"/>
                <w:sz w:val="20"/>
              </w:rPr>
            </w:pPr>
            <w:r>
              <w:rPr>
                <w:rFonts w:ascii="Arial" w:hAnsi="Arial"/>
                <w:sz w:val="20"/>
              </w:rPr>
              <w:t xml:space="preserve">. . </w:t>
            </w:r>
          </w:p>
        </w:tc>
        <w:tc>
          <w:tcPr>
            <w:tcW w:w="180" w:type="dxa"/>
            <w:tcBorders>
              <w:bottom w:val="single" w:sz="6" w:space="0" w:color="auto"/>
            </w:tcBorders>
          </w:tcPr>
          <w:p w:rsidR="00AF2508" w:rsidRDefault="00AF2508">
            <w:pPr>
              <w:rPr>
                <w:rFonts w:ascii="Arial" w:hAnsi="Arial"/>
                <w:sz w:val="20"/>
              </w:rPr>
            </w:pPr>
          </w:p>
        </w:tc>
        <w:tc>
          <w:tcPr>
            <w:tcW w:w="936" w:type="dxa"/>
            <w:tcBorders>
              <w:bottom w:val="single" w:sz="6" w:space="0" w:color="auto"/>
            </w:tcBorders>
          </w:tcPr>
          <w:p w:rsidR="00AF2508" w:rsidRDefault="00AF2508">
            <w:pPr>
              <w:rPr>
                <w:rFonts w:ascii="Arial" w:hAnsi="Arial"/>
                <w:sz w:val="20"/>
              </w:rPr>
            </w:pPr>
            <w:r>
              <w:rPr>
                <w:rFonts w:ascii="Arial" w:hAnsi="Arial"/>
                <w:sz w:val="20"/>
              </w:rPr>
              <w:t>3      6</w:t>
            </w:r>
          </w:p>
        </w:tc>
        <w:tc>
          <w:tcPr>
            <w:tcW w:w="804" w:type="dxa"/>
            <w:tcBorders>
              <w:bottom w:val="single" w:sz="6" w:space="0" w:color="auto"/>
            </w:tcBorders>
          </w:tcPr>
          <w:p w:rsidR="00AF2508" w:rsidRDefault="00AF2508">
            <w:pPr>
              <w:rPr>
                <w:rFonts w:ascii="Arial" w:hAnsi="Arial"/>
                <w:sz w:val="20"/>
              </w:rPr>
            </w:pPr>
            <w:r>
              <w:rPr>
                <w:rFonts w:ascii="Arial" w:hAnsi="Arial"/>
                <w:sz w:val="20"/>
              </w:rPr>
              <w:t xml:space="preserve">. . </w:t>
            </w:r>
          </w:p>
        </w:tc>
      </w:tr>
    </w:tbl>
    <w:p w:rsidR="00AF2508" w:rsidRDefault="00AF2508"/>
    <w:p w:rsidR="00AF2508" w:rsidRDefault="00AF2508">
      <w:pPr>
        <w:pStyle w:val="Amain"/>
      </w:pPr>
      <w:r>
        <w:rPr>
          <w:color w:val="000000"/>
        </w:rPr>
        <w:tab/>
        <w:t>(2)</w:t>
      </w:r>
      <w:r>
        <w:rPr>
          <w:color w:val="000000"/>
        </w:rPr>
        <w:tab/>
        <w:t>The top and bottom overrun for the car and the counterweight of any service lift shall be that specified in table 24 except that the bottom overrun of a car shall be 12 inches.</w:t>
      </w:r>
    </w:p>
    <w:p w:rsidR="00AF2508" w:rsidRDefault="00AF2508">
      <w:pPr>
        <w:pStyle w:val="Amain"/>
        <w:rPr>
          <w:color w:val="000000"/>
        </w:rPr>
      </w:pPr>
      <w:r>
        <w:rPr>
          <w:color w:val="000000"/>
        </w:rPr>
        <w:tab/>
        <w:t>(3)</w:t>
      </w:r>
      <w:r>
        <w:rPr>
          <w:color w:val="000000"/>
        </w:rPr>
        <w:tab/>
        <w:t xml:space="preserve">The bottom overrun for the counterweight of a traction-drive lift when the car floor is level with the top landing shall not be greater than </w:t>
      </w:r>
      <w:r>
        <w:rPr>
          <w:color w:val="000000"/>
          <w:position w:val="6"/>
          <w:sz w:val="18"/>
        </w:rPr>
        <w:t>1</w:t>
      </w:r>
      <w:r>
        <w:rPr>
          <w:color w:val="000000"/>
        </w:rPr>
        <w:t>/</w:t>
      </w:r>
      <w:r>
        <w:rPr>
          <w:color w:val="000000"/>
          <w:sz w:val="18"/>
        </w:rPr>
        <w:t>2</w:t>
      </w:r>
      <w:r>
        <w:rPr>
          <w:color w:val="000000"/>
        </w:rPr>
        <w:t xml:space="preserve"> of the top overrun provided for the car.</w:t>
      </w:r>
    </w:p>
    <w:p w:rsidR="00AF2508" w:rsidRDefault="00AF2508">
      <w:pPr>
        <w:pStyle w:val="Amain"/>
      </w:pPr>
      <w:r>
        <w:rPr>
          <w:color w:val="000000"/>
        </w:rPr>
        <w:tab/>
        <w:t>(4)</w:t>
      </w:r>
      <w:r>
        <w:rPr>
          <w:color w:val="000000"/>
        </w:rPr>
        <w:tab/>
        <w:t>The final limit gear of the lift shall operate before the counterweight lands.</w:t>
      </w:r>
    </w:p>
    <w:p w:rsidR="00AF2508" w:rsidRDefault="00AF2508">
      <w:pPr>
        <w:pStyle w:val="Amain"/>
        <w:rPr>
          <w:color w:val="000000"/>
        </w:rPr>
      </w:pPr>
      <w:r>
        <w:rPr>
          <w:color w:val="000000"/>
        </w:rPr>
        <w:tab/>
        <w:t>(5)</w:t>
      </w:r>
      <w:r>
        <w:rPr>
          <w:color w:val="000000"/>
        </w:rPr>
        <w:tab/>
        <w:t xml:space="preserve">The bottom overrun for the counterweight of a drum-drive lift when the car floor is level with the top landing shall not be greater than </w:t>
      </w:r>
      <w:r>
        <w:rPr>
          <w:color w:val="000000"/>
          <w:position w:val="6"/>
          <w:sz w:val="18"/>
        </w:rPr>
        <w:t>1</w:t>
      </w:r>
      <w:r>
        <w:rPr>
          <w:color w:val="000000"/>
        </w:rPr>
        <w:t>/</w:t>
      </w:r>
      <w:r>
        <w:rPr>
          <w:color w:val="000000"/>
          <w:sz w:val="18"/>
        </w:rPr>
        <w:t>4</w:t>
      </w:r>
      <w:r>
        <w:rPr>
          <w:color w:val="000000"/>
        </w:rPr>
        <w:t xml:space="preserve"> of the top overrun provided for the lift car.</w:t>
      </w:r>
    </w:p>
    <w:p w:rsidR="00AF2508" w:rsidRDefault="00AF2508">
      <w:pPr>
        <w:pStyle w:val="Amain"/>
      </w:pPr>
      <w:r>
        <w:rPr>
          <w:color w:val="000000"/>
        </w:rPr>
        <w:tab/>
        <w:t>(6)</w:t>
      </w:r>
      <w:r>
        <w:rPr>
          <w:color w:val="000000"/>
        </w:rPr>
        <w:tab/>
        <w:t>The final limit gear of the lift shall operate before the counterweight lands.</w:t>
      </w:r>
    </w:p>
    <w:p w:rsidR="00AF2508" w:rsidRDefault="00AF2508">
      <w:pPr>
        <w:pStyle w:val="AH4SubDiv"/>
      </w:pPr>
      <w:bookmarkStart w:id="38" w:name="_Toc161636702"/>
      <w:r>
        <w:t>Stops and buffers</w:t>
      </w:r>
      <w:bookmarkEnd w:id="38"/>
    </w:p>
    <w:p w:rsidR="00AF2508" w:rsidRDefault="00AF2508">
      <w:pPr>
        <w:pStyle w:val="AH5Sec"/>
      </w:pPr>
      <w:bookmarkStart w:id="39" w:name="_Toc161636703"/>
      <w:r>
        <w:rPr>
          <w:rStyle w:val="CharSectNo"/>
        </w:rPr>
        <w:t>25</w:t>
      </w:r>
      <w:bookmarkEnd w:id="39"/>
      <w:r>
        <w:tab/>
        <w:t xml:space="preserve">  </w:t>
      </w:r>
    </w:p>
    <w:p w:rsidR="00AF2508" w:rsidRDefault="00AF2508">
      <w:pPr>
        <w:pStyle w:val="Amain"/>
      </w:pPr>
      <w:r>
        <w:tab/>
        <w:t>(1)</w:t>
      </w:r>
      <w:r>
        <w:tab/>
        <w:t>Approved stops or buffers of the type prescribed table 25 as appropriate to the running speed of the lift car or counterweight shall be provided for the car and counterweight of all lifts other than service lifts.</w:t>
      </w:r>
    </w:p>
    <w:p w:rsidR="00AF2508" w:rsidRDefault="00AF2508">
      <w:pPr>
        <w:pStyle w:val="TableHd"/>
        <w:ind w:hanging="516"/>
      </w:pPr>
      <w:r>
        <w:t>Table 25</w:t>
      </w:r>
    </w:p>
    <w:tbl>
      <w:tblPr>
        <w:tblW w:w="0" w:type="auto"/>
        <w:tblInd w:w="800" w:type="dxa"/>
        <w:tblLayout w:type="fixed"/>
        <w:tblCellMar>
          <w:left w:w="80" w:type="dxa"/>
          <w:right w:w="80" w:type="dxa"/>
        </w:tblCellMar>
        <w:tblLook w:val="0000" w:firstRow="0" w:lastRow="0" w:firstColumn="0" w:lastColumn="0" w:noHBand="0" w:noVBand="0"/>
      </w:tblPr>
      <w:tblGrid>
        <w:gridCol w:w="3500"/>
        <w:gridCol w:w="3460"/>
      </w:tblGrid>
      <w:tr w:rsidR="00AF2508">
        <w:trPr>
          <w:cantSplit/>
        </w:trPr>
        <w:tc>
          <w:tcPr>
            <w:tcW w:w="3500" w:type="dxa"/>
            <w:tcBorders>
              <w:bottom w:val="single" w:sz="6" w:space="0" w:color="auto"/>
            </w:tcBorders>
          </w:tcPr>
          <w:p w:rsidR="00AF2508" w:rsidRDefault="00AF2508">
            <w:pPr>
              <w:pStyle w:val="TableColHd"/>
            </w:pPr>
            <w:r>
              <w:t>running speed of car or</w:t>
            </w:r>
            <w:r>
              <w:br/>
              <w:t>counterweight</w:t>
            </w:r>
          </w:p>
        </w:tc>
        <w:tc>
          <w:tcPr>
            <w:tcW w:w="3460" w:type="dxa"/>
            <w:tcBorders>
              <w:bottom w:val="single" w:sz="6" w:space="0" w:color="auto"/>
            </w:tcBorders>
          </w:tcPr>
          <w:p w:rsidR="00AF2508" w:rsidRDefault="00AF2508">
            <w:pPr>
              <w:pStyle w:val="TableColHd"/>
            </w:pPr>
            <w:r>
              <w:t>type of stop or buffer</w:t>
            </w:r>
          </w:p>
        </w:tc>
      </w:tr>
      <w:tr w:rsidR="00AF2508">
        <w:trPr>
          <w:cantSplit/>
        </w:trPr>
        <w:tc>
          <w:tcPr>
            <w:tcW w:w="3500" w:type="dxa"/>
            <w:tcBorders>
              <w:top w:val="single" w:sz="6" w:space="0" w:color="auto"/>
            </w:tcBorders>
          </w:tcPr>
          <w:p w:rsidR="00AF2508" w:rsidRDefault="00AF2508">
            <w:pPr>
              <w:pStyle w:val="TableText"/>
              <w:rPr>
                <w:rFonts w:ascii="Arial" w:hAnsi="Arial"/>
                <w:sz w:val="20"/>
              </w:rPr>
            </w:pPr>
            <w:r>
              <w:rPr>
                <w:rFonts w:ascii="Arial" w:hAnsi="Arial"/>
                <w:sz w:val="20"/>
              </w:rPr>
              <w:t>not exceeding 100 feet/min</w:t>
            </w:r>
          </w:p>
        </w:tc>
        <w:tc>
          <w:tcPr>
            <w:tcW w:w="3460" w:type="dxa"/>
            <w:tcBorders>
              <w:top w:val="single" w:sz="6" w:space="0" w:color="auto"/>
            </w:tcBorders>
          </w:tcPr>
          <w:p w:rsidR="00AF2508" w:rsidRDefault="00AF2508">
            <w:pPr>
              <w:pStyle w:val="TableText"/>
              <w:rPr>
                <w:rFonts w:ascii="Arial" w:hAnsi="Arial"/>
                <w:sz w:val="20"/>
              </w:rPr>
            </w:pPr>
            <w:r>
              <w:rPr>
                <w:rFonts w:ascii="Arial" w:hAnsi="Arial"/>
                <w:sz w:val="20"/>
              </w:rPr>
              <w:t>solid stops, spring buffers, oil buffers or impact-absorbing stops</w:t>
            </w:r>
          </w:p>
        </w:tc>
      </w:tr>
      <w:tr w:rsidR="00AF2508">
        <w:trPr>
          <w:cantSplit/>
        </w:trPr>
        <w:tc>
          <w:tcPr>
            <w:tcW w:w="3500" w:type="dxa"/>
          </w:tcPr>
          <w:p w:rsidR="00AF2508" w:rsidRDefault="00AF2508">
            <w:pPr>
              <w:pStyle w:val="TableText"/>
              <w:rPr>
                <w:rFonts w:ascii="Arial" w:hAnsi="Arial"/>
                <w:sz w:val="20"/>
              </w:rPr>
            </w:pPr>
            <w:r>
              <w:rPr>
                <w:rFonts w:ascii="Arial" w:hAnsi="Arial"/>
                <w:sz w:val="20"/>
              </w:rPr>
              <w:t>exceeding 100 feet/min, but</w:t>
            </w:r>
            <w:r>
              <w:rPr>
                <w:rFonts w:ascii="Arial" w:hAnsi="Arial"/>
                <w:sz w:val="20"/>
              </w:rPr>
              <w:br/>
              <w:t>not exceeding 200 feet/min</w:t>
            </w:r>
          </w:p>
        </w:tc>
        <w:tc>
          <w:tcPr>
            <w:tcW w:w="3460" w:type="dxa"/>
          </w:tcPr>
          <w:p w:rsidR="00AF2508" w:rsidRDefault="00AF2508">
            <w:pPr>
              <w:pStyle w:val="TableText"/>
              <w:rPr>
                <w:rFonts w:ascii="Arial" w:hAnsi="Arial"/>
                <w:sz w:val="20"/>
              </w:rPr>
            </w:pPr>
            <w:r>
              <w:rPr>
                <w:rFonts w:ascii="Arial" w:hAnsi="Arial"/>
                <w:sz w:val="20"/>
              </w:rPr>
              <w:t>spring buffers or oil buffers</w:t>
            </w:r>
          </w:p>
        </w:tc>
      </w:tr>
      <w:tr w:rsidR="00AF2508">
        <w:trPr>
          <w:cantSplit/>
        </w:trPr>
        <w:tc>
          <w:tcPr>
            <w:tcW w:w="3500" w:type="dxa"/>
          </w:tcPr>
          <w:p w:rsidR="00AF2508" w:rsidRDefault="00AF2508">
            <w:pPr>
              <w:pStyle w:val="TableText"/>
              <w:rPr>
                <w:rFonts w:ascii="Arial" w:hAnsi="Arial"/>
                <w:sz w:val="20"/>
              </w:rPr>
            </w:pPr>
            <w:r>
              <w:rPr>
                <w:rFonts w:ascii="Arial" w:hAnsi="Arial"/>
                <w:sz w:val="20"/>
              </w:rPr>
              <w:t>exceeding 200 feet/min</w:t>
            </w:r>
          </w:p>
        </w:tc>
        <w:tc>
          <w:tcPr>
            <w:tcW w:w="3460" w:type="dxa"/>
          </w:tcPr>
          <w:p w:rsidR="00AF2508" w:rsidRDefault="00AF2508">
            <w:pPr>
              <w:pStyle w:val="TableText"/>
              <w:rPr>
                <w:rFonts w:ascii="Arial" w:hAnsi="Arial"/>
                <w:sz w:val="20"/>
              </w:rPr>
            </w:pPr>
            <w:r>
              <w:rPr>
                <w:rFonts w:ascii="Arial" w:hAnsi="Arial"/>
                <w:sz w:val="20"/>
              </w:rPr>
              <w:t>oil buffers</w:t>
            </w:r>
          </w:p>
        </w:tc>
      </w:tr>
    </w:tbl>
    <w:p w:rsidR="00AF2508" w:rsidRDefault="00AF2508"/>
    <w:p w:rsidR="00AF2508" w:rsidRDefault="00AF2508">
      <w:pPr>
        <w:pStyle w:val="Amain"/>
      </w:pPr>
      <w:r>
        <w:tab/>
        <w:t>(2)</w:t>
      </w:r>
      <w:r>
        <w:tab/>
        <w:t>Buffers so provided shall comply with the following requirements:</w:t>
      </w:r>
    </w:p>
    <w:p w:rsidR="00AF2508" w:rsidRDefault="00AF2508">
      <w:pPr>
        <w:pStyle w:val="Apara"/>
      </w:pPr>
      <w:r>
        <w:tab/>
        <w:t>(a)</w:t>
      </w:r>
      <w:r>
        <w:tab/>
      </w:r>
      <w:r>
        <w:rPr>
          <w:i/>
          <w:iCs/>
        </w:rPr>
        <w:t>s</w:t>
      </w:r>
      <w:r>
        <w:rPr>
          <w:rStyle w:val="charItals"/>
        </w:rPr>
        <w:t>pring buffers</w:t>
      </w:r>
      <w:r>
        <w:t>—springs for buffers shall be so designed that they will not take a permanent set on absorbing the energy of the fully loaded car at governor-operating speed; and</w:t>
      </w:r>
    </w:p>
    <w:p w:rsidR="00AF2508" w:rsidRDefault="00AF2508">
      <w:pPr>
        <w:pStyle w:val="Apara"/>
      </w:pPr>
      <w:r>
        <w:tab/>
        <w:t>(b)</w:t>
      </w:r>
      <w:r>
        <w:tab/>
      </w:r>
      <w:r>
        <w:rPr>
          <w:i/>
          <w:iCs/>
        </w:rPr>
        <w:t>o</w:t>
      </w:r>
      <w:r>
        <w:rPr>
          <w:rStyle w:val="charItals"/>
        </w:rPr>
        <w:t>il buffers</w:t>
      </w:r>
      <w:r>
        <w:t>—the minimum total stroke of oil buffers shall be based on an average retardation of 32.2 feet per second per second, based on the governor-operating speed, and the maximum retardation based on the governor-operating speed shall not be in excess of 80.5 feet per second per second (2</w:t>
      </w:r>
      <w:r>
        <w:rPr>
          <w:position w:val="6"/>
          <w:sz w:val="18"/>
        </w:rPr>
        <w:t>1</w:t>
      </w:r>
      <w:r>
        <w:t>/</w:t>
      </w:r>
      <w:r>
        <w:rPr>
          <w:sz w:val="18"/>
        </w:rPr>
        <w:t>2</w:t>
      </w:r>
      <w:r>
        <w:t xml:space="preserve"> times gravity retardation).</w:t>
      </w:r>
    </w:p>
    <w:p w:rsidR="00AF2508" w:rsidRDefault="00AF2508">
      <w:pPr>
        <w:pStyle w:val="Amain"/>
      </w:pPr>
      <w:r>
        <w:tab/>
        <w:t>(3)</w:t>
      </w:r>
      <w:r>
        <w:tab/>
        <w:t>Effective means shall be provided for readily ascertaining the adequacy of the oil supply.</w:t>
      </w:r>
    </w:p>
    <w:p w:rsidR="00AF2508" w:rsidRDefault="00AF2508">
      <w:pPr>
        <w:pStyle w:val="Amain"/>
      </w:pPr>
      <w:r>
        <w:tab/>
        <w:t>(4)</w:t>
      </w:r>
      <w:r>
        <w:tab/>
        <w:t>Provision shall be made, by fitting a spring or by other suitable means, for taking the initial impact between the car or counterweight and the buffer.</w:t>
      </w:r>
    </w:p>
    <w:p w:rsidR="00AF2508" w:rsidRDefault="00AF2508">
      <w:pPr>
        <w:pStyle w:val="AH4SubDiv"/>
      </w:pPr>
      <w:bookmarkStart w:id="40" w:name="_Toc161636704"/>
      <w:r>
        <w:t>Permanent stops</w:t>
      </w:r>
      <w:bookmarkEnd w:id="40"/>
    </w:p>
    <w:p w:rsidR="00AF2508" w:rsidRDefault="00AF2508">
      <w:pPr>
        <w:pStyle w:val="AH5Sec"/>
      </w:pPr>
      <w:bookmarkStart w:id="41" w:name="_Toc161636705"/>
      <w:r>
        <w:rPr>
          <w:rStyle w:val="CharSectNo"/>
        </w:rPr>
        <w:t>26</w:t>
      </w:r>
      <w:bookmarkEnd w:id="41"/>
      <w:r>
        <w:tab/>
        <w:t xml:space="preserve">  </w:t>
      </w:r>
    </w:p>
    <w:p w:rsidR="00AF2508" w:rsidRDefault="00AF2508">
      <w:pPr>
        <w:pStyle w:val="Amainreturn"/>
      </w:pPr>
      <w:r>
        <w:t>The final obstruction at the top and bottom of every lift-well shall ensure that in the event of an overwind the car and counterweight will remain in their guides with the car floor and the horizontal faces of the counterweight level.</w:t>
      </w:r>
    </w:p>
    <w:p w:rsidR="00AF2508" w:rsidRDefault="00AF2508">
      <w:pPr>
        <w:pStyle w:val="AH4SubDiv"/>
      </w:pPr>
      <w:bookmarkStart w:id="42" w:name="_Toc161636706"/>
      <w:r>
        <w:t>Pits</w:t>
      </w:r>
      <w:bookmarkEnd w:id="42"/>
    </w:p>
    <w:p w:rsidR="00AF2508" w:rsidRDefault="00AF2508">
      <w:pPr>
        <w:pStyle w:val="AH5Sec"/>
      </w:pPr>
      <w:bookmarkStart w:id="43" w:name="_Toc161636707"/>
      <w:r>
        <w:rPr>
          <w:rStyle w:val="CharSectNo"/>
        </w:rPr>
        <w:t>27</w:t>
      </w:r>
      <w:bookmarkEnd w:id="43"/>
      <w:r>
        <w:tab/>
        <w:t xml:space="preserve">  </w:t>
      </w:r>
    </w:p>
    <w:p w:rsidR="00AF2508" w:rsidRDefault="00AF2508">
      <w:pPr>
        <w:pStyle w:val="Amain"/>
      </w:pPr>
      <w:r>
        <w:rPr>
          <w:color w:val="000000"/>
        </w:rPr>
        <w:tab/>
        <w:t>(1)</w:t>
      </w:r>
      <w:r>
        <w:rPr>
          <w:color w:val="000000"/>
        </w:rPr>
        <w:tab/>
        <w:t>The wells of all lifts shall continue to solid earth except in the circumstances and subject to the conditions that the chief inspector may approve.</w:t>
      </w:r>
    </w:p>
    <w:p w:rsidR="00AF2508" w:rsidRDefault="00AF2508">
      <w:pPr>
        <w:pStyle w:val="Amain"/>
        <w:rPr>
          <w:color w:val="000000"/>
        </w:rPr>
      </w:pPr>
      <w:r>
        <w:rPr>
          <w:color w:val="000000"/>
        </w:rPr>
        <w:tab/>
        <w:t>(2)</w:t>
      </w:r>
      <w:r>
        <w:rPr>
          <w:color w:val="000000"/>
        </w:rPr>
        <w:tab/>
        <w:t>The pits of all lifts shall be constructed to remain dry and shall be provided with safe and convenient means of access.</w:t>
      </w:r>
    </w:p>
    <w:p w:rsidR="00AF2508" w:rsidRDefault="00AF2508">
      <w:pPr>
        <w:pStyle w:val="Amain"/>
      </w:pPr>
      <w:r>
        <w:rPr>
          <w:color w:val="000000"/>
        </w:rPr>
        <w:tab/>
        <w:t>(3)</w:t>
      </w:r>
      <w:r>
        <w:rPr>
          <w:color w:val="000000"/>
        </w:rPr>
        <w:tab/>
        <w:t>Suitable means of access and lighting to permit of safe and efficient maintenance of safety gear shall be provided.</w:t>
      </w:r>
    </w:p>
    <w:p w:rsidR="00AF2508" w:rsidRDefault="00AF2508">
      <w:pPr>
        <w:pStyle w:val="Amain"/>
        <w:keepLines/>
      </w:pPr>
      <w:r>
        <w:rPr>
          <w:color w:val="000000"/>
        </w:rPr>
        <w:tab/>
        <w:t>(4)</w:t>
      </w:r>
      <w:r>
        <w:rPr>
          <w:color w:val="000000"/>
        </w:rPr>
        <w:tab/>
        <w:t>The pits of all lifts other than service lifts shall be of sufficient depth to provide the overrun specified in section 24 and in addition a clearance of not less than 24 inches between the underside of the car platform and the floor of the pit when the car is landed with the buffers fully compressed.</w:t>
      </w:r>
    </w:p>
    <w:p w:rsidR="00AF2508" w:rsidRDefault="00AF2508">
      <w:pPr>
        <w:pStyle w:val="AH4SubDiv"/>
      </w:pPr>
      <w:bookmarkStart w:id="44" w:name="_Toc161636708"/>
      <w:r>
        <w:t>Enclosures</w:t>
      </w:r>
      <w:bookmarkEnd w:id="44"/>
    </w:p>
    <w:p w:rsidR="00AF2508" w:rsidRDefault="00AF2508">
      <w:pPr>
        <w:pStyle w:val="AH5Sec"/>
      </w:pPr>
      <w:bookmarkStart w:id="45" w:name="_Toc161636709"/>
      <w:r>
        <w:rPr>
          <w:rStyle w:val="CharSectNo"/>
        </w:rPr>
        <w:t>28</w:t>
      </w:r>
      <w:bookmarkEnd w:id="45"/>
      <w:r>
        <w:tab/>
        <w:t xml:space="preserve">  </w:t>
      </w:r>
    </w:p>
    <w:p w:rsidR="00AF2508" w:rsidRDefault="00AF2508">
      <w:pPr>
        <w:pStyle w:val="Amain"/>
      </w:pPr>
      <w:r>
        <w:rPr>
          <w:color w:val="000000"/>
        </w:rPr>
        <w:tab/>
        <w:t>(1)</w:t>
      </w:r>
      <w:r>
        <w:rPr>
          <w:color w:val="000000"/>
        </w:rPr>
        <w:tab/>
        <w:t>All liftwells shall be completely enclosed from the bottom of the pit to the underside of the overhead supporting beams with approved material of adequate strength.</w:t>
      </w:r>
    </w:p>
    <w:p w:rsidR="00AF2508" w:rsidRDefault="00AF2508">
      <w:pPr>
        <w:pStyle w:val="Amain"/>
        <w:rPr>
          <w:color w:val="000000"/>
        </w:rPr>
      </w:pPr>
      <w:r>
        <w:rPr>
          <w:color w:val="000000"/>
        </w:rPr>
        <w:tab/>
        <w:t>(2)</w:t>
      </w:r>
      <w:r>
        <w:rPr>
          <w:color w:val="000000"/>
        </w:rPr>
        <w:tab/>
        <w:t>All windows in lift-well enclosures shall be closed and fixed.</w:t>
      </w:r>
    </w:p>
    <w:p w:rsidR="00AF2508" w:rsidRDefault="00AF2508">
      <w:pPr>
        <w:pStyle w:val="Amain"/>
        <w:keepLines/>
      </w:pPr>
      <w:r>
        <w:rPr>
          <w:color w:val="000000"/>
        </w:rPr>
        <w:tab/>
        <w:t>(3)</w:t>
      </w:r>
      <w:r>
        <w:rPr>
          <w:color w:val="000000"/>
        </w:rPr>
        <w:tab/>
        <w:t>All windows and openings accessible from fire-escapes, stairways, platforms, adjacent roofs and those on ground floors and basement levels as well as any window up to a height of 20 feet and opening on to a public place, cartway or yard or similar area shall be barred or otherwise permanently protected.</w:t>
      </w:r>
    </w:p>
    <w:p w:rsidR="00AF2508" w:rsidRDefault="00AF2508">
      <w:pPr>
        <w:pStyle w:val="AH4SubDiv"/>
      </w:pPr>
      <w:bookmarkStart w:id="46" w:name="_Toc161636710"/>
      <w:r>
        <w:t>Enclosure doors</w:t>
      </w:r>
      <w:bookmarkEnd w:id="46"/>
    </w:p>
    <w:p w:rsidR="00AF2508" w:rsidRDefault="00AF2508">
      <w:pPr>
        <w:pStyle w:val="AH5Sec"/>
      </w:pPr>
      <w:bookmarkStart w:id="47" w:name="_Toc161636711"/>
      <w:r>
        <w:rPr>
          <w:rStyle w:val="CharSectNo"/>
        </w:rPr>
        <w:t>29</w:t>
      </w:r>
      <w:bookmarkEnd w:id="47"/>
      <w:r>
        <w:tab/>
        <w:t xml:space="preserve">  </w:t>
      </w:r>
    </w:p>
    <w:p w:rsidR="00AF2508" w:rsidRDefault="00AF2508">
      <w:pPr>
        <w:pStyle w:val="Amain"/>
        <w:rPr>
          <w:color w:val="000000"/>
        </w:rPr>
      </w:pPr>
      <w:r>
        <w:rPr>
          <w:color w:val="000000"/>
        </w:rPr>
        <w:tab/>
        <w:t>(1)</w:t>
      </w:r>
      <w:r>
        <w:rPr>
          <w:color w:val="000000"/>
        </w:rPr>
        <w:tab/>
        <w:t>Every enclosure door of every automatic lift other than a service lift shall be provided with 2 separate electromechanical interlocks each arranged to electrically and mechanically interlock the enclosure door with the control of the lift.</w:t>
      </w:r>
    </w:p>
    <w:p w:rsidR="00AF2508" w:rsidRDefault="00AF2508">
      <w:pPr>
        <w:pStyle w:val="Amain"/>
        <w:rPr>
          <w:color w:val="000000"/>
        </w:rPr>
      </w:pPr>
      <w:r>
        <w:rPr>
          <w:color w:val="000000"/>
        </w:rPr>
        <w:tab/>
        <w:t>(2)</w:t>
      </w:r>
      <w:r>
        <w:rPr>
          <w:color w:val="000000"/>
        </w:rPr>
        <w:tab/>
        <w:t>If latches are used they shall be of a design that will prevent fingers projecting through the latch hole and the latch shall be clear of the door surrounds when the door is fully open.</w:t>
      </w:r>
    </w:p>
    <w:p w:rsidR="00AF2508" w:rsidRDefault="00AF2508">
      <w:pPr>
        <w:pStyle w:val="Amain"/>
      </w:pPr>
      <w:r>
        <w:rPr>
          <w:color w:val="000000"/>
        </w:rPr>
        <w:tab/>
        <w:t>(3)</w:t>
      </w:r>
      <w:r>
        <w:rPr>
          <w:color w:val="000000"/>
        </w:rPr>
        <w:tab/>
        <w:t>These electromechanical interlocks shall ensure that—</w:t>
      </w:r>
    </w:p>
    <w:p w:rsidR="00AF2508" w:rsidRDefault="00AF2508">
      <w:pPr>
        <w:pStyle w:val="Apara"/>
      </w:pPr>
      <w:r>
        <w:tab/>
        <w:t>(a)</w:t>
      </w:r>
      <w:r>
        <w:tab/>
        <w:t>the car cannot move or continue in motion unless every enclosure door is closed and locked.</w:t>
      </w:r>
    </w:p>
    <w:p w:rsidR="00AF2508" w:rsidRDefault="00AF2508">
      <w:pPr>
        <w:pStyle w:val="Amain"/>
      </w:pPr>
      <w:r>
        <w:tab/>
        <w:t>(4)</w:t>
      </w:r>
      <w:r>
        <w:tab/>
        <w:t>For subsection (3) (a), an enclosure door may be considered locked if complete locking occurs within the period that the car takes to move 9 inches from the landing on which the enclosure door is situated.</w:t>
      </w:r>
    </w:p>
    <w:p w:rsidR="00AF2508" w:rsidRDefault="00AF2508">
      <w:pPr>
        <w:pStyle w:val="Amain"/>
      </w:pPr>
      <w:r>
        <w:tab/>
        <w:t>(5)</w:t>
      </w:r>
      <w:r>
        <w:tab/>
        <w:t>Each enclosure door may only be unlocked and opened when the car is stationary and its floor is level with the landing or within 9 inches of it at which the enclosure door is situated or the car is within the control of the levelling device at that landing.</w:t>
      </w:r>
    </w:p>
    <w:p w:rsidR="00AF2508" w:rsidRDefault="00AF2508">
      <w:pPr>
        <w:pStyle w:val="Amain"/>
      </w:pPr>
      <w:r>
        <w:rPr>
          <w:color w:val="000000"/>
        </w:rPr>
        <w:tab/>
        <w:t>(6)</w:t>
      </w:r>
      <w:r>
        <w:rPr>
          <w:color w:val="000000"/>
        </w:rPr>
        <w:tab/>
        <w:t>Every enclosure door of every lift other than an automatic lift shall be provided with an electromechanical interlock that shall ensure that the car cannot move or continue in motion unless every enclosure door is closed and locked and that the enclosure door can only be unlocked from the car.</w:t>
      </w:r>
    </w:p>
    <w:p w:rsidR="00AF2508" w:rsidRDefault="00AF2508">
      <w:pPr>
        <w:pStyle w:val="Amain"/>
        <w:rPr>
          <w:color w:val="000000"/>
        </w:rPr>
      </w:pPr>
      <w:r>
        <w:rPr>
          <w:color w:val="000000"/>
        </w:rPr>
        <w:tab/>
        <w:t>(7)</w:t>
      </w:r>
      <w:r>
        <w:rPr>
          <w:color w:val="000000"/>
        </w:rPr>
        <w:tab/>
        <w:t>Every enclosure door of every service lift shall be interlocked with the control so that the car cannot move or continue in motion unless every enclosure door is closed and locked and so that the enclosure doors can only be opened when the car floor is level with the landing or within 9 inches of the landing on which the enclosure door is situated.</w:t>
      </w:r>
    </w:p>
    <w:p w:rsidR="00AF2508" w:rsidRDefault="00AF2508">
      <w:pPr>
        <w:pStyle w:val="Amain"/>
      </w:pPr>
      <w:r>
        <w:rPr>
          <w:color w:val="000000"/>
        </w:rPr>
        <w:tab/>
        <w:t>(8)</w:t>
      </w:r>
      <w:r>
        <w:rPr>
          <w:color w:val="000000"/>
        </w:rPr>
        <w:tab/>
        <w:t>For this section, an enclosure door may be considered locked if complete locking occurs within the period that the car takes to move 9 inches from the landing on which the enclosure door is situated.</w:t>
      </w:r>
    </w:p>
    <w:p w:rsidR="00AF2508" w:rsidRDefault="00AF2508">
      <w:pPr>
        <w:pStyle w:val="Amain"/>
      </w:pPr>
      <w:r>
        <w:rPr>
          <w:color w:val="000000"/>
        </w:rPr>
        <w:tab/>
        <w:t>(9)</w:t>
      </w:r>
      <w:r>
        <w:rPr>
          <w:color w:val="000000"/>
        </w:rPr>
        <w:tab/>
        <w:t>Except for a lift fitted with both power-operated doors and a position-indicating device, every enclosure door of an automatic lift shall be provided with a panel, not less than 1 square foot in area, through which the car may be clearly seen from the landings.</w:t>
      </w:r>
    </w:p>
    <w:p w:rsidR="00AF2508" w:rsidRDefault="00AF2508">
      <w:pPr>
        <w:pStyle w:val="AH4SubDiv"/>
      </w:pPr>
      <w:bookmarkStart w:id="48" w:name="_Toc161636712"/>
      <w:r>
        <w:t>Clearance in wells</w:t>
      </w:r>
      <w:bookmarkEnd w:id="48"/>
    </w:p>
    <w:p w:rsidR="00AF2508" w:rsidRDefault="00AF2508">
      <w:pPr>
        <w:pStyle w:val="AH5Sec"/>
      </w:pPr>
      <w:bookmarkStart w:id="49" w:name="_Toc161636713"/>
      <w:r>
        <w:rPr>
          <w:rStyle w:val="CharSectNo"/>
        </w:rPr>
        <w:t>30</w:t>
      </w:r>
      <w:bookmarkEnd w:id="49"/>
      <w:r>
        <w:tab/>
        <w:t xml:space="preserve">  </w:t>
      </w:r>
    </w:p>
    <w:p w:rsidR="00AF2508" w:rsidRDefault="00AF2508">
      <w:pPr>
        <w:pStyle w:val="Amain"/>
      </w:pPr>
      <w:r>
        <w:rPr>
          <w:color w:val="000000"/>
        </w:rPr>
        <w:tab/>
        <w:t>(1)</w:t>
      </w:r>
      <w:r>
        <w:rPr>
          <w:color w:val="000000"/>
        </w:rPr>
        <w:tab/>
        <w:t>Adequate clearances shall be provided for the car and counterweight in every lift-well.</w:t>
      </w:r>
    </w:p>
    <w:p w:rsidR="00AF2508" w:rsidRDefault="00AF2508">
      <w:pPr>
        <w:pStyle w:val="Amain"/>
      </w:pPr>
      <w:r>
        <w:rPr>
          <w:color w:val="000000"/>
        </w:rPr>
        <w:tab/>
        <w:t>(2)</w:t>
      </w:r>
      <w:r>
        <w:rPr>
          <w:color w:val="000000"/>
        </w:rPr>
        <w:tab/>
        <w:t>Piping, conduit, or other equipment not forming part of the lift installation shall not be installed in a lift-well, except with the approval of the chief inspector.</w:t>
      </w:r>
    </w:p>
    <w:p w:rsidR="00AF2508" w:rsidRDefault="00AF2508">
      <w:pPr>
        <w:pStyle w:val="AH4SubDiv"/>
      </w:pPr>
      <w:bookmarkStart w:id="50" w:name="_Toc161636714"/>
      <w:r>
        <w:t>Ropes and sheaves</w:t>
      </w:r>
      <w:bookmarkEnd w:id="50"/>
    </w:p>
    <w:p w:rsidR="00AF2508" w:rsidRDefault="00AF2508">
      <w:pPr>
        <w:pStyle w:val="AH5Sec"/>
      </w:pPr>
      <w:bookmarkStart w:id="51" w:name="_Toc161636715"/>
      <w:r>
        <w:rPr>
          <w:rStyle w:val="CharSectNo"/>
        </w:rPr>
        <w:t>31</w:t>
      </w:r>
      <w:bookmarkEnd w:id="51"/>
      <w:r>
        <w:tab/>
        <w:t xml:space="preserve">  </w:t>
      </w:r>
    </w:p>
    <w:p w:rsidR="00AF2508" w:rsidRDefault="00AF2508">
      <w:pPr>
        <w:pStyle w:val="Amain"/>
        <w:rPr>
          <w:color w:val="000000"/>
        </w:rPr>
      </w:pPr>
      <w:r>
        <w:rPr>
          <w:color w:val="000000"/>
        </w:rPr>
        <w:tab/>
        <w:t>(1)</w:t>
      </w:r>
      <w:r>
        <w:rPr>
          <w:color w:val="000000"/>
        </w:rPr>
        <w:tab/>
        <w:t>Flexible steel or iron wire ropes shall be used for the lifting, governor and compensating ropes of all lifts, and the ropes shall not be spliced for purposes of repair or extension.</w:t>
      </w:r>
    </w:p>
    <w:p w:rsidR="00AF2508" w:rsidRDefault="00AF2508">
      <w:pPr>
        <w:pStyle w:val="Amain"/>
      </w:pPr>
      <w:r>
        <w:rPr>
          <w:color w:val="000000"/>
        </w:rPr>
        <w:tab/>
        <w:t>(2)</w:t>
      </w:r>
      <w:r>
        <w:rPr>
          <w:color w:val="000000"/>
        </w:rPr>
        <w:tab/>
        <w:t>Chains shall not be used for suspending cars or counterweights of lifts.</w:t>
      </w:r>
    </w:p>
    <w:p w:rsidR="00AF2508" w:rsidRDefault="00AF2508">
      <w:pPr>
        <w:pStyle w:val="Amain"/>
      </w:pPr>
      <w:r>
        <w:rPr>
          <w:color w:val="000000"/>
        </w:rPr>
        <w:tab/>
        <w:t>(3)</w:t>
      </w:r>
      <w:r>
        <w:rPr>
          <w:color w:val="000000"/>
        </w:rPr>
        <w:tab/>
        <w:t>The minimum number of lifting ropes for cars and counterweights of lifts, other than service lifts, shall be 2 for drum-drive lifts and hydraulic lifts and 3 for all other types.</w:t>
      </w:r>
    </w:p>
    <w:p w:rsidR="00AF2508" w:rsidRDefault="00AF2508">
      <w:pPr>
        <w:pStyle w:val="Amain"/>
      </w:pPr>
      <w:r>
        <w:rPr>
          <w:color w:val="000000"/>
        </w:rPr>
        <w:tab/>
        <w:t>(4)</w:t>
      </w:r>
      <w:r>
        <w:rPr>
          <w:color w:val="000000"/>
        </w:rPr>
        <w:tab/>
        <w:t>The factor of safety for lifting ropes shall not be less than 10.</w:t>
      </w:r>
    </w:p>
    <w:p w:rsidR="00AF2508" w:rsidRDefault="00AF2508">
      <w:pPr>
        <w:pStyle w:val="Amain"/>
      </w:pPr>
      <w:r>
        <w:rPr>
          <w:color w:val="000000"/>
        </w:rPr>
        <w:tab/>
        <w:t>(5)</w:t>
      </w:r>
      <w:r>
        <w:rPr>
          <w:color w:val="000000"/>
        </w:rPr>
        <w:tab/>
        <w:t xml:space="preserve">The minimum diameter of suspension ropes for cars and counterweights shall be </w:t>
      </w:r>
      <w:r>
        <w:rPr>
          <w:color w:val="000000"/>
          <w:position w:val="6"/>
          <w:sz w:val="18"/>
        </w:rPr>
        <w:t>3</w:t>
      </w:r>
      <w:r>
        <w:rPr>
          <w:color w:val="000000"/>
        </w:rPr>
        <w:t>/</w:t>
      </w:r>
      <w:r>
        <w:rPr>
          <w:color w:val="000000"/>
          <w:sz w:val="18"/>
        </w:rPr>
        <w:t>8</w:t>
      </w:r>
      <w:r>
        <w:rPr>
          <w:color w:val="000000"/>
        </w:rPr>
        <w:t xml:space="preserve"> of an inch except for service lifts where the minimum diameter shall be </w:t>
      </w:r>
      <w:r>
        <w:rPr>
          <w:color w:val="000000"/>
          <w:position w:val="6"/>
          <w:sz w:val="18"/>
        </w:rPr>
        <w:t>1</w:t>
      </w:r>
      <w:r>
        <w:rPr>
          <w:color w:val="000000"/>
        </w:rPr>
        <w:t>/</w:t>
      </w:r>
      <w:r>
        <w:rPr>
          <w:color w:val="000000"/>
          <w:sz w:val="18"/>
        </w:rPr>
        <w:t>4</w:t>
      </w:r>
      <w:r>
        <w:rPr>
          <w:color w:val="000000"/>
        </w:rPr>
        <w:t xml:space="preserve"> of an inch.</w:t>
      </w:r>
    </w:p>
    <w:p w:rsidR="00AF2508" w:rsidRDefault="00AF2508">
      <w:pPr>
        <w:pStyle w:val="Amain"/>
      </w:pPr>
      <w:r>
        <w:rPr>
          <w:color w:val="000000"/>
        </w:rPr>
        <w:tab/>
        <w:t>(6)</w:t>
      </w:r>
      <w:r>
        <w:rPr>
          <w:color w:val="000000"/>
        </w:rPr>
        <w:tab/>
        <w:t>The ratio of the diameter of any drum or sheave to the diameter of the rope used on it shall be not less than—</w:t>
      </w:r>
    </w:p>
    <w:p w:rsidR="00AF2508" w:rsidRDefault="00AF2508">
      <w:pPr>
        <w:pStyle w:val="Apara"/>
      </w:pPr>
      <w:r>
        <w:tab/>
        <w:t>(a)</w:t>
      </w:r>
      <w:r>
        <w:tab/>
        <w:t>45:1 for passenger or goods lifts; and</w:t>
      </w:r>
    </w:p>
    <w:p w:rsidR="00AF2508" w:rsidRDefault="00AF2508">
      <w:pPr>
        <w:pStyle w:val="Apara"/>
      </w:pPr>
      <w:r>
        <w:tab/>
        <w:t>(b)</w:t>
      </w:r>
      <w:r>
        <w:tab/>
        <w:t>40:1 for service lifts; and</w:t>
      </w:r>
    </w:p>
    <w:p w:rsidR="00AF2508" w:rsidRDefault="00AF2508">
      <w:pPr>
        <w:pStyle w:val="Apara"/>
      </w:pPr>
      <w:r>
        <w:tab/>
        <w:t>(c)</w:t>
      </w:r>
      <w:r>
        <w:tab/>
        <w:t>38:1 for compensating ropes; and</w:t>
      </w:r>
    </w:p>
    <w:p w:rsidR="00AF2508" w:rsidRDefault="00AF2508">
      <w:pPr>
        <w:pStyle w:val="Apara"/>
      </w:pPr>
      <w:r>
        <w:tab/>
        <w:t>(d)</w:t>
      </w:r>
      <w:r>
        <w:tab/>
        <w:t>25:1 for governor ropes.</w:t>
      </w:r>
    </w:p>
    <w:p w:rsidR="00AF2508" w:rsidRDefault="00AF2508">
      <w:pPr>
        <w:pStyle w:val="Amain"/>
      </w:pPr>
      <w:r>
        <w:rPr>
          <w:color w:val="000000"/>
        </w:rPr>
        <w:tab/>
        <w:t>(7)</w:t>
      </w:r>
      <w:r>
        <w:rPr>
          <w:color w:val="000000"/>
        </w:rPr>
        <w:tab/>
        <w:t>All drums and sheaves shall be grooved to correctly embrace the ropes, and to prevent any overriding or jamming.</w:t>
      </w:r>
    </w:p>
    <w:p w:rsidR="00AF2508" w:rsidRDefault="00AF2508">
      <w:pPr>
        <w:pStyle w:val="Amain"/>
      </w:pPr>
      <w:r>
        <w:rPr>
          <w:color w:val="000000"/>
        </w:rPr>
        <w:tab/>
        <w:t>(8)</w:t>
      </w:r>
      <w:r>
        <w:rPr>
          <w:color w:val="000000"/>
        </w:rPr>
        <w:tab/>
        <w:t>Lifting ropes shall be effectively anchored to drums and not less than 1</w:t>
      </w:r>
      <w:r>
        <w:rPr>
          <w:color w:val="000000"/>
          <w:position w:val="6"/>
          <w:sz w:val="18"/>
        </w:rPr>
        <w:t>1</w:t>
      </w:r>
      <w:r>
        <w:rPr>
          <w:color w:val="000000"/>
        </w:rPr>
        <w:t>/</w:t>
      </w:r>
      <w:r>
        <w:rPr>
          <w:color w:val="000000"/>
          <w:sz w:val="18"/>
        </w:rPr>
        <w:t>2</w:t>
      </w:r>
      <w:r>
        <w:rPr>
          <w:color w:val="000000"/>
        </w:rPr>
        <w:t xml:space="preserve"> turns of each rope shall remain on a drum when the lift car or counterweight has landed.</w:t>
      </w:r>
    </w:p>
    <w:p w:rsidR="00AF2508" w:rsidRDefault="00AF2508">
      <w:pPr>
        <w:pStyle w:val="Amain"/>
      </w:pPr>
      <w:r>
        <w:rPr>
          <w:color w:val="000000"/>
        </w:rPr>
        <w:tab/>
        <w:t>(9)</w:t>
      </w:r>
      <w:r>
        <w:rPr>
          <w:color w:val="000000"/>
        </w:rPr>
        <w:tab/>
        <w:t>If compensating ropes are used, provisions shall be made for automatically stopping the lift in the event of the compensating sheave rising or falling beyond predetermined limits.</w:t>
      </w:r>
    </w:p>
    <w:p w:rsidR="00AF2508" w:rsidRDefault="00AF2508">
      <w:pPr>
        <w:pStyle w:val="Amain"/>
      </w:pPr>
      <w:r>
        <w:rPr>
          <w:color w:val="000000"/>
        </w:rPr>
        <w:tab/>
        <w:t>(10)</w:t>
      </w:r>
      <w:r>
        <w:rPr>
          <w:color w:val="000000"/>
        </w:rPr>
        <w:tab/>
        <w:t>If 2:1 roping is used provision shall be made to prevent the ropes leaving their correct grooves, and the sheaves on the car shall be effectively guarded and a convenient handhold provided.</w:t>
      </w:r>
    </w:p>
    <w:p w:rsidR="00AF2508" w:rsidRDefault="00AF2508">
      <w:pPr>
        <w:pStyle w:val="AH4SubDiv"/>
      </w:pPr>
      <w:bookmarkStart w:id="52" w:name="_Toc161636716"/>
      <w:r>
        <w:t>Lift cars</w:t>
      </w:r>
      <w:bookmarkEnd w:id="52"/>
    </w:p>
    <w:p w:rsidR="00AF2508" w:rsidRDefault="00AF2508">
      <w:pPr>
        <w:pStyle w:val="AH5Sec"/>
      </w:pPr>
      <w:bookmarkStart w:id="53" w:name="_Toc161636717"/>
      <w:r>
        <w:rPr>
          <w:rStyle w:val="CharSectNo"/>
        </w:rPr>
        <w:t>32</w:t>
      </w:r>
      <w:bookmarkEnd w:id="53"/>
      <w:r>
        <w:tab/>
        <w:t xml:space="preserve">  </w:t>
      </w:r>
    </w:p>
    <w:p w:rsidR="00AF2508" w:rsidRDefault="00AF2508">
      <w:pPr>
        <w:pStyle w:val="Amain"/>
        <w:keepNext/>
      </w:pPr>
      <w:r>
        <w:rPr>
          <w:color w:val="000000"/>
        </w:rPr>
        <w:tab/>
        <w:t>(1)</w:t>
      </w:r>
      <w:r>
        <w:rPr>
          <w:color w:val="000000"/>
        </w:rPr>
        <w:tab/>
        <w:t>Steel shall be used for the bow, side members, safety gear bearers and platform frames for the car of every lift, other than a service lift.</w:t>
      </w:r>
    </w:p>
    <w:p w:rsidR="00AF2508" w:rsidRDefault="00AF2508">
      <w:pPr>
        <w:pStyle w:val="Amain"/>
      </w:pPr>
      <w:r>
        <w:rPr>
          <w:color w:val="000000"/>
        </w:rPr>
        <w:tab/>
        <w:t>(2)</w:t>
      </w:r>
      <w:r>
        <w:rPr>
          <w:color w:val="000000"/>
        </w:rPr>
        <w:tab/>
        <w:t>The bow of every service lift shall be strapped to the car floor with steel.</w:t>
      </w:r>
    </w:p>
    <w:p w:rsidR="00AF2508" w:rsidRDefault="00AF2508">
      <w:pPr>
        <w:pStyle w:val="Amain"/>
      </w:pPr>
      <w:r>
        <w:rPr>
          <w:color w:val="000000"/>
        </w:rPr>
        <w:tab/>
        <w:t>(3)</w:t>
      </w:r>
      <w:r>
        <w:rPr>
          <w:color w:val="000000"/>
        </w:rPr>
        <w:tab/>
        <w:t>Every passenger lift car shall have a roof that covers the whole area of the car, and the cars of goods lifts shall have a roof when so directed by an inspector.</w:t>
      </w:r>
    </w:p>
    <w:p w:rsidR="00AF2508" w:rsidRDefault="00AF2508">
      <w:pPr>
        <w:pStyle w:val="Amain"/>
        <w:rPr>
          <w:color w:val="000000"/>
        </w:rPr>
      </w:pPr>
      <w:r>
        <w:rPr>
          <w:color w:val="000000"/>
        </w:rPr>
        <w:tab/>
        <w:t>(4)</w:t>
      </w:r>
      <w:r>
        <w:rPr>
          <w:color w:val="000000"/>
        </w:rPr>
        <w:tab/>
        <w:t>The roof of every lift car shall be constructed to provide a sound, flat surface of as large an area as practicable and affording a firm foothold, and shall be of adequate strength to support safely the weight of the workers that might go on it and any equipment required to be placed on it.</w:t>
      </w:r>
    </w:p>
    <w:p w:rsidR="00AF2508" w:rsidRDefault="00AF2508">
      <w:pPr>
        <w:pStyle w:val="Amain"/>
      </w:pPr>
      <w:r>
        <w:rPr>
          <w:color w:val="000000"/>
        </w:rPr>
        <w:tab/>
        <w:t>(5)</w:t>
      </w:r>
      <w:r>
        <w:rPr>
          <w:color w:val="000000"/>
        </w:rPr>
        <w:tab/>
        <w:t>Glass shall not be used in car roofs.</w:t>
      </w:r>
    </w:p>
    <w:p w:rsidR="00AF2508" w:rsidRDefault="00AF2508">
      <w:pPr>
        <w:pStyle w:val="Amain"/>
        <w:rPr>
          <w:color w:val="000000"/>
        </w:rPr>
      </w:pPr>
      <w:r>
        <w:rPr>
          <w:color w:val="000000"/>
        </w:rPr>
        <w:tab/>
        <w:t>(6)</w:t>
      </w:r>
      <w:r>
        <w:rPr>
          <w:color w:val="000000"/>
        </w:rPr>
        <w:tab/>
        <w:t>The roof of every lift car other than a service lift shall be provided with a hinged panel, capable, if necessary, of being raised from inside or outside the car and when partly or fully opened shall not foul any enclosure or fitting in the lift-well.</w:t>
      </w:r>
    </w:p>
    <w:p w:rsidR="00AF2508" w:rsidRDefault="00AF2508">
      <w:pPr>
        <w:pStyle w:val="Amain"/>
        <w:rPr>
          <w:color w:val="000000"/>
        </w:rPr>
      </w:pPr>
      <w:r>
        <w:rPr>
          <w:color w:val="000000"/>
        </w:rPr>
        <w:tab/>
        <w:t>(7)</w:t>
      </w:r>
      <w:r>
        <w:rPr>
          <w:color w:val="000000"/>
        </w:rPr>
        <w:tab/>
        <w:t>The panel opening to be of such size as to permit the easy ingress or egress of a man.</w:t>
      </w:r>
    </w:p>
    <w:p w:rsidR="00AF2508" w:rsidRDefault="00AF2508">
      <w:pPr>
        <w:pStyle w:val="Amain"/>
      </w:pPr>
      <w:r>
        <w:rPr>
          <w:color w:val="000000"/>
        </w:rPr>
        <w:tab/>
        <w:t>(8)</w:t>
      </w:r>
      <w:r>
        <w:rPr>
          <w:color w:val="000000"/>
        </w:rPr>
        <w:tab/>
        <w:t>The hinged panels on automatic lifts shall be electrically and mechanically interlocked with the control of the lift.</w:t>
      </w:r>
    </w:p>
    <w:p w:rsidR="00AF2508" w:rsidRDefault="00AF2508">
      <w:pPr>
        <w:pStyle w:val="Amain"/>
      </w:pPr>
      <w:r>
        <w:rPr>
          <w:color w:val="000000"/>
        </w:rPr>
        <w:tab/>
        <w:t>(9)</w:t>
      </w:r>
      <w:r>
        <w:rPr>
          <w:color w:val="000000"/>
        </w:rPr>
        <w:tab/>
        <w:t>The roof of every service lift car shall be set back not less than 6 inches from the line of the car floor nosing, or for such distance the roof shall be in the form of a hinged flap capable of lifting.</w:t>
      </w:r>
    </w:p>
    <w:p w:rsidR="00AF2508" w:rsidRDefault="00AF2508">
      <w:pPr>
        <w:pStyle w:val="Amain"/>
        <w:rPr>
          <w:color w:val="000000"/>
        </w:rPr>
      </w:pPr>
      <w:r>
        <w:rPr>
          <w:color w:val="000000"/>
        </w:rPr>
        <w:tab/>
        <w:t>(10)</w:t>
      </w:r>
      <w:r>
        <w:rPr>
          <w:color w:val="000000"/>
        </w:rPr>
        <w:tab/>
        <w:t>The sides of every lift car shall extend from the car floor to the car roof.</w:t>
      </w:r>
    </w:p>
    <w:p w:rsidR="00AF2508" w:rsidRDefault="00AF2508">
      <w:pPr>
        <w:pStyle w:val="Amain"/>
        <w:keepLines/>
      </w:pPr>
      <w:r>
        <w:rPr>
          <w:color w:val="000000"/>
        </w:rPr>
        <w:tab/>
        <w:t>(11)</w:t>
      </w:r>
      <w:r>
        <w:rPr>
          <w:color w:val="000000"/>
        </w:rPr>
        <w:tab/>
        <w:t>If a roof is not provided to the car of a goods lift, the sides shall be of the height that an inspector may direct but shall not be less than 6 feet in height, and adjacent to the counterweight shall not be less than the height of the car bow.</w:t>
      </w:r>
    </w:p>
    <w:p w:rsidR="00AF2508" w:rsidRDefault="00AF2508">
      <w:pPr>
        <w:pStyle w:val="Amain"/>
        <w:rPr>
          <w:color w:val="000000"/>
        </w:rPr>
      </w:pPr>
      <w:r>
        <w:rPr>
          <w:color w:val="000000"/>
        </w:rPr>
        <w:tab/>
        <w:t>(12)</w:t>
      </w:r>
      <w:r>
        <w:rPr>
          <w:color w:val="000000"/>
        </w:rPr>
        <w:tab/>
        <w:t>Plain glass shall not be used in lift cars other than for covering notices and indicators.</w:t>
      </w:r>
    </w:p>
    <w:p w:rsidR="00AF2508" w:rsidRDefault="00AF2508">
      <w:pPr>
        <w:pStyle w:val="Amain"/>
      </w:pPr>
      <w:r>
        <w:rPr>
          <w:color w:val="000000"/>
        </w:rPr>
        <w:tab/>
        <w:t>(13)</w:t>
      </w:r>
      <w:r>
        <w:rPr>
          <w:color w:val="000000"/>
        </w:rPr>
        <w:tab/>
        <w:t>Lamps and lamp fittings shall be of adequate strength and security to withstand the operation of the safety gear without damage.</w:t>
      </w:r>
    </w:p>
    <w:p w:rsidR="00AF2508" w:rsidRDefault="00AF2508">
      <w:pPr>
        <w:pStyle w:val="AH4SubDiv"/>
      </w:pPr>
      <w:bookmarkStart w:id="54" w:name="_Toc161636718"/>
      <w:r>
        <w:t>Car gates</w:t>
      </w:r>
      <w:bookmarkEnd w:id="54"/>
    </w:p>
    <w:p w:rsidR="00AF2508" w:rsidRDefault="00AF2508">
      <w:pPr>
        <w:pStyle w:val="AH5Sec"/>
      </w:pPr>
      <w:bookmarkStart w:id="55" w:name="_Toc161636719"/>
      <w:r>
        <w:rPr>
          <w:rStyle w:val="CharSectNo"/>
        </w:rPr>
        <w:t>33</w:t>
      </w:r>
      <w:bookmarkEnd w:id="55"/>
      <w:r>
        <w:tab/>
        <w:t xml:space="preserve">  </w:t>
      </w:r>
    </w:p>
    <w:p w:rsidR="00AF2508" w:rsidRDefault="00AF2508">
      <w:pPr>
        <w:pStyle w:val="Amain"/>
      </w:pPr>
      <w:r>
        <w:rPr>
          <w:color w:val="000000"/>
        </w:rPr>
        <w:tab/>
        <w:t>(1)</w:t>
      </w:r>
      <w:r>
        <w:rPr>
          <w:color w:val="000000"/>
        </w:rPr>
        <w:tab/>
        <w:t>A gate or door affording adequate protection and electrically interlocked with the control shall be provided across every car entrance of—</w:t>
      </w:r>
    </w:p>
    <w:p w:rsidR="00AF2508" w:rsidRDefault="00AF2508">
      <w:pPr>
        <w:pStyle w:val="Apara"/>
      </w:pPr>
      <w:r>
        <w:tab/>
        <w:t>(a)</w:t>
      </w:r>
      <w:r>
        <w:tab/>
        <w:t>every automatic lift other than a service lift; and</w:t>
      </w:r>
    </w:p>
    <w:p w:rsidR="00AF2508" w:rsidRDefault="00AF2508">
      <w:pPr>
        <w:pStyle w:val="Apara"/>
      </w:pPr>
      <w:r>
        <w:tab/>
        <w:t>(b)</w:t>
      </w:r>
      <w:r>
        <w:tab/>
        <w:t>every passenger lift other than an automatic lift, except that a gate or door need not be provided at 1 entrance of the car of a passenger lift, if the control is adjacent to it so that the attendant can conveniently extend his or her arm across the entrance and the width of the entrance does not exceed 42 inches and the whole face of the well including the enclosures adjacent to the car entrance is flush and not more than 1</w:t>
      </w:r>
      <w:r>
        <w:rPr>
          <w:position w:val="6"/>
          <w:sz w:val="18"/>
        </w:rPr>
        <w:t>1</w:t>
      </w:r>
      <w:r>
        <w:t>/</w:t>
      </w:r>
      <w:r>
        <w:rPr>
          <w:sz w:val="18"/>
        </w:rPr>
        <w:t>2</w:t>
      </w:r>
      <w:r>
        <w:t xml:space="preserve"> inches from the car floor nosing; and</w:t>
      </w:r>
    </w:p>
    <w:p w:rsidR="00AF2508" w:rsidRDefault="00AF2508">
      <w:pPr>
        <w:pStyle w:val="Apara"/>
      </w:pPr>
      <w:r>
        <w:tab/>
        <w:t>(c)</w:t>
      </w:r>
      <w:r>
        <w:tab/>
        <w:t>every goods lift other than an automatic lift, except that a gate or door need not be provided at 1 entrance of the car of a goods lift, if the control is adjacent to it and the whole face of the well including the enclosures adjacent to that car entrance is within 3</w:t>
      </w:r>
      <w:r>
        <w:rPr>
          <w:position w:val="6"/>
          <w:sz w:val="18"/>
        </w:rPr>
        <w:t>1</w:t>
      </w:r>
      <w:r>
        <w:t>/</w:t>
      </w:r>
      <w:r>
        <w:rPr>
          <w:sz w:val="18"/>
        </w:rPr>
        <w:t>4</w:t>
      </w:r>
      <w:r>
        <w:t xml:space="preserve"> inches of the car floor nosing.</w:t>
      </w:r>
    </w:p>
    <w:p w:rsidR="00AF2508" w:rsidRDefault="00AF2508">
      <w:pPr>
        <w:pStyle w:val="Amain"/>
      </w:pPr>
      <w:r>
        <w:tab/>
        <w:t>(2)</w:t>
      </w:r>
      <w:r>
        <w:tab/>
        <w:t>Any offsets in the face of an enclosure mentioned in subsection (1) (c) shall be bevelled on the underside at not less than 3 inches vertical to 1 inch horizontal.</w:t>
      </w:r>
    </w:p>
    <w:p w:rsidR="00AF2508" w:rsidRDefault="00AF2508">
      <w:pPr>
        <w:pStyle w:val="Amain"/>
      </w:pPr>
      <w:r>
        <w:rPr>
          <w:color w:val="000000"/>
        </w:rPr>
        <w:tab/>
        <w:t>(3)</w:t>
      </w:r>
      <w:r>
        <w:rPr>
          <w:color w:val="000000"/>
        </w:rPr>
        <w:tab/>
        <w:t>All power driven car gates or doors shall be so constructed as to be capable of being opened manually.</w:t>
      </w:r>
    </w:p>
    <w:p w:rsidR="00AF2508" w:rsidRDefault="00AF2508">
      <w:pPr>
        <w:pStyle w:val="Amain"/>
      </w:pPr>
      <w:r>
        <w:rPr>
          <w:color w:val="000000"/>
        </w:rPr>
        <w:tab/>
        <w:t>(4)</w:t>
      </w:r>
      <w:r>
        <w:rPr>
          <w:color w:val="000000"/>
        </w:rPr>
        <w:tab/>
        <w:t>The electric interlock of the car gates of every automatic lift shall be placed in a position inaccessible to a person standing on the car floor.</w:t>
      </w:r>
    </w:p>
    <w:p w:rsidR="00AF2508" w:rsidRDefault="00AF2508">
      <w:pPr>
        <w:pStyle w:val="Amain"/>
      </w:pPr>
      <w:r>
        <w:rPr>
          <w:color w:val="000000"/>
        </w:rPr>
        <w:tab/>
        <w:t>(5)</w:t>
      </w:r>
      <w:r>
        <w:rPr>
          <w:color w:val="000000"/>
        </w:rPr>
        <w:tab/>
        <w:t>If levelling devices are used the car floor shall be provided with a substantial toe-guard flush with its outer edge extending a sufficient distance below the car floor so that there shall be no opening into the lift-well while the car is within the levelling zone.</w:t>
      </w:r>
    </w:p>
    <w:p w:rsidR="00AF2508" w:rsidRDefault="00AF2508">
      <w:pPr>
        <w:pStyle w:val="AH4SubDiv"/>
      </w:pPr>
      <w:bookmarkStart w:id="56" w:name="_Toc161636720"/>
      <w:r>
        <w:t>Lighting and ventilation of cars</w:t>
      </w:r>
      <w:bookmarkEnd w:id="56"/>
    </w:p>
    <w:p w:rsidR="00AF2508" w:rsidRDefault="00AF2508">
      <w:pPr>
        <w:pStyle w:val="AH5Sec"/>
      </w:pPr>
      <w:bookmarkStart w:id="57" w:name="_Toc161636721"/>
      <w:r>
        <w:rPr>
          <w:rStyle w:val="CharSectNo"/>
        </w:rPr>
        <w:t>34</w:t>
      </w:r>
      <w:bookmarkEnd w:id="57"/>
      <w:r>
        <w:tab/>
        <w:t xml:space="preserve">  </w:t>
      </w:r>
    </w:p>
    <w:p w:rsidR="00AF2508" w:rsidRDefault="00AF2508">
      <w:pPr>
        <w:pStyle w:val="Amainreturn"/>
      </w:pPr>
      <w:r>
        <w:t>The car of every lift other than a service lift shall be provided with—</w:t>
      </w:r>
    </w:p>
    <w:p w:rsidR="00AF2508" w:rsidRDefault="00AF2508">
      <w:pPr>
        <w:pStyle w:val="Apara"/>
      </w:pPr>
      <w:r>
        <w:tab/>
        <w:t>(a)</w:t>
      </w:r>
      <w:r>
        <w:tab/>
        <w:t>adequate ventilation; and</w:t>
      </w:r>
    </w:p>
    <w:p w:rsidR="00AF2508" w:rsidRDefault="00AF2508">
      <w:pPr>
        <w:pStyle w:val="Apara"/>
      </w:pPr>
      <w:r>
        <w:tab/>
        <w:t>(b)</w:t>
      </w:r>
      <w:r>
        <w:tab/>
        <w:t>effective means for interior electrical illumination; and</w:t>
      </w:r>
    </w:p>
    <w:p w:rsidR="00AF2508" w:rsidRDefault="00AF2508">
      <w:pPr>
        <w:pStyle w:val="Apara"/>
      </w:pPr>
      <w:r>
        <w:tab/>
        <w:t>(c)</w:t>
      </w:r>
      <w:r>
        <w:tab/>
        <w:t>facilities on the car roof for attaching an electric light if an inspector so directs; and</w:t>
      </w:r>
    </w:p>
    <w:p w:rsidR="00AF2508" w:rsidRDefault="00AF2508">
      <w:pPr>
        <w:pStyle w:val="Apara"/>
      </w:pPr>
      <w:r>
        <w:tab/>
        <w:t>(d)</w:t>
      </w:r>
      <w:r>
        <w:tab/>
        <w:t>unless other provision is made for illuminating the pit of the lift, an electric light on the underside of the car.</w:t>
      </w:r>
    </w:p>
    <w:p w:rsidR="00AF2508" w:rsidRDefault="00AF2508">
      <w:pPr>
        <w:pStyle w:val="AH4SubDiv"/>
      </w:pPr>
      <w:bookmarkStart w:id="58" w:name="_Toc161636722"/>
      <w:r>
        <w:t>Safety gear</w:t>
      </w:r>
      <w:bookmarkEnd w:id="58"/>
    </w:p>
    <w:p w:rsidR="00AF2508" w:rsidRDefault="00AF2508">
      <w:pPr>
        <w:pStyle w:val="AH5Sec"/>
      </w:pPr>
      <w:bookmarkStart w:id="59" w:name="_Toc161636723"/>
      <w:r>
        <w:rPr>
          <w:rStyle w:val="CharSectNo"/>
        </w:rPr>
        <w:t>35</w:t>
      </w:r>
      <w:bookmarkEnd w:id="59"/>
      <w:r>
        <w:tab/>
        <w:t xml:space="preserve">  </w:t>
      </w:r>
    </w:p>
    <w:p w:rsidR="00AF2508" w:rsidRDefault="00AF2508">
      <w:pPr>
        <w:pStyle w:val="Amain"/>
      </w:pPr>
      <w:r>
        <w:rPr>
          <w:color w:val="000000"/>
        </w:rPr>
        <w:tab/>
        <w:t>(1)</w:t>
      </w:r>
      <w:r>
        <w:rPr>
          <w:color w:val="000000"/>
        </w:rPr>
        <w:tab/>
        <w:t>The car of every suspended lift other than a service lift shall be provided with effective safety gear.</w:t>
      </w:r>
    </w:p>
    <w:p w:rsidR="00AF2508" w:rsidRDefault="00AF2508">
      <w:pPr>
        <w:pStyle w:val="Amain"/>
      </w:pPr>
      <w:r>
        <w:rPr>
          <w:color w:val="000000"/>
        </w:rPr>
        <w:tab/>
        <w:t>(2)</w:t>
      </w:r>
      <w:r>
        <w:rPr>
          <w:color w:val="000000"/>
        </w:rPr>
        <w:tab/>
        <w:t xml:space="preserve">A speed governor operating the safety gear shall be provided if the travel of the lift car exceeds 30 feet and on lifts erected after </w:t>
      </w:r>
      <w:r>
        <w:t>19 September 1957</w:t>
      </w:r>
      <w:r>
        <w:rPr>
          <w:color w:val="000000"/>
        </w:rPr>
        <w:t xml:space="preserve"> if the travel exceeds 18 feet.</w:t>
      </w:r>
    </w:p>
    <w:p w:rsidR="00AF2508" w:rsidRDefault="00AF2508">
      <w:pPr>
        <w:pStyle w:val="Amain"/>
      </w:pPr>
      <w:r>
        <w:rPr>
          <w:color w:val="000000"/>
        </w:rPr>
        <w:tab/>
        <w:t>(3)</w:t>
      </w:r>
      <w:r>
        <w:rPr>
          <w:color w:val="000000"/>
        </w:rPr>
        <w:tab/>
        <w:t>The safety gear shall be of a type that brings the car to an easy and gradual stop when the rated speed of the lift exceeds 200 feet per minute.</w:t>
      </w:r>
    </w:p>
    <w:p w:rsidR="00AF2508" w:rsidRDefault="00AF2508">
      <w:pPr>
        <w:pStyle w:val="Amain"/>
      </w:pPr>
      <w:r>
        <w:rPr>
          <w:color w:val="000000"/>
        </w:rPr>
        <w:tab/>
        <w:t>(4)</w:t>
      </w:r>
      <w:r>
        <w:rPr>
          <w:color w:val="000000"/>
        </w:rPr>
        <w:tab/>
        <w:t>Instantaneous safety gear operating on timber backings for guides may only be used on lifts the rated speed of which does not exceed 200 feet per minute, or if operating on steel guides may be used on lifts the rated speed of which does not exceed 125 feet per minute.</w:t>
      </w:r>
    </w:p>
    <w:p w:rsidR="00AF2508" w:rsidRDefault="00AF2508">
      <w:pPr>
        <w:pStyle w:val="Amain"/>
        <w:rPr>
          <w:color w:val="000000"/>
        </w:rPr>
      </w:pPr>
      <w:r>
        <w:rPr>
          <w:color w:val="000000"/>
        </w:rPr>
        <w:tab/>
        <w:t>(5)</w:t>
      </w:r>
      <w:r>
        <w:rPr>
          <w:color w:val="000000"/>
        </w:rPr>
        <w:tab/>
        <w:t>Speed governors shall be constructed, adjusted and maintained as to cause the operation of the safety gear at or before the speeds specified in table 35.</w:t>
      </w:r>
    </w:p>
    <w:p w:rsidR="00AF2508" w:rsidRDefault="00AF2508">
      <w:pPr>
        <w:pStyle w:val="TableHd"/>
        <w:ind w:hanging="516"/>
      </w:pPr>
      <w:r>
        <w:t>Table 35</w:t>
      </w:r>
    </w:p>
    <w:tbl>
      <w:tblPr>
        <w:tblW w:w="0" w:type="auto"/>
        <w:tblInd w:w="800" w:type="dxa"/>
        <w:tblLayout w:type="fixed"/>
        <w:tblCellMar>
          <w:left w:w="80" w:type="dxa"/>
          <w:right w:w="80" w:type="dxa"/>
        </w:tblCellMar>
        <w:tblLook w:val="0000" w:firstRow="0" w:lastRow="0" w:firstColumn="0" w:lastColumn="0" w:noHBand="0" w:noVBand="0"/>
      </w:tblPr>
      <w:tblGrid>
        <w:gridCol w:w="3610"/>
        <w:gridCol w:w="3230"/>
      </w:tblGrid>
      <w:tr w:rsidR="00AF2508">
        <w:trPr>
          <w:cantSplit/>
        </w:trPr>
        <w:tc>
          <w:tcPr>
            <w:tcW w:w="3610" w:type="dxa"/>
            <w:tcBorders>
              <w:bottom w:val="single" w:sz="4" w:space="0" w:color="auto"/>
            </w:tcBorders>
          </w:tcPr>
          <w:p w:rsidR="00AF2508" w:rsidRDefault="00AF2508">
            <w:pPr>
              <w:pStyle w:val="TableColHd"/>
            </w:pPr>
            <w:r>
              <w:t>rated speed of lift</w:t>
            </w:r>
          </w:p>
          <w:p w:rsidR="00AF2508" w:rsidRDefault="00AF2508">
            <w:pPr>
              <w:pStyle w:val="TableColHd"/>
            </w:pPr>
            <w:r>
              <w:rPr>
                <w:sz w:val="20"/>
              </w:rPr>
              <w:t>feet/min</w:t>
            </w:r>
          </w:p>
        </w:tc>
        <w:tc>
          <w:tcPr>
            <w:tcW w:w="3230" w:type="dxa"/>
            <w:tcBorders>
              <w:bottom w:val="single" w:sz="4" w:space="0" w:color="auto"/>
            </w:tcBorders>
          </w:tcPr>
          <w:p w:rsidR="00AF2508" w:rsidRDefault="00AF2508">
            <w:pPr>
              <w:pStyle w:val="TableColHd"/>
            </w:pPr>
            <w:r>
              <w:t>maximum operating speed of governor</w:t>
            </w:r>
          </w:p>
          <w:p w:rsidR="00AF2508" w:rsidRDefault="00AF2508">
            <w:pPr>
              <w:pStyle w:val="TableColHd"/>
            </w:pPr>
            <w:r>
              <w:rPr>
                <w:sz w:val="20"/>
              </w:rPr>
              <w:t>feet/min or % of rated speed</w:t>
            </w:r>
          </w:p>
        </w:tc>
      </w:tr>
      <w:tr w:rsidR="00AF2508">
        <w:trPr>
          <w:cantSplit/>
        </w:trPr>
        <w:tc>
          <w:tcPr>
            <w:tcW w:w="3610" w:type="dxa"/>
            <w:tcBorders>
              <w:top w:val="single" w:sz="4" w:space="0" w:color="auto"/>
            </w:tcBorders>
          </w:tcPr>
          <w:p w:rsidR="00AF2508" w:rsidRDefault="00AF2508">
            <w:pPr>
              <w:pStyle w:val="TableText"/>
              <w:rPr>
                <w:rFonts w:ascii="Arial" w:hAnsi="Arial"/>
                <w:sz w:val="20"/>
              </w:rPr>
            </w:pPr>
            <w:r>
              <w:rPr>
                <w:rFonts w:ascii="Arial" w:hAnsi="Arial"/>
                <w:sz w:val="20"/>
              </w:rPr>
              <w:t>up to 100</w:t>
            </w:r>
          </w:p>
        </w:tc>
        <w:tc>
          <w:tcPr>
            <w:tcW w:w="3230" w:type="dxa"/>
            <w:tcBorders>
              <w:top w:val="single" w:sz="4" w:space="0" w:color="auto"/>
            </w:tcBorders>
          </w:tcPr>
          <w:p w:rsidR="00AF2508" w:rsidRDefault="00AF2508">
            <w:pPr>
              <w:pStyle w:val="TableText"/>
              <w:rPr>
                <w:rFonts w:ascii="Arial" w:hAnsi="Arial"/>
                <w:sz w:val="20"/>
              </w:rPr>
            </w:pPr>
            <w:r>
              <w:rPr>
                <w:rFonts w:ascii="Arial" w:hAnsi="Arial"/>
                <w:sz w:val="20"/>
              </w:rPr>
              <w:t>140 feet/min</w:t>
            </w:r>
          </w:p>
        </w:tc>
      </w:tr>
      <w:tr w:rsidR="00AF2508">
        <w:trPr>
          <w:cantSplit/>
        </w:trPr>
        <w:tc>
          <w:tcPr>
            <w:tcW w:w="3610" w:type="dxa"/>
          </w:tcPr>
          <w:p w:rsidR="00AF2508" w:rsidRDefault="00AF2508">
            <w:pPr>
              <w:pStyle w:val="TableText"/>
              <w:rPr>
                <w:rFonts w:ascii="Arial" w:hAnsi="Arial"/>
                <w:sz w:val="20"/>
              </w:rPr>
            </w:pPr>
            <w:r>
              <w:rPr>
                <w:rFonts w:ascii="Arial" w:hAnsi="Arial"/>
                <w:sz w:val="20"/>
              </w:rPr>
              <w:t>from 100 to 500</w:t>
            </w:r>
          </w:p>
        </w:tc>
        <w:tc>
          <w:tcPr>
            <w:tcW w:w="3230" w:type="dxa"/>
          </w:tcPr>
          <w:p w:rsidR="00AF2508" w:rsidRDefault="00AF2508">
            <w:pPr>
              <w:pStyle w:val="TableText"/>
              <w:rPr>
                <w:rFonts w:ascii="Arial" w:hAnsi="Arial"/>
                <w:sz w:val="20"/>
              </w:rPr>
            </w:pPr>
            <w:r>
              <w:rPr>
                <w:rFonts w:ascii="Arial" w:hAnsi="Arial"/>
                <w:sz w:val="20"/>
              </w:rPr>
              <w:t>40% in excess of rated speed</w:t>
            </w:r>
          </w:p>
        </w:tc>
      </w:tr>
      <w:tr w:rsidR="00AF2508">
        <w:trPr>
          <w:cantSplit/>
        </w:trPr>
        <w:tc>
          <w:tcPr>
            <w:tcW w:w="3610" w:type="dxa"/>
          </w:tcPr>
          <w:p w:rsidR="00AF2508" w:rsidRDefault="00AF2508">
            <w:pPr>
              <w:pStyle w:val="TableText"/>
              <w:rPr>
                <w:rFonts w:ascii="Arial" w:hAnsi="Arial"/>
                <w:sz w:val="20"/>
              </w:rPr>
            </w:pPr>
            <w:r>
              <w:rPr>
                <w:rFonts w:ascii="Arial" w:hAnsi="Arial"/>
                <w:sz w:val="20"/>
              </w:rPr>
              <w:t>over 500</w:t>
            </w:r>
          </w:p>
        </w:tc>
        <w:tc>
          <w:tcPr>
            <w:tcW w:w="3230" w:type="dxa"/>
          </w:tcPr>
          <w:p w:rsidR="00AF2508" w:rsidRDefault="00AF2508">
            <w:pPr>
              <w:pStyle w:val="TableText"/>
              <w:rPr>
                <w:rFonts w:ascii="Arial" w:hAnsi="Arial"/>
                <w:sz w:val="20"/>
              </w:rPr>
            </w:pPr>
            <w:r>
              <w:rPr>
                <w:rFonts w:ascii="Arial" w:hAnsi="Arial"/>
                <w:sz w:val="20"/>
              </w:rPr>
              <w:t>200 feet/min in excess of rated speed</w:t>
            </w:r>
          </w:p>
        </w:tc>
      </w:tr>
    </w:tbl>
    <w:p w:rsidR="00AF2508" w:rsidRDefault="00AF2508"/>
    <w:p w:rsidR="00AF2508" w:rsidRDefault="00AF2508">
      <w:pPr>
        <w:pStyle w:val="Amain"/>
      </w:pPr>
      <w:r>
        <w:rPr>
          <w:color w:val="000000"/>
        </w:rPr>
        <w:tab/>
        <w:t>(6)</w:t>
      </w:r>
      <w:r>
        <w:rPr>
          <w:color w:val="000000"/>
        </w:rPr>
        <w:tab/>
        <w:t>Speed governors of electric lifts whose speed exceeds 200 feet per minute shall have a switch that shall open before or at the time the governor grips the governor rope, and shall open the motor and brake circuits and stop the machine.</w:t>
      </w:r>
    </w:p>
    <w:p w:rsidR="00AF2508" w:rsidRDefault="00AF2508">
      <w:pPr>
        <w:pStyle w:val="AH4SubDiv"/>
      </w:pPr>
      <w:bookmarkStart w:id="60" w:name="_Toc161636724"/>
      <w:r>
        <w:t>Machines</w:t>
      </w:r>
      <w:bookmarkEnd w:id="60"/>
    </w:p>
    <w:p w:rsidR="00AF2508" w:rsidRDefault="00AF2508">
      <w:pPr>
        <w:pStyle w:val="AH5Sec"/>
      </w:pPr>
      <w:bookmarkStart w:id="61" w:name="_Toc161636725"/>
      <w:r>
        <w:rPr>
          <w:rStyle w:val="CharSectNo"/>
        </w:rPr>
        <w:t>36</w:t>
      </w:r>
      <w:bookmarkEnd w:id="61"/>
      <w:r>
        <w:tab/>
        <w:t xml:space="preserve">  </w:t>
      </w:r>
    </w:p>
    <w:p w:rsidR="00AF2508" w:rsidRDefault="00AF2508">
      <w:pPr>
        <w:pStyle w:val="Amain"/>
      </w:pPr>
      <w:r>
        <w:rPr>
          <w:color w:val="000000"/>
        </w:rPr>
        <w:tab/>
        <w:t>(1)</w:t>
      </w:r>
      <w:r>
        <w:rPr>
          <w:color w:val="000000"/>
        </w:rPr>
        <w:tab/>
        <w:t>All lift machines other than hydraulic shall be provided with efficient brake gear.</w:t>
      </w:r>
    </w:p>
    <w:p w:rsidR="00AF2508" w:rsidRDefault="00AF2508">
      <w:pPr>
        <w:pStyle w:val="Amain"/>
      </w:pPr>
      <w:r>
        <w:rPr>
          <w:color w:val="000000"/>
        </w:rPr>
        <w:tab/>
        <w:t>(2)</w:t>
      </w:r>
      <w:r>
        <w:rPr>
          <w:color w:val="000000"/>
        </w:rPr>
        <w:tab/>
        <w:t>Traction sheaves, except for service lifts, shall not be overhung.</w:t>
      </w:r>
    </w:p>
    <w:p w:rsidR="00AF2508" w:rsidRDefault="00AF2508">
      <w:pPr>
        <w:pStyle w:val="Amain"/>
      </w:pPr>
      <w:r>
        <w:rPr>
          <w:color w:val="000000"/>
        </w:rPr>
        <w:tab/>
        <w:t>(3)</w:t>
      </w:r>
      <w:r>
        <w:rPr>
          <w:color w:val="000000"/>
        </w:rPr>
        <w:tab/>
        <w:t>Worms and their shafts shall be constructed in a single piece.</w:t>
      </w:r>
    </w:p>
    <w:p w:rsidR="00AF2508" w:rsidRDefault="00AF2508">
      <w:pPr>
        <w:pStyle w:val="Amain"/>
      </w:pPr>
      <w:r>
        <w:rPr>
          <w:color w:val="000000"/>
        </w:rPr>
        <w:tab/>
        <w:t>(4)</w:t>
      </w:r>
      <w:r>
        <w:rPr>
          <w:color w:val="000000"/>
        </w:rPr>
        <w:tab/>
        <w:t>No drum-drive lift shall have a speed greater than 300 feet per minute.</w:t>
      </w:r>
    </w:p>
    <w:p w:rsidR="00AF2508" w:rsidRDefault="00AF2508">
      <w:pPr>
        <w:pStyle w:val="AH4SubDiv"/>
      </w:pPr>
      <w:bookmarkStart w:id="62" w:name="_Toc161636726"/>
      <w:r>
        <w:t>Counterweight</w:t>
      </w:r>
      <w:bookmarkEnd w:id="62"/>
    </w:p>
    <w:p w:rsidR="00AF2508" w:rsidRDefault="00AF2508">
      <w:pPr>
        <w:pStyle w:val="AH5Sec"/>
      </w:pPr>
      <w:bookmarkStart w:id="63" w:name="_Toc161636727"/>
      <w:r>
        <w:rPr>
          <w:rStyle w:val="CharSectNo"/>
        </w:rPr>
        <w:t>37</w:t>
      </w:r>
      <w:bookmarkEnd w:id="63"/>
      <w:r>
        <w:tab/>
        <w:t xml:space="preserve">  </w:t>
      </w:r>
    </w:p>
    <w:p w:rsidR="00AF2508" w:rsidRDefault="00AF2508">
      <w:pPr>
        <w:pStyle w:val="Amain"/>
      </w:pPr>
      <w:r>
        <w:rPr>
          <w:color w:val="000000"/>
        </w:rPr>
        <w:tab/>
        <w:t>(1)</w:t>
      </w:r>
      <w:r>
        <w:rPr>
          <w:color w:val="000000"/>
        </w:rPr>
        <w:tab/>
        <w:t>The top 15 feet of the counterweight guides of all drum-drive machines, except for service lifts, shall be enclosed by a substantial and firmly secured screen.</w:t>
      </w:r>
    </w:p>
    <w:p w:rsidR="00AF2508" w:rsidRDefault="00AF2508">
      <w:pPr>
        <w:pStyle w:val="Amain"/>
      </w:pPr>
      <w:r>
        <w:rPr>
          <w:color w:val="000000"/>
        </w:rPr>
        <w:tab/>
        <w:t>(2)</w:t>
      </w:r>
      <w:r>
        <w:rPr>
          <w:color w:val="000000"/>
        </w:rPr>
        <w:tab/>
        <w:t>If a counterweight, other than the one balancing the car travels adjacent to that car, then the path of travel of this counterweight shall be screened from that car.</w:t>
      </w:r>
    </w:p>
    <w:p w:rsidR="00AF2508" w:rsidRDefault="00AF2508">
      <w:pPr>
        <w:pStyle w:val="AH4SubDiv"/>
      </w:pPr>
      <w:bookmarkStart w:id="64" w:name="_Toc161636728"/>
      <w:r>
        <w:t>Guides</w:t>
      </w:r>
      <w:bookmarkEnd w:id="64"/>
    </w:p>
    <w:p w:rsidR="00AF2508" w:rsidRDefault="00AF2508">
      <w:pPr>
        <w:pStyle w:val="AH5Sec"/>
      </w:pPr>
      <w:bookmarkStart w:id="65" w:name="_Toc161636729"/>
      <w:r>
        <w:rPr>
          <w:rStyle w:val="CharSectNo"/>
        </w:rPr>
        <w:t>38</w:t>
      </w:r>
      <w:bookmarkEnd w:id="65"/>
      <w:r>
        <w:tab/>
        <w:t xml:space="preserve">  </w:t>
      </w:r>
    </w:p>
    <w:p w:rsidR="00AF2508" w:rsidRDefault="00AF2508">
      <w:pPr>
        <w:pStyle w:val="Amain"/>
      </w:pPr>
      <w:r>
        <w:rPr>
          <w:color w:val="000000"/>
        </w:rPr>
        <w:tab/>
        <w:t>(1)</w:t>
      </w:r>
      <w:r>
        <w:rPr>
          <w:color w:val="000000"/>
        </w:rPr>
        <w:tab/>
        <w:t>The car and counterweight of every lift shall run between guides of adequate section and so supported as to withstand the loads from guide shoes and the operation of the safety gear without undue deflection.</w:t>
      </w:r>
    </w:p>
    <w:p w:rsidR="00AF2508" w:rsidRDefault="00AF2508">
      <w:pPr>
        <w:pStyle w:val="Amain"/>
      </w:pPr>
      <w:r>
        <w:rPr>
          <w:color w:val="000000"/>
        </w:rPr>
        <w:tab/>
        <w:t>(2)</w:t>
      </w:r>
      <w:r>
        <w:rPr>
          <w:color w:val="000000"/>
        </w:rPr>
        <w:tab/>
        <w:t>Car and counterweight guides shall be of steel except for service lifts and for lifts operating at a speed not exceeding 100 feet per minute.</w:t>
      </w:r>
    </w:p>
    <w:p w:rsidR="00AF2508" w:rsidRDefault="00AF2508">
      <w:pPr>
        <w:pStyle w:val="AH4SubDiv"/>
      </w:pPr>
      <w:bookmarkStart w:id="66" w:name="_Toc161636730"/>
      <w:r>
        <w:t>Electrical equipment</w:t>
      </w:r>
      <w:bookmarkEnd w:id="66"/>
    </w:p>
    <w:p w:rsidR="00AF2508" w:rsidRDefault="00AF2508">
      <w:pPr>
        <w:pStyle w:val="AH5Sec"/>
      </w:pPr>
      <w:bookmarkStart w:id="67" w:name="_Toc161636731"/>
      <w:r>
        <w:rPr>
          <w:rStyle w:val="CharSectNo"/>
        </w:rPr>
        <w:t>39</w:t>
      </w:r>
      <w:bookmarkEnd w:id="67"/>
      <w:r>
        <w:tab/>
        <w:t xml:space="preserve">  </w:t>
      </w:r>
    </w:p>
    <w:p w:rsidR="00AF2508" w:rsidRDefault="00AF2508">
      <w:pPr>
        <w:pStyle w:val="Amain"/>
        <w:rPr>
          <w:color w:val="000000"/>
        </w:rPr>
      </w:pPr>
      <w:r>
        <w:rPr>
          <w:color w:val="000000"/>
        </w:rPr>
        <w:tab/>
        <w:t>(1)</w:t>
      </w:r>
      <w:r>
        <w:rPr>
          <w:color w:val="000000"/>
        </w:rPr>
        <w:tab/>
        <w:t>All electrical conductors, appliances and equipment used in connection with every lift shall be of sufficient size and so constructed, installed, protected and maintained as to be safe for, and in use.</w:t>
      </w:r>
    </w:p>
    <w:p w:rsidR="00AF2508" w:rsidRDefault="00AF2508">
      <w:pPr>
        <w:pStyle w:val="Amain"/>
      </w:pPr>
      <w:r>
        <w:rPr>
          <w:color w:val="000000"/>
        </w:rPr>
        <w:tab/>
        <w:t>(2)</w:t>
      </w:r>
      <w:r>
        <w:rPr>
          <w:color w:val="000000"/>
        </w:rPr>
        <w:tab/>
        <w:t>If more specific provision is not made elsewhere in this regulation, they shall conform with the provisions of the S.A.A. Wiring Rules.</w:t>
      </w:r>
    </w:p>
    <w:p w:rsidR="00AF2508" w:rsidRDefault="00AF2508">
      <w:pPr>
        <w:pStyle w:val="Amain"/>
      </w:pPr>
      <w:r>
        <w:rPr>
          <w:color w:val="000000"/>
        </w:rPr>
        <w:tab/>
        <w:t>(3)</w:t>
      </w:r>
      <w:r>
        <w:rPr>
          <w:color w:val="000000"/>
        </w:rPr>
        <w:tab/>
        <w:t>All electrical wiring in every lift-well, and on every lift car, other than flexible conductors, shall be in screwed conduit.</w:t>
      </w:r>
    </w:p>
    <w:p w:rsidR="00AF2508" w:rsidRDefault="00AF2508">
      <w:pPr>
        <w:pStyle w:val="Amain"/>
      </w:pPr>
      <w:r>
        <w:rPr>
          <w:color w:val="000000"/>
        </w:rPr>
        <w:tab/>
        <w:t>(4)</w:t>
      </w:r>
      <w:r>
        <w:rPr>
          <w:color w:val="000000"/>
        </w:rPr>
        <w:tab/>
        <w:t>The electric controlling gear of every lift must operate without causing excessive strain in any part of the apparatus, and shall automatically slow down the car and cut off the control current at both limits of travel, and shall ensure that acceleration in starting and deceleration in stopping is not excessive.</w:t>
      </w:r>
    </w:p>
    <w:p w:rsidR="00AF2508" w:rsidRDefault="00AF2508">
      <w:pPr>
        <w:pStyle w:val="Amain"/>
      </w:pPr>
      <w:r>
        <w:rPr>
          <w:color w:val="000000"/>
        </w:rPr>
        <w:tab/>
        <w:t>(5)</w:t>
      </w:r>
      <w:r>
        <w:rPr>
          <w:color w:val="000000"/>
        </w:rPr>
        <w:tab/>
        <w:t>The control circuits of all lifts shall not exceed 250V and 1 side of the circuits shall be at earth potential.</w:t>
      </w:r>
    </w:p>
    <w:p w:rsidR="00AF2508" w:rsidRDefault="00AF2508">
      <w:pPr>
        <w:pStyle w:val="Amain"/>
      </w:pPr>
      <w:r>
        <w:rPr>
          <w:color w:val="000000"/>
        </w:rPr>
        <w:tab/>
        <w:t>(6)</w:t>
      </w:r>
      <w:r>
        <w:rPr>
          <w:color w:val="000000"/>
        </w:rPr>
        <w:tab/>
        <w:t>The metal frames and covers of all motors, interlocks and electrical equipment and conduit of every lift shall be effectively earthed.</w:t>
      </w:r>
    </w:p>
    <w:p w:rsidR="00AF2508" w:rsidRDefault="00AF2508">
      <w:pPr>
        <w:pStyle w:val="AH4SubDiv"/>
      </w:pPr>
      <w:bookmarkStart w:id="68" w:name="_Toc161636732"/>
      <w:r>
        <w:t>Car switch</w:t>
      </w:r>
      <w:bookmarkEnd w:id="68"/>
    </w:p>
    <w:p w:rsidR="00AF2508" w:rsidRDefault="00AF2508">
      <w:pPr>
        <w:pStyle w:val="AH5Sec"/>
      </w:pPr>
      <w:bookmarkStart w:id="69" w:name="_Toc161636733"/>
      <w:r>
        <w:rPr>
          <w:rStyle w:val="CharSectNo"/>
        </w:rPr>
        <w:t>40</w:t>
      </w:r>
      <w:bookmarkEnd w:id="69"/>
      <w:r>
        <w:tab/>
        <w:t xml:space="preserve">  </w:t>
      </w:r>
    </w:p>
    <w:p w:rsidR="00AF2508" w:rsidRDefault="00AF2508">
      <w:pPr>
        <w:pStyle w:val="Amain"/>
      </w:pPr>
      <w:r>
        <w:tab/>
        <w:t>(1)</w:t>
      </w:r>
      <w:r>
        <w:tab/>
        <w:t>The switch used in a lift car for normal operation of the lift shall automatically return to the ‘stop’ position on the removal of the operator’s hand, and provision shall be made for the securing of the switch handle in the ‘stop’ position.</w:t>
      </w:r>
    </w:p>
    <w:p w:rsidR="00AF2508" w:rsidRDefault="00AF2508">
      <w:pPr>
        <w:pStyle w:val="Amain"/>
      </w:pPr>
      <w:r>
        <w:tab/>
        <w:t>(2)</w:t>
      </w:r>
      <w:r>
        <w:tab/>
        <w:t>If the switch in centring does not immediately stop the lift, an emergency switch shall be provided for this purpose and car gates extending the full width of the car openings shall be provided.</w:t>
      </w:r>
    </w:p>
    <w:p w:rsidR="00AF2508" w:rsidRDefault="00AF2508">
      <w:pPr>
        <w:pStyle w:val="AH4SubDiv"/>
      </w:pPr>
      <w:bookmarkStart w:id="70" w:name="_Toc161636734"/>
      <w:r>
        <w:t>Limit gear</w:t>
      </w:r>
      <w:bookmarkEnd w:id="70"/>
    </w:p>
    <w:p w:rsidR="00AF2508" w:rsidRDefault="00AF2508">
      <w:pPr>
        <w:pStyle w:val="AH5Sec"/>
      </w:pPr>
      <w:bookmarkStart w:id="71" w:name="_Toc161636735"/>
      <w:r>
        <w:rPr>
          <w:rStyle w:val="CharSectNo"/>
        </w:rPr>
        <w:t>41</w:t>
      </w:r>
      <w:bookmarkEnd w:id="71"/>
      <w:r>
        <w:tab/>
        <w:t xml:space="preserve">  </w:t>
      </w:r>
    </w:p>
    <w:p w:rsidR="00AF2508" w:rsidRDefault="00AF2508">
      <w:pPr>
        <w:pStyle w:val="Amain"/>
      </w:pPr>
      <w:r>
        <w:rPr>
          <w:color w:val="000000"/>
        </w:rPr>
        <w:tab/>
        <w:t>(1)</w:t>
      </w:r>
      <w:r>
        <w:rPr>
          <w:color w:val="000000"/>
        </w:rPr>
        <w:tab/>
        <w:t>Every lift shall be provided with limit gear that will automatically stop the machine before the car or counterweight lands.</w:t>
      </w:r>
    </w:p>
    <w:p w:rsidR="00AF2508" w:rsidRDefault="00AF2508">
      <w:pPr>
        <w:pStyle w:val="Amain"/>
      </w:pPr>
      <w:r>
        <w:rPr>
          <w:color w:val="000000"/>
        </w:rPr>
        <w:tab/>
        <w:t>(2)</w:t>
      </w:r>
      <w:r>
        <w:rPr>
          <w:color w:val="000000"/>
        </w:rPr>
        <w:tab/>
        <w:t>Drum-drive machines shall be provided with limit gear integral with the machine and limit gear operated by the movement of the car.</w:t>
      </w:r>
    </w:p>
    <w:p w:rsidR="00AF2508" w:rsidRDefault="00AF2508">
      <w:pPr>
        <w:pStyle w:val="Amain"/>
      </w:pPr>
      <w:r>
        <w:rPr>
          <w:color w:val="000000"/>
        </w:rPr>
        <w:tab/>
        <w:t>(3)</w:t>
      </w:r>
      <w:r>
        <w:rPr>
          <w:color w:val="000000"/>
        </w:rPr>
        <w:tab/>
        <w:t>Electric lifts other than traction-drive service lifts shall be provided with 2 separate and independent limit gears, 1 of which shall open the control circuit and the other shall completely cut off all electrical pressure from the motor, control and brake.</w:t>
      </w:r>
    </w:p>
    <w:p w:rsidR="00AF2508" w:rsidRDefault="00AF2508">
      <w:pPr>
        <w:pStyle w:val="Amain"/>
        <w:rPr>
          <w:color w:val="000000"/>
        </w:rPr>
      </w:pPr>
      <w:r>
        <w:rPr>
          <w:color w:val="000000"/>
        </w:rPr>
        <w:tab/>
        <w:t>(4)</w:t>
      </w:r>
      <w:r>
        <w:rPr>
          <w:color w:val="000000"/>
        </w:rPr>
        <w:tab/>
        <w:t>Every electric service lift, other than a drum-drive service lift, fitted with a thermal overload switch shall be provided with a time switch set to stop the machine at not greater than twice the interval of time normally taken for the car to run its full length of travel.</w:t>
      </w:r>
    </w:p>
    <w:p w:rsidR="00AF2508" w:rsidRDefault="00AF2508">
      <w:pPr>
        <w:pStyle w:val="Amain"/>
      </w:pPr>
      <w:r>
        <w:rPr>
          <w:color w:val="000000"/>
        </w:rPr>
        <w:tab/>
        <w:t>(5)</w:t>
      </w:r>
      <w:r>
        <w:rPr>
          <w:color w:val="000000"/>
        </w:rPr>
        <w:tab/>
        <w:t>The time switch shall be of the normal reset type.</w:t>
      </w:r>
    </w:p>
    <w:p w:rsidR="00AF2508" w:rsidRDefault="00AF2508">
      <w:pPr>
        <w:pStyle w:val="AH4SubDiv"/>
      </w:pPr>
      <w:bookmarkStart w:id="72" w:name="_Toc161636736"/>
      <w:r>
        <w:t>Slack cable device</w:t>
      </w:r>
      <w:bookmarkEnd w:id="72"/>
    </w:p>
    <w:p w:rsidR="00AF2508" w:rsidRDefault="00AF2508">
      <w:pPr>
        <w:pStyle w:val="AH5Sec"/>
      </w:pPr>
      <w:bookmarkStart w:id="73" w:name="_Toc161636737"/>
      <w:r>
        <w:rPr>
          <w:rStyle w:val="CharSectNo"/>
        </w:rPr>
        <w:t>42</w:t>
      </w:r>
      <w:bookmarkEnd w:id="73"/>
      <w:r>
        <w:tab/>
        <w:t xml:space="preserve">  </w:t>
      </w:r>
    </w:p>
    <w:p w:rsidR="00AF2508" w:rsidRDefault="00AF2508">
      <w:pPr>
        <w:pStyle w:val="Amainreturn"/>
      </w:pPr>
      <w:r>
        <w:t>Every drum-drive lift, other than a service lift, shall have a device that will automatically stop the machine should the car lifting ropes become slack from any cause whatsoever.</w:t>
      </w:r>
    </w:p>
    <w:p w:rsidR="00AF2508" w:rsidRDefault="00AF2508">
      <w:pPr>
        <w:pStyle w:val="AH4SubDiv"/>
      </w:pPr>
      <w:bookmarkStart w:id="74" w:name="_Toc161636738"/>
      <w:r>
        <w:t>Safety gear switch</w:t>
      </w:r>
      <w:bookmarkEnd w:id="74"/>
    </w:p>
    <w:p w:rsidR="00AF2508" w:rsidRDefault="00AF2508">
      <w:pPr>
        <w:pStyle w:val="AH5Sec"/>
      </w:pPr>
      <w:bookmarkStart w:id="75" w:name="_Toc161636739"/>
      <w:r>
        <w:rPr>
          <w:rStyle w:val="CharSectNo"/>
        </w:rPr>
        <w:t>43</w:t>
      </w:r>
      <w:bookmarkEnd w:id="75"/>
      <w:r>
        <w:tab/>
        <w:t xml:space="preserve">  </w:t>
      </w:r>
    </w:p>
    <w:p w:rsidR="00AF2508" w:rsidRDefault="00AF2508">
      <w:pPr>
        <w:pStyle w:val="Amainreturn"/>
      </w:pPr>
      <w:r>
        <w:t>All automatic lifts shall be provided with a device that will cut off the current and stop the machine in the event of the safety gear operating.</w:t>
      </w:r>
    </w:p>
    <w:p w:rsidR="00AF2508" w:rsidRDefault="00AF2508">
      <w:pPr>
        <w:pStyle w:val="AH4SubDiv"/>
      </w:pPr>
      <w:bookmarkStart w:id="76" w:name="_Toc161636740"/>
      <w:r>
        <w:t>Stop button</w:t>
      </w:r>
      <w:bookmarkEnd w:id="76"/>
    </w:p>
    <w:p w:rsidR="00AF2508" w:rsidRDefault="00AF2508">
      <w:pPr>
        <w:pStyle w:val="AH5Sec"/>
      </w:pPr>
      <w:bookmarkStart w:id="77" w:name="_Toc161636741"/>
      <w:r>
        <w:rPr>
          <w:rStyle w:val="CharSectNo"/>
        </w:rPr>
        <w:t>44</w:t>
      </w:r>
      <w:bookmarkEnd w:id="77"/>
      <w:r>
        <w:tab/>
        <w:t xml:space="preserve">  </w:t>
      </w:r>
    </w:p>
    <w:p w:rsidR="00AF2508" w:rsidRDefault="00AF2508">
      <w:pPr>
        <w:pStyle w:val="Amainreturn"/>
      </w:pPr>
      <w:r>
        <w:t>Automatic lifts, other than service lifts, shall be provided with an emergency stop button clearly marked as such and placed in close proximity to the control buttons in the car.</w:t>
      </w:r>
    </w:p>
    <w:p w:rsidR="00AF2508" w:rsidRDefault="00AF2508">
      <w:pPr>
        <w:pStyle w:val="AH4SubDiv"/>
      </w:pPr>
      <w:bookmarkStart w:id="78" w:name="_Toc161636742"/>
      <w:r>
        <w:t>Signal call system</w:t>
      </w:r>
      <w:bookmarkEnd w:id="78"/>
    </w:p>
    <w:p w:rsidR="00AF2508" w:rsidRDefault="00AF2508">
      <w:pPr>
        <w:pStyle w:val="AH5Sec"/>
      </w:pPr>
      <w:bookmarkStart w:id="79" w:name="_Toc161636743"/>
      <w:r>
        <w:rPr>
          <w:rStyle w:val="CharSectNo"/>
        </w:rPr>
        <w:t>45</w:t>
      </w:r>
      <w:bookmarkEnd w:id="79"/>
      <w:r>
        <w:tab/>
        <w:t xml:space="preserve">  </w:t>
      </w:r>
    </w:p>
    <w:p w:rsidR="00AF2508" w:rsidRDefault="00AF2508">
      <w:pPr>
        <w:pStyle w:val="Amainreturn"/>
      </w:pPr>
      <w:r>
        <w:t>Every lift, other than an automatic lift, shall have a signal call and indicator in the car that can be operated from each floor except for lifts where response to a call is an automatic function.</w:t>
      </w:r>
    </w:p>
    <w:p w:rsidR="00AF2508" w:rsidRDefault="00AF2508">
      <w:pPr>
        <w:pStyle w:val="AH4SubDiv"/>
      </w:pPr>
      <w:bookmarkStart w:id="80" w:name="_Toc161636744"/>
      <w:r>
        <w:t>Hydraulic equipment</w:t>
      </w:r>
      <w:bookmarkEnd w:id="80"/>
    </w:p>
    <w:p w:rsidR="00AF2508" w:rsidRDefault="00AF2508">
      <w:pPr>
        <w:pStyle w:val="AH5Sec"/>
      </w:pPr>
      <w:bookmarkStart w:id="81" w:name="_Toc161636745"/>
      <w:r>
        <w:rPr>
          <w:rStyle w:val="CharSectNo"/>
        </w:rPr>
        <w:t>46</w:t>
      </w:r>
      <w:bookmarkEnd w:id="81"/>
      <w:r>
        <w:tab/>
        <w:t xml:space="preserve">  </w:t>
      </w:r>
    </w:p>
    <w:p w:rsidR="00AF2508" w:rsidRDefault="00AF2508">
      <w:pPr>
        <w:pStyle w:val="Amain"/>
      </w:pPr>
      <w:r>
        <w:rPr>
          <w:color w:val="000000"/>
        </w:rPr>
        <w:tab/>
        <w:t>(1)</w:t>
      </w:r>
      <w:r>
        <w:rPr>
          <w:color w:val="000000"/>
        </w:rPr>
        <w:tab/>
        <w:t>Only piping, fittings and gear made specially for hydraulic pressures shall be used on hydraulic lifts.</w:t>
      </w:r>
    </w:p>
    <w:p w:rsidR="00AF2508" w:rsidRDefault="00AF2508">
      <w:pPr>
        <w:pStyle w:val="Amain"/>
        <w:rPr>
          <w:color w:val="000000"/>
        </w:rPr>
      </w:pPr>
      <w:r>
        <w:rPr>
          <w:color w:val="000000"/>
        </w:rPr>
        <w:tab/>
        <w:t>(2)</w:t>
      </w:r>
      <w:r>
        <w:rPr>
          <w:color w:val="000000"/>
        </w:rPr>
        <w:tab/>
        <w:t>The whole of the machinery, gear and piping subject to hydraulic pressure shall be tested to twice the working pressure in the presence of an inspector after the erection of every lift and before it is used.</w:t>
      </w:r>
    </w:p>
    <w:p w:rsidR="00AF2508" w:rsidRDefault="00AF2508">
      <w:pPr>
        <w:pStyle w:val="Amain"/>
      </w:pPr>
      <w:r>
        <w:rPr>
          <w:color w:val="000000"/>
        </w:rPr>
        <w:tab/>
        <w:t>(3)</w:t>
      </w:r>
      <w:r>
        <w:rPr>
          <w:color w:val="000000"/>
        </w:rPr>
        <w:tab/>
        <w:t>A similar test shall be conducted in relation to any part of machinery, gear and pipes subject to hydraulic pressure on re</w:t>
      </w:r>
      <w:r>
        <w:rPr>
          <w:color w:val="000000"/>
        </w:rPr>
        <w:noBreakHyphen/>
        <w:t>erection, reinstatement or renewal.</w:t>
      </w:r>
    </w:p>
    <w:p w:rsidR="00AF2508" w:rsidRDefault="00AF2508">
      <w:pPr>
        <w:pStyle w:val="Amain"/>
      </w:pPr>
      <w:r>
        <w:rPr>
          <w:color w:val="000000"/>
        </w:rPr>
        <w:tab/>
        <w:t>(4)</w:t>
      </w:r>
      <w:r>
        <w:rPr>
          <w:color w:val="000000"/>
        </w:rPr>
        <w:tab/>
        <w:t>Rams of all hydraulic lifts shall be provided with permanent stops that will prevent them being forced out of their cylinders.</w:t>
      </w:r>
    </w:p>
    <w:p w:rsidR="00AF2508" w:rsidRDefault="00AF2508">
      <w:pPr>
        <w:pStyle w:val="Amain"/>
        <w:rPr>
          <w:color w:val="000000"/>
        </w:rPr>
      </w:pPr>
      <w:r>
        <w:rPr>
          <w:color w:val="000000"/>
        </w:rPr>
        <w:tab/>
        <w:t>(5)</w:t>
      </w:r>
      <w:r>
        <w:rPr>
          <w:color w:val="000000"/>
        </w:rPr>
        <w:tab/>
        <w:t>Every hydraulic lift shall be provided with a control valve, a screw down pressure stop valve, a non-return valve, and a tee piece for testing purposes.</w:t>
      </w:r>
    </w:p>
    <w:p w:rsidR="00AF2508" w:rsidRDefault="00AF2508">
      <w:pPr>
        <w:pStyle w:val="Amain"/>
      </w:pPr>
      <w:r>
        <w:rPr>
          <w:color w:val="000000"/>
        </w:rPr>
        <w:tab/>
        <w:t>(6)</w:t>
      </w:r>
      <w:r>
        <w:rPr>
          <w:color w:val="000000"/>
        </w:rPr>
        <w:tab/>
        <w:t>The non-return valve shall be as close as practicable to the control valve and the tee piece shall be between the non-return valve and the point of entry of the service.</w:t>
      </w:r>
    </w:p>
    <w:p w:rsidR="00AF2508" w:rsidRDefault="00AF2508">
      <w:pPr>
        <w:pStyle w:val="Amain"/>
        <w:rPr>
          <w:color w:val="000000"/>
        </w:rPr>
      </w:pPr>
      <w:r>
        <w:rPr>
          <w:color w:val="000000"/>
        </w:rPr>
        <w:tab/>
        <w:t>(7)</w:t>
      </w:r>
      <w:r>
        <w:rPr>
          <w:color w:val="000000"/>
        </w:rPr>
        <w:tab/>
        <w:t>The control valve of every hydraulic lift shall automatically cut off the power at both limits of travel of the car before the car lands or the ram reaches its permanent stop and also in the event of the breakage of the control rope.</w:t>
      </w:r>
    </w:p>
    <w:p w:rsidR="00AF2508" w:rsidRDefault="00AF2508">
      <w:pPr>
        <w:pStyle w:val="Amain"/>
      </w:pPr>
      <w:r>
        <w:rPr>
          <w:color w:val="000000"/>
        </w:rPr>
        <w:tab/>
        <w:t>(8)</w:t>
      </w:r>
      <w:r>
        <w:rPr>
          <w:color w:val="000000"/>
        </w:rPr>
        <w:tab/>
        <w:t>The construction of the valve must preclude the possibility of the valve spindle blowing out should it become parted and both ends of the control rope shall be connected to the control valve mechanism.</w:t>
      </w:r>
    </w:p>
    <w:p w:rsidR="00AF2508" w:rsidRDefault="00AF2508">
      <w:pPr>
        <w:pStyle w:val="Amain"/>
      </w:pPr>
      <w:r>
        <w:rPr>
          <w:color w:val="000000"/>
        </w:rPr>
        <w:tab/>
        <w:t>(9)</w:t>
      </w:r>
      <w:r>
        <w:rPr>
          <w:color w:val="000000"/>
        </w:rPr>
        <w:tab/>
        <w:t>An air cock shall be fitted at the top of the hydraulic cylinder of every hydraulic lift and provision made to prevent the syphoning of water from the cylinders.</w:t>
      </w:r>
    </w:p>
    <w:p w:rsidR="00AF2508" w:rsidRDefault="00AF2508">
      <w:pPr>
        <w:pStyle w:val="Amain"/>
      </w:pPr>
      <w:r>
        <w:rPr>
          <w:color w:val="000000"/>
        </w:rPr>
        <w:tab/>
        <w:t>(10)</w:t>
      </w:r>
      <w:r>
        <w:rPr>
          <w:color w:val="000000"/>
        </w:rPr>
        <w:tab/>
        <w:t>The rams of every direct-acting hydraulic lift shall be positively attached to the car, such attachment to have sufficient working clearance.</w:t>
      </w:r>
    </w:p>
    <w:p w:rsidR="00AF2508" w:rsidRDefault="00AF2508">
      <w:pPr>
        <w:pStyle w:val="Amain"/>
      </w:pPr>
      <w:r>
        <w:rPr>
          <w:color w:val="000000"/>
        </w:rPr>
        <w:tab/>
        <w:t>(11)</w:t>
      </w:r>
      <w:r>
        <w:rPr>
          <w:color w:val="000000"/>
        </w:rPr>
        <w:tab/>
        <w:t>Provision shall be made to permit of the safe and efficient maintenance of all machinery and control mechanism of every hydraulic lift.</w:t>
      </w:r>
    </w:p>
    <w:p w:rsidR="00AF2508" w:rsidRDefault="00AF2508">
      <w:pPr>
        <w:pStyle w:val="AH4SubDiv"/>
      </w:pPr>
      <w:bookmarkStart w:id="82" w:name="_Toc161636746"/>
      <w:r>
        <w:t>Escalators</w:t>
      </w:r>
      <w:bookmarkEnd w:id="82"/>
    </w:p>
    <w:p w:rsidR="00AF2508" w:rsidRDefault="00AF2508">
      <w:pPr>
        <w:pStyle w:val="AH5Sec"/>
      </w:pPr>
      <w:bookmarkStart w:id="83" w:name="_Toc161636747"/>
      <w:r>
        <w:rPr>
          <w:rStyle w:val="CharSectNo"/>
        </w:rPr>
        <w:t>47</w:t>
      </w:r>
      <w:bookmarkEnd w:id="83"/>
      <w:r>
        <w:tab/>
        <w:t xml:space="preserve">  </w:t>
      </w:r>
    </w:p>
    <w:p w:rsidR="00AF2508" w:rsidRDefault="00AF2508">
      <w:pPr>
        <w:pStyle w:val="Amainreturn"/>
      </w:pPr>
      <w:r>
        <w:t>Every escalator and every part of it shall be of sound material, good construction, adequate strength, free from patent defects and be suitable and safe for the purpose for which it is intended.</w:t>
      </w:r>
    </w:p>
    <w:p w:rsidR="00AF2508" w:rsidRDefault="00AF2508">
      <w:pPr>
        <w:pStyle w:val="AH4SubDiv"/>
      </w:pPr>
      <w:bookmarkStart w:id="84" w:name="_Toc161636748"/>
      <w:r>
        <w:t>Trusses or girders</w:t>
      </w:r>
      <w:bookmarkEnd w:id="84"/>
    </w:p>
    <w:p w:rsidR="00AF2508" w:rsidRDefault="00AF2508">
      <w:pPr>
        <w:pStyle w:val="AH5Sec"/>
      </w:pPr>
      <w:bookmarkStart w:id="85" w:name="_Toc161636749"/>
      <w:r>
        <w:rPr>
          <w:rStyle w:val="CharSectNo"/>
        </w:rPr>
        <w:t>48</w:t>
      </w:r>
      <w:bookmarkEnd w:id="85"/>
      <w:r>
        <w:tab/>
        <w:t xml:space="preserve">  </w:t>
      </w:r>
    </w:p>
    <w:p w:rsidR="00AF2508" w:rsidRDefault="00AF2508">
      <w:pPr>
        <w:pStyle w:val="Amainreturn"/>
      </w:pPr>
      <w:r>
        <w:t>Every truss or girder shall be capable of safely keeping the steps and running gear in the event of failure of the track system to keep the running gear in its guides.</w:t>
      </w:r>
    </w:p>
    <w:p w:rsidR="00AF2508" w:rsidRDefault="00AF2508">
      <w:pPr>
        <w:pStyle w:val="AH4SubDiv"/>
      </w:pPr>
      <w:bookmarkStart w:id="86" w:name="_Toc161636750"/>
      <w:r>
        <w:t>Track arrangement</w:t>
      </w:r>
      <w:bookmarkEnd w:id="86"/>
    </w:p>
    <w:p w:rsidR="00AF2508" w:rsidRDefault="00AF2508">
      <w:pPr>
        <w:pStyle w:val="AH5Sec"/>
      </w:pPr>
      <w:bookmarkStart w:id="87" w:name="_Toc161636751"/>
      <w:r>
        <w:rPr>
          <w:rStyle w:val="CharSectNo"/>
        </w:rPr>
        <w:t>49</w:t>
      </w:r>
      <w:bookmarkEnd w:id="87"/>
      <w:r>
        <w:tab/>
        <w:t xml:space="preserve">  </w:t>
      </w:r>
    </w:p>
    <w:p w:rsidR="00AF2508" w:rsidRDefault="00AF2508">
      <w:pPr>
        <w:pStyle w:val="Amainreturn"/>
      </w:pPr>
      <w:r>
        <w:t>The track arrangement of all escalators shall be so designed as to prevent displacement of the treads and running gear in the event of a tread chain breaking.</w:t>
      </w:r>
    </w:p>
    <w:p w:rsidR="00AF2508" w:rsidRDefault="00AF2508">
      <w:pPr>
        <w:pStyle w:val="AH4SubDiv"/>
      </w:pPr>
      <w:bookmarkStart w:id="88" w:name="_Toc161636752"/>
      <w:r>
        <w:t>Angle of inclination</w:t>
      </w:r>
      <w:bookmarkEnd w:id="88"/>
    </w:p>
    <w:p w:rsidR="00AF2508" w:rsidRDefault="00AF2508">
      <w:pPr>
        <w:pStyle w:val="AH5Sec"/>
      </w:pPr>
      <w:bookmarkStart w:id="89" w:name="_Toc161636753"/>
      <w:r>
        <w:rPr>
          <w:rStyle w:val="CharSectNo"/>
        </w:rPr>
        <w:t>50</w:t>
      </w:r>
      <w:bookmarkEnd w:id="89"/>
      <w:r>
        <w:tab/>
        <w:t xml:space="preserve">  </w:t>
      </w:r>
    </w:p>
    <w:p w:rsidR="00AF2508" w:rsidRDefault="00AF2508">
      <w:pPr>
        <w:pStyle w:val="Amainreturn"/>
      </w:pPr>
      <w:r>
        <w:t>The angle of inclination of every escalator shall not exceed 30° from the horizontal.</w:t>
      </w:r>
    </w:p>
    <w:p w:rsidR="00AF2508" w:rsidRDefault="00AF2508">
      <w:pPr>
        <w:pStyle w:val="AH4SubDiv"/>
      </w:pPr>
      <w:bookmarkStart w:id="90" w:name="_Toc161636754"/>
      <w:r>
        <w:t>Balustrading</w:t>
      </w:r>
      <w:bookmarkEnd w:id="90"/>
    </w:p>
    <w:p w:rsidR="00AF2508" w:rsidRDefault="00AF2508">
      <w:pPr>
        <w:pStyle w:val="AH5Sec"/>
      </w:pPr>
      <w:bookmarkStart w:id="91" w:name="_Toc161636755"/>
      <w:r>
        <w:rPr>
          <w:rStyle w:val="CharSectNo"/>
        </w:rPr>
        <w:t>51</w:t>
      </w:r>
      <w:bookmarkEnd w:id="91"/>
      <w:r>
        <w:tab/>
        <w:t xml:space="preserve">  </w:t>
      </w:r>
    </w:p>
    <w:p w:rsidR="00AF2508" w:rsidRDefault="00AF2508">
      <w:pPr>
        <w:pStyle w:val="Amain"/>
      </w:pPr>
      <w:r>
        <w:tab/>
        <w:t>(1)</w:t>
      </w:r>
      <w:r>
        <w:tab/>
        <w:t>Every escalator shall be provided on each side with a solid balustrade.</w:t>
      </w:r>
    </w:p>
    <w:p w:rsidR="00AF2508" w:rsidRDefault="00AF2508">
      <w:pPr>
        <w:pStyle w:val="Amain"/>
        <w:keepLines/>
      </w:pPr>
      <w:r>
        <w:tab/>
        <w:t>(2)</w:t>
      </w:r>
      <w:r>
        <w:tab/>
        <w:t xml:space="preserve">On the escalator side the balustrade shall be smooth without depressed or raised panelling save that flush panels may be separated by metal mouldings of a thickness of not more than </w:t>
      </w:r>
      <w:r>
        <w:rPr>
          <w:position w:val="6"/>
          <w:sz w:val="18"/>
        </w:rPr>
        <w:t>1</w:t>
      </w:r>
      <w:r>
        <w:t>/</w:t>
      </w:r>
      <w:r>
        <w:rPr>
          <w:sz w:val="18"/>
        </w:rPr>
        <w:t>8 </w:t>
      </w:r>
      <w:r>
        <w:t>of an inch and having bevelled edges.</w:t>
      </w:r>
    </w:p>
    <w:p w:rsidR="00AF2508" w:rsidRDefault="00AF2508">
      <w:pPr>
        <w:pStyle w:val="Amain"/>
      </w:pPr>
      <w:r>
        <w:tab/>
        <w:t>(3)</w:t>
      </w:r>
      <w:r>
        <w:tab/>
        <w:t>Glass shall not be used on the inside of any balustrade.</w:t>
      </w:r>
    </w:p>
    <w:p w:rsidR="00AF2508" w:rsidRDefault="00AF2508">
      <w:pPr>
        <w:pStyle w:val="Amain"/>
      </w:pPr>
      <w:r>
        <w:tab/>
        <w:t>(4)</w:t>
      </w:r>
      <w:r>
        <w:tab/>
        <w:t>Every balustrade shall be provided with a continuous handrail without open joints moving at the same speed and in the same direction as the treads.</w:t>
      </w:r>
    </w:p>
    <w:p w:rsidR="00AF2508" w:rsidRDefault="00AF2508">
      <w:pPr>
        <w:pStyle w:val="AH4SubDiv"/>
      </w:pPr>
      <w:bookmarkStart w:id="92" w:name="_Toc161636756"/>
      <w:r>
        <w:t>Treads and landings</w:t>
      </w:r>
      <w:bookmarkEnd w:id="92"/>
    </w:p>
    <w:p w:rsidR="00AF2508" w:rsidRDefault="00AF2508">
      <w:pPr>
        <w:pStyle w:val="AH5Sec"/>
      </w:pPr>
      <w:bookmarkStart w:id="93" w:name="_Toc161636757"/>
      <w:r>
        <w:rPr>
          <w:rStyle w:val="CharSectNo"/>
        </w:rPr>
        <w:t>52</w:t>
      </w:r>
      <w:bookmarkEnd w:id="93"/>
      <w:r>
        <w:tab/>
        <w:t xml:space="preserve">  </w:t>
      </w:r>
    </w:p>
    <w:p w:rsidR="00AF2508" w:rsidRDefault="00AF2508">
      <w:pPr>
        <w:pStyle w:val="Amainreturn"/>
      </w:pPr>
      <w:r>
        <w:t>The treads and landings of every escalator shall be of a material that will afford a secure foothold.</w:t>
      </w:r>
    </w:p>
    <w:p w:rsidR="00AF2508" w:rsidRDefault="00AF2508">
      <w:pPr>
        <w:pStyle w:val="AH4SubDiv"/>
      </w:pPr>
      <w:bookmarkStart w:id="94" w:name="_Toc161636758"/>
      <w:r>
        <w:t>Power unit</w:t>
      </w:r>
      <w:bookmarkEnd w:id="94"/>
    </w:p>
    <w:p w:rsidR="00AF2508" w:rsidRDefault="00AF2508">
      <w:pPr>
        <w:pStyle w:val="AH5Sec"/>
      </w:pPr>
      <w:bookmarkStart w:id="95" w:name="_Toc161636759"/>
      <w:r>
        <w:rPr>
          <w:rStyle w:val="CharSectNo"/>
        </w:rPr>
        <w:t>53</w:t>
      </w:r>
      <w:bookmarkEnd w:id="95"/>
      <w:r>
        <w:tab/>
        <w:t xml:space="preserve">  </w:t>
      </w:r>
    </w:p>
    <w:p w:rsidR="00AF2508" w:rsidRDefault="00AF2508">
      <w:pPr>
        <w:pStyle w:val="Amainreturn"/>
      </w:pPr>
      <w:r>
        <w:t>An electric motor shall not be used to drive 2 or more escalators unless the escalators are situatedd side by side and are operated as a single unit.</w:t>
      </w:r>
    </w:p>
    <w:p w:rsidR="00AF2508" w:rsidRDefault="00AF2508">
      <w:pPr>
        <w:pStyle w:val="AH4SubDiv"/>
      </w:pPr>
      <w:bookmarkStart w:id="96" w:name="_Toc161636760"/>
      <w:r>
        <w:t>Chains</w:t>
      </w:r>
      <w:bookmarkEnd w:id="96"/>
    </w:p>
    <w:p w:rsidR="00AF2508" w:rsidRDefault="00AF2508">
      <w:pPr>
        <w:pStyle w:val="AH5Sec"/>
      </w:pPr>
      <w:bookmarkStart w:id="97" w:name="_Toc161636761"/>
      <w:r>
        <w:rPr>
          <w:rStyle w:val="CharSectNo"/>
        </w:rPr>
        <w:t>54</w:t>
      </w:r>
      <w:bookmarkEnd w:id="97"/>
      <w:r>
        <w:tab/>
        <w:t xml:space="preserve">  </w:t>
      </w:r>
    </w:p>
    <w:p w:rsidR="00AF2508" w:rsidRDefault="00AF2508">
      <w:pPr>
        <w:pStyle w:val="Amainreturn"/>
        <w:keepLines/>
      </w:pPr>
      <w:r>
        <w:t>All chains of every escalator shall have a factor of safety of not less than 10, except if the chain is composed of cast steel links which shall be thoroughly annealed, in which case the factor of safety shall be not less than 20.</w:t>
      </w:r>
    </w:p>
    <w:p w:rsidR="00AF2508" w:rsidRDefault="00AF2508">
      <w:pPr>
        <w:pStyle w:val="AH4SubDiv"/>
      </w:pPr>
      <w:bookmarkStart w:id="98" w:name="_Toc161636762"/>
      <w:r>
        <w:t>Automatic brakes</w:t>
      </w:r>
      <w:bookmarkEnd w:id="98"/>
    </w:p>
    <w:p w:rsidR="00AF2508" w:rsidRDefault="00AF2508">
      <w:pPr>
        <w:pStyle w:val="AH5Sec"/>
      </w:pPr>
      <w:bookmarkStart w:id="99" w:name="_Toc161636763"/>
      <w:r>
        <w:rPr>
          <w:rStyle w:val="CharSectNo"/>
        </w:rPr>
        <w:t>55</w:t>
      </w:r>
      <w:bookmarkEnd w:id="99"/>
      <w:r>
        <w:tab/>
        <w:t xml:space="preserve">  </w:t>
      </w:r>
    </w:p>
    <w:p w:rsidR="00AF2508" w:rsidRDefault="00AF2508">
      <w:pPr>
        <w:pStyle w:val="Amainreturn"/>
      </w:pPr>
      <w:r>
        <w:t>Every escalator shall be provided with an electrically released mechanically applied brake that shall stop the escalator automatically when the power supply is cut off.</w:t>
      </w:r>
    </w:p>
    <w:p w:rsidR="00AF2508" w:rsidRDefault="00AF2508">
      <w:pPr>
        <w:pStyle w:val="AH4SubDiv"/>
      </w:pPr>
      <w:bookmarkStart w:id="100" w:name="_Toc161636764"/>
      <w:r>
        <w:t>Starting switch and stop button</w:t>
      </w:r>
      <w:bookmarkEnd w:id="100"/>
    </w:p>
    <w:p w:rsidR="00AF2508" w:rsidRDefault="00AF2508">
      <w:pPr>
        <w:pStyle w:val="AH5Sec"/>
      </w:pPr>
      <w:bookmarkStart w:id="101" w:name="_Toc161636765"/>
      <w:r>
        <w:rPr>
          <w:rStyle w:val="CharSectNo"/>
        </w:rPr>
        <w:t>56</w:t>
      </w:r>
      <w:bookmarkEnd w:id="101"/>
      <w:r>
        <w:tab/>
        <w:t xml:space="preserve">  </w:t>
      </w:r>
    </w:p>
    <w:p w:rsidR="00AF2508" w:rsidRDefault="00AF2508">
      <w:pPr>
        <w:pStyle w:val="Amain"/>
      </w:pPr>
      <w:r>
        <w:rPr>
          <w:color w:val="000000"/>
        </w:rPr>
        <w:tab/>
        <w:t>(1)</w:t>
      </w:r>
      <w:r>
        <w:rPr>
          <w:color w:val="000000"/>
        </w:rPr>
        <w:tab/>
        <w:t>The starting of every escalator shall be by means of a key operated switch or a switch inaccessible to the public.</w:t>
      </w:r>
    </w:p>
    <w:p w:rsidR="00AF2508" w:rsidRDefault="00AF2508">
      <w:pPr>
        <w:pStyle w:val="Amain"/>
        <w:rPr>
          <w:color w:val="000000"/>
        </w:rPr>
      </w:pPr>
      <w:r>
        <w:rPr>
          <w:color w:val="000000"/>
        </w:rPr>
        <w:tab/>
        <w:t>(2)</w:t>
      </w:r>
      <w:r>
        <w:rPr>
          <w:color w:val="000000"/>
        </w:rPr>
        <w:tab/>
        <w:t>A button for stopping the escalator shall be placed accessible to the public at the top and bottom landings of every escalator.</w:t>
      </w:r>
    </w:p>
    <w:p w:rsidR="00AF2508" w:rsidRDefault="00AF2508">
      <w:pPr>
        <w:pStyle w:val="Amain"/>
      </w:pPr>
      <w:r>
        <w:rPr>
          <w:color w:val="000000"/>
        </w:rPr>
        <w:tab/>
        <w:t>(3)</w:t>
      </w:r>
      <w:r>
        <w:rPr>
          <w:color w:val="000000"/>
        </w:rPr>
        <w:tab/>
        <w:t>The buttons shall be permanently and prominently marked ‘Stop Button’.</w:t>
      </w:r>
    </w:p>
    <w:p w:rsidR="00AF2508" w:rsidRDefault="00AF2508">
      <w:pPr>
        <w:pStyle w:val="Amain"/>
      </w:pPr>
      <w:r>
        <w:tab/>
        <w:t>(4)</w:t>
      </w:r>
      <w:r>
        <w:tab/>
        <w:t>The release or pressing of a stop button must not start the escalator.</w:t>
      </w:r>
    </w:p>
    <w:p w:rsidR="00AF2508" w:rsidRDefault="00AF2508">
      <w:pPr>
        <w:pStyle w:val="AH4SubDiv"/>
      </w:pPr>
      <w:bookmarkStart w:id="102" w:name="_Toc161636766"/>
      <w:r>
        <w:t>Safety devices</w:t>
      </w:r>
      <w:bookmarkEnd w:id="102"/>
    </w:p>
    <w:p w:rsidR="00AF2508" w:rsidRDefault="00AF2508">
      <w:pPr>
        <w:pStyle w:val="AH5Sec"/>
      </w:pPr>
      <w:bookmarkStart w:id="103" w:name="_Toc161636767"/>
      <w:r>
        <w:rPr>
          <w:rStyle w:val="CharSectNo"/>
        </w:rPr>
        <w:t>57</w:t>
      </w:r>
      <w:bookmarkEnd w:id="103"/>
      <w:r>
        <w:tab/>
        <w:t xml:space="preserve">  </w:t>
      </w:r>
    </w:p>
    <w:p w:rsidR="00AF2508" w:rsidRDefault="00AF2508">
      <w:pPr>
        <w:pStyle w:val="Amainreturn"/>
      </w:pPr>
      <w:r>
        <w:t>Every escalator shall be equipped with safety devices that will cause the power to be cut off—</w:t>
      </w:r>
    </w:p>
    <w:p w:rsidR="00AF2508" w:rsidRDefault="00AF2508">
      <w:pPr>
        <w:pStyle w:val="Apara"/>
      </w:pPr>
      <w:r>
        <w:tab/>
        <w:t>(a)</w:t>
      </w:r>
      <w:r>
        <w:tab/>
        <w:t>in the event of the breaking of any tread chain; or</w:t>
      </w:r>
    </w:p>
    <w:p w:rsidR="00AF2508" w:rsidRDefault="00AF2508">
      <w:pPr>
        <w:pStyle w:val="Apara"/>
      </w:pPr>
      <w:r>
        <w:tab/>
        <w:t>(b)</w:t>
      </w:r>
      <w:r>
        <w:tab/>
        <w:t>whenever the speed of the escalator exceeds the rated speed by 20%; or</w:t>
      </w:r>
    </w:p>
    <w:p w:rsidR="00AF2508" w:rsidRDefault="00AF2508">
      <w:pPr>
        <w:pStyle w:val="Apara"/>
      </w:pPr>
      <w:r>
        <w:tab/>
        <w:t>(c)</w:t>
      </w:r>
      <w:r>
        <w:tab/>
        <w:t>in the event of the accidental reversal of the escalator when it is set to operate in the ascending direction.</w:t>
      </w:r>
    </w:p>
    <w:p w:rsidR="00AF2508" w:rsidRDefault="00AF2508">
      <w:pPr>
        <w:pStyle w:val="AH4SubDiv"/>
      </w:pPr>
      <w:bookmarkStart w:id="104" w:name="_Toc161636768"/>
      <w:r>
        <w:t>Reverse phase relay</w:t>
      </w:r>
      <w:bookmarkEnd w:id="104"/>
    </w:p>
    <w:p w:rsidR="00AF2508" w:rsidRDefault="00AF2508">
      <w:pPr>
        <w:pStyle w:val="AH5Sec"/>
      </w:pPr>
      <w:bookmarkStart w:id="105" w:name="_Toc161636769"/>
      <w:r>
        <w:rPr>
          <w:rStyle w:val="CharSectNo"/>
        </w:rPr>
        <w:t>58</w:t>
      </w:r>
      <w:bookmarkEnd w:id="105"/>
      <w:r>
        <w:tab/>
        <w:t xml:space="preserve">  </w:t>
      </w:r>
    </w:p>
    <w:p w:rsidR="00AF2508" w:rsidRDefault="00AF2508">
      <w:pPr>
        <w:pStyle w:val="Amainreturn"/>
      </w:pPr>
      <w:r>
        <w:t>Every escalator operated by a polyphase electric motor shall be provided with a device that will prevent the motor being started while the phase rotation is in the wrong direction or while there exists a failure of any phase.</w:t>
      </w:r>
    </w:p>
    <w:p w:rsidR="00AF2508" w:rsidRDefault="00AF2508">
      <w:pPr>
        <w:pStyle w:val="AH4SubDiv"/>
      </w:pPr>
      <w:bookmarkStart w:id="106" w:name="_Toc161636770"/>
      <w:r>
        <w:t>Machine room</w:t>
      </w:r>
      <w:bookmarkEnd w:id="106"/>
    </w:p>
    <w:p w:rsidR="00AF2508" w:rsidRDefault="00AF2508">
      <w:pPr>
        <w:pStyle w:val="AH5Sec"/>
      </w:pPr>
      <w:bookmarkStart w:id="107" w:name="_Toc161636771"/>
      <w:r>
        <w:rPr>
          <w:rStyle w:val="CharSectNo"/>
        </w:rPr>
        <w:t>59</w:t>
      </w:r>
      <w:bookmarkEnd w:id="107"/>
      <w:r>
        <w:tab/>
        <w:t xml:space="preserve">  </w:t>
      </w:r>
    </w:p>
    <w:p w:rsidR="00AF2508" w:rsidRDefault="00AF2508">
      <w:pPr>
        <w:pStyle w:val="Amainreturn"/>
      </w:pPr>
      <w:r>
        <w:t>The machine room of every escalator shall be of such size as will permit of the safe and efficient maintenance of all parts of the machinery and other equipment located in it, and the machine room shall be adequately lighted and shall be provided with safe means of access.</w:t>
      </w:r>
    </w:p>
    <w:p w:rsidR="00AF2508" w:rsidRDefault="00AF2508">
      <w:pPr>
        <w:pStyle w:val="AH4SubDiv"/>
      </w:pPr>
      <w:bookmarkStart w:id="108" w:name="_Toc161636772"/>
      <w:r>
        <w:t>Construction of conveyors</w:t>
      </w:r>
      <w:bookmarkEnd w:id="108"/>
    </w:p>
    <w:p w:rsidR="00AF2508" w:rsidRDefault="00AF2508">
      <w:pPr>
        <w:pStyle w:val="AH5Sec"/>
      </w:pPr>
      <w:bookmarkStart w:id="109" w:name="_Toc161636773"/>
      <w:r>
        <w:rPr>
          <w:rStyle w:val="CharSectNo"/>
        </w:rPr>
        <w:t>60</w:t>
      </w:r>
      <w:bookmarkEnd w:id="109"/>
      <w:r>
        <w:tab/>
        <w:t xml:space="preserve">  </w:t>
      </w:r>
    </w:p>
    <w:p w:rsidR="00AF2508" w:rsidRDefault="00AF2508">
      <w:pPr>
        <w:pStyle w:val="Amainreturn"/>
      </w:pPr>
      <w:r>
        <w:t>Every conveyor and every part of it shall be of sound material, good construction, adequate strength, free from patent defects and be suitable and safe for the purpose for which it is intended to be used.</w:t>
      </w:r>
    </w:p>
    <w:p w:rsidR="00AF2508" w:rsidRDefault="00AF2508">
      <w:pPr>
        <w:pStyle w:val="AH4SubDiv"/>
      </w:pPr>
      <w:bookmarkStart w:id="110" w:name="_Toc161636774"/>
      <w:r>
        <w:t>Electrical installation</w:t>
      </w:r>
      <w:bookmarkEnd w:id="110"/>
    </w:p>
    <w:p w:rsidR="00AF2508" w:rsidRDefault="00AF2508">
      <w:pPr>
        <w:pStyle w:val="AH5Sec"/>
      </w:pPr>
      <w:bookmarkStart w:id="111" w:name="_Toc161636775"/>
      <w:r>
        <w:rPr>
          <w:rStyle w:val="CharSectNo"/>
        </w:rPr>
        <w:t>61</w:t>
      </w:r>
      <w:bookmarkEnd w:id="111"/>
      <w:r>
        <w:tab/>
        <w:t xml:space="preserve">  </w:t>
      </w:r>
    </w:p>
    <w:p w:rsidR="00AF2508" w:rsidRDefault="00AF2508">
      <w:pPr>
        <w:pStyle w:val="Amain"/>
        <w:keepLines/>
      </w:pPr>
      <w:r>
        <w:tab/>
        <w:t>(1)</w:t>
      </w:r>
      <w:r>
        <w:tab/>
        <w:t>All electrical conductors, appliances and equipment used in connection with every conveyor shall be of sufficient size and so constructed, installed, protected and maintained as to be safe for, and in use.</w:t>
      </w:r>
    </w:p>
    <w:p w:rsidR="00AF2508" w:rsidRDefault="00AF2508">
      <w:pPr>
        <w:pStyle w:val="Amain"/>
      </w:pPr>
      <w:r>
        <w:tab/>
        <w:t>(2)</w:t>
      </w:r>
      <w:r>
        <w:tab/>
        <w:t>If more specific provision is not made elsewhere in this regulation, they shall conform with the provisions of the S.A.A. Wiring Rules.</w:t>
      </w:r>
    </w:p>
    <w:p w:rsidR="00AF2508" w:rsidRDefault="00AF2508">
      <w:pPr>
        <w:pStyle w:val="AH4SubDiv"/>
      </w:pPr>
      <w:bookmarkStart w:id="112" w:name="_Toc161636776"/>
      <w:r>
        <w:t>Control</w:t>
      </w:r>
      <w:bookmarkEnd w:id="112"/>
    </w:p>
    <w:p w:rsidR="00AF2508" w:rsidRDefault="00AF2508">
      <w:pPr>
        <w:pStyle w:val="AH5Sec"/>
      </w:pPr>
      <w:bookmarkStart w:id="113" w:name="_Toc161636777"/>
      <w:r>
        <w:rPr>
          <w:rStyle w:val="CharSectNo"/>
        </w:rPr>
        <w:t>62</w:t>
      </w:r>
      <w:bookmarkEnd w:id="113"/>
      <w:r>
        <w:tab/>
        <w:t xml:space="preserve">  </w:t>
      </w:r>
    </w:p>
    <w:p w:rsidR="00AF2508" w:rsidRDefault="00AF2508">
      <w:pPr>
        <w:pStyle w:val="Amain"/>
      </w:pPr>
      <w:r>
        <w:tab/>
        <w:t>(1)</w:t>
      </w:r>
      <w:r>
        <w:tab/>
        <w:t>Provision shall be made on every conveyor—</w:t>
      </w:r>
    </w:p>
    <w:p w:rsidR="00AF2508" w:rsidRDefault="00AF2508">
      <w:pPr>
        <w:pStyle w:val="Apara"/>
      </w:pPr>
      <w:r>
        <w:tab/>
        <w:t>(a)</w:t>
      </w:r>
      <w:r>
        <w:tab/>
        <w:t>to ensure that the conveyor will stop when the driving power is cut off and remain stopped until the power is restored; and</w:t>
      </w:r>
    </w:p>
    <w:p w:rsidR="00AF2508" w:rsidRDefault="00AF2508">
      <w:pPr>
        <w:pStyle w:val="Apara"/>
      </w:pPr>
      <w:r>
        <w:tab/>
        <w:t>(b)</w:t>
      </w:r>
      <w:r>
        <w:tab/>
        <w:t>to permit the conveyor being stopped at each point of loading or delivery; and</w:t>
      </w:r>
    </w:p>
    <w:p w:rsidR="00AF2508" w:rsidRDefault="00AF2508">
      <w:pPr>
        <w:pStyle w:val="Apara"/>
      </w:pPr>
      <w:r>
        <w:tab/>
        <w:t>(c)</w:t>
      </w:r>
      <w:r>
        <w:tab/>
        <w:t>to prevent the conveyor being restarted from any point until the device by which it was stopped has been reset in the running position.</w:t>
      </w:r>
    </w:p>
    <w:p w:rsidR="00AF2508" w:rsidRDefault="00AF2508">
      <w:pPr>
        <w:pStyle w:val="Amain"/>
      </w:pPr>
      <w:r>
        <w:tab/>
        <w:t>(2)</w:t>
      </w:r>
      <w:r>
        <w:tab/>
        <w:t>Any push button used for stopping the conveyor must be capable of being secured in the stop position.</w:t>
      </w:r>
    </w:p>
    <w:p w:rsidR="00AF2508" w:rsidRDefault="00AF2508">
      <w:pPr>
        <w:pStyle w:val="AH4SubDiv"/>
      </w:pPr>
      <w:bookmarkStart w:id="114" w:name="_Toc161636778"/>
      <w:r>
        <w:t>Enclosures</w:t>
      </w:r>
      <w:bookmarkEnd w:id="114"/>
    </w:p>
    <w:p w:rsidR="00AF2508" w:rsidRDefault="00AF2508">
      <w:pPr>
        <w:pStyle w:val="AH5Sec"/>
      </w:pPr>
      <w:bookmarkStart w:id="115" w:name="_Toc161636779"/>
      <w:r>
        <w:rPr>
          <w:rStyle w:val="CharSectNo"/>
        </w:rPr>
        <w:t>63</w:t>
      </w:r>
      <w:bookmarkEnd w:id="115"/>
      <w:r>
        <w:tab/>
        <w:t xml:space="preserve">  </w:t>
      </w:r>
    </w:p>
    <w:p w:rsidR="00AF2508" w:rsidRDefault="00AF2508">
      <w:pPr>
        <w:pStyle w:val="Amain"/>
      </w:pPr>
      <w:r>
        <w:tab/>
        <w:t>(1)</w:t>
      </w:r>
      <w:r>
        <w:tab/>
        <w:t>Every conveyor shall be adequately enclosed and guarded.</w:t>
      </w:r>
    </w:p>
    <w:p w:rsidR="00AF2508" w:rsidRDefault="00AF2508">
      <w:pPr>
        <w:pStyle w:val="Amain"/>
      </w:pPr>
      <w:r>
        <w:tab/>
        <w:t>(2)</w:t>
      </w:r>
      <w:r>
        <w:tab/>
        <w:t>The enclosing and guarding shall be to the satisfaction of the inspector.</w:t>
      </w:r>
    </w:p>
    <w:p w:rsidR="00AF2508" w:rsidRDefault="00AF2508">
      <w:pPr>
        <w:pStyle w:val="AH4SubDiv"/>
      </w:pPr>
      <w:bookmarkStart w:id="116" w:name="_Toc161636780"/>
      <w:r>
        <w:t>Provision for maintenance</w:t>
      </w:r>
      <w:bookmarkEnd w:id="116"/>
    </w:p>
    <w:p w:rsidR="00AF2508" w:rsidRDefault="00AF2508">
      <w:pPr>
        <w:pStyle w:val="AH5Sec"/>
      </w:pPr>
      <w:bookmarkStart w:id="117" w:name="_Toc161636781"/>
      <w:r>
        <w:rPr>
          <w:rStyle w:val="CharSectNo"/>
        </w:rPr>
        <w:t>64</w:t>
      </w:r>
      <w:bookmarkEnd w:id="117"/>
      <w:r>
        <w:tab/>
        <w:t xml:space="preserve">  </w:t>
      </w:r>
    </w:p>
    <w:p w:rsidR="00AF2508" w:rsidRDefault="00AF2508">
      <w:pPr>
        <w:pStyle w:val="Amainreturn"/>
      </w:pPr>
      <w:r>
        <w:t>Provision shall be made to permit of the safe and efficient maintenance of all machinery and control mechanism of every conveyor.</w:t>
      </w:r>
    </w:p>
    <w:p w:rsidR="00AF2508" w:rsidRDefault="00AF2508">
      <w:pPr>
        <w:pStyle w:val="AH4SubDiv"/>
      </w:pPr>
      <w:bookmarkStart w:id="118" w:name="_Toc161636782"/>
      <w:r>
        <w:t>No persons permitted to travel</w:t>
      </w:r>
      <w:bookmarkEnd w:id="118"/>
    </w:p>
    <w:p w:rsidR="00AF2508" w:rsidRDefault="00AF2508">
      <w:pPr>
        <w:pStyle w:val="AH5Sec"/>
      </w:pPr>
      <w:bookmarkStart w:id="119" w:name="_Toc161636783"/>
      <w:r>
        <w:rPr>
          <w:rStyle w:val="CharSectNo"/>
        </w:rPr>
        <w:t>65</w:t>
      </w:r>
      <w:bookmarkEnd w:id="119"/>
      <w:r>
        <w:tab/>
        <w:t xml:space="preserve">  </w:t>
      </w:r>
    </w:p>
    <w:p w:rsidR="00AF2508" w:rsidRDefault="00AF2508">
      <w:pPr>
        <w:pStyle w:val="Amainreturn"/>
      </w:pPr>
      <w:r>
        <w:t>No person shall travel or be permitted to travel on a conveyor.</w:t>
      </w:r>
    </w:p>
    <w:p w:rsidR="00AF2508" w:rsidRDefault="00AF2508">
      <w:pPr>
        <w:pStyle w:val="AH4SubDiv"/>
      </w:pPr>
      <w:bookmarkStart w:id="120" w:name="_Toc161636784"/>
      <w:r>
        <w:t>Load notice</w:t>
      </w:r>
      <w:bookmarkEnd w:id="120"/>
    </w:p>
    <w:p w:rsidR="00AF2508" w:rsidRDefault="00AF2508">
      <w:pPr>
        <w:pStyle w:val="AH5Sec"/>
      </w:pPr>
      <w:bookmarkStart w:id="121" w:name="_Toc161636785"/>
      <w:r>
        <w:rPr>
          <w:rStyle w:val="CharSectNo"/>
        </w:rPr>
        <w:t>66</w:t>
      </w:r>
      <w:bookmarkEnd w:id="121"/>
      <w:r>
        <w:tab/>
        <w:t xml:space="preserve">  </w:t>
      </w:r>
    </w:p>
    <w:p w:rsidR="00AF2508" w:rsidRDefault="00AF2508">
      <w:pPr>
        <w:pStyle w:val="Amainreturn"/>
      </w:pPr>
      <w:r>
        <w:t>A safe working load notice shall be exhibited at each point of loading of every conveyor.</w:t>
      </w:r>
    </w:p>
    <w:p w:rsidR="00AF2508" w:rsidRDefault="00AF2508">
      <w:pPr>
        <w:pStyle w:val="AH3Div"/>
      </w:pPr>
      <w:bookmarkStart w:id="122" w:name="_Toc161636786"/>
      <w:r>
        <w:rPr>
          <w:rStyle w:val="CharDivNo"/>
        </w:rPr>
        <w:t>Division 4.3</w:t>
      </w:r>
      <w:r>
        <w:rPr>
          <w:rStyle w:val="CharDivNo"/>
        </w:rPr>
        <w:tab/>
      </w:r>
      <w:r>
        <w:rPr>
          <w:rStyle w:val="CharDivText"/>
        </w:rPr>
        <w:t>Maintenance of lifts</w:t>
      </w:r>
      <w:bookmarkEnd w:id="122"/>
    </w:p>
    <w:p w:rsidR="00AF2508" w:rsidRDefault="00AF2508">
      <w:pPr>
        <w:pStyle w:val="AH5Sec"/>
      </w:pPr>
      <w:bookmarkStart w:id="123" w:name="_Toc161636787"/>
      <w:r>
        <w:rPr>
          <w:rStyle w:val="CharSectNo"/>
        </w:rPr>
        <w:t>67</w:t>
      </w:r>
      <w:bookmarkEnd w:id="123"/>
      <w:r>
        <w:tab/>
        <w:t xml:space="preserve">  </w:t>
      </w:r>
    </w:p>
    <w:p w:rsidR="00AF2508" w:rsidRDefault="00AF2508">
      <w:pPr>
        <w:pStyle w:val="Amain"/>
      </w:pPr>
      <w:r>
        <w:rPr>
          <w:color w:val="000000"/>
        </w:rPr>
        <w:tab/>
        <w:t>(1)</w:t>
      </w:r>
      <w:r>
        <w:rPr>
          <w:color w:val="000000"/>
        </w:rPr>
        <w:tab/>
        <w:t>Every lift and all parts of it shall be maintained in conformity with this regulation and in safe and proper working condition, and in accordance with the following provisions:</w:t>
      </w:r>
    </w:p>
    <w:p w:rsidR="00AF2508" w:rsidRDefault="00AF2508">
      <w:pPr>
        <w:pStyle w:val="Apara"/>
      </w:pPr>
      <w:r>
        <w:tab/>
        <w:t>(a)</w:t>
      </w:r>
      <w:r>
        <w:tab/>
        <w:t>all motor rooms, wells and pits shall be kept clean and free from accumulation of rubbish, dirt, dust or impedimenta;</w:t>
      </w:r>
    </w:p>
    <w:p w:rsidR="00AF2508" w:rsidRDefault="00AF2508">
      <w:pPr>
        <w:pStyle w:val="Apara"/>
      </w:pPr>
      <w:r>
        <w:tab/>
        <w:t>(b)</w:t>
      </w:r>
      <w:r>
        <w:tab/>
        <w:t>pits shall be kept dry;</w:t>
      </w:r>
    </w:p>
    <w:p w:rsidR="00AF2508" w:rsidRDefault="00AF2508">
      <w:pPr>
        <w:pStyle w:val="Apara"/>
      </w:pPr>
      <w:r>
        <w:tab/>
        <w:t>(c)</w:t>
      </w:r>
      <w:r>
        <w:tab/>
        <w:t>all guides, safety gear, machinery and equipment shall be kept lubricated, and machines and equipment shall be kept clean and free from accumulation of dust and dirt;</w:t>
      </w:r>
    </w:p>
    <w:p w:rsidR="00AF2508" w:rsidRDefault="00AF2508">
      <w:pPr>
        <w:pStyle w:val="Apara"/>
      </w:pPr>
      <w:r>
        <w:tab/>
        <w:t>(d)</w:t>
      </w:r>
      <w:r>
        <w:tab/>
        <w:t>all ropes showing indications of excessive wear, splintering, stranding, bunching or rust shall at once be replaced by new ropes;</w:t>
      </w:r>
    </w:p>
    <w:p w:rsidR="00AF2508" w:rsidRDefault="00AF2508">
      <w:pPr>
        <w:pStyle w:val="Apara"/>
      </w:pPr>
      <w:r>
        <w:tab/>
        <w:t>(e)</w:t>
      </w:r>
      <w:r>
        <w:tab/>
        <w:t>ropes liable to rust shall be treated with a suitable lubricant or a rust preventive compound;</w:t>
      </w:r>
    </w:p>
    <w:p w:rsidR="00AF2508" w:rsidRDefault="00AF2508">
      <w:pPr>
        <w:pStyle w:val="Apara"/>
      </w:pPr>
      <w:r>
        <w:tab/>
        <w:t>(f)</w:t>
      </w:r>
      <w:r>
        <w:tab/>
        <w:t>all enclosures shall be maintained in a safe and effective condition;</w:t>
      </w:r>
    </w:p>
    <w:p w:rsidR="00AF2508" w:rsidRDefault="00AF2508">
      <w:pPr>
        <w:pStyle w:val="Apara"/>
      </w:pPr>
      <w:r>
        <w:tab/>
        <w:t>(g)</w:t>
      </w:r>
      <w:r>
        <w:tab/>
        <w:t>all enclosure doors shall be maintained in proper working condition, and so that they cannot leave their tracks or guides;</w:t>
      </w:r>
    </w:p>
    <w:p w:rsidR="00AF2508" w:rsidRDefault="00AF2508">
      <w:pPr>
        <w:pStyle w:val="Apara"/>
      </w:pPr>
      <w:r>
        <w:tab/>
        <w:t>(h)</w:t>
      </w:r>
      <w:r>
        <w:tab/>
        <w:t>the enclosure door interlocks shall be maintained in conformity with section 29;</w:t>
      </w:r>
    </w:p>
    <w:p w:rsidR="00AF2508" w:rsidRDefault="00AF2508">
      <w:pPr>
        <w:pStyle w:val="Apara"/>
      </w:pPr>
      <w:r>
        <w:tab/>
        <w:t>(i)</w:t>
      </w:r>
      <w:r>
        <w:tab/>
        <w:t>all safety gear shall be kept in effective working condition;</w:t>
      </w:r>
    </w:p>
    <w:p w:rsidR="00AF2508" w:rsidRDefault="00AF2508">
      <w:pPr>
        <w:pStyle w:val="Apara"/>
      </w:pPr>
      <w:r>
        <w:tab/>
        <w:t>(j)</w:t>
      </w:r>
      <w:r>
        <w:tab/>
        <w:t>all limit gear, and other safety devices shall be maintained in proper working condition and correct adjustment;</w:t>
      </w:r>
    </w:p>
    <w:p w:rsidR="00AF2508" w:rsidRDefault="00AF2508">
      <w:pPr>
        <w:pStyle w:val="Apara"/>
      </w:pPr>
      <w:r>
        <w:tab/>
        <w:t>(k)</w:t>
      </w:r>
      <w:r>
        <w:tab/>
        <w:t>the rams of all hydraulic lifts shall be kept in such condition that there shall be no leakage at the gland, and this without unduly pinching the ram;</w:t>
      </w:r>
    </w:p>
    <w:p w:rsidR="00AF2508" w:rsidRDefault="00AF2508">
      <w:pPr>
        <w:pStyle w:val="Apara"/>
      </w:pPr>
      <w:r>
        <w:tab/>
        <w:t>(l)</w:t>
      </w:r>
      <w:r>
        <w:tab/>
        <w:t>the controlling mechanism of all hydraulic lifts shall be maintained in such condition that—</w:t>
      </w:r>
    </w:p>
    <w:p w:rsidR="00AF2508" w:rsidRDefault="00AF2508">
      <w:pPr>
        <w:pStyle w:val="Asubpara"/>
      </w:pPr>
      <w:r>
        <w:tab/>
        <w:t>(i)</w:t>
      </w:r>
      <w:r>
        <w:tab/>
        <w:t>the lift will automatically stop before the car lands or the ram reaches its permanent stop; and</w:t>
      </w:r>
    </w:p>
    <w:p w:rsidR="00AF2508" w:rsidRDefault="00AF2508">
      <w:pPr>
        <w:pStyle w:val="Asubpara"/>
      </w:pPr>
      <w:r>
        <w:tab/>
        <w:t>(ii)</w:t>
      </w:r>
      <w:r>
        <w:tab/>
        <w:t>the lift will stop in the event of breakage of the control rope, and</w:t>
      </w:r>
    </w:p>
    <w:p w:rsidR="00AF2508" w:rsidRDefault="00AF2508">
      <w:pPr>
        <w:pStyle w:val="Asubpara"/>
      </w:pPr>
      <w:r>
        <w:tab/>
        <w:t>(iii)</w:t>
      </w:r>
      <w:r>
        <w:tab/>
        <w:t>creeping will not occur when the valve is in the ‘stop’ position.</w:t>
      </w:r>
    </w:p>
    <w:p w:rsidR="00AF2508" w:rsidRDefault="00AF2508">
      <w:pPr>
        <w:pStyle w:val="Amain"/>
      </w:pPr>
      <w:r>
        <w:rPr>
          <w:color w:val="000000"/>
        </w:rPr>
        <w:tab/>
        <w:t>(2)</w:t>
      </w:r>
      <w:r>
        <w:rPr>
          <w:color w:val="000000"/>
        </w:rPr>
        <w:tab/>
        <w:t>It shall be the duty of the owner of a lift to observe the provisions of this section.</w:t>
      </w:r>
    </w:p>
    <w:p w:rsidR="00AF2508" w:rsidRDefault="00AF2508">
      <w:pPr>
        <w:pStyle w:val="AH3Div"/>
      </w:pPr>
      <w:bookmarkStart w:id="124" w:name="_Toc161636788"/>
      <w:r>
        <w:rPr>
          <w:rStyle w:val="CharDivNo"/>
        </w:rPr>
        <w:t>Division 4.4</w:t>
      </w:r>
      <w:r>
        <w:rPr>
          <w:rStyle w:val="CharDivNo"/>
        </w:rPr>
        <w:tab/>
      </w:r>
      <w:r>
        <w:rPr>
          <w:rStyle w:val="CharDivText"/>
        </w:rPr>
        <w:t>Use of lifts</w:t>
      </w:r>
      <w:bookmarkEnd w:id="124"/>
    </w:p>
    <w:p w:rsidR="00AF2508" w:rsidRDefault="00AF2508">
      <w:pPr>
        <w:pStyle w:val="AH5Sec"/>
      </w:pPr>
      <w:bookmarkStart w:id="125" w:name="_Toc161636789"/>
      <w:r>
        <w:rPr>
          <w:rStyle w:val="CharSectNo"/>
        </w:rPr>
        <w:t>68</w:t>
      </w:r>
      <w:bookmarkEnd w:id="125"/>
      <w:r>
        <w:tab/>
        <w:t xml:space="preserve">  </w:t>
      </w:r>
    </w:p>
    <w:p w:rsidR="00AF2508" w:rsidRDefault="00AF2508">
      <w:pPr>
        <w:pStyle w:val="Amain"/>
      </w:pPr>
      <w:r>
        <w:rPr>
          <w:color w:val="000000"/>
        </w:rPr>
        <w:tab/>
        <w:t>(1)</w:t>
      </w:r>
      <w:r>
        <w:rPr>
          <w:color w:val="000000"/>
        </w:rPr>
        <w:tab/>
        <w:t>No person shall operate any lift by manipulation of the enclosure door interlocks or car gate interlocks or of the control mechanism in the machine room.</w:t>
      </w:r>
    </w:p>
    <w:p w:rsidR="00AF2508" w:rsidRDefault="00AF2508">
      <w:pPr>
        <w:pStyle w:val="Amain"/>
      </w:pPr>
      <w:r>
        <w:rPr>
          <w:color w:val="000000"/>
        </w:rPr>
        <w:tab/>
        <w:t>(2)</w:t>
      </w:r>
      <w:r>
        <w:rPr>
          <w:color w:val="000000"/>
        </w:rPr>
        <w:tab/>
        <w:t>No person shall operate any rope control lift, other than a service lift, from any landing or any place other than the car.</w:t>
      </w:r>
    </w:p>
    <w:p w:rsidR="00AF2508" w:rsidRDefault="00AF2508">
      <w:pPr>
        <w:pStyle w:val="Amain"/>
      </w:pPr>
      <w:r>
        <w:rPr>
          <w:color w:val="000000"/>
        </w:rPr>
        <w:tab/>
        <w:t>(3)</w:t>
      </w:r>
      <w:r>
        <w:rPr>
          <w:color w:val="000000"/>
        </w:rPr>
        <w:tab/>
        <w:t>No person shall load any lift in excess of its safe working load.</w:t>
      </w:r>
    </w:p>
    <w:p w:rsidR="00AF2508" w:rsidRDefault="00AF2508">
      <w:pPr>
        <w:pStyle w:val="Amain"/>
      </w:pPr>
      <w:r>
        <w:rPr>
          <w:color w:val="000000"/>
        </w:rPr>
        <w:tab/>
        <w:t>(4)</w:t>
      </w:r>
      <w:r>
        <w:rPr>
          <w:color w:val="000000"/>
        </w:rPr>
        <w:tab/>
        <w:t>No person in charge of any lift shall—</w:t>
      </w:r>
    </w:p>
    <w:p w:rsidR="00AF2508" w:rsidRDefault="00AF2508">
      <w:pPr>
        <w:pStyle w:val="Apara"/>
      </w:pPr>
      <w:r>
        <w:tab/>
        <w:t>(a)</w:t>
      </w:r>
      <w:r>
        <w:tab/>
        <w:t>load or permit the lift to be loaded in excess of the safe working load; or</w:t>
      </w:r>
    </w:p>
    <w:p w:rsidR="00AF2508" w:rsidRDefault="00AF2508">
      <w:pPr>
        <w:pStyle w:val="Apara"/>
      </w:pPr>
      <w:r>
        <w:tab/>
        <w:t>(b)</w:t>
      </w:r>
      <w:r>
        <w:tab/>
        <w:t>move the car from any landing unless all the enclosure doors are closed and locked and the car gates are closed; or</w:t>
      </w:r>
    </w:p>
    <w:p w:rsidR="00AF2508" w:rsidRDefault="00AF2508">
      <w:pPr>
        <w:pStyle w:val="Apara"/>
      </w:pPr>
      <w:r>
        <w:tab/>
        <w:t>(c)</w:t>
      </w:r>
      <w:r>
        <w:tab/>
        <w:t>permit the car to be loaded or unloaded or take in or let out passengers unless the car is at rest, the power shut off and the car switch is secure in the stop position; or</w:t>
      </w:r>
    </w:p>
    <w:p w:rsidR="00AF2508" w:rsidRDefault="00AF2508">
      <w:pPr>
        <w:pStyle w:val="Apara"/>
      </w:pPr>
      <w:r>
        <w:tab/>
        <w:t>(d)</w:t>
      </w:r>
      <w:r>
        <w:tab/>
        <w:t>for a rope controlled lift—leave the car unless the rope is locked in the stop position.</w:t>
      </w:r>
    </w:p>
    <w:p w:rsidR="00AF2508" w:rsidRDefault="00AF2508">
      <w:pPr>
        <w:pStyle w:val="Amain"/>
      </w:pPr>
      <w:r>
        <w:rPr>
          <w:color w:val="000000"/>
        </w:rPr>
        <w:tab/>
        <w:t>(5)</w:t>
      </w:r>
      <w:r>
        <w:rPr>
          <w:color w:val="000000"/>
        </w:rPr>
        <w:tab/>
        <w:t>This section shall not apply to any bona fide worker engaged in erecting, repairing, inspecting or testing a lift, or to an inspector.</w:t>
      </w:r>
    </w:p>
    <w:p w:rsidR="00AF2508" w:rsidRDefault="00AF2508">
      <w:pPr>
        <w:pStyle w:val="AH4SubDiv"/>
      </w:pPr>
      <w:bookmarkStart w:id="126" w:name="_Toc161636790"/>
      <w:r>
        <w:t>Change of ownership</w:t>
      </w:r>
      <w:bookmarkEnd w:id="126"/>
    </w:p>
    <w:p w:rsidR="00AF2508" w:rsidRDefault="00AF2508">
      <w:pPr>
        <w:pStyle w:val="AH5Sec"/>
      </w:pPr>
      <w:bookmarkStart w:id="127" w:name="_Toc161636791"/>
      <w:r>
        <w:rPr>
          <w:rStyle w:val="CharSectNo"/>
        </w:rPr>
        <w:t>69</w:t>
      </w:r>
      <w:bookmarkEnd w:id="127"/>
      <w:r>
        <w:tab/>
        <w:t xml:space="preserve">  </w:t>
      </w:r>
    </w:p>
    <w:p w:rsidR="00AF2508" w:rsidRDefault="00AF2508">
      <w:pPr>
        <w:pStyle w:val="Amainreturn"/>
      </w:pPr>
      <w:r>
        <w:t>If the ownership of any lift has been changed, the new owner shall, within 7 days of the change give notice of the change to the chief inspector.</w:t>
      </w:r>
    </w:p>
    <w:p w:rsidR="00AF2508" w:rsidRDefault="00AF2508">
      <w:pPr>
        <w:pStyle w:val="AH5Sec"/>
      </w:pPr>
      <w:bookmarkStart w:id="128" w:name="_Toc161636792"/>
      <w:r>
        <w:rPr>
          <w:rStyle w:val="CharSectNo"/>
        </w:rPr>
        <w:t>70</w:t>
      </w:r>
      <w:bookmarkEnd w:id="128"/>
      <w:r>
        <w:tab/>
        <w:t xml:space="preserve">  </w:t>
      </w:r>
    </w:p>
    <w:p w:rsidR="00AF2508" w:rsidRDefault="00AF2508">
      <w:pPr>
        <w:pStyle w:val="Amainreturn"/>
      </w:pPr>
      <w:r>
        <w:t>There shall be placed and kept in the car of every lift other than a service lift—</w:t>
      </w:r>
    </w:p>
    <w:p w:rsidR="00AF2508" w:rsidRDefault="00AF2508">
      <w:pPr>
        <w:pStyle w:val="Apara"/>
      </w:pPr>
      <w:r>
        <w:tab/>
        <w:t>(a)</w:t>
      </w:r>
      <w:r>
        <w:tab/>
        <w:t>a legible notice stating—</w:t>
      </w:r>
    </w:p>
    <w:p w:rsidR="00AF2508" w:rsidRDefault="00AF2508">
      <w:pPr>
        <w:pStyle w:val="Asubpara"/>
      </w:pPr>
      <w:r>
        <w:tab/>
        <w:t>(i)</w:t>
      </w:r>
      <w:r>
        <w:tab/>
        <w:t>the safe working load of the lift; and</w:t>
      </w:r>
    </w:p>
    <w:p w:rsidR="00AF2508" w:rsidRDefault="00AF2508">
      <w:pPr>
        <w:pStyle w:val="Asubpara"/>
      </w:pPr>
      <w:r>
        <w:tab/>
        <w:t>(ii)</w:t>
      </w:r>
      <w:r>
        <w:tab/>
        <w:t>for a goods lift—the names of the persons specifically empowered by the owner to work or operate the lift; and</w:t>
      </w:r>
    </w:p>
    <w:p w:rsidR="00AF2508" w:rsidRDefault="00AF2508">
      <w:pPr>
        <w:pStyle w:val="Asubpara"/>
      </w:pPr>
      <w:r>
        <w:tab/>
        <w:t>(iii)</w:t>
      </w:r>
      <w:r>
        <w:tab/>
        <w:t>the name, address and telephone number of the company or person maintaining the lift or engaged to attend the lift in case of stoppage or accident; and</w:t>
      </w:r>
    </w:p>
    <w:p w:rsidR="00AF2508" w:rsidRDefault="00AF2508">
      <w:pPr>
        <w:pStyle w:val="Asubpara"/>
      </w:pPr>
      <w:r>
        <w:tab/>
        <w:t>(iv)</w:t>
      </w:r>
      <w:r>
        <w:tab/>
        <w:t>for multi-tenanted buildings without resident caretakers—if the inspector so directs, the name and address of the owner of the lift; and</w:t>
      </w:r>
    </w:p>
    <w:p w:rsidR="00AF2508" w:rsidRDefault="00AF2508">
      <w:pPr>
        <w:pStyle w:val="Apara"/>
        <w:keepNext/>
      </w:pPr>
      <w:r>
        <w:tab/>
        <w:t>(b)</w:t>
      </w:r>
      <w:r>
        <w:tab/>
        <w:t>a copy of section 68 and section 69 and a statement as follows:</w:t>
      </w:r>
    </w:p>
    <w:p w:rsidR="00AF2508" w:rsidRDefault="00AF2508">
      <w:pPr>
        <w:pStyle w:val="Amainreturn"/>
      </w:pPr>
      <w:r>
        <w:t>Section 18 of the Act requires accidents to be notified to the chief inspector by the owner or person in charge of a lift, and prohibits the use of a lift after an accident without permission of an inspector.</w:t>
      </w:r>
    </w:p>
    <w:p w:rsidR="00AF2508" w:rsidRDefault="00AF2508">
      <w:pPr>
        <w:pStyle w:val="Amainreturn"/>
      </w:pPr>
      <w:r>
        <w:t xml:space="preserve">For the purposes of the Act, </w:t>
      </w:r>
      <w:r>
        <w:rPr>
          <w:b/>
          <w:i/>
        </w:rPr>
        <w:t>owner</w:t>
      </w:r>
      <w:r>
        <w:t xml:space="preserve"> of a lift includes the owner, mortgagee in possession, lessee, hirer or borrower thereof.</w:t>
      </w:r>
    </w:p>
    <w:p w:rsidR="00AF2508" w:rsidRDefault="00AF2508">
      <w:pPr>
        <w:pStyle w:val="AH5Sec"/>
      </w:pPr>
      <w:bookmarkStart w:id="129" w:name="_Toc161636793"/>
      <w:r>
        <w:rPr>
          <w:rStyle w:val="CharSectNo"/>
        </w:rPr>
        <w:t>71</w:t>
      </w:r>
      <w:bookmarkEnd w:id="129"/>
      <w:r>
        <w:tab/>
        <w:t xml:space="preserve">  </w:t>
      </w:r>
    </w:p>
    <w:p w:rsidR="00AF2508" w:rsidRDefault="00AF2508">
      <w:pPr>
        <w:pStyle w:val="Amainreturn"/>
      </w:pPr>
      <w:r>
        <w:t>There shall be placed and kept beside the control at the principal landing and the other landings that the inspector may direct of every service lift a copy of section 68 (1) and (3) and a notice stating the safe working load of the lift.</w:t>
      </w:r>
    </w:p>
    <w:p w:rsidR="00AF2508" w:rsidRDefault="00AF2508">
      <w:pPr>
        <w:pStyle w:val="AH5Sec"/>
      </w:pPr>
      <w:bookmarkStart w:id="130" w:name="_Toc161636794"/>
      <w:r>
        <w:rPr>
          <w:rStyle w:val="CharSectNo"/>
        </w:rPr>
        <w:t>72</w:t>
      </w:r>
      <w:bookmarkEnd w:id="130"/>
      <w:r>
        <w:tab/>
        <w:t xml:space="preserve">  </w:t>
      </w:r>
    </w:p>
    <w:p w:rsidR="00AF2508" w:rsidRDefault="00AF2508">
      <w:pPr>
        <w:pStyle w:val="Amainreturn"/>
      </w:pPr>
      <w:r>
        <w:t>The owner of a lift shall be responsible for the observance of the provisions of section 70 and section 71.</w:t>
      </w:r>
    </w:p>
    <w:p w:rsidR="00AF2508" w:rsidRDefault="00AF2508">
      <w:pPr>
        <w:pStyle w:val="PageBreak"/>
      </w:pPr>
      <w:r>
        <w:br w:type="page"/>
      </w:r>
    </w:p>
    <w:p w:rsidR="00AF2508" w:rsidRDefault="00AF2508">
      <w:pPr>
        <w:pStyle w:val="AH2Part"/>
      </w:pPr>
      <w:bookmarkStart w:id="131" w:name="_Toc161636795"/>
      <w:r>
        <w:rPr>
          <w:rStyle w:val="CharPartNo"/>
        </w:rPr>
        <w:t>Part 5</w:t>
      </w:r>
      <w:r>
        <w:rPr>
          <w:caps/>
        </w:rPr>
        <w:tab/>
      </w:r>
      <w:r>
        <w:rPr>
          <w:rStyle w:val="CharPartText"/>
        </w:rPr>
        <w:t>Safeguards and measures to be taken for securing the safety and health of persons engaged in building work</w:t>
      </w:r>
      <w:bookmarkEnd w:id="131"/>
    </w:p>
    <w:p w:rsidR="00AF2508" w:rsidRDefault="00AF2508">
      <w:pPr>
        <w:pStyle w:val="AH3Div"/>
      </w:pPr>
      <w:bookmarkStart w:id="132" w:name="_Toc161636796"/>
      <w:r>
        <w:rPr>
          <w:rStyle w:val="CharDivNo"/>
        </w:rPr>
        <w:t>Division 5.1</w:t>
      </w:r>
      <w:r>
        <w:rPr>
          <w:rStyle w:val="CharDivNo"/>
        </w:rPr>
        <w:tab/>
      </w:r>
      <w:r>
        <w:rPr>
          <w:rStyle w:val="CharDivText"/>
        </w:rPr>
        <w:t>General</w:t>
      </w:r>
      <w:bookmarkEnd w:id="132"/>
    </w:p>
    <w:p w:rsidR="00AF2508" w:rsidRDefault="00AF2508">
      <w:pPr>
        <w:pStyle w:val="AH5Sec"/>
      </w:pPr>
      <w:bookmarkStart w:id="133" w:name="_Toc161636797"/>
      <w:r>
        <w:rPr>
          <w:rStyle w:val="CharSectNo"/>
        </w:rPr>
        <w:t>73</w:t>
      </w:r>
      <w:bookmarkEnd w:id="133"/>
      <w:r>
        <w:tab/>
        <w:t xml:space="preserve">  </w:t>
      </w:r>
    </w:p>
    <w:p w:rsidR="00AF2508" w:rsidRDefault="00AF2508">
      <w:pPr>
        <w:pStyle w:val="Amain"/>
      </w:pPr>
      <w:r>
        <w:tab/>
        <w:t>(1)</w:t>
      </w:r>
      <w:r>
        <w:tab/>
        <w:t>Any person who directly or by his or her servants or agents (including every independent contractor from time to time engaged in that work) carries out any building work shall take all measures that appear necessary or advisable to minimise accident risk and to prevent injury to the health of persons engaged in the building work and for this purpose, without limiting the generality of the foregoing, the person shall—</w:t>
      </w:r>
    </w:p>
    <w:p w:rsidR="00AF2508" w:rsidRDefault="00AF2508">
      <w:pPr>
        <w:pStyle w:val="Apara"/>
      </w:pPr>
      <w:r>
        <w:tab/>
        <w:t>(a)</w:t>
      </w:r>
      <w:r>
        <w:tab/>
        <w:t>provide suitable and safe scaffolding, which shall conform to the requirements of this regulation, for all work that cannot be done safely by a person standing on permanent or solid construction, except when the work can be done safely from ladders constructed in conformity with the provisions of this regulation; and</w:t>
      </w:r>
    </w:p>
    <w:p w:rsidR="00AF2508" w:rsidRDefault="00AF2508">
      <w:pPr>
        <w:pStyle w:val="Apara"/>
      </w:pPr>
      <w:r>
        <w:tab/>
        <w:t>(b)</w:t>
      </w:r>
      <w:r>
        <w:tab/>
        <w:t>provide and maintain safe means of access to every place where any person has to work at any time; and</w:t>
      </w:r>
    </w:p>
    <w:p w:rsidR="00AF2508" w:rsidRDefault="00AF2508">
      <w:pPr>
        <w:pStyle w:val="Apara"/>
      </w:pPr>
      <w:r>
        <w:tab/>
        <w:t>(c)</w:t>
      </w:r>
      <w:r>
        <w:tab/>
        <w:t>provide means by fencing or otherwise for securing the safety of any person working at a place from which the person would be liable to fall a distance of more than 6 feet; and</w:t>
      </w:r>
    </w:p>
    <w:p w:rsidR="00AF2508" w:rsidRDefault="00AF2508">
      <w:pPr>
        <w:pStyle w:val="Apara"/>
      </w:pPr>
      <w:r>
        <w:tab/>
        <w:t>(d)</w:t>
      </w:r>
      <w:r>
        <w:tab/>
        <w:t>make provision to secure and maintain lighting (natural or artificial) sufficient and suitable for the illumination of all work places, stairways, corridors and passageways where persons must frequent, pass or use in the performance of their work or in passage to or from their work; and</w:t>
      </w:r>
    </w:p>
    <w:p w:rsidR="00AF2508" w:rsidRDefault="00AF2508">
      <w:pPr>
        <w:pStyle w:val="Apara"/>
      </w:pPr>
      <w:r>
        <w:tab/>
        <w:t>(e)</w:t>
      </w:r>
      <w:r>
        <w:tab/>
        <w:t>whenever artificial lighting is provided—ensure that the lamps are so placed and shaded that they will not affect the safety of persons by producing glare or deep shadows and that the lamps are protected against breakage by wire guards; and</w:t>
      </w:r>
    </w:p>
    <w:p w:rsidR="00AF2508" w:rsidRDefault="00AF2508">
      <w:pPr>
        <w:pStyle w:val="Apara"/>
      </w:pPr>
      <w:r>
        <w:tab/>
        <w:t>(f)</w:t>
      </w:r>
      <w:r>
        <w:tab/>
        <w:t>keep all stairways, corridors and passageways free from loose materials and debris, building materials, supplies and obstructions of every kind; and</w:t>
      </w:r>
    </w:p>
    <w:p w:rsidR="00AF2508" w:rsidRDefault="00AF2508">
      <w:pPr>
        <w:pStyle w:val="Apara"/>
      </w:pPr>
      <w:r>
        <w:tab/>
        <w:t>(g)</w:t>
      </w:r>
      <w:r>
        <w:tab/>
        <w:t>where practicable provide overhead protection for persons working below other persons or where there is a likelihood of persons being injured by objects falling from above; and</w:t>
      </w:r>
    </w:p>
    <w:p w:rsidR="00AF2508" w:rsidRDefault="00AF2508">
      <w:pPr>
        <w:pStyle w:val="Apara"/>
      </w:pPr>
      <w:r>
        <w:tab/>
        <w:t>(h)</w:t>
      </w:r>
      <w:r>
        <w:tab/>
        <w:t>ensure that the overhead protection is by means of timber or other material of strength and construction reasonably adequate to catch, deflect or hold any reasonable weight of material or objects that may fall on the protective construction; and</w:t>
      </w:r>
    </w:p>
    <w:p w:rsidR="00AF2508" w:rsidRDefault="00AF2508">
      <w:pPr>
        <w:pStyle w:val="Apara"/>
      </w:pPr>
      <w:r>
        <w:tab/>
        <w:t>(i)</w:t>
      </w:r>
      <w:r>
        <w:tab/>
        <w:t>provide head protective helmets, of an approved type, for the use of persons working in places over which it is impracticable to fix overhead protection; and</w:t>
      </w:r>
    </w:p>
    <w:p w:rsidR="00AF2508" w:rsidRDefault="00AF2508">
      <w:pPr>
        <w:pStyle w:val="Apara"/>
      </w:pPr>
      <w:r>
        <w:tab/>
        <w:t>(j)</w:t>
      </w:r>
      <w:r>
        <w:tab/>
        <w:t>effectively fence in the way prescribed by this regulation, all platforms, the open sides of all floors, openings in floors, roofs and platforms into which persons could accidentally walk, the open sides of stairways and stairway landings and all excavations and holes more than 5 feet deep; and</w:t>
      </w:r>
    </w:p>
    <w:p w:rsidR="00AF2508" w:rsidRDefault="00AF2508">
      <w:pPr>
        <w:pStyle w:val="Apara"/>
      </w:pPr>
      <w:r>
        <w:tab/>
        <w:t>(k)</w:t>
      </w:r>
      <w:r>
        <w:tab/>
        <w:t>cause all working places and approaches to them to be adequately ventilated by the circulation of fresh air the ventilation to be such as to render harmless all fumes, dust or other impurities that may be injurious to health, generated or produced by any means in any such working place and approach; and</w:t>
      </w:r>
    </w:p>
    <w:p w:rsidR="00AF2508" w:rsidRDefault="00AF2508">
      <w:pPr>
        <w:pStyle w:val="Apara"/>
      </w:pPr>
      <w:r>
        <w:tab/>
        <w:t>(l)</w:t>
      </w:r>
      <w:r>
        <w:tab/>
        <w:t>if in connection with any chipping, grinding, cleaning, spraying or manipulation of any material, there is given off any dust or fume of such a character and to such extent as to be likely to be injurious to the health of persons employed—take all practicable measures either by securing adequate ventilation or by the provision and use of respirators (of a type approved by the chief inspector) or otherwise to prevent inhalation of the dust or fume; and</w:t>
      </w:r>
    </w:p>
    <w:p w:rsidR="00AF2508" w:rsidRDefault="00AF2508">
      <w:pPr>
        <w:pStyle w:val="Apara"/>
      </w:pPr>
      <w:r>
        <w:tab/>
        <w:t>(m)</w:t>
      </w:r>
      <w:r>
        <w:tab/>
        <w:t>cause all exhaust gases of every engine used in an enclosed or confined space to be conducted to the open air and the place to be adequately ventilated so as to prevent danger to health from the exhaust gases; and</w:t>
      </w:r>
    </w:p>
    <w:p w:rsidR="00AF2508" w:rsidRDefault="00AF2508">
      <w:pPr>
        <w:pStyle w:val="Apara"/>
      </w:pPr>
      <w:r>
        <w:tab/>
        <w:t>(n)</w:t>
      </w:r>
      <w:r>
        <w:tab/>
        <w:t>if any persons are employed in a process in which a lead compound or other poisonous substance is used—provide for the use of persons liable to come into contact with the compound or substance adequate and suitable facilities for washing, which shall include nail brushes, soap and towels; and</w:t>
      </w:r>
    </w:p>
    <w:p w:rsidR="00AF2508" w:rsidRDefault="00AF2508">
      <w:pPr>
        <w:pStyle w:val="Apara"/>
      </w:pPr>
      <w:r>
        <w:tab/>
        <w:t>(o)</w:t>
      </w:r>
      <w:r>
        <w:tab/>
        <w:t>provide, where there is carried on any process specified schedule 4, the goggles of the types that are approved by the chief inspector, or effective screens to protect the eyes of persons employed on the building work; and</w:t>
      </w:r>
    </w:p>
    <w:p w:rsidR="00AF2508" w:rsidRDefault="00AF2508">
      <w:pPr>
        <w:pStyle w:val="Apara"/>
      </w:pPr>
      <w:r>
        <w:tab/>
        <w:t>(p)</w:t>
      </w:r>
      <w:r>
        <w:tab/>
        <w:t>cause measures to be taken to ensure that scaffolding materials, tools and other objects and materials (including waste material) shall not be thrown, tipped or shot down from a height where they are liable to cause injury, but to be properly lowered, and in any place where proper lowering is not practicable and also where any part of a structure is being demolished or broken off to cause adequate steps to be taken, if necessary, to protect persons from falling or flying debris; and</w:t>
      </w:r>
    </w:p>
    <w:p w:rsidR="00AF2508" w:rsidRDefault="00AF2508">
      <w:pPr>
        <w:pStyle w:val="Apara"/>
      </w:pPr>
      <w:r>
        <w:tab/>
        <w:t>(q)</w:t>
      </w:r>
      <w:r>
        <w:tab/>
        <w:t>cause protruding nails to be knocked in or removed from all materials used in the construction of scaffolding, false work and shuttering and take measures to ensure that no timber or material with projecting nails is allowed to remain in any place where persons are liable to come into contact with them; and</w:t>
      </w:r>
    </w:p>
    <w:p w:rsidR="00AF2508" w:rsidRDefault="00AF2508">
      <w:pPr>
        <w:pStyle w:val="Apara"/>
      </w:pPr>
      <w:r>
        <w:tab/>
        <w:t>(r)</w:t>
      </w:r>
      <w:r>
        <w:tab/>
        <w:t>take all practicable precautions by the use of adequate temporary guys, stays, supports and fixings or otherwise to prevent danger to any person through the collapse of any part of a building or structure during any temporary state of weakness or instability of the building or structure or part before the building or structure is completed; and</w:t>
      </w:r>
    </w:p>
    <w:p w:rsidR="00AF2508" w:rsidRDefault="00AF2508">
      <w:pPr>
        <w:pStyle w:val="Apara"/>
      </w:pPr>
      <w:r>
        <w:tab/>
        <w:t>(s)</w:t>
      </w:r>
      <w:r>
        <w:tab/>
        <w:t>if any building work is carried on that is likely to reduce, so as to endanger any person, the security or stability of any part of an existing building or structure or of a building or structure in course of construction—take all practicable precautions by shoring or otherwise to prevent danger to any person from the collapse of the building or structure or the fall of any part of it; and</w:t>
      </w:r>
    </w:p>
    <w:p w:rsidR="00AF2508" w:rsidRDefault="00AF2508">
      <w:pPr>
        <w:pStyle w:val="Apara"/>
      </w:pPr>
      <w:r>
        <w:tab/>
        <w:t>(t)</w:t>
      </w:r>
      <w:r>
        <w:tab/>
        <w:t>not move or permit or allow to be moved on the site of the building work any ironwork or steelwork on which there is wet paint other than paint for the purpose of jointing; and</w:t>
      </w:r>
    </w:p>
    <w:p w:rsidR="00AF2508" w:rsidRDefault="00AF2508">
      <w:pPr>
        <w:pStyle w:val="Apara"/>
      </w:pPr>
      <w:r>
        <w:tab/>
        <w:t>(u)</w:t>
      </w:r>
      <w:r>
        <w:tab/>
        <w:t>if on or adjacent to the site of any building work to which this regulation applies there is water into which a person employed is in the course of his or her employment liable to fall with risk of drowning—provide and keep ready for use suitable rescue equipment of an approved type and take all steps necessary for the prompt rescue of any such person in danger of drowning; and</w:t>
      </w:r>
    </w:p>
    <w:p w:rsidR="00AF2508" w:rsidRDefault="00AF2508">
      <w:pPr>
        <w:pStyle w:val="Apara"/>
      </w:pPr>
      <w:r>
        <w:tab/>
        <w:t>(v)</w:t>
      </w:r>
      <w:r>
        <w:tab/>
        <w:t>cause electric light and electric power installations and the electrical equipment of cranes, hoists, and plant to be installed, used and maintained in conformity with the provisions of this regulation; and</w:t>
      </w:r>
    </w:p>
    <w:p w:rsidR="00AF2508" w:rsidRDefault="00AF2508">
      <w:pPr>
        <w:pStyle w:val="Apara"/>
      </w:pPr>
      <w:r>
        <w:tab/>
        <w:t>(w)</w:t>
      </w:r>
      <w:r>
        <w:tab/>
        <w:t>provide adequate and suitable overhead protection to prevent persons being struck by the falling products of an electric arc or flame metal cutting process; and</w:t>
      </w:r>
    </w:p>
    <w:p w:rsidR="00AF2508" w:rsidRDefault="00AF2508">
      <w:pPr>
        <w:pStyle w:val="Apara"/>
      </w:pPr>
      <w:r>
        <w:tab/>
        <w:t>(x)</w:t>
      </w:r>
      <w:r>
        <w:tab/>
        <w:t>provide the first-aid equipment, sanitary conveniences, washing facilities, drinking water and shelter, change and dining accommodation that are prescribed by this regulation.</w:t>
      </w:r>
    </w:p>
    <w:p w:rsidR="00AF2508" w:rsidRDefault="00AF2508">
      <w:pPr>
        <w:pStyle w:val="Amain"/>
      </w:pPr>
      <w:r>
        <w:tab/>
        <w:t>(2)</w:t>
      </w:r>
      <w:r>
        <w:tab/>
        <w:t>However, despite subsection (1) (j) it shall be permissible to remove when necessary any guardrail, fence or part of it for the purpose of handling materials or for the installation of other work, subject to the guardrail, fence or part being at once replaced on completion of the work.</w:t>
      </w:r>
    </w:p>
    <w:p w:rsidR="00AF2508" w:rsidRDefault="00AF2508">
      <w:pPr>
        <w:pStyle w:val="Amain"/>
      </w:pPr>
      <w:r>
        <w:tab/>
        <w:t>(3)</w:t>
      </w:r>
      <w:r>
        <w:tab/>
        <w:t>For this section:</w:t>
      </w:r>
    </w:p>
    <w:p w:rsidR="00AF2508" w:rsidRDefault="00AF2508">
      <w:pPr>
        <w:pStyle w:val="aDef"/>
      </w:pPr>
      <w:r>
        <w:rPr>
          <w:rStyle w:val="charBoldItals"/>
        </w:rPr>
        <w:t>lead compound</w:t>
      </w:r>
      <w:r>
        <w:t xml:space="preserve"> means any material containing lead which, when treated in the way prescribed in schedule 5, yields to an aqueous solution of hydrochloric acid a quantity of soluble lead compound exceeding, when calculated as lead monoxide, 5% of the dry weight of the sample taken for analysis.</w:t>
      </w:r>
    </w:p>
    <w:p w:rsidR="00AF2508" w:rsidRDefault="00AF2508">
      <w:pPr>
        <w:pStyle w:val="AH5Sec"/>
      </w:pPr>
      <w:bookmarkStart w:id="134" w:name="_Toc161636798"/>
      <w:r>
        <w:rPr>
          <w:rStyle w:val="CharSectNo"/>
        </w:rPr>
        <w:t>74</w:t>
      </w:r>
      <w:bookmarkEnd w:id="134"/>
      <w:r>
        <w:tab/>
        <w:t xml:space="preserve">  </w:t>
      </w:r>
    </w:p>
    <w:p w:rsidR="00AF2508" w:rsidRDefault="00AF2508">
      <w:pPr>
        <w:pStyle w:val="Amainreturn"/>
      </w:pPr>
      <w:r>
        <w:t>If the special nature or circumstances of any part of a building work render impracticable compliance with the provisions of section 73 designed to prevent the fall of any person engaged on that part of the building work, then those provisions shall be complied with so far as practicable and, except for persons for whom there is adequate hand hold and foothold, the contractor or person in charge of the building work shall provide safety nets or safety belts and life lines of a type approved by the chief inspector which will so far as practicable enable the persons to carry out work without risk of serious injury.</w:t>
      </w:r>
    </w:p>
    <w:p w:rsidR="00AF2508" w:rsidRDefault="00AF2508">
      <w:pPr>
        <w:pStyle w:val="AH4SubDiv"/>
      </w:pPr>
      <w:bookmarkStart w:id="135" w:name="_Toc161636799"/>
      <w:r>
        <w:t>Fencing of floors, landings, stairways and the like</w:t>
      </w:r>
      <w:bookmarkEnd w:id="135"/>
    </w:p>
    <w:p w:rsidR="00AF2508" w:rsidRDefault="00AF2508">
      <w:pPr>
        <w:pStyle w:val="AH5Sec"/>
      </w:pPr>
      <w:bookmarkStart w:id="136" w:name="_Toc161636800"/>
      <w:r>
        <w:rPr>
          <w:rStyle w:val="CharSectNo"/>
        </w:rPr>
        <w:t>75</w:t>
      </w:r>
      <w:bookmarkEnd w:id="136"/>
      <w:r>
        <w:tab/>
        <w:t xml:space="preserve">  </w:t>
      </w:r>
    </w:p>
    <w:p w:rsidR="00AF2508" w:rsidRDefault="00AF2508">
      <w:pPr>
        <w:pStyle w:val="Amain"/>
        <w:keepLines/>
      </w:pPr>
      <w:r>
        <w:tab/>
        <w:t>(1)</w:t>
      </w:r>
      <w:r>
        <w:tab/>
        <w:t>Wherever, by this part, it is required that a floor, platform, landing, working place, stairway or stairway landing, excavation or hold, or an opening in a floor, roof, platform or landing or that any other place shall be fenced, then the fencing shall be effected by—</w:t>
      </w:r>
    </w:p>
    <w:p w:rsidR="00AF2508" w:rsidRDefault="00AF2508">
      <w:pPr>
        <w:pStyle w:val="Apara"/>
      </w:pPr>
      <w:r>
        <w:tab/>
        <w:t>(a)</w:t>
      </w:r>
      <w:r>
        <w:tab/>
        <w:t>positively fastening in position uprights or posts of 4 inch by 2 inch timber at a distance of not more than 8 feet apart; and</w:t>
      </w:r>
    </w:p>
    <w:p w:rsidR="00AF2508" w:rsidRDefault="00AF2508">
      <w:pPr>
        <w:pStyle w:val="Apara"/>
      </w:pPr>
      <w:r>
        <w:tab/>
        <w:t>(b)</w:t>
      </w:r>
      <w:r>
        <w:tab/>
        <w:t>bolting to each upright or post mentioned in paragraph (a) the length or lengths of 4 inch by 2 inch timber that are necessary to form the top guardrail of the fence, the 4 inch by 2 inch timber being bolted at such position to each upright or post that the distance from its top edge to the level of the place being fenced is 3 feet 6 inches; and</w:t>
      </w:r>
    </w:p>
    <w:p w:rsidR="00AF2508" w:rsidRDefault="00AF2508">
      <w:pPr>
        <w:pStyle w:val="Apara"/>
      </w:pPr>
      <w:r>
        <w:tab/>
        <w:t>(c)</w:t>
      </w:r>
      <w:r>
        <w:tab/>
        <w:t>positively fastening to the upright or posts mentioned in paragraph (a) toe or fender boards, of not less than 9 inches by 1 inch timber, in such way that the bottom edge of each toe or fender board is level with the place being fenced and so that an opening or gap is not left between the bottom edge of the toe or fender board and the surface of the place being fenced.</w:t>
      </w:r>
    </w:p>
    <w:p w:rsidR="00AF2508" w:rsidRDefault="00AF2508">
      <w:pPr>
        <w:pStyle w:val="Amain"/>
      </w:pPr>
      <w:r>
        <w:tab/>
        <w:t>(2)</w:t>
      </w:r>
      <w:r>
        <w:tab/>
        <w:t>Alternatively the fence may be constructed of steel members, provided that each steel member used possesses the strength and rigidity of its corresponding timber member as provided in this section.</w:t>
      </w:r>
    </w:p>
    <w:p w:rsidR="00AF2508" w:rsidRDefault="00AF2508">
      <w:pPr>
        <w:pStyle w:val="Amain"/>
      </w:pPr>
      <w:r>
        <w:tab/>
        <w:t>(3)</w:t>
      </w:r>
      <w:r>
        <w:tab/>
        <w:t>As a further alternative the 4 inch by 2 inch guardrail may be replaced by a flexible steel wire rope, or by a fibre rope not less than 3 inches in circumference, provided that the rope is kept taut and is properly secured to the uprights or posts.</w:t>
      </w:r>
    </w:p>
    <w:p w:rsidR="00AF2508" w:rsidRDefault="00AF2508">
      <w:pPr>
        <w:pStyle w:val="02Text"/>
        <w:sectPr w:rsidR="00AF2508">
          <w:headerReference w:type="even" r:id="rId19"/>
          <w:headerReference w:type="default" r:id="rId20"/>
          <w:footerReference w:type="even" r:id="rId21"/>
          <w:footerReference w:type="default" r:id="rId22"/>
          <w:footerReference w:type="first" r:id="rId23"/>
          <w:pgSz w:w="11907" w:h="16839" w:code="9"/>
          <w:pgMar w:top="3000" w:right="1900" w:bottom="2500" w:left="2300" w:header="2480" w:footer="2100" w:gutter="0"/>
          <w:pgNumType w:start="1"/>
          <w:cols w:space="720"/>
          <w:titlePg/>
          <w:docGrid w:linePitch="254"/>
        </w:sectPr>
      </w:pPr>
    </w:p>
    <w:p w:rsidR="00AF2508" w:rsidRDefault="00AF2508">
      <w:pPr>
        <w:pStyle w:val="AH3Div"/>
        <w:keepLines/>
      </w:pPr>
      <w:bookmarkStart w:id="137" w:name="_Toc161636801"/>
      <w:r>
        <w:rPr>
          <w:rStyle w:val="CharDivNo"/>
        </w:rPr>
        <w:t>Division 5.2</w:t>
      </w:r>
      <w:r>
        <w:rPr>
          <w:rStyle w:val="CharDivText"/>
        </w:rPr>
        <w:tab/>
        <w:t>Constructing, erecting, adding to, altering, repairing, finishing, painting and cleaning buildings and structures</w:t>
      </w:r>
      <w:bookmarkEnd w:id="137"/>
    </w:p>
    <w:p w:rsidR="00AF2508" w:rsidRDefault="00AF2508">
      <w:pPr>
        <w:pStyle w:val="AH4SubDiv"/>
      </w:pPr>
      <w:bookmarkStart w:id="138" w:name="_Toc161636802"/>
      <w:r>
        <w:t>Stability of walls</w:t>
      </w:r>
      <w:bookmarkEnd w:id="138"/>
    </w:p>
    <w:p w:rsidR="00AF2508" w:rsidRDefault="00AF2508">
      <w:pPr>
        <w:pStyle w:val="AH5Sec"/>
      </w:pPr>
      <w:bookmarkStart w:id="139" w:name="_Toc161636803"/>
      <w:r>
        <w:rPr>
          <w:rStyle w:val="CharSectNo"/>
        </w:rPr>
        <w:t>77</w:t>
      </w:r>
      <w:bookmarkEnd w:id="139"/>
      <w:r>
        <w:tab/>
        <w:t xml:space="preserve">  </w:t>
      </w:r>
    </w:p>
    <w:p w:rsidR="00AF2508" w:rsidRDefault="00AF2508">
      <w:pPr>
        <w:pStyle w:val="Amainreturn"/>
      </w:pPr>
      <w:r>
        <w:t>No wall or part of a wall shall, during its construction, be built to a greater height than 5 feet or 6 times its thickness, whichever is the greater, unless it is supported by temporary shores, proper scaffolding or buttresses at intervals of length not greater than 30 times its thickness until roof or floor ties or cross walls are in position.</w:t>
      </w:r>
    </w:p>
    <w:p w:rsidR="00AF2508" w:rsidRDefault="00AF2508">
      <w:pPr>
        <w:pStyle w:val="AH4SubDiv"/>
      </w:pPr>
      <w:bookmarkStart w:id="140" w:name="_Toc161636804"/>
      <w:r>
        <w:t>Protection in liftwells and stairwells</w:t>
      </w:r>
      <w:bookmarkEnd w:id="140"/>
    </w:p>
    <w:p w:rsidR="00AF2508" w:rsidRDefault="00AF2508">
      <w:pPr>
        <w:pStyle w:val="AH5Sec"/>
      </w:pPr>
      <w:bookmarkStart w:id="141" w:name="_Toc161636805"/>
      <w:r>
        <w:rPr>
          <w:rStyle w:val="CharSectNo"/>
        </w:rPr>
        <w:t>78</w:t>
      </w:r>
      <w:bookmarkEnd w:id="141"/>
      <w:r>
        <w:tab/>
        <w:t xml:space="preserve">  </w:t>
      </w:r>
    </w:p>
    <w:p w:rsidR="00AF2508" w:rsidRDefault="00AF2508">
      <w:pPr>
        <w:pStyle w:val="Amain"/>
      </w:pPr>
      <w:r>
        <w:tab/>
        <w:t>(1)</w:t>
      </w:r>
      <w:r>
        <w:tab/>
        <w:t>When workers are working in a lift-well or stair-well during the construction, alteration or equipping of a building, protection shall be provided not more than 2 stories above nor 1 storey below the level at which the workers are working.</w:t>
      </w:r>
    </w:p>
    <w:p w:rsidR="00AF2508" w:rsidRDefault="00AF2508">
      <w:pPr>
        <w:pStyle w:val="Amain"/>
      </w:pPr>
      <w:r>
        <w:tab/>
        <w:t>(2)</w:t>
      </w:r>
      <w:r>
        <w:tab/>
        <w:t>The protection shall be of timber planks not less than 2 inches thick, laid across the lift-well or stair-well.</w:t>
      </w:r>
    </w:p>
    <w:p w:rsidR="00AF2508" w:rsidRDefault="00AF2508">
      <w:pPr>
        <w:pStyle w:val="AH4SubDiv"/>
      </w:pPr>
      <w:bookmarkStart w:id="142" w:name="_Toc161636806"/>
      <w:r>
        <w:t>Temporary ramps</w:t>
      </w:r>
      <w:bookmarkEnd w:id="142"/>
    </w:p>
    <w:p w:rsidR="00AF2508" w:rsidRDefault="00AF2508">
      <w:pPr>
        <w:pStyle w:val="AH5Sec"/>
      </w:pPr>
      <w:bookmarkStart w:id="143" w:name="_Toc161636807"/>
      <w:r>
        <w:rPr>
          <w:rStyle w:val="CharSectNo"/>
        </w:rPr>
        <w:t>79</w:t>
      </w:r>
      <w:bookmarkEnd w:id="143"/>
      <w:r>
        <w:tab/>
        <w:t xml:space="preserve">  </w:t>
      </w:r>
    </w:p>
    <w:p w:rsidR="00AF2508" w:rsidRDefault="00AF2508">
      <w:pPr>
        <w:pStyle w:val="Amain"/>
      </w:pPr>
      <w:r>
        <w:tab/>
        <w:t>(1)</w:t>
      </w:r>
      <w:r>
        <w:tab/>
        <w:t>A temporary ramp built to provide access for vehicles to the site of a building work shall have a grade safe for vehicles using it and shall possess adequate strength and stability under the effects of the maximum loads to which it is subjected.</w:t>
      </w:r>
    </w:p>
    <w:p w:rsidR="00AF2508" w:rsidRDefault="00AF2508">
      <w:pPr>
        <w:pStyle w:val="Amain"/>
      </w:pPr>
      <w:r>
        <w:tab/>
        <w:t>(2)</w:t>
      </w:r>
      <w:r>
        <w:tab/>
        <w:t>The minimum width of every such ramp shall be 10 feet and a guide or kerb, at least 9 inches in height and 6 inches in width, shall be positively fixed in position at each side.</w:t>
      </w:r>
    </w:p>
    <w:p w:rsidR="00AF2508" w:rsidRDefault="00AF2508">
      <w:pPr>
        <w:pStyle w:val="AH4SubDiv"/>
      </w:pPr>
      <w:bookmarkStart w:id="144" w:name="_Toc161636808"/>
      <w:r>
        <w:t>Provision and use of ladders and stepladders</w:t>
      </w:r>
      <w:bookmarkEnd w:id="144"/>
    </w:p>
    <w:p w:rsidR="00AF2508" w:rsidRDefault="00AF2508">
      <w:pPr>
        <w:pStyle w:val="AH5Sec"/>
      </w:pPr>
      <w:bookmarkStart w:id="145" w:name="_Toc161636809"/>
      <w:r>
        <w:rPr>
          <w:rStyle w:val="CharSectNo"/>
        </w:rPr>
        <w:t>80</w:t>
      </w:r>
      <w:bookmarkEnd w:id="145"/>
      <w:r>
        <w:tab/>
        <w:t xml:space="preserve">  </w:t>
      </w:r>
    </w:p>
    <w:p w:rsidR="00AF2508" w:rsidRDefault="00AF2508">
      <w:pPr>
        <w:pStyle w:val="Assectheading"/>
      </w:pPr>
      <w:r>
        <w:t>Definitions</w:t>
      </w:r>
    </w:p>
    <w:p w:rsidR="00AF2508" w:rsidRDefault="00AF2508">
      <w:pPr>
        <w:pStyle w:val="Amain"/>
        <w:rPr>
          <w:color w:val="000000"/>
        </w:rPr>
      </w:pPr>
      <w:r>
        <w:rPr>
          <w:color w:val="000000"/>
        </w:rPr>
        <w:tab/>
        <w:t>(1)</w:t>
      </w:r>
      <w:r>
        <w:rPr>
          <w:color w:val="000000"/>
        </w:rPr>
        <w:tab/>
        <w:t>In this section:</w:t>
      </w:r>
    </w:p>
    <w:p w:rsidR="00AF2508" w:rsidRDefault="00AF2508">
      <w:pPr>
        <w:pStyle w:val="aDef"/>
      </w:pPr>
      <w:r>
        <w:rPr>
          <w:rStyle w:val="charBoldItals"/>
        </w:rPr>
        <w:t>ladder</w:t>
      </w:r>
      <w:r>
        <w:t>—see section 142.</w:t>
      </w:r>
    </w:p>
    <w:p w:rsidR="00AF2508" w:rsidRDefault="00AF2508">
      <w:pPr>
        <w:pStyle w:val="aDef"/>
      </w:pPr>
      <w:r>
        <w:rPr>
          <w:rStyle w:val="charBoldItals"/>
        </w:rPr>
        <w:t>stepladder</w:t>
      </w:r>
      <w:r>
        <w:t>—see section 142.</w:t>
      </w:r>
    </w:p>
    <w:p w:rsidR="00AF2508" w:rsidRDefault="00AF2508">
      <w:pPr>
        <w:pStyle w:val="Assectheading"/>
        <w:rPr>
          <w:i w:val="0"/>
        </w:rPr>
      </w:pPr>
      <w:r>
        <w:rPr>
          <w:rStyle w:val="charItals"/>
          <w:i/>
        </w:rPr>
        <w:t>Design and construction</w:t>
      </w:r>
    </w:p>
    <w:p w:rsidR="00AF2508" w:rsidRDefault="00AF2508">
      <w:pPr>
        <w:pStyle w:val="Amain"/>
        <w:rPr>
          <w:color w:val="000000"/>
        </w:rPr>
      </w:pPr>
      <w:r>
        <w:rPr>
          <w:color w:val="000000"/>
        </w:rPr>
        <w:tab/>
        <w:t>(2)</w:t>
      </w:r>
      <w:r>
        <w:rPr>
          <w:color w:val="000000"/>
        </w:rPr>
        <w:tab/>
        <w:t>Every ladder and every stepladder used for any purpose covered by this regulation shall be designed and constructed as prescribed by this regulation.</w:t>
      </w:r>
    </w:p>
    <w:p w:rsidR="00AF2508" w:rsidRDefault="00AF2508">
      <w:pPr>
        <w:pStyle w:val="Assectheading"/>
        <w:rPr>
          <w:i w:val="0"/>
        </w:rPr>
      </w:pPr>
      <w:r>
        <w:rPr>
          <w:rStyle w:val="charItals"/>
          <w:i/>
        </w:rPr>
        <w:t>To be provided and maintained</w:t>
      </w:r>
    </w:p>
    <w:p w:rsidR="00AF2508" w:rsidRDefault="00AF2508">
      <w:pPr>
        <w:pStyle w:val="Amain"/>
        <w:rPr>
          <w:color w:val="000000"/>
        </w:rPr>
      </w:pPr>
      <w:r>
        <w:rPr>
          <w:color w:val="000000"/>
        </w:rPr>
        <w:tab/>
        <w:t>(3)</w:t>
      </w:r>
      <w:r>
        <w:rPr>
          <w:color w:val="000000"/>
        </w:rPr>
        <w:tab/>
        <w:t>Any person who directly or by his or her agents or servants carries out any building work shall provide and maintain in place during working hours the ladders that are necessary to provide safe means of access to all floor levels and to all places where any person has to work until the time that temporary or permanent stairways are completed and are available as such safe means of access.</w:t>
      </w:r>
    </w:p>
    <w:p w:rsidR="00AF2508" w:rsidRDefault="00AF2508">
      <w:pPr>
        <w:pStyle w:val="Assectheading"/>
        <w:rPr>
          <w:i w:val="0"/>
        </w:rPr>
      </w:pPr>
      <w:r>
        <w:rPr>
          <w:rStyle w:val="charItals"/>
          <w:i/>
        </w:rPr>
        <w:t>Placing of ladders</w:t>
      </w:r>
    </w:p>
    <w:p w:rsidR="00AF2508" w:rsidRDefault="00AF2508">
      <w:pPr>
        <w:pStyle w:val="Amain"/>
      </w:pPr>
      <w:r>
        <w:rPr>
          <w:color w:val="000000"/>
        </w:rPr>
        <w:tab/>
        <w:t>(4)</w:t>
      </w:r>
      <w:r>
        <w:rPr>
          <w:color w:val="000000"/>
        </w:rPr>
        <w:tab/>
        <w:t>Ladders shall be placed so that—</w:t>
      </w:r>
    </w:p>
    <w:p w:rsidR="00AF2508" w:rsidRDefault="00AF2508">
      <w:pPr>
        <w:pStyle w:val="Apara"/>
      </w:pPr>
      <w:r>
        <w:tab/>
        <w:t>(a)</w:t>
      </w:r>
      <w:r>
        <w:tab/>
        <w:t>each side rail or stile has a level and firm footing and the top rest for each side rail or stile is level, reasonably rigid and of adequate strength to support the maximum applied load; and</w:t>
      </w:r>
    </w:p>
    <w:p w:rsidR="00AF2508" w:rsidRDefault="00AF2508">
      <w:pPr>
        <w:pStyle w:val="Apara"/>
      </w:pPr>
      <w:r>
        <w:tab/>
        <w:t>(b)</w:t>
      </w:r>
      <w:r>
        <w:tab/>
        <w:t>the side rails or stiles are not supported by boxes, loose bricks, or other loose packing.</w:t>
      </w:r>
    </w:p>
    <w:p w:rsidR="00AF2508" w:rsidRDefault="00AF2508">
      <w:pPr>
        <w:pStyle w:val="Assectheading"/>
        <w:rPr>
          <w:i w:val="0"/>
        </w:rPr>
      </w:pPr>
      <w:r>
        <w:rPr>
          <w:rStyle w:val="charItals"/>
          <w:i/>
        </w:rPr>
        <w:t>In front of doors</w:t>
      </w:r>
    </w:p>
    <w:p w:rsidR="00AF2508" w:rsidRDefault="00AF2508">
      <w:pPr>
        <w:pStyle w:val="Amain"/>
        <w:rPr>
          <w:color w:val="000000"/>
        </w:rPr>
      </w:pPr>
      <w:r>
        <w:rPr>
          <w:color w:val="000000"/>
        </w:rPr>
        <w:tab/>
        <w:t>(5)</w:t>
      </w:r>
      <w:r>
        <w:rPr>
          <w:color w:val="000000"/>
        </w:rPr>
        <w:tab/>
        <w:t>A ladder shall not be placed in front of a door, opening towards the ladder, unless the door is fastened open or is locked or guarded.</w:t>
      </w:r>
    </w:p>
    <w:p w:rsidR="00AF2508" w:rsidRDefault="00AF2508">
      <w:pPr>
        <w:pStyle w:val="Assectheading"/>
        <w:rPr>
          <w:i w:val="0"/>
        </w:rPr>
      </w:pPr>
      <w:r>
        <w:rPr>
          <w:rStyle w:val="charItals"/>
          <w:i/>
        </w:rPr>
        <w:t>To be securely fixed</w:t>
      </w:r>
    </w:p>
    <w:p w:rsidR="00AF2508" w:rsidRDefault="00AF2508">
      <w:pPr>
        <w:pStyle w:val="Amain"/>
        <w:rPr>
          <w:color w:val="000000"/>
        </w:rPr>
      </w:pPr>
      <w:r>
        <w:rPr>
          <w:color w:val="000000"/>
        </w:rPr>
        <w:tab/>
        <w:t>(6)</w:t>
      </w:r>
      <w:r>
        <w:rPr>
          <w:color w:val="000000"/>
        </w:rPr>
        <w:tab/>
        <w:t>Every ladder shall so far as practicable be securely fixed so that it cannot move either from its top or from its bottom points of rest.</w:t>
      </w:r>
    </w:p>
    <w:p w:rsidR="00AF2508" w:rsidRDefault="00AF2508">
      <w:pPr>
        <w:pStyle w:val="Amain"/>
        <w:rPr>
          <w:color w:val="000000"/>
        </w:rPr>
      </w:pPr>
      <w:r>
        <w:rPr>
          <w:color w:val="000000"/>
        </w:rPr>
        <w:tab/>
        <w:t>(7)</w:t>
      </w:r>
      <w:r>
        <w:rPr>
          <w:color w:val="000000"/>
        </w:rPr>
        <w:tab/>
        <w:t>If it cannot be so securely fixed it shall where practicable be securely fixed at the base or if such fixing at the base is impracticable a person shall be stationed at the base of the ladder to prevent slipping.</w:t>
      </w:r>
    </w:p>
    <w:p w:rsidR="00AF2508" w:rsidRDefault="00AF2508">
      <w:pPr>
        <w:pStyle w:val="Assectheading"/>
        <w:rPr>
          <w:i w:val="0"/>
        </w:rPr>
      </w:pPr>
      <w:r>
        <w:rPr>
          <w:rStyle w:val="charItals"/>
          <w:i/>
        </w:rPr>
        <w:t>In public thoroughfares</w:t>
      </w:r>
    </w:p>
    <w:p w:rsidR="00AF2508" w:rsidRDefault="00AF2508">
      <w:pPr>
        <w:pStyle w:val="Amain"/>
        <w:rPr>
          <w:color w:val="000000"/>
        </w:rPr>
      </w:pPr>
      <w:r>
        <w:rPr>
          <w:color w:val="000000"/>
        </w:rPr>
        <w:tab/>
        <w:t>(8)</w:t>
      </w:r>
      <w:r>
        <w:rPr>
          <w:color w:val="000000"/>
        </w:rPr>
        <w:tab/>
        <w:t>Effective means shall be provided to prevent the displacement of a ladder set up in a public thoroughfare or in any other place where accidental collision with the ladder may occur.</w:t>
      </w:r>
    </w:p>
    <w:p w:rsidR="00AF2508" w:rsidRDefault="00AF2508">
      <w:pPr>
        <w:pStyle w:val="Assectheading"/>
        <w:rPr>
          <w:i w:val="0"/>
        </w:rPr>
      </w:pPr>
      <w:r>
        <w:rPr>
          <w:rStyle w:val="charItals"/>
          <w:i/>
        </w:rPr>
        <w:t>Placed against window frames</w:t>
      </w:r>
    </w:p>
    <w:p w:rsidR="00AF2508" w:rsidRDefault="00AF2508">
      <w:pPr>
        <w:pStyle w:val="Amain"/>
        <w:rPr>
          <w:color w:val="000000"/>
        </w:rPr>
      </w:pPr>
      <w:r>
        <w:rPr>
          <w:color w:val="000000"/>
        </w:rPr>
        <w:tab/>
        <w:t>(9)</w:t>
      </w:r>
      <w:r>
        <w:rPr>
          <w:color w:val="000000"/>
        </w:rPr>
        <w:tab/>
        <w:t>A ladder so placed that its top end rests against a window frame shall be fitted with a board fixed to its top end the board being of such dimensions that the applied load is safely distributed over the window frame.</w:t>
      </w:r>
    </w:p>
    <w:p w:rsidR="00AF2508" w:rsidRDefault="00AF2508">
      <w:pPr>
        <w:pStyle w:val="Assectheading"/>
        <w:rPr>
          <w:i w:val="0"/>
        </w:rPr>
      </w:pPr>
      <w:r>
        <w:rPr>
          <w:rStyle w:val="charItals"/>
          <w:i/>
        </w:rPr>
        <w:t>Footings for stepladders</w:t>
      </w:r>
    </w:p>
    <w:p w:rsidR="00AF2508" w:rsidRDefault="00AF2508">
      <w:pPr>
        <w:pStyle w:val="Amain"/>
        <w:rPr>
          <w:color w:val="000000"/>
        </w:rPr>
      </w:pPr>
      <w:r>
        <w:rPr>
          <w:color w:val="000000"/>
        </w:rPr>
        <w:tab/>
        <w:t>(10)</w:t>
      </w:r>
      <w:r>
        <w:rPr>
          <w:color w:val="000000"/>
        </w:rPr>
        <w:tab/>
        <w:t>A stepladder shall be set up on a level and firm footing and shall not be stood on loose bricks or other loose packing.</w:t>
      </w:r>
    </w:p>
    <w:p w:rsidR="00AF2508" w:rsidRDefault="00AF2508">
      <w:pPr>
        <w:pStyle w:val="Assectheading"/>
        <w:rPr>
          <w:i w:val="0"/>
        </w:rPr>
      </w:pPr>
      <w:r>
        <w:rPr>
          <w:rStyle w:val="charItals"/>
          <w:i/>
        </w:rPr>
        <w:t>Ladders not to support scaffolding planks</w:t>
      </w:r>
    </w:p>
    <w:p w:rsidR="00AF2508" w:rsidRDefault="00AF2508">
      <w:pPr>
        <w:pStyle w:val="Amain"/>
        <w:rPr>
          <w:color w:val="000000"/>
        </w:rPr>
      </w:pPr>
      <w:r>
        <w:rPr>
          <w:color w:val="000000"/>
        </w:rPr>
        <w:tab/>
        <w:t>(11)</w:t>
      </w:r>
      <w:r>
        <w:rPr>
          <w:color w:val="000000"/>
        </w:rPr>
        <w:tab/>
        <w:t>No ladder except a trestle ladder shall be used to support a plank on which a person has to work.</w:t>
      </w:r>
    </w:p>
    <w:p w:rsidR="00AF2508" w:rsidRDefault="00AF2508">
      <w:pPr>
        <w:pStyle w:val="Assectheading"/>
        <w:rPr>
          <w:i w:val="0"/>
        </w:rPr>
      </w:pPr>
      <w:r>
        <w:rPr>
          <w:rStyle w:val="charItals"/>
          <w:i/>
        </w:rPr>
        <w:t>Height above landings</w:t>
      </w:r>
    </w:p>
    <w:p w:rsidR="00AF2508" w:rsidRDefault="00AF2508">
      <w:pPr>
        <w:pStyle w:val="Amain"/>
        <w:rPr>
          <w:color w:val="000000"/>
        </w:rPr>
      </w:pPr>
      <w:r>
        <w:rPr>
          <w:color w:val="000000"/>
        </w:rPr>
        <w:tab/>
        <w:t>(12)</w:t>
      </w:r>
      <w:r>
        <w:rPr>
          <w:color w:val="000000"/>
        </w:rPr>
        <w:tab/>
        <w:t>Ladders used for the purposes mentioned in subsection (3) shall rise to a height of at least 3 feet 6 inches above the place of landing for persons using the ladders.</w:t>
      </w:r>
    </w:p>
    <w:p w:rsidR="00AF2508" w:rsidRDefault="00AF2508">
      <w:pPr>
        <w:pStyle w:val="Assectheading"/>
        <w:rPr>
          <w:i w:val="0"/>
        </w:rPr>
      </w:pPr>
      <w:r>
        <w:rPr>
          <w:rStyle w:val="charItals"/>
          <w:i/>
        </w:rPr>
        <w:t>Height when used as a working place</w:t>
      </w:r>
    </w:p>
    <w:p w:rsidR="00AF2508" w:rsidRDefault="00AF2508">
      <w:pPr>
        <w:pStyle w:val="Amain"/>
        <w:rPr>
          <w:color w:val="000000"/>
        </w:rPr>
      </w:pPr>
      <w:r>
        <w:rPr>
          <w:color w:val="000000"/>
        </w:rPr>
        <w:tab/>
        <w:t>(13)</w:t>
      </w:r>
      <w:r>
        <w:rPr>
          <w:color w:val="000000"/>
        </w:rPr>
        <w:tab/>
        <w:t>A ladder used as a place from which a person has to work shall rise to a height of at least 3 feet 6 inches above the highest rung to be reached by the feet of the person working on the ladder or if that is impracticable then to the greatest practicable height.</w:t>
      </w:r>
    </w:p>
    <w:p w:rsidR="00AF2508" w:rsidRDefault="00AF2508">
      <w:pPr>
        <w:pStyle w:val="Assectheading"/>
        <w:rPr>
          <w:i w:val="0"/>
        </w:rPr>
      </w:pPr>
      <w:r>
        <w:rPr>
          <w:rStyle w:val="charItals"/>
          <w:i/>
        </w:rPr>
        <w:t>Landing places</w:t>
      </w:r>
    </w:p>
    <w:p w:rsidR="00AF2508" w:rsidRDefault="00AF2508">
      <w:pPr>
        <w:pStyle w:val="Amain"/>
      </w:pPr>
      <w:r>
        <w:rPr>
          <w:color w:val="000000"/>
        </w:rPr>
        <w:tab/>
        <w:t>(14)</w:t>
      </w:r>
      <w:r>
        <w:rPr>
          <w:color w:val="000000"/>
        </w:rPr>
        <w:tab/>
        <w:t>A landing place at least 27 inches in width and 48 inches in length shall be provided at the head and base of every ladder for the purposes mentioned in subsection (3) and if any person is liable to fall for a distance of more than 6 feet from it then the landing place shall be fenced in the way mentioned in section 75.</w:t>
      </w:r>
    </w:p>
    <w:p w:rsidR="00AF2508" w:rsidRDefault="00AF2508">
      <w:pPr>
        <w:pStyle w:val="Amain"/>
      </w:pPr>
      <w:r>
        <w:tab/>
        <w:t>(15)</w:t>
      </w:r>
      <w:r>
        <w:tab/>
        <w:t>If a ladder passes through an opening in the floor of a landing place, the opening shall be as small as is reasonably practicable.</w:t>
      </w:r>
    </w:p>
    <w:p w:rsidR="00AF2508" w:rsidRDefault="00AF2508">
      <w:pPr>
        <w:pStyle w:val="Amain"/>
      </w:pPr>
      <w:r>
        <w:tab/>
        <w:t>(16)</w:t>
      </w:r>
      <w:r>
        <w:tab/>
        <w:t>Every ladder or run of ladders rising a vertical distance of 20 feet or over shall be provided with an intermediate landing place or places so that the vertical distance between any 2 successive landing places shall not exceed 20 feet.</w:t>
      </w:r>
    </w:p>
    <w:p w:rsidR="00AF2508" w:rsidRDefault="00AF2508">
      <w:pPr>
        <w:pStyle w:val="Assectheading"/>
        <w:rPr>
          <w:i w:val="0"/>
        </w:rPr>
      </w:pPr>
      <w:r>
        <w:rPr>
          <w:rStyle w:val="charItals"/>
          <w:i/>
        </w:rPr>
        <w:t>Angle of ladders</w:t>
      </w:r>
    </w:p>
    <w:p w:rsidR="00AF2508" w:rsidRDefault="00AF2508">
      <w:pPr>
        <w:pStyle w:val="Amain"/>
        <w:rPr>
          <w:color w:val="000000"/>
        </w:rPr>
      </w:pPr>
      <w:r>
        <w:rPr>
          <w:color w:val="000000"/>
        </w:rPr>
        <w:tab/>
        <w:t>(17)</w:t>
      </w:r>
      <w:r>
        <w:rPr>
          <w:color w:val="000000"/>
        </w:rPr>
        <w:tab/>
        <w:t xml:space="preserve">Every ladder shall, if possible, be used at such an angle that the horizontal distance from the top support to the foot of the ladder is equal to </w:t>
      </w:r>
      <w:r>
        <w:rPr>
          <w:color w:val="000000"/>
          <w:position w:val="6"/>
          <w:sz w:val="18"/>
        </w:rPr>
        <w:t>1</w:t>
      </w:r>
      <w:r>
        <w:rPr>
          <w:color w:val="000000"/>
        </w:rPr>
        <w:t>/</w:t>
      </w:r>
      <w:r>
        <w:rPr>
          <w:color w:val="000000"/>
          <w:sz w:val="18"/>
        </w:rPr>
        <w:t>4</w:t>
      </w:r>
      <w:r>
        <w:rPr>
          <w:color w:val="000000"/>
        </w:rPr>
        <w:t xml:space="preserve"> of the length of the ladder.</w:t>
      </w:r>
    </w:p>
    <w:p w:rsidR="00AF2508" w:rsidRDefault="00AF2508">
      <w:pPr>
        <w:pStyle w:val="Assectheading"/>
        <w:rPr>
          <w:i w:val="0"/>
        </w:rPr>
      </w:pPr>
      <w:r>
        <w:rPr>
          <w:rStyle w:val="charItals"/>
          <w:i/>
        </w:rPr>
        <w:t>Crowding on ladders</w:t>
      </w:r>
    </w:p>
    <w:p w:rsidR="00AF2508" w:rsidRDefault="00AF2508">
      <w:pPr>
        <w:pStyle w:val="Amain"/>
        <w:rPr>
          <w:color w:val="000000"/>
        </w:rPr>
      </w:pPr>
      <w:r>
        <w:rPr>
          <w:color w:val="000000"/>
        </w:rPr>
        <w:tab/>
        <w:t>(18)</w:t>
      </w:r>
      <w:r>
        <w:rPr>
          <w:color w:val="000000"/>
        </w:rPr>
        <w:tab/>
        <w:t>Persons shall not crowd together on ladders.</w:t>
      </w:r>
    </w:p>
    <w:p w:rsidR="00AF2508" w:rsidRDefault="00AF2508">
      <w:pPr>
        <w:pStyle w:val="Assectheading"/>
        <w:rPr>
          <w:i w:val="0"/>
        </w:rPr>
      </w:pPr>
      <w:r>
        <w:rPr>
          <w:rStyle w:val="charItals"/>
          <w:i/>
        </w:rPr>
        <w:t>Separate ladders for ascent and descen</w:t>
      </w:r>
      <w:r>
        <w:rPr>
          <w:i w:val="0"/>
          <w:color w:val="000000"/>
        </w:rPr>
        <w:t>t</w:t>
      </w:r>
    </w:p>
    <w:p w:rsidR="00AF2508" w:rsidRDefault="00AF2508">
      <w:pPr>
        <w:pStyle w:val="Amain"/>
        <w:rPr>
          <w:color w:val="000000"/>
        </w:rPr>
      </w:pPr>
      <w:r>
        <w:rPr>
          <w:color w:val="000000"/>
        </w:rPr>
        <w:tab/>
        <w:t>(19)</w:t>
      </w:r>
      <w:r>
        <w:rPr>
          <w:color w:val="000000"/>
        </w:rPr>
        <w:tab/>
        <w:t>If, in connection with any building work, traffic conditions on ladders are such as to warrant the use of separate ladders for the purposes of ascent and descent, then such separate ladders shall be provided, designated, and used for such purposes.</w:t>
      </w:r>
    </w:p>
    <w:p w:rsidR="00AF2508" w:rsidRDefault="00AF2508">
      <w:pPr>
        <w:pStyle w:val="Assectheading"/>
        <w:rPr>
          <w:i w:val="0"/>
        </w:rPr>
      </w:pPr>
      <w:r>
        <w:rPr>
          <w:rStyle w:val="charItals"/>
          <w:i/>
        </w:rPr>
        <w:t>Ladders to be faced</w:t>
      </w:r>
    </w:p>
    <w:p w:rsidR="00AF2508" w:rsidRDefault="00AF2508">
      <w:pPr>
        <w:pStyle w:val="Amain"/>
        <w:rPr>
          <w:color w:val="000000"/>
        </w:rPr>
      </w:pPr>
      <w:r>
        <w:rPr>
          <w:color w:val="000000"/>
        </w:rPr>
        <w:tab/>
        <w:t>(20)</w:t>
      </w:r>
      <w:r>
        <w:rPr>
          <w:color w:val="000000"/>
        </w:rPr>
        <w:tab/>
        <w:t>Persons using ladders shall face them while in the act of ascending or descending.</w:t>
      </w:r>
    </w:p>
    <w:p w:rsidR="00AF2508" w:rsidRDefault="00AF2508">
      <w:pPr>
        <w:pStyle w:val="Assectheading"/>
        <w:rPr>
          <w:i w:val="0"/>
        </w:rPr>
      </w:pPr>
      <w:r>
        <w:rPr>
          <w:rStyle w:val="charItals"/>
          <w:i/>
        </w:rPr>
        <w:t>Ladders not to be joined</w:t>
      </w:r>
    </w:p>
    <w:p w:rsidR="00AF2508" w:rsidRDefault="00AF2508">
      <w:pPr>
        <w:pStyle w:val="Amain"/>
        <w:rPr>
          <w:color w:val="000000"/>
        </w:rPr>
      </w:pPr>
      <w:r>
        <w:rPr>
          <w:color w:val="000000"/>
        </w:rPr>
        <w:tab/>
        <w:t>(21)</w:t>
      </w:r>
      <w:r>
        <w:rPr>
          <w:color w:val="000000"/>
        </w:rPr>
        <w:tab/>
        <w:t>Ladders shall not be joined together to form a longer ladder unless a longer ladder so formed is of the strength and rigidity prescribed for ladders by this regulation.</w:t>
      </w:r>
    </w:p>
    <w:p w:rsidR="00AF2508" w:rsidRDefault="00AF2508">
      <w:pPr>
        <w:pStyle w:val="Assectheading"/>
        <w:rPr>
          <w:i w:val="0"/>
        </w:rPr>
      </w:pPr>
      <w:r>
        <w:rPr>
          <w:rStyle w:val="charItals"/>
          <w:i/>
        </w:rPr>
        <w:t>Single rail ladders prohibited</w:t>
      </w:r>
    </w:p>
    <w:p w:rsidR="00AF2508" w:rsidRDefault="00AF2508">
      <w:pPr>
        <w:pStyle w:val="Amain"/>
        <w:rPr>
          <w:color w:val="000000"/>
        </w:rPr>
      </w:pPr>
      <w:r>
        <w:rPr>
          <w:color w:val="000000"/>
        </w:rPr>
        <w:tab/>
        <w:t>(22)</w:t>
      </w:r>
      <w:r>
        <w:rPr>
          <w:color w:val="000000"/>
        </w:rPr>
        <w:tab/>
        <w:t>Ladders made by fastening cleats across a single rail shall not be used.</w:t>
      </w:r>
    </w:p>
    <w:p w:rsidR="00AF2508" w:rsidRDefault="00AF2508">
      <w:pPr>
        <w:pStyle w:val="Assectheading"/>
        <w:rPr>
          <w:i w:val="0"/>
        </w:rPr>
      </w:pPr>
      <w:r>
        <w:rPr>
          <w:rStyle w:val="charItals"/>
          <w:i/>
        </w:rPr>
        <w:t>Defective ladders and stepladders</w:t>
      </w:r>
    </w:p>
    <w:p w:rsidR="00AF2508" w:rsidRDefault="00AF2508">
      <w:pPr>
        <w:pStyle w:val="Amain"/>
        <w:keepNext/>
      </w:pPr>
      <w:r>
        <w:rPr>
          <w:color w:val="000000"/>
        </w:rPr>
        <w:tab/>
        <w:t>(23)</w:t>
      </w:r>
      <w:r>
        <w:rPr>
          <w:color w:val="000000"/>
        </w:rPr>
        <w:tab/>
        <w:t>No ladder or stepladder shall be used that has—</w:t>
      </w:r>
    </w:p>
    <w:p w:rsidR="00AF2508" w:rsidRDefault="00AF2508">
      <w:pPr>
        <w:pStyle w:val="Apara"/>
      </w:pPr>
      <w:r>
        <w:tab/>
        <w:t>(a)</w:t>
      </w:r>
      <w:r>
        <w:tab/>
        <w:t>a missing or a weakened, broken or otherwise defective rung or tread or a broken or defective stile; or</w:t>
      </w:r>
    </w:p>
    <w:p w:rsidR="00AF2508" w:rsidRDefault="00AF2508">
      <w:pPr>
        <w:pStyle w:val="Apara"/>
      </w:pPr>
      <w:r>
        <w:tab/>
        <w:t>(b)</w:t>
      </w:r>
      <w:r>
        <w:tab/>
        <w:t>any rung or tread that depends for its support solely on nails, spikes, or other similar fixing.</w:t>
      </w:r>
    </w:p>
    <w:p w:rsidR="00AF2508" w:rsidRDefault="00AF2508">
      <w:pPr>
        <w:pStyle w:val="Assectheading"/>
        <w:rPr>
          <w:i w:val="0"/>
        </w:rPr>
      </w:pPr>
      <w:r>
        <w:rPr>
          <w:rStyle w:val="charItals"/>
          <w:i/>
        </w:rPr>
        <w:t>Prohibited uses of ladders</w:t>
      </w:r>
    </w:p>
    <w:p w:rsidR="00AF2508" w:rsidRDefault="00AF2508">
      <w:pPr>
        <w:pStyle w:val="Amain"/>
      </w:pPr>
      <w:r>
        <w:rPr>
          <w:color w:val="000000"/>
        </w:rPr>
        <w:tab/>
        <w:t>(24)</w:t>
      </w:r>
      <w:r>
        <w:rPr>
          <w:color w:val="000000"/>
        </w:rPr>
        <w:tab/>
        <w:t>A ladder shall not be used as a guy, brace, tom, strut, beam or skid or for any other than its intended purpose.</w:t>
      </w:r>
    </w:p>
    <w:p w:rsidR="00AF2508" w:rsidRDefault="00AF2508">
      <w:pPr>
        <w:pStyle w:val="AH4SubDiv"/>
        <w:tabs>
          <w:tab w:val="clear" w:pos="2600"/>
          <w:tab w:val="left" w:pos="0"/>
        </w:tabs>
        <w:ind w:left="0" w:firstLine="0"/>
      </w:pPr>
      <w:bookmarkStart w:id="146" w:name="_Toc161636810"/>
      <w:r>
        <w:t>Cleaning and maintenance of roof monitors, gutters, windows, louvres and ventilators</w:t>
      </w:r>
      <w:bookmarkEnd w:id="146"/>
    </w:p>
    <w:p w:rsidR="00AF2508" w:rsidRDefault="00AF2508">
      <w:pPr>
        <w:pStyle w:val="AH5Sec"/>
      </w:pPr>
      <w:bookmarkStart w:id="147" w:name="_Toc161636811"/>
      <w:r>
        <w:rPr>
          <w:rStyle w:val="CharSectNo"/>
        </w:rPr>
        <w:t>81</w:t>
      </w:r>
      <w:bookmarkEnd w:id="147"/>
      <w:r>
        <w:tab/>
        <w:t xml:space="preserve">  </w:t>
      </w:r>
    </w:p>
    <w:p w:rsidR="00AF2508" w:rsidRDefault="00AF2508">
      <w:pPr>
        <w:pStyle w:val="Assectheading"/>
        <w:rPr>
          <w:i w:val="0"/>
        </w:rPr>
      </w:pPr>
      <w:r>
        <w:rPr>
          <w:rStyle w:val="charItals"/>
          <w:i/>
        </w:rPr>
        <w:t>Safe means of access to be provided</w:t>
      </w:r>
    </w:p>
    <w:p w:rsidR="00AF2508" w:rsidRDefault="00AF2508">
      <w:pPr>
        <w:pStyle w:val="Amain"/>
        <w:rPr>
          <w:color w:val="000000"/>
        </w:rPr>
      </w:pPr>
      <w:r>
        <w:rPr>
          <w:color w:val="000000"/>
        </w:rPr>
        <w:tab/>
        <w:t>(1)</w:t>
      </w:r>
      <w:r>
        <w:rPr>
          <w:color w:val="000000"/>
        </w:rPr>
        <w:tab/>
        <w:t>The owner of any building (other than a private domestic dwelling house) or of any structure shall provide and maintain in good order and condition, on all roofs of it permanent means of safe access to any monitors, gutters, windows, louvres, ventilators or other fixtures, parts, or equipment that require periodical cleaning or maintenance.</w:t>
      </w:r>
    </w:p>
    <w:p w:rsidR="00AF2508" w:rsidRDefault="00AF2508">
      <w:pPr>
        <w:pStyle w:val="Assectheading"/>
        <w:rPr>
          <w:i w:val="0"/>
        </w:rPr>
      </w:pPr>
      <w:r>
        <w:rPr>
          <w:rStyle w:val="charItals"/>
          <w:i/>
        </w:rPr>
        <w:t>Catwalks</w:t>
      </w:r>
    </w:p>
    <w:p w:rsidR="00AF2508" w:rsidRDefault="00AF2508">
      <w:pPr>
        <w:pStyle w:val="Amain"/>
        <w:rPr>
          <w:color w:val="000000"/>
        </w:rPr>
      </w:pPr>
      <w:r>
        <w:rPr>
          <w:color w:val="000000"/>
        </w:rPr>
        <w:tab/>
        <w:t>(2)</w:t>
      </w:r>
      <w:r>
        <w:rPr>
          <w:color w:val="000000"/>
        </w:rPr>
        <w:tab/>
        <w:t>If catwalks are provided for the purposes mentioned in subsection (1), the catwalks shall be of hardwood or other approved material.</w:t>
      </w:r>
    </w:p>
    <w:p w:rsidR="00AF2508" w:rsidRDefault="00AF2508">
      <w:pPr>
        <w:pStyle w:val="Amain"/>
      </w:pPr>
      <w:r>
        <w:rPr>
          <w:color w:val="000000"/>
        </w:rPr>
        <w:tab/>
        <w:t>(3)</w:t>
      </w:r>
      <w:r>
        <w:rPr>
          <w:color w:val="000000"/>
        </w:rPr>
        <w:tab/>
        <w:t>They shall be not less than 10 inches in width and if of hardwood not less than 2 inches in thickness.</w:t>
      </w:r>
    </w:p>
    <w:p w:rsidR="00AF2508" w:rsidRDefault="00AF2508">
      <w:pPr>
        <w:pStyle w:val="Amain"/>
      </w:pPr>
      <w:r>
        <w:tab/>
        <w:t>(4)</w:t>
      </w:r>
      <w:r>
        <w:tab/>
        <w:t>The upper surfaces of all catwalks shall be approximately horizontal in transverse planes and the surfaces shall be flat and free from obstructions or projections.</w:t>
      </w:r>
    </w:p>
    <w:p w:rsidR="00AF2508" w:rsidRDefault="00AF2508">
      <w:pPr>
        <w:pStyle w:val="Amain"/>
      </w:pPr>
      <w:r>
        <w:tab/>
        <w:t>(5)</w:t>
      </w:r>
      <w:r>
        <w:tab/>
        <w:t>Catwalks shall be adequately supported and positively and strongly secured in position.</w:t>
      </w:r>
    </w:p>
    <w:p w:rsidR="00AF2508" w:rsidRDefault="00AF2508">
      <w:pPr>
        <w:pStyle w:val="Amain"/>
      </w:pPr>
      <w:r>
        <w:tab/>
        <w:t>(6)</w:t>
      </w:r>
      <w:r>
        <w:tab/>
        <w:t>If catwalks are inclined longitudinally at more than 10° to the horizontal, or if they are so placed that a person, or object could fall a distance of more than 6 feet from them, they shall be fenced in accordance with section 75.</w:t>
      </w:r>
    </w:p>
    <w:p w:rsidR="00AF2508" w:rsidRDefault="00AF2508">
      <w:pPr>
        <w:pStyle w:val="AH4SubDiv"/>
      </w:pPr>
      <w:bookmarkStart w:id="148" w:name="_Toc161636812"/>
      <w:r>
        <w:t>Window cleaning</w:t>
      </w:r>
      <w:bookmarkEnd w:id="148"/>
    </w:p>
    <w:p w:rsidR="00AF2508" w:rsidRDefault="00AF2508">
      <w:pPr>
        <w:pStyle w:val="AH5Sec"/>
      </w:pPr>
      <w:bookmarkStart w:id="149" w:name="_Toc161636813"/>
      <w:r>
        <w:rPr>
          <w:rStyle w:val="CharSectNo"/>
        </w:rPr>
        <w:t>82</w:t>
      </w:r>
      <w:bookmarkEnd w:id="149"/>
      <w:r>
        <w:tab/>
        <w:t xml:space="preserve">  </w:t>
      </w:r>
    </w:p>
    <w:p w:rsidR="00AF2508" w:rsidRDefault="00AF2508">
      <w:pPr>
        <w:pStyle w:val="Assectheading"/>
        <w:rPr>
          <w:i w:val="0"/>
        </w:rPr>
      </w:pPr>
      <w:r>
        <w:rPr>
          <w:rStyle w:val="charItals"/>
          <w:i/>
        </w:rPr>
        <w:t>Definitions</w:t>
      </w:r>
    </w:p>
    <w:p w:rsidR="00AF2508" w:rsidRDefault="00AF2508">
      <w:pPr>
        <w:pStyle w:val="Amain"/>
        <w:rPr>
          <w:color w:val="000000"/>
        </w:rPr>
      </w:pPr>
      <w:r>
        <w:rPr>
          <w:color w:val="000000"/>
        </w:rPr>
        <w:tab/>
        <w:t>(1)</w:t>
      </w:r>
      <w:r>
        <w:rPr>
          <w:color w:val="000000"/>
        </w:rPr>
        <w:tab/>
        <w:t>In this section:</w:t>
      </w:r>
    </w:p>
    <w:p w:rsidR="00AF2508" w:rsidRDefault="00AF2508">
      <w:pPr>
        <w:pStyle w:val="aDef"/>
      </w:pPr>
      <w:r>
        <w:rPr>
          <w:rStyle w:val="charBoldItals"/>
        </w:rPr>
        <w:t>anchor</w:t>
      </w:r>
      <w:r>
        <w:t xml:space="preserve"> means a fitting secured to a window frame or wall to which fitting a safety strap or line terminal is or is intended to be attached.</w:t>
      </w:r>
    </w:p>
    <w:p w:rsidR="00AF2508" w:rsidRDefault="00AF2508">
      <w:pPr>
        <w:pStyle w:val="aDef"/>
      </w:pPr>
      <w:r>
        <w:rPr>
          <w:rStyle w:val="charBoldItals"/>
        </w:rPr>
        <w:t>body belt</w:t>
      </w:r>
      <w:r>
        <w:rPr>
          <w:b/>
        </w:rPr>
        <w:t xml:space="preserve"> </w:t>
      </w:r>
      <w:r>
        <w:t>means a belt constructed to fit the body, at or about the waistline, of a person engaged in window cleaning.</w:t>
      </w:r>
    </w:p>
    <w:p w:rsidR="00AF2508" w:rsidRDefault="00AF2508">
      <w:pPr>
        <w:pStyle w:val="aDef"/>
      </w:pPr>
      <w:r>
        <w:rPr>
          <w:rStyle w:val="charBoldItals"/>
        </w:rPr>
        <w:t>safety belt</w:t>
      </w:r>
      <w:r>
        <w:t xml:space="preserve"> means the complete assembly of body belt, safety strap or line and all fittings.</w:t>
      </w:r>
    </w:p>
    <w:p w:rsidR="00AF2508" w:rsidRDefault="00AF2508">
      <w:pPr>
        <w:pStyle w:val="aDef"/>
      </w:pPr>
      <w:r>
        <w:rPr>
          <w:rStyle w:val="charBoldItals"/>
        </w:rPr>
        <w:t>safety strap or line</w:t>
      </w:r>
      <w:r>
        <w:t xml:space="preserve"> means the safety strap or line that passes through loops fitted at the back of a body belt and is provided with terminal fittings to enable each of its terminals to be secured to an anchor.</w:t>
      </w:r>
    </w:p>
    <w:p w:rsidR="00AF2508" w:rsidRDefault="00AF2508">
      <w:pPr>
        <w:pStyle w:val="aDef"/>
      </w:pPr>
      <w:r>
        <w:rPr>
          <w:rStyle w:val="charBoldItals"/>
        </w:rPr>
        <w:t>window cleaning</w:t>
      </w:r>
      <w:r>
        <w:t xml:space="preserve"> includes the operations of washing, wiping or other method of cleaning windows of buildings.</w:t>
      </w:r>
    </w:p>
    <w:p w:rsidR="00AF2508" w:rsidRDefault="00AF2508">
      <w:pPr>
        <w:pStyle w:val="Assectheading"/>
        <w:rPr>
          <w:i w:val="0"/>
        </w:rPr>
      </w:pPr>
      <w:r>
        <w:rPr>
          <w:rStyle w:val="charItals"/>
          <w:i/>
        </w:rPr>
        <w:t>Liabilities of owners</w:t>
      </w:r>
    </w:p>
    <w:p w:rsidR="00AF2508" w:rsidRDefault="00AF2508">
      <w:pPr>
        <w:pStyle w:val="Amain"/>
      </w:pPr>
      <w:r>
        <w:rPr>
          <w:color w:val="000000"/>
        </w:rPr>
        <w:tab/>
        <w:t>(2)</w:t>
      </w:r>
      <w:r>
        <w:rPr>
          <w:color w:val="000000"/>
        </w:rPr>
        <w:tab/>
        <w:t>The owner of a building, the windows of that are cleaned from the outside, shall install and maintain anchors on each such window, the lowest part of the frame of which is more than 12 feet above the ground or adjoining flat roof, or the owner shall provide other approved safe means for cleaning every such window of such building.</w:t>
      </w:r>
    </w:p>
    <w:p w:rsidR="00AF2508" w:rsidRDefault="00AF2508">
      <w:pPr>
        <w:pStyle w:val="Amain"/>
        <w:rPr>
          <w:color w:val="000000"/>
        </w:rPr>
      </w:pPr>
      <w:r>
        <w:rPr>
          <w:color w:val="000000"/>
        </w:rPr>
        <w:tab/>
        <w:t>(3)</w:t>
      </w:r>
      <w:r>
        <w:rPr>
          <w:color w:val="000000"/>
        </w:rPr>
        <w:tab/>
        <w:t>The owner of any building shall not require, permit, suffer or allow any window in such building to be cleaned unless anchors or other approved means are provided to enable such work to be done in a safe way.</w:t>
      </w:r>
    </w:p>
    <w:p w:rsidR="00AF2508" w:rsidRDefault="00AF2508">
      <w:pPr>
        <w:pStyle w:val="Assectheading"/>
      </w:pPr>
      <w:r>
        <w:t>Liabilities of contractors</w:t>
      </w:r>
    </w:p>
    <w:p w:rsidR="00AF2508" w:rsidRDefault="00AF2508">
      <w:pPr>
        <w:pStyle w:val="Amain"/>
      </w:pPr>
      <w:r>
        <w:rPr>
          <w:color w:val="000000"/>
        </w:rPr>
        <w:tab/>
        <w:t>(4)</w:t>
      </w:r>
      <w:r>
        <w:rPr>
          <w:color w:val="000000"/>
        </w:rPr>
        <w:tab/>
        <w:t>Every contractor shall use and require his or her employee to use while engaged in window cleaning the equipment and safety devices required by this section to be provided and used.</w:t>
      </w:r>
    </w:p>
    <w:p w:rsidR="00AF2508" w:rsidRDefault="00AF2508">
      <w:pPr>
        <w:pStyle w:val="Assectheading"/>
      </w:pPr>
      <w:r>
        <w:t>Exemption—cleaning exterior face of windows from inside</w:t>
      </w:r>
    </w:p>
    <w:p w:rsidR="00AF2508" w:rsidRDefault="00AF2508">
      <w:pPr>
        <w:pStyle w:val="Amain"/>
      </w:pPr>
      <w:r>
        <w:rPr>
          <w:color w:val="000000"/>
        </w:rPr>
        <w:tab/>
        <w:t>(5)</w:t>
      </w:r>
      <w:r>
        <w:rPr>
          <w:color w:val="000000"/>
        </w:rPr>
        <w:tab/>
      </w:r>
      <w:r>
        <w:t>This section shall not apply to any window that is constructed in an approved way so that the exterior face can be and is cleaned entirely from the inside and during which cleaning operation no part of the window cleaner’s body except 1 arm or hand is required to project beyond the frame in which the window is set.</w:t>
      </w:r>
    </w:p>
    <w:p w:rsidR="00AF2508" w:rsidRDefault="00AF2508">
      <w:pPr>
        <w:pStyle w:val="Assectheading"/>
        <w:rPr>
          <w:i w:val="0"/>
        </w:rPr>
      </w:pPr>
      <w:r>
        <w:rPr>
          <w:rStyle w:val="charItals"/>
          <w:i/>
        </w:rPr>
        <w:t>Exemption—windows on balconies, fire-escapes and flat roofs</w:t>
      </w:r>
    </w:p>
    <w:p w:rsidR="00AF2508" w:rsidRDefault="00AF2508">
      <w:pPr>
        <w:pStyle w:val="Amain"/>
      </w:pPr>
      <w:r>
        <w:tab/>
        <w:t>(6)</w:t>
      </w:r>
      <w:r>
        <w:tab/>
        <w:t>This section shall not apply to any window opening on a balcony having a railing 36 inches high, nor to a window opening on a fire</w:t>
      </w:r>
      <w:r>
        <w:noBreakHyphen/>
        <w:t>escape, nor to any window opening on a roof if the roof has a pitch of not more than 1 inch in 12 inches, is 6 feet or more in width and is capable of safely sustaining the weight of the window cleaner and his or her equipment.</w:t>
      </w:r>
    </w:p>
    <w:p w:rsidR="00AF2508" w:rsidRDefault="00AF2508">
      <w:pPr>
        <w:pStyle w:val="Assectheading"/>
        <w:rPr>
          <w:rStyle w:val="charItals"/>
        </w:rPr>
      </w:pPr>
      <w:r>
        <w:t>Exemption—c</w:t>
      </w:r>
      <w:r>
        <w:rPr>
          <w:rStyle w:val="charItals"/>
          <w:i/>
        </w:rPr>
        <w:t>leaning inside face of windows</w:t>
      </w:r>
    </w:p>
    <w:p w:rsidR="00AF2508" w:rsidRDefault="00AF2508">
      <w:pPr>
        <w:pStyle w:val="Amain"/>
      </w:pPr>
      <w:r>
        <w:tab/>
        <w:t>(7)</w:t>
      </w:r>
      <w:r>
        <w:tab/>
        <w:t>This section shall not apply to the cleaning of the inside face of any window except if the window cleaner performs the operation while resting on a level that is more than 6 feet above a floor.</w:t>
      </w:r>
    </w:p>
    <w:p w:rsidR="00AF2508" w:rsidRDefault="00AF2508">
      <w:pPr>
        <w:pStyle w:val="Assectheading"/>
        <w:rPr>
          <w:i w:val="0"/>
        </w:rPr>
      </w:pPr>
      <w:r>
        <w:rPr>
          <w:rStyle w:val="charItals"/>
          <w:i/>
        </w:rPr>
        <w:t>General requirements</w:t>
      </w:r>
      <w:r>
        <w:rPr>
          <w:i w:val="0"/>
          <w:color w:val="000000"/>
        </w:rPr>
        <w:t>—</w:t>
      </w:r>
      <w:r>
        <w:rPr>
          <w:color w:val="000000"/>
        </w:rPr>
        <w:t>w</w:t>
      </w:r>
      <w:r>
        <w:rPr>
          <w:rStyle w:val="charItals"/>
          <w:i/>
        </w:rPr>
        <w:t>indows more than 12 feet above ground</w:t>
      </w:r>
    </w:p>
    <w:p w:rsidR="00AF2508" w:rsidRDefault="00AF2508">
      <w:pPr>
        <w:pStyle w:val="Amain"/>
      </w:pPr>
      <w:r>
        <w:tab/>
        <w:t>(8)</w:t>
      </w:r>
      <w:r>
        <w:tab/>
        <w:t>No person shall clean a window required to be provided with anchors unless the person wears an approved type of safety belt and the person shall only clean the windows while the safety strap or line terminals are in position on the anchors, provided that windows may be cleaned by any other safe means that are approved or are permitted by this section.</w:t>
      </w:r>
    </w:p>
    <w:p w:rsidR="00AF2508" w:rsidRDefault="00AF2508">
      <w:pPr>
        <w:pStyle w:val="Assectheading"/>
      </w:pPr>
      <w:r>
        <w:t>General requirements—</w:t>
      </w:r>
      <w:r>
        <w:rPr>
          <w:rStyle w:val="charItals"/>
          <w:i/>
        </w:rPr>
        <w:t>portable auxiliary sills</w:t>
      </w:r>
    </w:p>
    <w:p w:rsidR="00AF2508" w:rsidRDefault="00AF2508">
      <w:pPr>
        <w:pStyle w:val="Amain"/>
      </w:pPr>
      <w:r>
        <w:tab/>
        <w:t>(9)</w:t>
      </w:r>
      <w:r>
        <w:tab/>
        <w:t>If any window is by this section required to be cleaned by a person wearing a safety belt and the sill of the window extends less than 6 inches out from the window frame or is inclined at a slope of more than 1 in 12 or is otherwise unsafe for the person to stand on, the owner shall provide an approved portable auxiliary sill or other approved device on which the person can stand with safety.</w:t>
      </w:r>
    </w:p>
    <w:p w:rsidR="00AF2508" w:rsidRDefault="00AF2508">
      <w:pPr>
        <w:pStyle w:val="Amain"/>
      </w:pPr>
      <w:r>
        <w:tab/>
        <w:t>(10)</w:t>
      </w:r>
      <w:r>
        <w:tab/>
        <w:t>Every such portable sill shall be not less than 10 inches wide and it shall be equal in length to the clear width of the window opening, less 3 inches.</w:t>
      </w:r>
    </w:p>
    <w:p w:rsidR="00AF2508" w:rsidRDefault="00AF2508">
      <w:pPr>
        <w:pStyle w:val="Amain"/>
      </w:pPr>
      <w:r>
        <w:tab/>
        <w:t>(11)</w:t>
      </w:r>
      <w:r>
        <w:tab/>
        <w:t>Every such portable sill and other device shall be so designed and constructed that it is safely held in place and so that it can be safely and readily put into position and removed.</w:t>
      </w:r>
    </w:p>
    <w:p w:rsidR="00AF2508" w:rsidRDefault="00AF2508">
      <w:pPr>
        <w:pStyle w:val="Assectheading"/>
      </w:pPr>
      <w:r>
        <w:t>General requirements—l</w:t>
      </w:r>
      <w:r>
        <w:rPr>
          <w:rStyle w:val="charItals"/>
          <w:i/>
        </w:rPr>
        <w:t>imitation on use of safety belts and anchors</w:t>
      </w:r>
    </w:p>
    <w:p w:rsidR="00AF2508" w:rsidRDefault="00AF2508">
      <w:pPr>
        <w:pStyle w:val="Amain"/>
        <w:keepLines/>
      </w:pPr>
      <w:r>
        <w:tab/>
        <w:t>(12)</w:t>
      </w:r>
      <w:r>
        <w:tab/>
        <w:t>Anchors shall be deemed adequate safety devices only if the window and its approaches are so constructed and maintained that the window cleaner can safely reach the sill and attach 1 safety strap or line terminal to the anchor before stepping out on to the sill and if it is possible for 1 belt terminal to remain attached to the anchor while the window cleaner steps back into the building.</w:t>
      </w:r>
    </w:p>
    <w:p w:rsidR="00AF2508" w:rsidRDefault="00AF2508">
      <w:pPr>
        <w:pStyle w:val="Amain"/>
      </w:pPr>
      <w:r>
        <w:tab/>
        <w:t>(13)</w:t>
      </w:r>
      <w:r>
        <w:tab/>
        <w:t>No person shall use a safety belt in any place where it is liable to be detrimentally affected by acids or other deleterious chemicals.</w:t>
      </w:r>
    </w:p>
    <w:p w:rsidR="00AF2508" w:rsidRDefault="00AF2508">
      <w:pPr>
        <w:pStyle w:val="Assectheading"/>
      </w:pPr>
      <w:r>
        <w:t>General requirements—</w:t>
      </w:r>
      <w:r>
        <w:rPr>
          <w:rStyle w:val="charItals"/>
          <w:i/>
        </w:rPr>
        <w:t>use of corrosive substances</w:t>
      </w:r>
    </w:p>
    <w:p w:rsidR="00AF2508" w:rsidRDefault="00AF2508">
      <w:pPr>
        <w:pStyle w:val="Amain"/>
      </w:pPr>
      <w:r>
        <w:tab/>
        <w:t>(14)</w:t>
      </w:r>
      <w:r>
        <w:tab/>
        <w:t>Acids or other deleterious chemicals may be used for window cleaning only under the following conditions:</w:t>
      </w:r>
    </w:p>
    <w:p w:rsidR="00AF2508" w:rsidRDefault="00AF2508">
      <w:pPr>
        <w:pStyle w:val="Apara"/>
      </w:pPr>
      <w:r>
        <w:tab/>
        <w:t>(a)</w:t>
      </w:r>
      <w:r>
        <w:tab/>
        <w:t>scaffolding, conforming to the provisions of this regulation, shall be used but if scaffolding of the light swinging stage type is used it shall be suspended by flexible steel wire rope instead of fibre rope;</w:t>
      </w:r>
    </w:p>
    <w:p w:rsidR="00AF2508" w:rsidRDefault="00AF2508">
      <w:pPr>
        <w:pStyle w:val="Apara"/>
      </w:pPr>
      <w:r>
        <w:tab/>
        <w:t>(b)</w:t>
      </w:r>
      <w:r>
        <w:tab/>
        <w:t>the use of fibre rope in connection with any scaffolding for this purpose is prohibited;</w:t>
      </w:r>
    </w:p>
    <w:p w:rsidR="00AF2508" w:rsidRDefault="00AF2508">
      <w:pPr>
        <w:pStyle w:val="Apara"/>
      </w:pPr>
      <w:r>
        <w:tab/>
        <w:t>(c)</w:t>
      </w:r>
      <w:r>
        <w:tab/>
        <w:t>a highly dilute solution (not more than 5%) of hydrochloric (muriatic) acid or hydrofluoric acid shall be used;</w:t>
      </w:r>
    </w:p>
    <w:p w:rsidR="00AF2508" w:rsidRDefault="00AF2508">
      <w:pPr>
        <w:pStyle w:val="Apara"/>
      </w:pPr>
      <w:r>
        <w:tab/>
        <w:t>(d)</w:t>
      </w:r>
      <w:r>
        <w:tab/>
        <w:t>the window cleaner shall wear rubber gloves and shall apply the acid solution with a brush;</w:t>
      </w:r>
    </w:p>
    <w:p w:rsidR="00AF2508" w:rsidRDefault="00AF2508">
      <w:pPr>
        <w:pStyle w:val="Apara"/>
      </w:pPr>
      <w:r>
        <w:tab/>
        <w:t>(e)</w:t>
      </w:r>
      <w:r>
        <w:tab/>
        <w:t>all parts of the scaffolding and other equipment so used shall be liberally washed with water after each use to prevent corrosive reactions.</w:t>
      </w:r>
    </w:p>
    <w:p w:rsidR="00AF2508" w:rsidRDefault="00AF2508">
      <w:pPr>
        <w:pStyle w:val="Assectheading"/>
      </w:pPr>
      <w:r>
        <w:t>General requirements—</w:t>
      </w:r>
      <w:r>
        <w:rPr>
          <w:rStyle w:val="charItals"/>
          <w:i/>
        </w:rPr>
        <w:t>maintenance of equipment</w:t>
      </w:r>
    </w:p>
    <w:p w:rsidR="00AF2508" w:rsidRDefault="00AF2508">
      <w:pPr>
        <w:pStyle w:val="Amain"/>
      </w:pPr>
      <w:r>
        <w:tab/>
        <w:t>(15)</w:t>
      </w:r>
      <w:r>
        <w:tab/>
        <w:t>All equipment and safety devices required by this section shall be maintained by the owners of them in good order and condition and in accordance with this regulation.</w:t>
      </w:r>
    </w:p>
    <w:p w:rsidR="00AF2508" w:rsidRDefault="00AF2508">
      <w:pPr>
        <w:pStyle w:val="Assectheading"/>
      </w:pPr>
      <w:r>
        <w:t>General requirements—</w:t>
      </w:r>
      <w:r>
        <w:rPr>
          <w:rStyle w:val="charItals"/>
          <w:i/>
        </w:rPr>
        <w:t>detachable draft deflectors</w:t>
      </w:r>
    </w:p>
    <w:p w:rsidR="00AF2508" w:rsidRDefault="00AF2508">
      <w:pPr>
        <w:pStyle w:val="Amain"/>
      </w:pPr>
      <w:r>
        <w:tab/>
        <w:t>(16)</w:t>
      </w:r>
      <w:r>
        <w:tab/>
        <w:t>Detachable draft deflectors fitted to window openings shall be removed before a window cleaning operation is begun.</w:t>
      </w:r>
    </w:p>
    <w:p w:rsidR="00AF2508" w:rsidRDefault="00AF2508">
      <w:pPr>
        <w:pStyle w:val="Assectheading"/>
      </w:pPr>
      <w:r>
        <w:t>General requirements—</w:t>
      </w:r>
      <w:r>
        <w:rPr>
          <w:rStyle w:val="charItals"/>
          <w:i/>
        </w:rPr>
        <w:t>broken sash chains or cords</w:t>
      </w:r>
    </w:p>
    <w:p w:rsidR="00AF2508" w:rsidRDefault="00AF2508">
      <w:pPr>
        <w:pStyle w:val="Amain"/>
      </w:pPr>
      <w:r>
        <w:tab/>
        <w:t>(17)</w:t>
      </w:r>
      <w:r>
        <w:tab/>
        <w:t>No person shall clean a window having broken sash chains or cords.</w:t>
      </w:r>
    </w:p>
    <w:p w:rsidR="00AF2508" w:rsidRDefault="00AF2508">
      <w:pPr>
        <w:pStyle w:val="Assectheading"/>
      </w:pPr>
      <w:r>
        <w:t>General requirements—</w:t>
      </w:r>
      <w:r>
        <w:rPr>
          <w:rStyle w:val="charItals"/>
          <w:i/>
        </w:rPr>
        <w:t>skilled operators for scaffolding and boatswain’s chairs</w:t>
      </w:r>
    </w:p>
    <w:p w:rsidR="00AF2508" w:rsidRDefault="00AF2508">
      <w:pPr>
        <w:pStyle w:val="Amain"/>
      </w:pPr>
      <w:r>
        <w:tab/>
        <w:t>(18)</w:t>
      </w:r>
      <w:r>
        <w:tab/>
        <w:t>Only experienced and properly trained persons shall be permitted or employed to clean windows by working on scaffolding or in boatswain’s chairs.</w:t>
      </w:r>
    </w:p>
    <w:p w:rsidR="00AF2508" w:rsidRDefault="00AF2508">
      <w:pPr>
        <w:pStyle w:val="Assectheading"/>
      </w:pPr>
      <w:r>
        <w:t>General requirements—s</w:t>
      </w:r>
      <w:r>
        <w:rPr>
          <w:rStyle w:val="charItals"/>
          <w:i/>
        </w:rPr>
        <w:t>crews and expansion bolts</w:t>
      </w:r>
    </w:p>
    <w:p w:rsidR="00AF2508" w:rsidRDefault="00AF2508">
      <w:pPr>
        <w:pStyle w:val="Amain"/>
      </w:pPr>
      <w:r>
        <w:tab/>
        <w:t>(19)</w:t>
      </w:r>
      <w:r>
        <w:tab/>
        <w:t>No person shall use wood screws, coach screws, or expansion bolts as a means of fastening anchors.</w:t>
      </w:r>
    </w:p>
    <w:p w:rsidR="00AF2508" w:rsidRDefault="00AF2508">
      <w:pPr>
        <w:pStyle w:val="Assectheading"/>
      </w:pPr>
      <w:r>
        <w:t>General requirements—p</w:t>
      </w:r>
      <w:r>
        <w:rPr>
          <w:rStyle w:val="charItals"/>
          <w:i/>
        </w:rPr>
        <w:t>assing from window to window prohibited</w:t>
      </w:r>
    </w:p>
    <w:p w:rsidR="00AF2508" w:rsidRDefault="00AF2508">
      <w:pPr>
        <w:pStyle w:val="Amain"/>
      </w:pPr>
      <w:r>
        <w:tab/>
        <w:t>(20)</w:t>
      </w:r>
      <w:r>
        <w:tab/>
        <w:t>A window cleaner shall not pass on the outside of a building from one window to another window.</w:t>
      </w:r>
    </w:p>
    <w:p w:rsidR="00AF2508" w:rsidRDefault="00AF2508">
      <w:pPr>
        <w:pStyle w:val="Assectheading"/>
      </w:pPr>
      <w:r>
        <w:t>General requirements—w</w:t>
      </w:r>
      <w:r>
        <w:rPr>
          <w:rStyle w:val="charItals"/>
          <w:i/>
        </w:rPr>
        <w:t>ide fixed sash windows</w:t>
      </w:r>
    </w:p>
    <w:p w:rsidR="00AF2508" w:rsidRDefault="00AF2508">
      <w:pPr>
        <w:pStyle w:val="Amain"/>
      </w:pPr>
      <w:r>
        <w:tab/>
        <w:t>(21)</w:t>
      </w:r>
      <w:r>
        <w:tab/>
        <w:t>Wide fixed sash windows, having adjacent to them an openable small window separated by a mullion from it, shall have 2 anchors installed on each mullion.</w:t>
      </w:r>
    </w:p>
    <w:p w:rsidR="00AF2508" w:rsidRDefault="00AF2508">
      <w:pPr>
        <w:pStyle w:val="Amain"/>
      </w:pPr>
      <w:r>
        <w:tab/>
        <w:t>(22)</w:t>
      </w:r>
      <w:r>
        <w:tab/>
        <w:t xml:space="preserve">The window cleaner shall attach both safety strap or line terminals to the anchors on 1 mullion so as to permit </w:t>
      </w:r>
      <w:r>
        <w:rPr>
          <w:position w:val="6"/>
          <w:sz w:val="18"/>
        </w:rPr>
        <w:t>1</w:t>
      </w:r>
      <w:r>
        <w:t>/</w:t>
      </w:r>
      <w:r>
        <w:rPr>
          <w:sz w:val="18"/>
        </w:rPr>
        <w:t>2</w:t>
      </w:r>
      <w:r>
        <w:t xml:space="preserve"> of the larger window to be cleaned from each side.</w:t>
      </w:r>
    </w:p>
    <w:p w:rsidR="00AF2508" w:rsidRDefault="00AF2508">
      <w:pPr>
        <w:pStyle w:val="Assectheading"/>
      </w:pPr>
      <w:r>
        <w:t>General requirements—w</w:t>
      </w:r>
      <w:r>
        <w:rPr>
          <w:rStyle w:val="charItals"/>
          <w:i/>
        </w:rPr>
        <w:t>ide window frames</w:t>
      </w:r>
    </w:p>
    <w:p w:rsidR="00AF2508" w:rsidRDefault="00AF2508">
      <w:pPr>
        <w:pStyle w:val="Amain"/>
      </w:pPr>
      <w:r>
        <w:tab/>
        <w:t>(23)</w:t>
      </w:r>
      <w:r>
        <w:tab/>
        <w:t>In buildings where the width of a window frame exceeds 6 feet there shall be installed special approved anchors, additional to other anchors, required by this section, at each side of the window frame.</w:t>
      </w:r>
    </w:p>
    <w:p w:rsidR="00AF2508" w:rsidRDefault="00AF2508">
      <w:pPr>
        <w:pStyle w:val="Amain"/>
      </w:pPr>
      <w:r>
        <w:tab/>
        <w:t>(24)</w:t>
      </w:r>
      <w:r>
        <w:tab/>
        <w:t>These special anchors shall be set 42 inches above the window sill.</w:t>
      </w:r>
    </w:p>
    <w:p w:rsidR="00AF2508" w:rsidRDefault="00AF2508">
      <w:pPr>
        <w:pStyle w:val="Amain"/>
      </w:pPr>
      <w:r>
        <w:tab/>
        <w:t>(25)</w:t>
      </w:r>
      <w:r>
        <w:tab/>
        <w:t>The owner shall provide for each such window, when it is being cleaned, an approved cable to be attached to the special anchors to form a back support for the window cleaner.</w:t>
      </w:r>
    </w:p>
    <w:p w:rsidR="00AF2508" w:rsidRDefault="00AF2508">
      <w:pPr>
        <w:pStyle w:val="Assectheading"/>
        <w:rPr>
          <w:i w:val="0"/>
        </w:rPr>
      </w:pPr>
      <w:r>
        <w:rPr>
          <w:rStyle w:val="charItals"/>
          <w:i/>
        </w:rPr>
        <w:t>Installation and maintenance of anchors</w:t>
      </w:r>
      <w:r>
        <w:rPr>
          <w:i w:val="0"/>
          <w:color w:val="000000"/>
        </w:rPr>
        <w:t>—a</w:t>
      </w:r>
      <w:r>
        <w:rPr>
          <w:rStyle w:val="charItals"/>
          <w:i/>
        </w:rPr>
        <w:t>nchors for all buildings</w:t>
      </w:r>
    </w:p>
    <w:p w:rsidR="00AF2508" w:rsidRDefault="00AF2508">
      <w:pPr>
        <w:pStyle w:val="Amain"/>
      </w:pPr>
      <w:r>
        <w:tab/>
        <w:t>(26)</w:t>
      </w:r>
      <w:r>
        <w:tab/>
        <w:t>All anchors required by this section shall be installed as specified in this section except as may be otherwise approved.</w:t>
      </w:r>
    </w:p>
    <w:p w:rsidR="00AF2508" w:rsidRDefault="00AF2508">
      <w:pPr>
        <w:pStyle w:val="Amain"/>
      </w:pPr>
      <w:r>
        <w:tab/>
        <w:t>(27)</w:t>
      </w:r>
      <w:r>
        <w:tab/>
        <w:t>All anchors and anchor fastenings shall be provided with means to prevent them inadvertently turning, backing off or becoming loose.</w:t>
      </w:r>
    </w:p>
    <w:p w:rsidR="00AF2508" w:rsidRDefault="00AF2508">
      <w:pPr>
        <w:pStyle w:val="Assectheading"/>
        <w:rPr>
          <w:i w:val="0"/>
        </w:rPr>
      </w:pPr>
      <w:r>
        <w:rPr>
          <w:rStyle w:val="charItals"/>
          <w:i/>
        </w:rPr>
        <w:t>Installation and maintenance of anchors</w:t>
      </w:r>
      <w:r>
        <w:rPr>
          <w:i w:val="0"/>
          <w:color w:val="000000"/>
        </w:rPr>
        <w:t>—a</w:t>
      </w:r>
      <w:r>
        <w:rPr>
          <w:rStyle w:val="charItals"/>
          <w:i/>
        </w:rPr>
        <w:t>nchor location</w:t>
      </w:r>
    </w:p>
    <w:p w:rsidR="00AF2508" w:rsidRDefault="00AF2508">
      <w:pPr>
        <w:pStyle w:val="Amain"/>
      </w:pPr>
      <w:r>
        <w:tab/>
        <w:t>(28)</w:t>
      </w:r>
      <w:r>
        <w:tab/>
        <w:t>Anchors shall be attached to the side frames of the window or to the building at a point not less than 44 inches nor more than 51 inches above the window sill.</w:t>
      </w:r>
    </w:p>
    <w:p w:rsidR="00AF2508" w:rsidRDefault="00AF2508">
      <w:pPr>
        <w:pStyle w:val="Amain"/>
      </w:pPr>
      <w:r>
        <w:tab/>
        <w:t>(29)</w:t>
      </w:r>
      <w:r>
        <w:tab/>
        <w:t>Care shall be taken, when screwing up anchor fastenings, to prevent producing excess stresses.</w:t>
      </w:r>
    </w:p>
    <w:p w:rsidR="00AF2508" w:rsidRDefault="00AF2508">
      <w:pPr>
        <w:pStyle w:val="Assectheading"/>
        <w:rPr>
          <w:i w:val="0"/>
        </w:rPr>
      </w:pPr>
      <w:r>
        <w:rPr>
          <w:rStyle w:val="charItals"/>
          <w:i/>
        </w:rPr>
        <w:t>Installation and maintenance of anchors</w:t>
      </w:r>
      <w:r>
        <w:rPr>
          <w:i w:val="0"/>
          <w:color w:val="000000"/>
        </w:rPr>
        <w:t>—</w:t>
      </w:r>
      <w:r>
        <w:rPr>
          <w:color w:val="000000"/>
        </w:rPr>
        <w:t>t</w:t>
      </w:r>
      <w:r>
        <w:rPr>
          <w:rStyle w:val="charItals"/>
          <w:i/>
        </w:rPr>
        <w:t>imber—existing and new buildings</w:t>
      </w:r>
    </w:p>
    <w:p w:rsidR="00AF2508" w:rsidRDefault="00AF2508">
      <w:pPr>
        <w:pStyle w:val="Amain"/>
        <w:keepLines/>
      </w:pPr>
      <w:r>
        <w:tab/>
        <w:t>(30)</w:t>
      </w:r>
      <w:r>
        <w:tab/>
        <w:t xml:space="preserve">Anchors shall be attached to timber or metal-covered timber window frames by bolts of not less than </w:t>
      </w:r>
      <w:r>
        <w:rPr>
          <w:position w:val="6"/>
          <w:sz w:val="18"/>
        </w:rPr>
        <w:t>3</w:t>
      </w:r>
      <w:r>
        <w:t>/</w:t>
      </w:r>
      <w:r>
        <w:rPr>
          <w:sz w:val="18"/>
        </w:rPr>
        <w:t>8</w:t>
      </w:r>
      <w:r>
        <w:t xml:space="preserve"> of an inch in diameter that shall pass through the entire window frame and shall be securely fastened by a nut and washer.</w:t>
      </w:r>
    </w:p>
    <w:p w:rsidR="00AF2508" w:rsidRDefault="00AF2508">
      <w:pPr>
        <w:pStyle w:val="Amain"/>
      </w:pPr>
      <w:r>
        <w:tab/>
        <w:t>(31)</w:t>
      </w:r>
      <w:r>
        <w:tab/>
        <w:t>The diameter of the washer shall be at least twice the diameter of the bolt hole.</w:t>
      </w:r>
    </w:p>
    <w:p w:rsidR="00AF2508" w:rsidRDefault="00AF2508">
      <w:pPr>
        <w:pStyle w:val="Amain"/>
      </w:pPr>
      <w:r>
        <w:tab/>
        <w:t>(32)</w:t>
      </w:r>
      <w:r>
        <w:tab/>
        <w:t>The ends of the bolts shall be upset to prevent loosening or removal of the nuts.</w:t>
      </w:r>
    </w:p>
    <w:p w:rsidR="00AF2508" w:rsidRDefault="00AF2508">
      <w:pPr>
        <w:pStyle w:val="Amain"/>
      </w:pPr>
      <w:r>
        <w:tab/>
        <w:t>(33)</w:t>
      </w:r>
      <w:r>
        <w:tab/>
        <w:t>The back face of anchors for installation on timber window frames or mullions shall be provided with at least 2 sharp lugs to prevent turning of the anchor after installation, or other equally effective methods may be used.</w:t>
      </w:r>
    </w:p>
    <w:p w:rsidR="00AF2508" w:rsidRDefault="00AF2508">
      <w:pPr>
        <w:pStyle w:val="Assectheading"/>
        <w:rPr>
          <w:i w:val="0"/>
        </w:rPr>
      </w:pPr>
      <w:r>
        <w:rPr>
          <w:rStyle w:val="charItals"/>
          <w:i/>
        </w:rPr>
        <w:t>Installation and maintenance of anchors</w:t>
      </w:r>
      <w:r>
        <w:rPr>
          <w:i w:val="0"/>
          <w:color w:val="000000"/>
        </w:rPr>
        <w:t>—</w:t>
      </w:r>
      <w:r>
        <w:rPr>
          <w:color w:val="000000"/>
        </w:rPr>
        <w:t>m</w:t>
      </w:r>
      <w:r>
        <w:rPr>
          <w:rStyle w:val="charItals"/>
          <w:i/>
        </w:rPr>
        <w:t>asonry and brickwork—new buildings</w:t>
      </w:r>
    </w:p>
    <w:p w:rsidR="00AF2508" w:rsidRDefault="00AF2508">
      <w:pPr>
        <w:pStyle w:val="Amain"/>
      </w:pPr>
      <w:r>
        <w:tab/>
        <w:t>(34)</w:t>
      </w:r>
      <w:r>
        <w:tab/>
        <w:t>Anchors attached to walls of masonry or brickwork units, erected after 19 September 1957, shall be installed while the wall is under construction and shall be shaped to build into the joints between masonry or brickwork units.</w:t>
      </w:r>
    </w:p>
    <w:p w:rsidR="00AF2508" w:rsidRDefault="00AF2508">
      <w:pPr>
        <w:pStyle w:val="Amain"/>
      </w:pPr>
      <w:r>
        <w:tab/>
        <w:t>(35)</w:t>
      </w:r>
      <w:r>
        <w:tab/>
        <w:t>The anchors shall be not less than 8 inches long, have a cross</w:t>
      </w:r>
      <w:r>
        <w:noBreakHyphen/>
        <w:t xml:space="preserve">sectional area of not less than </w:t>
      </w:r>
      <w:r>
        <w:rPr>
          <w:position w:val="6"/>
          <w:sz w:val="18"/>
        </w:rPr>
        <w:t>1</w:t>
      </w:r>
      <w:r>
        <w:t>/</w:t>
      </w:r>
      <w:r>
        <w:rPr>
          <w:sz w:val="18"/>
        </w:rPr>
        <w:t>4</w:t>
      </w:r>
      <w:r>
        <w:t xml:space="preserve"> of a square inch, have a fluke or flukes having a holding surface of not less than 1 inch in length and, be firmly embedded in the masonry or brickwork.</w:t>
      </w:r>
    </w:p>
    <w:p w:rsidR="00AF2508" w:rsidRDefault="00AF2508">
      <w:pPr>
        <w:pStyle w:val="Assectheading"/>
        <w:rPr>
          <w:i w:val="0"/>
        </w:rPr>
      </w:pPr>
      <w:r>
        <w:rPr>
          <w:rStyle w:val="charItals"/>
          <w:i/>
        </w:rPr>
        <w:t>Installation and maintenance of anchors</w:t>
      </w:r>
      <w:r>
        <w:rPr>
          <w:i w:val="0"/>
          <w:color w:val="000000"/>
        </w:rPr>
        <w:t>—</w:t>
      </w:r>
      <w:r>
        <w:rPr>
          <w:color w:val="000000"/>
        </w:rPr>
        <w:t>m</w:t>
      </w:r>
      <w:r>
        <w:rPr>
          <w:rStyle w:val="charItals"/>
          <w:i/>
        </w:rPr>
        <w:t>asonry and brickwork—existing buildings</w:t>
      </w:r>
    </w:p>
    <w:p w:rsidR="00AF2508" w:rsidRDefault="00AF2508">
      <w:pPr>
        <w:pStyle w:val="Amain"/>
        <w:keepLines/>
      </w:pPr>
      <w:r>
        <w:tab/>
        <w:t>(36)</w:t>
      </w:r>
      <w:r>
        <w:tab/>
        <w:t>Anchors shall not be installed in existing masonry or brickwork but shall be attached to the window frames in accordance with subsections (30) to (33), subsection (38) or subsections (39) to (42), as the case may be.</w:t>
      </w:r>
    </w:p>
    <w:p w:rsidR="00AF2508" w:rsidRDefault="00AF2508">
      <w:pPr>
        <w:pStyle w:val="Assectheading"/>
        <w:rPr>
          <w:i w:val="0"/>
        </w:rPr>
      </w:pPr>
      <w:r>
        <w:rPr>
          <w:rStyle w:val="charItals"/>
          <w:i/>
        </w:rPr>
        <w:t>Installation and maintenance of anchors</w:t>
      </w:r>
      <w:r>
        <w:rPr>
          <w:i w:val="0"/>
          <w:color w:val="000000"/>
        </w:rPr>
        <w:t>—</w:t>
      </w:r>
      <w:r>
        <w:rPr>
          <w:color w:val="000000"/>
        </w:rPr>
        <w:t>c</w:t>
      </w:r>
      <w:r>
        <w:rPr>
          <w:rStyle w:val="charItals"/>
          <w:i/>
        </w:rPr>
        <w:t>oncrete—new and existing buildings</w:t>
      </w:r>
    </w:p>
    <w:p w:rsidR="00AF2508" w:rsidRDefault="00AF2508">
      <w:pPr>
        <w:pStyle w:val="Amain"/>
        <w:keepLines/>
      </w:pPr>
      <w:r>
        <w:tab/>
        <w:t>(37)</w:t>
      </w:r>
      <w:r>
        <w:tab/>
        <w:t>Anchors shall not be installed in new or existing concrete but shall be attached to the window frames in accordance with subsections (30) to (33), subsection (38) or subsections (39) to (42), as the case may be.</w:t>
      </w:r>
    </w:p>
    <w:p w:rsidR="00AF2508" w:rsidRDefault="00AF2508">
      <w:pPr>
        <w:pStyle w:val="Assectheading"/>
        <w:rPr>
          <w:i w:val="0"/>
        </w:rPr>
      </w:pPr>
      <w:r>
        <w:rPr>
          <w:rStyle w:val="charItals"/>
          <w:i/>
        </w:rPr>
        <w:t>Installation and maintenance of anchors</w:t>
      </w:r>
      <w:r>
        <w:rPr>
          <w:i w:val="0"/>
          <w:color w:val="000000"/>
        </w:rPr>
        <w:t>—</w:t>
      </w:r>
      <w:r>
        <w:rPr>
          <w:rStyle w:val="charItals"/>
          <w:i/>
        </w:rPr>
        <w:t>hollow metal—existing and new buildings</w:t>
      </w:r>
    </w:p>
    <w:p w:rsidR="00AF2508" w:rsidRDefault="00AF2508">
      <w:pPr>
        <w:pStyle w:val="Amain"/>
      </w:pPr>
      <w:r>
        <w:tab/>
        <w:t>(38)</w:t>
      </w:r>
      <w:r>
        <w:tab/>
        <w:t>Anchors shall be attached to hollow metal construction as follows:</w:t>
      </w:r>
    </w:p>
    <w:p w:rsidR="00AF2508" w:rsidRDefault="00AF2508">
      <w:pPr>
        <w:pStyle w:val="Apara"/>
      </w:pPr>
      <w:r>
        <w:tab/>
        <w:t>(a)</w:t>
      </w:r>
      <w:r>
        <w:tab/>
        <w:t xml:space="preserve">at least 2 bolts not less than </w:t>
      </w:r>
      <w:r>
        <w:rPr>
          <w:position w:val="6"/>
          <w:sz w:val="18"/>
        </w:rPr>
        <w:t>3</w:t>
      </w:r>
      <w:r>
        <w:t>/</w:t>
      </w:r>
      <w:r>
        <w:rPr>
          <w:sz w:val="18"/>
        </w:rPr>
        <w:t>8</w:t>
      </w:r>
      <w:r>
        <w:t xml:space="preserve"> of an inch in diameter and of proper length shall pass through the frame and a steel reinforcing plate at least </w:t>
      </w:r>
      <w:r>
        <w:rPr>
          <w:position w:val="6"/>
          <w:sz w:val="18"/>
        </w:rPr>
        <w:t>5</w:t>
      </w:r>
      <w:r>
        <w:t>/</w:t>
      </w:r>
      <w:r>
        <w:rPr>
          <w:sz w:val="18"/>
        </w:rPr>
        <w:t>16</w:t>
      </w:r>
      <w:r>
        <w:t xml:space="preserve"> of an inch thick, not less than 6 inches long and </w:t>
      </w:r>
      <w:r>
        <w:rPr>
          <w:position w:val="6"/>
          <w:sz w:val="18"/>
        </w:rPr>
        <w:t>3</w:t>
      </w:r>
      <w:r>
        <w:t>/</w:t>
      </w:r>
      <w:r>
        <w:rPr>
          <w:sz w:val="18"/>
        </w:rPr>
        <w:t>4</w:t>
      </w:r>
      <w:r>
        <w:t xml:space="preserve"> of an inch wide, placed on the inside of the frame and secured by means of nuts and lock washers;</w:t>
      </w:r>
    </w:p>
    <w:p w:rsidR="00AF2508" w:rsidRDefault="00AF2508">
      <w:pPr>
        <w:pStyle w:val="Apara"/>
      </w:pPr>
      <w:r>
        <w:tab/>
        <w:t>(b)</w:t>
      </w:r>
      <w:r>
        <w:tab/>
        <w:t xml:space="preserve">if it is impracticable to provide nuts and lock washers the reinforcing plate may be tapped to receive </w:t>
      </w:r>
      <w:r>
        <w:rPr>
          <w:position w:val="6"/>
          <w:sz w:val="18"/>
        </w:rPr>
        <w:t>3</w:t>
      </w:r>
      <w:r>
        <w:t>/</w:t>
      </w:r>
      <w:r>
        <w:rPr>
          <w:sz w:val="18"/>
        </w:rPr>
        <w:t>8</w:t>
      </w:r>
      <w:r>
        <w:t xml:space="preserve"> inch diameter machine screws and machine screws shall pass through the plate;</w:t>
      </w:r>
    </w:p>
    <w:p w:rsidR="00AF2508" w:rsidRDefault="00AF2508">
      <w:pPr>
        <w:pStyle w:val="Apara"/>
      </w:pPr>
      <w:r>
        <w:tab/>
        <w:t>(c)</w:t>
      </w:r>
      <w:r>
        <w:tab/>
        <w:t xml:space="preserve">if the screw bolt is an integral part of the anchor—it shall be at least </w:t>
      </w:r>
      <w:r>
        <w:rPr>
          <w:position w:val="6"/>
          <w:sz w:val="18"/>
        </w:rPr>
        <w:t>1</w:t>
      </w:r>
      <w:r>
        <w:t>/</w:t>
      </w:r>
      <w:r>
        <w:rPr>
          <w:sz w:val="18"/>
        </w:rPr>
        <w:t>2</w:t>
      </w:r>
      <w:r>
        <w:t xml:space="preserve"> inch in diameter and shall be secured by means of a nut and lock washer and a steel reinforcing plate as described in paragraphs (a) and (b) or it may be screwed into a tapped hole in the reinforcing plate;</w:t>
      </w:r>
    </w:p>
    <w:p w:rsidR="00AF2508" w:rsidRDefault="00AF2508">
      <w:pPr>
        <w:pStyle w:val="Apara"/>
      </w:pPr>
      <w:r>
        <w:tab/>
        <w:t>(d)</w:t>
      </w:r>
      <w:r>
        <w:tab/>
        <w:t>all anchors and anchor fastenings shall be provided with means to prevent them from turning, backing off or becoming loose.</w:t>
      </w:r>
    </w:p>
    <w:p w:rsidR="00AF2508" w:rsidRDefault="00AF2508">
      <w:pPr>
        <w:pStyle w:val="Assectheading"/>
        <w:rPr>
          <w:i w:val="0"/>
        </w:rPr>
      </w:pPr>
      <w:r>
        <w:rPr>
          <w:rStyle w:val="charItals"/>
          <w:i/>
        </w:rPr>
        <w:t>Installation and maintenance of anchors</w:t>
      </w:r>
      <w:r>
        <w:rPr>
          <w:i w:val="0"/>
          <w:color w:val="000000"/>
        </w:rPr>
        <w:t>—</w:t>
      </w:r>
      <w:r>
        <w:rPr>
          <w:rStyle w:val="charItals"/>
          <w:i/>
        </w:rPr>
        <w:t>solid metal—existing and new buildings</w:t>
      </w:r>
    </w:p>
    <w:p w:rsidR="00AF2508" w:rsidRDefault="00AF2508">
      <w:pPr>
        <w:pStyle w:val="Amain"/>
        <w:keepLines/>
      </w:pPr>
      <w:r>
        <w:tab/>
        <w:t>(39)</w:t>
      </w:r>
      <w:r>
        <w:tab/>
        <w:t xml:space="preserve">Anchors shall be attached to solid metal frames by at least 2 bolts not less than </w:t>
      </w:r>
      <w:r>
        <w:rPr>
          <w:position w:val="6"/>
          <w:sz w:val="18"/>
        </w:rPr>
        <w:t>3</w:t>
      </w:r>
      <w:r>
        <w:t>/</w:t>
      </w:r>
      <w:r>
        <w:rPr>
          <w:sz w:val="18"/>
        </w:rPr>
        <w:t>8</w:t>
      </w:r>
      <w:r>
        <w:t xml:space="preserve"> of an inch in diameter and of proper length, which shall pass through the frame and be secured on the inside by a nut and lock washer.</w:t>
      </w:r>
    </w:p>
    <w:p w:rsidR="00AF2508" w:rsidRDefault="00AF2508">
      <w:pPr>
        <w:pStyle w:val="Amain"/>
      </w:pPr>
      <w:r>
        <w:tab/>
        <w:t>(40)</w:t>
      </w:r>
      <w:r>
        <w:tab/>
        <w:t>However, if it is impracticable to provide such nuts and lock washers, the frame shall be tapped its entire thickness and the screw fastenings shall extend through the frame.</w:t>
      </w:r>
    </w:p>
    <w:p w:rsidR="00AF2508" w:rsidRDefault="00AF2508">
      <w:pPr>
        <w:pStyle w:val="Amain"/>
      </w:pPr>
      <w:r>
        <w:tab/>
        <w:t>(41)</w:t>
      </w:r>
      <w:r>
        <w:tab/>
        <w:t xml:space="preserve">In such instances at least </w:t>
      </w:r>
      <w:r>
        <w:rPr>
          <w:position w:val="6"/>
          <w:sz w:val="18"/>
        </w:rPr>
        <w:t>5</w:t>
      </w:r>
      <w:r>
        <w:t>/</w:t>
      </w:r>
      <w:r>
        <w:rPr>
          <w:sz w:val="18"/>
        </w:rPr>
        <w:t>16</w:t>
      </w:r>
      <w:r>
        <w:t xml:space="preserve"> of an inch of thread shall be provided in the frame, otherwise a tapped reinforcing plate as specified in subsection (38).</w:t>
      </w:r>
    </w:p>
    <w:p w:rsidR="00AF2508" w:rsidRDefault="00AF2508">
      <w:pPr>
        <w:pStyle w:val="Amain"/>
      </w:pPr>
      <w:r>
        <w:tab/>
        <w:t>(42)</w:t>
      </w:r>
      <w:r>
        <w:tab/>
        <w:t>If the screw bolt is an integral part of the anchor, it shall be at least </w:t>
      </w:r>
      <w:r>
        <w:rPr>
          <w:position w:val="6"/>
          <w:sz w:val="18"/>
        </w:rPr>
        <w:t>1</w:t>
      </w:r>
      <w:r>
        <w:t>/</w:t>
      </w:r>
      <w:r>
        <w:rPr>
          <w:sz w:val="18"/>
        </w:rPr>
        <w:t>2</w:t>
      </w:r>
      <w:r>
        <w:t xml:space="preserve"> an inch in diameter and shall be secured to the frame by means of a nut and lock washer or the frame member may be tapped through to receive the screw bolt provided the metal is at least </w:t>
      </w:r>
      <w:r>
        <w:rPr>
          <w:position w:val="6"/>
          <w:sz w:val="18"/>
        </w:rPr>
        <w:t>3</w:t>
      </w:r>
      <w:r>
        <w:t>/</w:t>
      </w:r>
      <w:r>
        <w:rPr>
          <w:sz w:val="18"/>
        </w:rPr>
        <w:t>8</w:t>
      </w:r>
      <w:r>
        <w:t xml:space="preserve"> of an inch thick.</w:t>
      </w:r>
    </w:p>
    <w:p w:rsidR="00AF2508" w:rsidRDefault="00AF2508">
      <w:pPr>
        <w:pStyle w:val="Assectheading"/>
        <w:rPr>
          <w:i w:val="0"/>
        </w:rPr>
      </w:pPr>
      <w:r>
        <w:rPr>
          <w:rStyle w:val="charItals"/>
          <w:i/>
        </w:rPr>
        <w:t>Installation and maintenance of anchors</w:t>
      </w:r>
      <w:r>
        <w:rPr>
          <w:i w:val="0"/>
          <w:color w:val="000000"/>
        </w:rPr>
        <w:t>—</w:t>
      </w:r>
      <w:r>
        <w:rPr>
          <w:rStyle w:val="charItals"/>
          <w:i/>
        </w:rPr>
        <w:t>maintenance of anchors</w:t>
      </w:r>
    </w:p>
    <w:p w:rsidR="00AF2508" w:rsidRDefault="00AF2508">
      <w:pPr>
        <w:pStyle w:val="Amain"/>
      </w:pPr>
      <w:r>
        <w:tab/>
        <w:t>(43)</w:t>
      </w:r>
      <w:r>
        <w:tab/>
        <w:t>The owner of every building shall maintain all anchor installations in a safe condition.</w:t>
      </w:r>
    </w:p>
    <w:p w:rsidR="00AF2508" w:rsidRDefault="00AF2508">
      <w:pPr>
        <w:pStyle w:val="Assectheading"/>
        <w:rPr>
          <w:i w:val="0"/>
        </w:rPr>
      </w:pPr>
      <w:r>
        <w:rPr>
          <w:rStyle w:val="charItals"/>
          <w:i/>
        </w:rPr>
        <w:t>Anchor material and specifications</w:t>
      </w:r>
      <w:r>
        <w:rPr>
          <w:i w:val="0"/>
          <w:color w:val="000000"/>
        </w:rPr>
        <w:t>—</w:t>
      </w:r>
      <w:r>
        <w:rPr>
          <w:rStyle w:val="charItals"/>
          <w:i/>
        </w:rPr>
        <w:t>anchors</w:t>
      </w:r>
    </w:p>
    <w:p w:rsidR="00AF2508" w:rsidRDefault="00AF2508">
      <w:pPr>
        <w:pStyle w:val="Amain"/>
      </w:pPr>
      <w:r>
        <w:tab/>
        <w:t>(44)</w:t>
      </w:r>
      <w:r>
        <w:tab/>
        <w:t>Anchors shall not be made of any of the copper base alloys such as brass, bronze, silicon bronze, aluminium bronze or similar alloys.</w:t>
      </w:r>
    </w:p>
    <w:p w:rsidR="00AF2508" w:rsidRDefault="00AF2508">
      <w:pPr>
        <w:pStyle w:val="Amain"/>
      </w:pPr>
      <w:r>
        <w:tab/>
        <w:t>(45)</w:t>
      </w:r>
      <w:r>
        <w:tab/>
        <w:t>Anchors shall not be cast but shall be forged or machined from approved corrosion resistant rolled metal alloy.</w:t>
      </w:r>
    </w:p>
    <w:p w:rsidR="00AF2508" w:rsidRDefault="00AF2508">
      <w:pPr>
        <w:pStyle w:val="Amain"/>
      </w:pPr>
      <w:r>
        <w:tab/>
        <w:t>(46)</w:t>
      </w:r>
      <w:r>
        <w:tab/>
        <w:t>Every forging made of such alloy shall be heat treated in an approved way.</w:t>
      </w:r>
    </w:p>
    <w:p w:rsidR="00AF2508" w:rsidRDefault="00AF2508">
      <w:pPr>
        <w:pStyle w:val="Amain"/>
      </w:pPr>
      <w:r>
        <w:tab/>
        <w:t>(47)</w:t>
      </w:r>
      <w:r>
        <w:tab/>
        <w:t>Every anchor shall be free of imperfections and all corners of an anchor shall be properly filleted or rounded.</w:t>
      </w:r>
    </w:p>
    <w:p w:rsidR="00AF2508" w:rsidRDefault="00AF2508">
      <w:pPr>
        <w:pStyle w:val="Amain"/>
      </w:pPr>
      <w:r>
        <w:tab/>
        <w:t>(48)</w:t>
      </w:r>
      <w:r>
        <w:tab/>
        <w:t>If bolt or set screw fastenings are used, the forgings shall be spot faced to receive the bolt or set screw head.</w:t>
      </w:r>
    </w:p>
    <w:p w:rsidR="00AF2508" w:rsidRDefault="00AF2508">
      <w:pPr>
        <w:pStyle w:val="Amain"/>
      </w:pPr>
      <w:r>
        <w:tab/>
        <w:t>(49)</w:t>
      </w:r>
      <w:r>
        <w:tab/>
        <w:t>Anchor heads shall conform to the dimensions mentioned in schedule 7, plate 1, figures 1 and 2.</w:t>
      </w:r>
    </w:p>
    <w:p w:rsidR="00AF2508" w:rsidRDefault="00AF2508">
      <w:pPr>
        <w:pStyle w:val="Assectheading"/>
        <w:rPr>
          <w:i w:val="0"/>
        </w:rPr>
      </w:pPr>
      <w:r>
        <w:rPr>
          <w:rStyle w:val="charItals"/>
          <w:i/>
        </w:rPr>
        <w:t>Anchor material and specifications</w:t>
      </w:r>
      <w:r>
        <w:rPr>
          <w:i w:val="0"/>
          <w:color w:val="000000"/>
        </w:rPr>
        <w:t>—</w:t>
      </w:r>
      <w:r>
        <w:rPr>
          <w:rStyle w:val="charItals"/>
          <w:i/>
        </w:rPr>
        <w:t>bolts and set screws</w:t>
      </w:r>
    </w:p>
    <w:p w:rsidR="00AF2508" w:rsidRDefault="00AF2508">
      <w:pPr>
        <w:pStyle w:val="Amain"/>
      </w:pPr>
      <w:r>
        <w:tab/>
        <w:t>(50)</w:t>
      </w:r>
      <w:r>
        <w:tab/>
        <w:t>Bolts and set screws used to fasten anchors shall not be made of any of the copper base alloys mentioned in subsections (44) to (49).</w:t>
      </w:r>
    </w:p>
    <w:p w:rsidR="00AF2508" w:rsidRDefault="00AF2508">
      <w:pPr>
        <w:pStyle w:val="Amain"/>
      </w:pPr>
      <w:r>
        <w:tab/>
        <w:t>(51)</w:t>
      </w:r>
      <w:r>
        <w:tab/>
        <w:t>The bolts and set screws shall not be cast but shall be forged or machined from approved corrosion resistant rolled metal alloy.</w:t>
      </w:r>
    </w:p>
    <w:p w:rsidR="00AF2508" w:rsidRDefault="00AF2508">
      <w:pPr>
        <w:pStyle w:val="Amain"/>
      </w:pPr>
      <w:r>
        <w:tab/>
        <w:t>(52)</w:t>
      </w:r>
      <w:r>
        <w:tab/>
        <w:t xml:space="preserve">Each bolt and set screw shall have an unthreaded part of the shank not less than </w:t>
      </w:r>
      <w:r>
        <w:rPr>
          <w:position w:val="6"/>
          <w:sz w:val="18"/>
        </w:rPr>
        <w:t>3</w:t>
      </w:r>
      <w:r>
        <w:t>/</w:t>
      </w:r>
      <w:r>
        <w:rPr>
          <w:sz w:val="18"/>
        </w:rPr>
        <w:t>16</w:t>
      </w:r>
      <w:r>
        <w:t xml:space="preserve"> of an inch in length adjacent to its head.</w:t>
      </w:r>
    </w:p>
    <w:p w:rsidR="00AF2508" w:rsidRDefault="00AF2508">
      <w:pPr>
        <w:pStyle w:val="Amain"/>
      </w:pPr>
      <w:r>
        <w:tab/>
        <w:t>(53)</w:t>
      </w:r>
      <w:r>
        <w:tab/>
        <w:t>The junction of the head and shank shall not form a sharp corner.</w:t>
      </w:r>
    </w:p>
    <w:p w:rsidR="00AF2508" w:rsidRDefault="00AF2508">
      <w:pPr>
        <w:pStyle w:val="Assectheading"/>
        <w:rPr>
          <w:i w:val="0"/>
        </w:rPr>
      </w:pPr>
      <w:r>
        <w:rPr>
          <w:rStyle w:val="charItals"/>
          <w:i/>
        </w:rPr>
        <w:t>Anchor material and specifications</w:t>
      </w:r>
      <w:r>
        <w:rPr>
          <w:i w:val="0"/>
          <w:color w:val="000000"/>
        </w:rPr>
        <w:t>—</w:t>
      </w:r>
      <w:r>
        <w:rPr>
          <w:rStyle w:val="charItals"/>
          <w:i/>
        </w:rPr>
        <w:t>corrosion resistant metal</w:t>
      </w:r>
    </w:p>
    <w:p w:rsidR="00AF2508" w:rsidRDefault="00AF2508">
      <w:pPr>
        <w:pStyle w:val="Amain"/>
      </w:pPr>
      <w:r>
        <w:tab/>
        <w:t>(54)</w:t>
      </w:r>
      <w:r>
        <w:tab/>
        <w:t>In this section:</w:t>
      </w:r>
    </w:p>
    <w:p w:rsidR="00AF2508" w:rsidRDefault="00AF2508">
      <w:pPr>
        <w:pStyle w:val="aDef"/>
      </w:pPr>
      <w:r>
        <w:rPr>
          <w:b/>
          <w:i/>
        </w:rPr>
        <w:t>corrosion resistant metal</w:t>
      </w:r>
      <w:r>
        <w:t xml:space="preserve"> means a metal so alloyed as to provide resistance to rust and corrosion under normal atmospheric conditions.</w:t>
      </w:r>
    </w:p>
    <w:p w:rsidR="00AF2508" w:rsidRDefault="00AF2508">
      <w:pPr>
        <w:pStyle w:val="Amain"/>
      </w:pPr>
      <w:r>
        <w:tab/>
        <w:t>(55)</w:t>
      </w:r>
      <w:r>
        <w:tab/>
        <w:t>Such metal shall be so processed as to conform to the best current practices to minimise segregation, oxides, flaws and internal stresses and shall have a minimum tensile strength of not less than 55,000 pounds per square inch with an elongation of 25% in 2 inches.</w:t>
      </w:r>
    </w:p>
    <w:p w:rsidR="00AF2508" w:rsidRDefault="00AF2508">
      <w:pPr>
        <w:pStyle w:val="Amain"/>
      </w:pPr>
      <w:r>
        <w:tab/>
        <w:t>(56)</w:t>
      </w:r>
      <w:r>
        <w:tab/>
        <w:t>Such metal where specified to be used in the manufacture of devices required in this section shall be approved.</w:t>
      </w:r>
    </w:p>
    <w:p w:rsidR="00AF2508" w:rsidRDefault="00AF2508">
      <w:pPr>
        <w:pStyle w:val="Amain"/>
        <w:keepLines/>
      </w:pPr>
      <w:r>
        <w:tab/>
        <w:t>(57)</w:t>
      </w:r>
      <w:r>
        <w:tab/>
        <w:t>Two tensile test bars shall be taken from each heat or batch of pieces at the time of forging or from bar stock of machined items for use by the chief inspector in performing the tests the chief inspector considers necessary.</w:t>
      </w:r>
    </w:p>
    <w:p w:rsidR="00AF2508" w:rsidRDefault="00AF2508">
      <w:pPr>
        <w:pStyle w:val="Assectheading"/>
        <w:rPr>
          <w:i w:val="0"/>
        </w:rPr>
      </w:pPr>
      <w:r>
        <w:rPr>
          <w:rStyle w:val="charItals"/>
          <w:i/>
        </w:rPr>
        <w:t>Safety belts</w:t>
      </w:r>
      <w:r>
        <w:rPr>
          <w:i w:val="0"/>
          <w:color w:val="000000"/>
        </w:rPr>
        <w:t>—</w:t>
      </w:r>
      <w:r>
        <w:rPr>
          <w:rStyle w:val="charItals"/>
          <w:i/>
        </w:rPr>
        <w:t>approved safety belts to be provided</w:t>
      </w:r>
    </w:p>
    <w:p w:rsidR="00AF2508" w:rsidRDefault="00AF2508">
      <w:pPr>
        <w:pStyle w:val="Amain"/>
      </w:pPr>
      <w:r>
        <w:tab/>
        <w:t>(58)</w:t>
      </w:r>
      <w:r>
        <w:tab/>
        <w:t>The person employing, directing or suffering another to clean windows provided with anchors shall provide or cause to be provided a properly fitting approved safety belt if the cleaning of the windows requires any part of the window cleaner’s body other than 1 arm or hand to project beyond the frame in which the window is set.</w:t>
      </w:r>
    </w:p>
    <w:p w:rsidR="00AF2508" w:rsidRDefault="00AF2508">
      <w:pPr>
        <w:pStyle w:val="Assectheading"/>
        <w:rPr>
          <w:i w:val="0"/>
        </w:rPr>
      </w:pPr>
      <w:r>
        <w:rPr>
          <w:rStyle w:val="charItals"/>
          <w:i/>
        </w:rPr>
        <w:t>Safety belts</w:t>
      </w:r>
      <w:r>
        <w:rPr>
          <w:i w:val="0"/>
          <w:color w:val="000000"/>
        </w:rPr>
        <w:t>—</w:t>
      </w:r>
      <w:r>
        <w:rPr>
          <w:rStyle w:val="charItals"/>
          <w:i/>
        </w:rPr>
        <w:t>construction</w:t>
      </w:r>
    </w:p>
    <w:p w:rsidR="00AF2508" w:rsidRDefault="00AF2508">
      <w:pPr>
        <w:pStyle w:val="Amain"/>
      </w:pPr>
      <w:r>
        <w:tab/>
        <w:t>(59)</w:t>
      </w:r>
      <w:r>
        <w:tab/>
        <w:t>Straps used in the construction of safety belts shall be of woven fabric or cotton or manilla rope and shall be made of first quality material, which shall be treated against mildew by a non-acid and non-corrosive anti-mildew agent.</w:t>
      </w:r>
    </w:p>
    <w:p w:rsidR="00AF2508" w:rsidRDefault="00AF2508">
      <w:pPr>
        <w:pStyle w:val="Amain"/>
      </w:pPr>
      <w:r>
        <w:tab/>
        <w:t>(60)</w:t>
      </w:r>
      <w:r>
        <w:tab/>
        <w:t>Stitching of the material shall be done with hot waxed, best quality linen thread and shall be lock stitching.</w:t>
      </w:r>
    </w:p>
    <w:p w:rsidR="00AF2508" w:rsidRDefault="00AF2508">
      <w:pPr>
        <w:pStyle w:val="Amain"/>
      </w:pPr>
      <w:r>
        <w:tab/>
        <w:t>(61)</w:t>
      </w:r>
      <w:r>
        <w:tab/>
        <w:t>Fabric ends shall be bound or dipped in wax to prevent unravelling.</w:t>
      </w:r>
    </w:p>
    <w:p w:rsidR="00AF2508" w:rsidRDefault="00AF2508">
      <w:pPr>
        <w:pStyle w:val="Assectheading"/>
        <w:rPr>
          <w:i w:val="0"/>
        </w:rPr>
      </w:pPr>
      <w:r>
        <w:rPr>
          <w:rStyle w:val="charItals"/>
          <w:i/>
        </w:rPr>
        <w:t>Safety belts</w:t>
      </w:r>
      <w:r>
        <w:rPr>
          <w:i w:val="0"/>
          <w:color w:val="000000"/>
        </w:rPr>
        <w:t>—</w:t>
      </w:r>
      <w:r>
        <w:rPr>
          <w:rStyle w:val="charItals"/>
          <w:i/>
        </w:rPr>
        <w:t>approval test of safety belts</w:t>
      </w:r>
    </w:p>
    <w:p w:rsidR="00AF2508" w:rsidRDefault="00AF2508">
      <w:pPr>
        <w:pStyle w:val="Amain"/>
      </w:pPr>
      <w:r>
        <w:tab/>
        <w:t>(62)</w:t>
      </w:r>
      <w:r>
        <w:tab/>
        <w:t>Before approval by the chief inspector of a safety belt, a sample of the belt shall be tested in accordance with the following subsections.</w:t>
      </w:r>
    </w:p>
    <w:p w:rsidR="00AF2508" w:rsidRDefault="00AF2508">
      <w:pPr>
        <w:pStyle w:val="Amain"/>
      </w:pPr>
      <w:r>
        <w:tab/>
        <w:t>(63)</w:t>
      </w:r>
      <w:r>
        <w:tab/>
        <w:t>The test shall be performed by a recognised, disinterested authority, acceptable to the chief inspector.</w:t>
      </w:r>
    </w:p>
    <w:p w:rsidR="00AF2508" w:rsidRDefault="00AF2508">
      <w:pPr>
        <w:pStyle w:val="Amain"/>
        <w:keepLines/>
      </w:pPr>
      <w:r>
        <w:tab/>
        <w:t>(64)</w:t>
      </w:r>
      <w:r>
        <w:tab/>
        <w:t>Two copies of the report of the testing authority, which shall include a detailed description of the test sample, the test procedure and test results, shall be submitted to the chief inspector with the application for approval.</w:t>
      </w:r>
    </w:p>
    <w:p w:rsidR="00AF2508" w:rsidRDefault="00AF2508">
      <w:pPr>
        <w:pStyle w:val="Amain"/>
      </w:pPr>
      <w:r>
        <w:tab/>
        <w:t>(65)</w:t>
      </w:r>
      <w:r>
        <w:tab/>
        <w:t>The complete assembly of the safety belt shall be capable of holding a 250 pound weight falling free for a distance of 4 feet.</w:t>
      </w:r>
    </w:p>
    <w:p w:rsidR="00AF2508" w:rsidRDefault="00AF2508">
      <w:pPr>
        <w:pStyle w:val="Amain"/>
      </w:pPr>
      <w:r>
        <w:tab/>
        <w:t>(66)</w:t>
      </w:r>
      <w:r>
        <w:tab/>
        <w:t>For the purposes of the test—</w:t>
      </w:r>
    </w:p>
    <w:p w:rsidR="00AF2508" w:rsidRDefault="00AF2508">
      <w:pPr>
        <w:pStyle w:val="Apara"/>
      </w:pPr>
      <w:r>
        <w:tab/>
        <w:t>(a)</w:t>
      </w:r>
      <w:r>
        <w:tab/>
        <w:t>the test weight shall be a rigid object 45 inches in girth and having a weight of 250 pounds; and</w:t>
      </w:r>
    </w:p>
    <w:p w:rsidR="00AF2508" w:rsidRDefault="00AF2508">
      <w:pPr>
        <w:pStyle w:val="Apara"/>
      </w:pPr>
      <w:r>
        <w:tab/>
        <w:t>(b)</w:t>
      </w:r>
      <w:r>
        <w:tab/>
        <w:t>it shall be held by the body belt that shall be secured by the belt buckle in the same way as when the belt is worn by a window cleaner; and</w:t>
      </w:r>
    </w:p>
    <w:p w:rsidR="00AF2508" w:rsidRDefault="00AF2508">
      <w:pPr>
        <w:pStyle w:val="Apara"/>
      </w:pPr>
      <w:r>
        <w:tab/>
        <w:t>(c)</w:t>
      </w:r>
      <w:r>
        <w:tab/>
        <w:t>1 belt terminal shall be attached to a rigid anchor; and</w:t>
      </w:r>
    </w:p>
    <w:p w:rsidR="00AF2508" w:rsidRDefault="00AF2508">
      <w:pPr>
        <w:pStyle w:val="Apara"/>
      </w:pPr>
      <w:r>
        <w:tab/>
        <w:t>(d)</w:t>
      </w:r>
      <w:r>
        <w:tab/>
        <w:t>the test weight shall fall free for a distance of 4 feet from a point in vertical alignment with the point of suspension.</w:t>
      </w:r>
    </w:p>
    <w:p w:rsidR="00AF2508" w:rsidRDefault="00AF2508">
      <w:pPr>
        <w:pStyle w:val="Amain"/>
      </w:pPr>
      <w:r>
        <w:tab/>
        <w:t>(67)</w:t>
      </w:r>
      <w:r>
        <w:tab/>
        <w:t>A safety belt or any of its parts that have been used for testing purposes shall not afterwards be used.</w:t>
      </w:r>
    </w:p>
    <w:p w:rsidR="00AF2508" w:rsidRDefault="00AF2508">
      <w:pPr>
        <w:pStyle w:val="Assectheading"/>
        <w:rPr>
          <w:i w:val="0"/>
        </w:rPr>
      </w:pPr>
      <w:r>
        <w:rPr>
          <w:rStyle w:val="charItals"/>
          <w:i/>
        </w:rPr>
        <w:t>Safety belts</w:t>
      </w:r>
      <w:r>
        <w:rPr>
          <w:i w:val="0"/>
          <w:color w:val="000000"/>
        </w:rPr>
        <w:t>—</w:t>
      </w:r>
      <w:r>
        <w:rPr>
          <w:rStyle w:val="charItals"/>
          <w:i/>
        </w:rPr>
        <w:t>metal thimbles</w:t>
      </w:r>
    </w:p>
    <w:p w:rsidR="00AF2508" w:rsidRDefault="00AF2508">
      <w:pPr>
        <w:pStyle w:val="Amain"/>
      </w:pPr>
      <w:r>
        <w:tab/>
        <w:t>(68)</w:t>
      </w:r>
      <w:r>
        <w:tab/>
        <w:t>Metal thimbles shall be provided if safety straps or lines are secured to eyes or rings.</w:t>
      </w:r>
    </w:p>
    <w:p w:rsidR="00AF2508" w:rsidRDefault="00AF2508">
      <w:pPr>
        <w:pStyle w:val="Amain"/>
      </w:pPr>
      <w:r>
        <w:tab/>
        <w:t>(69)</w:t>
      </w:r>
      <w:r>
        <w:tab/>
        <w:t>Fabric straps shall be reinforced with leather at such points of wear.</w:t>
      </w:r>
    </w:p>
    <w:p w:rsidR="00AF2508" w:rsidRDefault="00AF2508">
      <w:pPr>
        <w:pStyle w:val="Amain"/>
      </w:pPr>
      <w:r>
        <w:tab/>
        <w:t>(70)</w:t>
      </w:r>
      <w:r>
        <w:tab/>
        <w:t>Thimbles for fabric straps shall run free, shall be finished smooth throughout and shall have rounded edges.</w:t>
      </w:r>
    </w:p>
    <w:p w:rsidR="00AF2508" w:rsidRDefault="00AF2508">
      <w:pPr>
        <w:pStyle w:val="Assectheading"/>
        <w:rPr>
          <w:i w:val="0"/>
        </w:rPr>
      </w:pPr>
      <w:r>
        <w:rPr>
          <w:rStyle w:val="charItals"/>
          <w:i/>
        </w:rPr>
        <w:t>Safety belts</w:t>
      </w:r>
      <w:r>
        <w:rPr>
          <w:i w:val="0"/>
          <w:color w:val="000000"/>
        </w:rPr>
        <w:t>—</w:t>
      </w:r>
      <w:r>
        <w:rPr>
          <w:rStyle w:val="charItals"/>
          <w:i/>
        </w:rPr>
        <w:t>terminals and other metal fittings</w:t>
      </w:r>
    </w:p>
    <w:p w:rsidR="00AF2508" w:rsidRDefault="00AF2508">
      <w:pPr>
        <w:pStyle w:val="Amain"/>
      </w:pPr>
      <w:r>
        <w:tab/>
        <w:t>(71)</w:t>
      </w:r>
      <w:r>
        <w:tab/>
        <w:t>Safety strap and line terminals and other safety belt metal fittings subject to stress during use shall not be cast but shall be forged or machined from approved corrosion resistant rolled metal alloy.</w:t>
      </w:r>
    </w:p>
    <w:p w:rsidR="00AF2508" w:rsidRDefault="00AF2508">
      <w:pPr>
        <w:pStyle w:val="Amain"/>
      </w:pPr>
      <w:r>
        <w:tab/>
        <w:t>(72)</w:t>
      </w:r>
      <w:r>
        <w:tab/>
        <w:t>If steel is used, it shall conform to an approved specification.</w:t>
      </w:r>
    </w:p>
    <w:p w:rsidR="00AF2508" w:rsidRDefault="00AF2508">
      <w:pPr>
        <w:pStyle w:val="Amain"/>
      </w:pPr>
      <w:r>
        <w:tab/>
        <w:t>(73)</w:t>
      </w:r>
      <w:r>
        <w:tab/>
        <w:t>The finished product shall be free of imperfection.</w:t>
      </w:r>
    </w:p>
    <w:p w:rsidR="00AF2508" w:rsidRDefault="00AF2508">
      <w:pPr>
        <w:pStyle w:val="Amain"/>
      </w:pPr>
      <w:r>
        <w:tab/>
        <w:t>(74)</w:t>
      </w:r>
      <w:r>
        <w:tab/>
        <w:t>After forging, the metal shall be properly heat treated.</w:t>
      </w:r>
    </w:p>
    <w:p w:rsidR="00AF2508" w:rsidRDefault="00AF2508">
      <w:pPr>
        <w:pStyle w:val="Amain"/>
      </w:pPr>
      <w:r>
        <w:tab/>
        <w:t>(75)</w:t>
      </w:r>
      <w:r>
        <w:tab/>
        <w:t>Such terminals and other metal fittings shall meet the strength requirements of subsections (30) to (33).</w:t>
      </w:r>
    </w:p>
    <w:p w:rsidR="00AF2508" w:rsidRDefault="00AF2508">
      <w:pPr>
        <w:pStyle w:val="Amain"/>
      </w:pPr>
      <w:r>
        <w:tab/>
        <w:t>(76)</w:t>
      </w:r>
      <w:r>
        <w:tab/>
        <w:t>The dimensions of terminal slots shall conform to the dimensions mentioned in schedule 7, plate 1, figure 3.</w:t>
      </w:r>
    </w:p>
    <w:p w:rsidR="00AF2508" w:rsidRDefault="00AF2508">
      <w:pPr>
        <w:pStyle w:val="Amain"/>
      </w:pPr>
      <w:r>
        <w:tab/>
        <w:t>(77)</w:t>
      </w:r>
      <w:r>
        <w:tab/>
        <w:t>An approved safety catch shall be included as part of each safety strap or line terminal.</w:t>
      </w:r>
    </w:p>
    <w:p w:rsidR="00AF2508" w:rsidRDefault="00AF2508">
      <w:pPr>
        <w:pStyle w:val="Assectheading"/>
        <w:rPr>
          <w:i w:val="0"/>
        </w:rPr>
      </w:pPr>
      <w:r>
        <w:rPr>
          <w:rStyle w:val="charItals"/>
          <w:i/>
        </w:rPr>
        <w:t>Safety belts</w:t>
      </w:r>
      <w:r>
        <w:rPr>
          <w:i w:val="0"/>
          <w:color w:val="000000"/>
        </w:rPr>
        <w:t>—</w:t>
      </w:r>
      <w:r>
        <w:rPr>
          <w:rStyle w:val="charItals"/>
          <w:i/>
        </w:rPr>
        <w:t>method of use</w:t>
      </w:r>
    </w:p>
    <w:p w:rsidR="00AF2508" w:rsidRDefault="00AF2508">
      <w:pPr>
        <w:pStyle w:val="Amain"/>
      </w:pPr>
      <w:r>
        <w:tab/>
        <w:t>(78)</w:t>
      </w:r>
      <w:r>
        <w:tab/>
        <w:t>A window cleaner using a safety belt shall attach 1 safety strap or line terminal to an anchor before stepping out on to a window sill and 1 safety strap or line terminal shall remain attached to an anchor while the window cleaner is stepping back into the building.</w:t>
      </w:r>
    </w:p>
    <w:p w:rsidR="00AF2508" w:rsidRDefault="00AF2508">
      <w:pPr>
        <w:pStyle w:val="Amain"/>
      </w:pPr>
      <w:r>
        <w:tab/>
        <w:t>(79)</w:t>
      </w:r>
      <w:r>
        <w:tab/>
        <w:t>During window cleaning, both safety strap or line terminals shall be attached to anchors.</w:t>
      </w:r>
    </w:p>
    <w:p w:rsidR="00AF2508" w:rsidRDefault="00AF2508">
      <w:pPr>
        <w:pStyle w:val="Assectheading"/>
        <w:rPr>
          <w:i w:val="0"/>
        </w:rPr>
      </w:pPr>
      <w:r>
        <w:rPr>
          <w:rStyle w:val="charItals"/>
          <w:i/>
        </w:rPr>
        <w:t>Maintenance of safety belts</w:t>
      </w:r>
      <w:r>
        <w:rPr>
          <w:i w:val="0"/>
          <w:color w:val="000000"/>
        </w:rPr>
        <w:t>—</w:t>
      </w:r>
      <w:r>
        <w:rPr>
          <w:rStyle w:val="charItals"/>
          <w:i/>
        </w:rPr>
        <w:t>examination</w:t>
      </w:r>
    </w:p>
    <w:p w:rsidR="00AF2508" w:rsidRDefault="00AF2508">
      <w:pPr>
        <w:pStyle w:val="Amain"/>
      </w:pPr>
      <w:r>
        <w:tab/>
        <w:t>(80)</w:t>
      </w:r>
      <w:r>
        <w:tab/>
        <w:t>All safety belts shall be frequently examined by the person employing, directing or permitting another to engage in window cleaning and they shall also be examined by the window cleaner before use each day and no belt shall be used that does not provide the safety required by this section.</w:t>
      </w:r>
    </w:p>
    <w:p w:rsidR="00AF2508" w:rsidRDefault="00AF2508">
      <w:pPr>
        <w:pStyle w:val="Assectheading"/>
        <w:rPr>
          <w:i w:val="0"/>
        </w:rPr>
      </w:pPr>
      <w:r>
        <w:rPr>
          <w:rStyle w:val="charItals"/>
          <w:i/>
        </w:rPr>
        <w:t>Maintenance of safety belts</w:t>
      </w:r>
      <w:r>
        <w:rPr>
          <w:i w:val="0"/>
          <w:color w:val="000000"/>
        </w:rPr>
        <w:t>—</w:t>
      </w:r>
      <w:r>
        <w:rPr>
          <w:rStyle w:val="charItals"/>
          <w:i/>
        </w:rPr>
        <w:t>storage and handling</w:t>
      </w:r>
    </w:p>
    <w:p w:rsidR="00AF2508" w:rsidRDefault="00AF2508">
      <w:pPr>
        <w:pStyle w:val="Amain"/>
        <w:keepNext/>
      </w:pPr>
      <w:r>
        <w:tab/>
        <w:t>(81)</w:t>
      </w:r>
      <w:r>
        <w:tab/>
        <w:t>All safety belts shall be so stored and handled as to prevent rust or injury to them.</w:t>
      </w:r>
    </w:p>
    <w:p w:rsidR="00AF2508" w:rsidRDefault="00AF2508">
      <w:pPr>
        <w:pStyle w:val="Amain"/>
      </w:pPr>
      <w:r>
        <w:tab/>
        <w:t>(82)</w:t>
      </w:r>
      <w:r>
        <w:tab/>
        <w:t>Safety belts shall not be stored in the same room with acids or other deleterious chemicals.</w:t>
      </w:r>
    </w:p>
    <w:p w:rsidR="00AF2508" w:rsidRDefault="00AF2508">
      <w:pPr>
        <w:pStyle w:val="Assectheading"/>
        <w:rPr>
          <w:i w:val="0"/>
        </w:rPr>
      </w:pPr>
      <w:r>
        <w:rPr>
          <w:rStyle w:val="charItals"/>
          <w:i/>
        </w:rPr>
        <w:t>Maintenance of safety belts</w:t>
      </w:r>
      <w:r>
        <w:rPr>
          <w:i w:val="0"/>
          <w:color w:val="000000"/>
        </w:rPr>
        <w:t>—</w:t>
      </w:r>
      <w:r>
        <w:rPr>
          <w:rStyle w:val="charItals"/>
          <w:i/>
        </w:rPr>
        <w:t>affected by mildew or corrosive agent</w:t>
      </w:r>
    </w:p>
    <w:p w:rsidR="00AF2508" w:rsidRDefault="00AF2508">
      <w:pPr>
        <w:pStyle w:val="Amain"/>
      </w:pPr>
      <w:r>
        <w:tab/>
        <w:t>(83)</w:t>
      </w:r>
      <w:r>
        <w:tab/>
        <w:t>No safety belt shall be used that has been affected by mildew, by the action of acid, or by any other corrosive or deleterious chemicals.</w:t>
      </w:r>
    </w:p>
    <w:p w:rsidR="00AF2508" w:rsidRDefault="00AF2508">
      <w:pPr>
        <w:pStyle w:val="Assectheading"/>
        <w:rPr>
          <w:i w:val="0"/>
        </w:rPr>
      </w:pPr>
      <w:r>
        <w:rPr>
          <w:rStyle w:val="charItals"/>
          <w:i/>
        </w:rPr>
        <w:t>Wear and replacement</w:t>
      </w:r>
      <w:r>
        <w:rPr>
          <w:i w:val="0"/>
          <w:color w:val="000000"/>
        </w:rPr>
        <w:t>—</w:t>
      </w:r>
      <w:r>
        <w:rPr>
          <w:rStyle w:val="charItals"/>
          <w:i/>
        </w:rPr>
        <w:t>safety straps and lines</w:t>
      </w:r>
    </w:p>
    <w:p w:rsidR="00AF2508" w:rsidRDefault="00AF2508">
      <w:pPr>
        <w:pStyle w:val="Amain"/>
      </w:pPr>
      <w:r>
        <w:tab/>
        <w:t>(84)</w:t>
      </w:r>
      <w:r>
        <w:tab/>
        <w:t>Safety straps or lines that have become damaged or unduly worn or show broken threads or fibres shall be replaced by new straps or lines.</w:t>
      </w:r>
    </w:p>
    <w:p w:rsidR="00AF2508" w:rsidRDefault="00AF2508">
      <w:pPr>
        <w:pStyle w:val="Assectheading"/>
        <w:rPr>
          <w:i w:val="0"/>
        </w:rPr>
      </w:pPr>
      <w:r>
        <w:rPr>
          <w:rStyle w:val="charItals"/>
          <w:i/>
        </w:rPr>
        <w:t>Wear and replacement</w:t>
      </w:r>
      <w:r>
        <w:rPr>
          <w:i w:val="0"/>
          <w:color w:val="000000"/>
        </w:rPr>
        <w:t>—</w:t>
      </w:r>
      <w:r>
        <w:rPr>
          <w:rStyle w:val="charItals"/>
          <w:i/>
        </w:rPr>
        <w:t>belt terminals</w:t>
      </w:r>
    </w:p>
    <w:p w:rsidR="00AF2508" w:rsidRDefault="00AF2508">
      <w:pPr>
        <w:pStyle w:val="Amain"/>
      </w:pPr>
      <w:r>
        <w:tab/>
        <w:t>(85)</w:t>
      </w:r>
      <w:r>
        <w:tab/>
        <w:t xml:space="preserve">No belt terminal shall be used if any point in the slot will accommodate a </w:t>
      </w:r>
      <w:r>
        <w:rPr>
          <w:position w:val="6"/>
          <w:sz w:val="18"/>
        </w:rPr>
        <w:t>9</w:t>
      </w:r>
      <w:r>
        <w:t>/</w:t>
      </w:r>
      <w:r>
        <w:rPr>
          <w:sz w:val="18"/>
        </w:rPr>
        <w:t>16</w:t>
      </w:r>
      <w:r>
        <w:t xml:space="preserve"> of an inch plug gauge.</w:t>
      </w:r>
    </w:p>
    <w:p w:rsidR="00AF2508" w:rsidRDefault="00AF2508">
      <w:pPr>
        <w:pStyle w:val="Assectheading"/>
        <w:rPr>
          <w:i w:val="0"/>
        </w:rPr>
      </w:pPr>
      <w:r>
        <w:rPr>
          <w:rStyle w:val="charItals"/>
          <w:i/>
        </w:rPr>
        <w:t>Wear and replacement</w:t>
      </w:r>
      <w:r>
        <w:rPr>
          <w:i w:val="0"/>
          <w:color w:val="000000"/>
        </w:rPr>
        <w:t>—</w:t>
      </w:r>
      <w:r>
        <w:rPr>
          <w:rStyle w:val="charItals"/>
          <w:i/>
        </w:rPr>
        <w:t>links</w:t>
      </w:r>
    </w:p>
    <w:p w:rsidR="00AF2508" w:rsidRDefault="00AF2508">
      <w:pPr>
        <w:pStyle w:val="Amain"/>
      </w:pPr>
      <w:r>
        <w:tab/>
        <w:t>(86)</w:t>
      </w:r>
      <w:r>
        <w:tab/>
        <w:t>No link shall be used in a safety strap or line if any dimension of a section of it is less than 0.300 inch.</w:t>
      </w:r>
    </w:p>
    <w:p w:rsidR="00AF2508" w:rsidRDefault="00AF2508">
      <w:pPr>
        <w:pStyle w:val="Assectheading"/>
        <w:rPr>
          <w:i w:val="0"/>
        </w:rPr>
      </w:pPr>
      <w:r>
        <w:rPr>
          <w:rStyle w:val="charItals"/>
          <w:i/>
        </w:rPr>
        <w:t>Use of ladders in window cleaning</w:t>
      </w:r>
      <w:r>
        <w:rPr>
          <w:i w:val="0"/>
          <w:color w:val="000000"/>
        </w:rPr>
        <w:t>—</w:t>
      </w:r>
      <w:r>
        <w:rPr>
          <w:rStyle w:val="charItals"/>
          <w:i/>
        </w:rPr>
        <w:t>when to be used</w:t>
      </w:r>
    </w:p>
    <w:p w:rsidR="00AF2508" w:rsidRDefault="00AF2508">
      <w:pPr>
        <w:pStyle w:val="Amain"/>
      </w:pPr>
      <w:r>
        <w:tab/>
        <w:t>(87)</w:t>
      </w:r>
      <w:r>
        <w:tab/>
        <w:t>No person shall use a ladder for window cleaning except if the windows cannot be cleaned safely and practicably by other approved means.</w:t>
      </w:r>
    </w:p>
    <w:p w:rsidR="00AF2508" w:rsidRDefault="00AF2508">
      <w:pPr>
        <w:pStyle w:val="Assectheading"/>
        <w:rPr>
          <w:i w:val="0"/>
        </w:rPr>
      </w:pPr>
      <w:r>
        <w:rPr>
          <w:rStyle w:val="charItals"/>
          <w:i/>
        </w:rPr>
        <w:t>Use of ladders in window cleaning</w:t>
      </w:r>
      <w:r>
        <w:rPr>
          <w:i w:val="0"/>
          <w:color w:val="000000"/>
        </w:rPr>
        <w:t>—</w:t>
      </w:r>
      <w:r>
        <w:rPr>
          <w:rStyle w:val="charItals"/>
          <w:i/>
        </w:rPr>
        <w:t>prevention of slipping</w:t>
      </w:r>
    </w:p>
    <w:p w:rsidR="00AF2508" w:rsidRDefault="00AF2508">
      <w:pPr>
        <w:pStyle w:val="Amain"/>
      </w:pPr>
      <w:r>
        <w:tab/>
        <w:t>(88)</w:t>
      </w:r>
      <w:r>
        <w:tab/>
        <w:t>All ladders used in connection with window cleaning shall be provided with approved means to prevent slipping.</w:t>
      </w:r>
    </w:p>
    <w:p w:rsidR="00AF2508" w:rsidRDefault="00AF2508">
      <w:pPr>
        <w:pStyle w:val="Assectheading"/>
        <w:rPr>
          <w:i w:val="0"/>
        </w:rPr>
      </w:pPr>
      <w:r>
        <w:rPr>
          <w:rStyle w:val="charItals"/>
          <w:i/>
        </w:rPr>
        <w:t>Use of ladders in window cleaning</w:t>
      </w:r>
      <w:r>
        <w:rPr>
          <w:i w:val="0"/>
          <w:color w:val="000000"/>
        </w:rPr>
        <w:t>—</w:t>
      </w:r>
      <w:r>
        <w:rPr>
          <w:rStyle w:val="charItals"/>
          <w:i/>
        </w:rPr>
        <w:t>person to hold ladder</w:t>
      </w:r>
    </w:p>
    <w:p w:rsidR="00AF2508" w:rsidRDefault="00AF2508">
      <w:pPr>
        <w:pStyle w:val="Amain"/>
      </w:pPr>
      <w:r>
        <w:tab/>
        <w:t>(89)</w:t>
      </w:r>
      <w:r>
        <w:tab/>
        <w:t>No person shall use a ladder more than 18 feet in length for window cleaning unless a person is stationed at all times at the foot of the ladder to hold it in place while the window cleaner is on it.</w:t>
      </w:r>
    </w:p>
    <w:p w:rsidR="00AF2508" w:rsidRDefault="00AF2508">
      <w:pPr>
        <w:pStyle w:val="Amain"/>
      </w:pPr>
      <w:r>
        <w:tab/>
        <w:t>(90)</w:t>
      </w:r>
      <w:r>
        <w:tab/>
        <w:t>The person at the foot shall face the ladder and hold it with both hands.</w:t>
      </w:r>
    </w:p>
    <w:p w:rsidR="00AF2508" w:rsidRDefault="00AF2508">
      <w:pPr>
        <w:pStyle w:val="Amain"/>
      </w:pPr>
      <w:r>
        <w:rPr>
          <w:color w:val="000000"/>
        </w:rPr>
        <w:tab/>
        <w:t>(91)</w:t>
      </w:r>
      <w:r>
        <w:rPr>
          <w:color w:val="000000"/>
        </w:rPr>
        <w:tab/>
        <w:t>The provisions of this section shall not apply to any private domestic dwelling house.</w:t>
      </w:r>
    </w:p>
    <w:p w:rsidR="00AF2508" w:rsidRDefault="00AF2508">
      <w:pPr>
        <w:pStyle w:val="AH4SubDiv"/>
      </w:pPr>
      <w:bookmarkStart w:id="150" w:name="_Toc161636814"/>
      <w:r>
        <w:t>Spray painting</w:t>
      </w:r>
      <w:bookmarkEnd w:id="150"/>
    </w:p>
    <w:p w:rsidR="00AF2508" w:rsidRDefault="00AF2508">
      <w:pPr>
        <w:pStyle w:val="AH5Sec"/>
      </w:pPr>
      <w:bookmarkStart w:id="151" w:name="_Toc161636815"/>
      <w:r>
        <w:rPr>
          <w:rStyle w:val="CharSectNo"/>
        </w:rPr>
        <w:t>83</w:t>
      </w:r>
      <w:bookmarkEnd w:id="151"/>
      <w:r>
        <w:tab/>
        <w:t xml:space="preserve">  </w:t>
      </w:r>
    </w:p>
    <w:p w:rsidR="00AF2508" w:rsidRDefault="00AF2508">
      <w:pPr>
        <w:pStyle w:val="Assectheading"/>
      </w:pPr>
      <w:r>
        <w:t>Definitions</w:t>
      </w:r>
    </w:p>
    <w:p w:rsidR="00AF2508" w:rsidRDefault="00AF2508">
      <w:pPr>
        <w:pStyle w:val="Amain"/>
      </w:pPr>
      <w:r>
        <w:rPr>
          <w:color w:val="000000"/>
        </w:rPr>
        <w:tab/>
        <w:t>(1)</w:t>
      </w:r>
      <w:r>
        <w:rPr>
          <w:color w:val="000000"/>
        </w:rPr>
        <w:tab/>
        <w:t>In this section:</w:t>
      </w:r>
    </w:p>
    <w:p w:rsidR="00AF2508" w:rsidRDefault="00AF2508">
      <w:pPr>
        <w:pStyle w:val="aDef"/>
      </w:pPr>
      <w:r>
        <w:rPr>
          <w:rStyle w:val="charBoldItals"/>
        </w:rPr>
        <w:t>spray painting</w:t>
      </w:r>
      <w:r>
        <w:t xml:space="preserve"> means coating interiors of buildings or coating other structures by spraying with lead paint, silica paint, enamel, vitreous enamel, lacquer or other material.</w:t>
      </w:r>
    </w:p>
    <w:p w:rsidR="00AF2508" w:rsidRDefault="00AF2508">
      <w:pPr>
        <w:pStyle w:val="aDef"/>
      </w:pPr>
      <w:r>
        <w:rPr>
          <w:rStyle w:val="charBoldItals"/>
        </w:rPr>
        <w:t>inflammable liquid</w:t>
      </w:r>
      <w:r>
        <w:t xml:space="preserve"> means a liquid that, when tested in the way mentioned in the </w:t>
      </w:r>
      <w:r>
        <w:rPr>
          <w:i/>
        </w:rPr>
        <w:t>Inflammable Liquid Act</w:t>
      </w:r>
      <w:r>
        <w:t>, 1915-1946, schedule, gives off an inflammable vapour at a temperature less than 90° Fahrenheit.</w:t>
      </w:r>
    </w:p>
    <w:p w:rsidR="00AF2508" w:rsidRDefault="00AF2508">
      <w:pPr>
        <w:pStyle w:val="aDef"/>
      </w:pPr>
      <w:r>
        <w:rPr>
          <w:rStyle w:val="charBoldItals"/>
        </w:rPr>
        <w:t>lead paint</w:t>
      </w:r>
      <w:r>
        <w:t xml:space="preserve"> means any paint, paste, spray, stopping, filling or other material used in painting, that, when tested in the way prescribed in schedule 5, yields to an aqueous solution of hydrochloric acid, a quantity of soluble lead compound exceeding, when calculated as lead monoxide, 5% of the dry weight of the part taken for analysis.</w:t>
      </w:r>
    </w:p>
    <w:p w:rsidR="00AF2508" w:rsidRDefault="00AF2508">
      <w:pPr>
        <w:pStyle w:val="aDef"/>
      </w:pPr>
      <w:r>
        <w:rPr>
          <w:rStyle w:val="charBoldItals"/>
        </w:rPr>
        <w:t>silica paint</w:t>
      </w:r>
      <w:r>
        <w:t xml:space="preserve"> means any paint, paste, glaze, spray or other material that, when tested in the way prescribed in schedule 3, contains free silica to the extent of 2% or more of the dry weight of the part taken for analysis.</w:t>
      </w:r>
    </w:p>
    <w:p w:rsidR="00AF2508" w:rsidRDefault="00AF2508">
      <w:pPr>
        <w:pStyle w:val="Amain"/>
      </w:pPr>
      <w:r>
        <w:rPr>
          <w:color w:val="000000"/>
        </w:rPr>
        <w:tab/>
        <w:t>(2)</w:t>
      </w:r>
      <w:r>
        <w:rPr>
          <w:color w:val="000000"/>
        </w:rPr>
        <w:tab/>
        <w:t>Except as otherwise provided in this section, the person who directly or by his or her servants or agents carries out spray painting shall be responsible for compliance with the provisions of this section.</w:t>
      </w:r>
    </w:p>
    <w:p w:rsidR="00AF2508" w:rsidRDefault="00AF2508">
      <w:pPr>
        <w:pStyle w:val="Assectheading"/>
        <w:rPr>
          <w:i w:val="0"/>
          <w:color w:val="000000"/>
        </w:rPr>
      </w:pPr>
      <w:r>
        <w:rPr>
          <w:rStyle w:val="charItals"/>
          <w:i/>
        </w:rPr>
        <w:t>Prohibited substances</w:t>
      </w:r>
    </w:p>
    <w:p w:rsidR="00AF2508" w:rsidRDefault="00AF2508">
      <w:pPr>
        <w:pStyle w:val="Amain"/>
      </w:pPr>
      <w:r>
        <w:rPr>
          <w:color w:val="000000"/>
        </w:rPr>
        <w:tab/>
        <w:t>(3)</w:t>
      </w:r>
      <w:r>
        <w:rPr>
          <w:color w:val="000000"/>
        </w:rPr>
        <w:tab/>
        <w:t>The following substances shall not be used in spray painting: carbon bisulphide, carbon tetrachloride, arsenic or its compounds.</w:t>
      </w:r>
    </w:p>
    <w:p w:rsidR="00AF2508" w:rsidRDefault="00AF2508">
      <w:pPr>
        <w:pStyle w:val="Assectheading"/>
        <w:rPr>
          <w:i w:val="0"/>
          <w:color w:val="000000"/>
        </w:rPr>
      </w:pPr>
      <w:r>
        <w:rPr>
          <w:rStyle w:val="charItals"/>
          <w:i/>
        </w:rPr>
        <w:t>Restricted substances</w:t>
      </w:r>
    </w:p>
    <w:p w:rsidR="00AF2508" w:rsidRDefault="00AF2508">
      <w:pPr>
        <w:pStyle w:val="Amain"/>
        <w:rPr>
          <w:color w:val="000000"/>
        </w:rPr>
      </w:pPr>
      <w:r>
        <w:rPr>
          <w:color w:val="000000"/>
        </w:rPr>
        <w:tab/>
        <w:t>(4)</w:t>
      </w:r>
      <w:r>
        <w:rPr>
          <w:color w:val="000000"/>
        </w:rPr>
        <w:tab/>
        <w:t>Material used in spray painting shall not contain benzol or methyl alcohol in excess of 1%.</w:t>
      </w:r>
    </w:p>
    <w:p w:rsidR="00AF2508" w:rsidRDefault="00AF2508">
      <w:pPr>
        <w:pStyle w:val="Assectheading"/>
        <w:rPr>
          <w:rStyle w:val="charItals"/>
          <w:i/>
        </w:rPr>
      </w:pPr>
      <w:r>
        <w:rPr>
          <w:rStyle w:val="charItals"/>
          <w:i/>
        </w:rPr>
        <w:t>Provision of fire-extinguishers</w:t>
      </w:r>
    </w:p>
    <w:p w:rsidR="00AF2508" w:rsidRDefault="00AF2508">
      <w:pPr>
        <w:pStyle w:val="Amain"/>
        <w:rPr>
          <w:color w:val="000000"/>
        </w:rPr>
      </w:pPr>
      <w:r>
        <w:rPr>
          <w:color w:val="000000"/>
        </w:rPr>
        <w:tab/>
        <w:t>(5)</w:t>
      </w:r>
      <w:r>
        <w:rPr>
          <w:color w:val="000000"/>
        </w:rPr>
        <w:tab/>
        <w:t>A sufficient number of fire-extinguishers of the foam or other approved type shall be maintained in the place where any material having a nitrocellulose or inflammable liquid content is being sprayed.</w:t>
      </w:r>
    </w:p>
    <w:p w:rsidR="00AF2508" w:rsidRDefault="00AF2508">
      <w:pPr>
        <w:pStyle w:val="Assectheading"/>
      </w:pPr>
      <w:r>
        <w:rPr>
          <w:rStyle w:val="charItals"/>
          <w:i/>
        </w:rPr>
        <w:t>Metal containers for used cleaning rags</w:t>
      </w:r>
    </w:p>
    <w:p w:rsidR="00AF2508" w:rsidRDefault="00AF2508">
      <w:pPr>
        <w:pStyle w:val="Amain"/>
        <w:rPr>
          <w:color w:val="000000"/>
        </w:rPr>
      </w:pPr>
      <w:r>
        <w:rPr>
          <w:color w:val="000000"/>
        </w:rPr>
        <w:tab/>
        <w:t>(6)</w:t>
      </w:r>
      <w:r>
        <w:rPr>
          <w:color w:val="000000"/>
        </w:rPr>
        <w:tab/>
        <w:t>Metal containers, with close-fitting lids, shall be provided for the deposit of cotton waste, cleaning rags or similar materials that have been used.</w:t>
      </w:r>
    </w:p>
    <w:p w:rsidR="00AF2508" w:rsidRDefault="00AF2508">
      <w:pPr>
        <w:pStyle w:val="Amain"/>
        <w:rPr>
          <w:color w:val="000000"/>
        </w:rPr>
      </w:pPr>
      <w:r>
        <w:rPr>
          <w:color w:val="000000"/>
        </w:rPr>
        <w:tab/>
        <w:t>(7)</w:t>
      </w:r>
      <w:r>
        <w:rPr>
          <w:color w:val="000000"/>
        </w:rPr>
        <w:tab/>
        <w:t>The containers shall at the close of work each day be removed from the building or structure where the spray painting operations are being carried out.</w:t>
      </w:r>
    </w:p>
    <w:p w:rsidR="00AF2508" w:rsidRDefault="00AF2508">
      <w:pPr>
        <w:pStyle w:val="Assectheading"/>
      </w:pPr>
      <w:r>
        <w:rPr>
          <w:rStyle w:val="charItals"/>
          <w:i/>
        </w:rPr>
        <w:t>Smoking and naked lights prohibited</w:t>
      </w:r>
    </w:p>
    <w:p w:rsidR="00AF2508" w:rsidRDefault="00AF2508">
      <w:pPr>
        <w:pStyle w:val="Amain"/>
      </w:pPr>
      <w:r>
        <w:rPr>
          <w:color w:val="000000"/>
        </w:rPr>
        <w:tab/>
        <w:t>(8)</w:t>
      </w:r>
      <w:r>
        <w:rPr>
          <w:color w:val="000000"/>
        </w:rPr>
        <w:tab/>
        <w:t>No person shall—</w:t>
      </w:r>
    </w:p>
    <w:p w:rsidR="00AF2508" w:rsidRDefault="00AF2508">
      <w:pPr>
        <w:pStyle w:val="Apara"/>
      </w:pPr>
      <w:r>
        <w:tab/>
        <w:t>(a)</w:t>
      </w:r>
      <w:r>
        <w:tab/>
        <w:t>smoke; or</w:t>
      </w:r>
    </w:p>
    <w:p w:rsidR="00AF2508" w:rsidRDefault="00AF2508">
      <w:pPr>
        <w:pStyle w:val="Apara"/>
      </w:pPr>
      <w:r>
        <w:tab/>
        <w:t>(b)</w:t>
      </w:r>
      <w:r>
        <w:tab/>
        <w:t>have any fire, naked light, flame or other source of ignition within any place in a building or structure where spray painting is being carried out.</w:t>
      </w:r>
    </w:p>
    <w:p w:rsidR="00AF2508" w:rsidRDefault="00AF2508">
      <w:pPr>
        <w:pStyle w:val="Assectheading"/>
      </w:pPr>
      <w:r>
        <w:rPr>
          <w:rStyle w:val="charItals"/>
          <w:i/>
        </w:rPr>
        <w:t>Doors to open outwards</w:t>
      </w:r>
    </w:p>
    <w:p w:rsidR="00AF2508" w:rsidRDefault="00AF2508">
      <w:pPr>
        <w:pStyle w:val="Amain"/>
        <w:rPr>
          <w:color w:val="000000"/>
        </w:rPr>
      </w:pPr>
      <w:r>
        <w:rPr>
          <w:color w:val="000000"/>
        </w:rPr>
        <w:tab/>
        <w:t>(9)</w:t>
      </w:r>
      <w:r>
        <w:rPr>
          <w:color w:val="000000"/>
        </w:rPr>
        <w:tab/>
        <w:t>If any building or structure or any place within a building or structure where place spray painting is being carried out, is fitted with doors, the doors shall be arranged to open outwards.</w:t>
      </w:r>
    </w:p>
    <w:p w:rsidR="00AF2508" w:rsidRDefault="00AF2508">
      <w:pPr>
        <w:pStyle w:val="Assectheading"/>
      </w:pPr>
      <w:r>
        <w:rPr>
          <w:rStyle w:val="charItals"/>
          <w:i/>
        </w:rPr>
        <w:t>Ventilation of work places</w:t>
      </w:r>
    </w:p>
    <w:p w:rsidR="00AF2508" w:rsidRDefault="00AF2508">
      <w:pPr>
        <w:pStyle w:val="Amain"/>
      </w:pPr>
      <w:r>
        <w:rPr>
          <w:color w:val="000000"/>
        </w:rPr>
        <w:tab/>
        <w:t>(10)</w:t>
      </w:r>
      <w:r>
        <w:rPr>
          <w:color w:val="000000"/>
        </w:rPr>
        <w:tab/>
        <w:t>The air in any room or place where spray painting is being done shall be changed by natural ventilation, exhaust fan or other means at least 20 times in each hour.</w:t>
      </w:r>
    </w:p>
    <w:p w:rsidR="00AF2508" w:rsidRDefault="00AF2508">
      <w:pPr>
        <w:pStyle w:val="Amain"/>
      </w:pPr>
      <w:r>
        <w:tab/>
        <w:t>(11)</w:t>
      </w:r>
      <w:r>
        <w:tab/>
        <w:t>If any spray painting is done in a confined space without such air changes, the contractor shall provide a positive pressure helmet for use by each person working in the space.</w:t>
      </w:r>
    </w:p>
    <w:p w:rsidR="00AF2508" w:rsidRDefault="00AF2508">
      <w:pPr>
        <w:pStyle w:val="Assectheading"/>
      </w:pPr>
      <w:r>
        <w:rPr>
          <w:rStyle w:val="charItals"/>
          <w:i/>
        </w:rPr>
        <w:t>Storage of lead and silica paint</w:t>
      </w:r>
    </w:p>
    <w:p w:rsidR="00AF2508" w:rsidRDefault="00AF2508">
      <w:pPr>
        <w:pStyle w:val="Amain"/>
      </w:pPr>
      <w:r>
        <w:rPr>
          <w:color w:val="000000"/>
        </w:rPr>
        <w:tab/>
        <w:t>(12)</w:t>
      </w:r>
      <w:r>
        <w:rPr>
          <w:color w:val="000000"/>
        </w:rPr>
        <w:tab/>
        <w:t>Lead paint and silica paint shall not be stored or kept otherwise than in receptacles legibly marked ‘</w:t>
      </w:r>
      <w:r>
        <w:rPr>
          <w:caps/>
          <w:color w:val="000000"/>
        </w:rPr>
        <w:t>lead paint</w:t>
      </w:r>
      <w:r>
        <w:rPr>
          <w:color w:val="000000"/>
        </w:rPr>
        <w:t>’ and ‘</w:t>
      </w:r>
      <w:r>
        <w:rPr>
          <w:caps/>
          <w:color w:val="000000"/>
        </w:rPr>
        <w:t>silica paint</w:t>
      </w:r>
      <w:r>
        <w:rPr>
          <w:color w:val="000000"/>
        </w:rPr>
        <w:t>’, respectively.</w:t>
      </w:r>
    </w:p>
    <w:p w:rsidR="00AF2508" w:rsidRDefault="00AF2508">
      <w:pPr>
        <w:pStyle w:val="Amain"/>
        <w:keepNext/>
      </w:pPr>
      <w:r>
        <w:tab/>
        <w:t>(13)</w:t>
      </w:r>
      <w:r>
        <w:tab/>
        <w:t>However, subsection (12) does not apply to receptacles—</w:t>
      </w:r>
    </w:p>
    <w:p w:rsidR="00AF2508" w:rsidRDefault="00AF2508">
      <w:pPr>
        <w:pStyle w:val="Apara"/>
      </w:pPr>
      <w:r>
        <w:tab/>
        <w:t>(a)</w:t>
      </w:r>
      <w:r>
        <w:tab/>
        <w:t>containing lead paint or silica paint in actual use in spray painting; or</w:t>
      </w:r>
    </w:p>
    <w:p w:rsidR="00AF2508" w:rsidRDefault="00AF2508">
      <w:pPr>
        <w:pStyle w:val="Apara"/>
      </w:pPr>
      <w:r>
        <w:tab/>
        <w:t>(b)</w:t>
      </w:r>
      <w:r>
        <w:tab/>
        <w:t>for mixing lead paint or silica paint for immediate use.</w:t>
      </w:r>
    </w:p>
    <w:p w:rsidR="00AF2508" w:rsidRDefault="00AF2508">
      <w:pPr>
        <w:pStyle w:val="Assectheading"/>
      </w:pPr>
      <w:r>
        <w:rPr>
          <w:rStyle w:val="charItals"/>
          <w:i/>
        </w:rPr>
        <w:t>Preparation of stopping</w:t>
      </w:r>
    </w:p>
    <w:p w:rsidR="00AF2508" w:rsidRDefault="00AF2508">
      <w:pPr>
        <w:pStyle w:val="Amain"/>
      </w:pPr>
      <w:r>
        <w:rPr>
          <w:color w:val="000000"/>
        </w:rPr>
        <w:tab/>
        <w:t>(14)</w:t>
      </w:r>
      <w:r>
        <w:rPr>
          <w:color w:val="000000"/>
        </w:rPr>
        <w:tab/>
        <w:t>White lead, or sulphate of lead, shall not be manipulated or used in the preparation of painters’ stopping material, except under an efficient exhaust draught so arranged as to remove the dust produced, as nearly as may be, at its point of origin.</w:t>
      </w:r>
    </w:p>
    <w:p w:rsidR="00AF2508" w:rsidRDefault="00AF2508">
      <w:pPr>
        <w:pStyle w:val="Amain"/>
      </w:pPr>
      <w:r>
        <w:tab/>
        <w:t>(15)</w:t>
      </w:r>
      <w:r>
        <w:tab/>
        <w:t>However, subsection (14) does not apply if the stopping material is prepared by a worker solely for his or her own use.</w:t>
      </w:r>
    </w:p>
    <w:p w:rsidR="00AF2508" w:rsidRDefault="00AF2508">
      <w:pPr>
        <w:pStyle w:val="Amain"/>
      </w:pPr>
      <w:r>
        <w:rPr>
          <w:color w:val="000000"/>
        </w:rPr>
        <w:tab/>
        <w:t>(16)</w:t>
      </w:r>
      <w:r>
        <w:rPr>
          <w:color w:val="000000"/>
        </w:rPr>
        <w:tab/>
        <w:t>Every person who directly or by his or her servants or agents carries out spray painting shall—</w:t>
      </w:r>
    </w:p>
    <w:p w:rsidR="00AF2508" w:rsidRDefault="00AF2508">
      <w:pPr>
        <w:pStyle w:val="Apara"/>
      </w:pPr>
      <w:r>
        <w:tab/>
        <w:t>(a)</w:t>
      </w:r>
      <w:r>
        <w:tab/>
        <w:t>provide and maintain for the use of all persons engaged in, or exposed to the spraying of lead paint or silica paint, approved overalls, head coverings and gloves; and</w:t>
      </w:r>
    </w:p>
    <w:p w:rsidR="00AF2508" w:rsidRDefault="00AF2508">
      <w:pPr>
        <w:pStyle w:val="Apara"/>
      </w:pPr>
      <w:r>
        <w:tab/>
        <w:t>(b)</w:t>
      </w:r>
      <w:r>
        <w:tab/>
        <w:t>ensure that the overalls, head coverings and gloves are thoroughly washed and cleaned at the expense of the person providing them at intervals of not more than 1 week; and</w:t>
      </w:r>
    </w:p>
    <w:p w:rsidR="00AF2508" w:rsidRDefault="00AF2508">
      <w:pPr>
        <w:pStyle w:val="Apara"/>
      </w:pPr>
      <w:r>
        <w:tab/>
        <w:t>(c)</w:t>
      </w:r>
      <w:r>
        <w:tab/>
        <w:t>provide and maintain for the use of every person engaged in spray painting a sufficient quantity of material capable of removing paint or spraying mixture from his or her hands and face; and</w:t>
      </w:r>
    </w:p>
    <w:p w:rsidR="00AF2508" w:rsidRDefault="00AF2508">
      <w:pPr>
        <w:pStyle w:val="Apara"/>
      </w:pPr>
      <w:r>
        <w:tab/>
        <w:t>(d)</w:t>
      </w:r>
      <w:r>
        <w:tab/>
        <w:t>provide for persons employed in spraying lead paint or silica paint an adequate supply of hot water for washing purposes and a sufficient supply of towels, nail brushes and soap; and</w:t>
      </w:r>
    </w:p>
    <w:p w:rsidR="00AF2508" w:rsidRDefault="00AF2508">
      <w:pPr>
        <w:pStyle w:val="Apara"/>
        <w:keepNext/>
      </w:pPr>
      <w:r>
        <w:tab/>
        <w:t>(e)</w:t>
      </w:r>
      <w:r>
        <w:tab/>
        <w:t>provide approved respirators and maintain them in an efficient condition for all persons engaged in—</w:t>
      </w:r>
    </w:p>
    <w:p w:rsidR="00AF2508" w:rsidRDefault="00AF2508">
      <w:pPr>
        <w:pStyle w:val="Asubpara"/>
      </w:pPr>
      <w:r>
        <w:tab/>
        <w:t>(i)</w:t>
      </w:r>
      <w:r>
        <w:tab/>
        <w:t>spray painting in which lead paint or silica paint is used; or</w:t>
      </w:r>
    </w:p>
    <w:p w:rsidR="00AF2508" w:rsidRDefault="00AF2508">
      <w:pPr>
        <w:pStyle w:val="Asubpara"/>
      </w:pPr>
      <w:r>
        <w:tab/>
        <w:t>(ii)</w:t>
      </w:r>
      <w:r>
        <w:tab/>
        <w:t>spray painting in which any other material detrimental to health is used; or</w:t>
      </w:r>
    </w:p>
    <w:p w:rsidR="00AF2508" w:rsidRDefault="00AF2508">
      <w:pPr>
        <w:pStyle w:val="Asubpara"/>
      </w:pPr>
      <w:r>
        <w:tab/>
        <w:t>(iii)</w:t>
      </w:r>
      <w:r>
        <w:tab/>
        <w:t>the dry rubbing down or scraping of a surface painted with lead paint or silica paint;</w:t>
      </w:r>
    </w:p>
    <w:p w:rsidR="00AF2508" w:rsidRDefault="00AF2508">
      <w:pPr>
        <w:pStyle w:val="Aparareturn"/>
      </w:pPr>
      <w:r>
        <w:t>and for all persons otherwise exposed to the lead paint or silica paint or to such other detrimental material.</w:t>
      </w:r>
    </w:p>
    <w:p w:rsidR="00AF2508" w:rsidRDefault="00AF2508">
      <w:pPr>
        <w:pStyle w:val="Assectheading"/>
      </w:pPr>
      <w:r>
        <w:rPr>
          <w:rStyle w:val="charItals"/>
          <w:i/>
        </w:rPr>
        <w:t>Sampling material used for spray painting</w:t>
      </w:r>
    </w:p>
    <w:p w:rsidR="00AF2508" w:rsidRDefault="00AF2508">
      <w:pPr>
        <w:pStyle w:val="Amain"/>
        <w:rPr>
          <w:color w:val="000000"/>
        </w:rPr>
      </w:pPr>
      <w:r>
        <w:rPr>
          <w:color w:val="000000"/>
        </w:rPr>
        <w:tab/>
        <w:t>(17)</w:t>
      </w:r>
      <w:r>
        <w:rPr>
          <w:color w:val="000000"/>
        </w:rPr>
        <w:tab/>
        <w:t>When requested by an inspector a sample of any material in use or mixed for use in spray painting shall be provided by the user and this shall be taken in the presence of the inspector who shall forthwith seal the sample and give it to a competent analyst.</w:t>
      </w:r>
    </w:p>
    <w:p w:rsidR="00AF2508" w:rsidRDefault="00AF2508">
      <w:pPr>
        <w:pStyle w:val="Amain"/>
        <w:rPr>
          <w:color w:val="000000"/>
        </w:rPr>
      </w:pPr>
      <w:r>
        <w:rPr>
          <w:color w:val="000000"/>
        </w:rPr>
        <w:tab/>
        <w:t>(18)</w:t>
      </w:r>
      <w:r>
        <w:rPr>
          <w:color w:val="000000"/>
        </w:rPr>
        <w:tab/>
        <w:t>Should the user so desire, a second sample shall be sealed at the same time by the inspector and handed to the user.</w:t>
      </w:r>
    </w:p>
    <w:p w:rsidR="00AF2508" w:rsidRDefault="00AF2508">
      <w:pPr>
        <w:pStyle w:val="Assectheading"/>
      </w:pPr>
      <w:r>
        <w:rPr>
          <w:rStyle w:val="charItals"/>
          <w:i/>
        </w:rPr>
        <w:t>Health register</w:t>
      </w:r>
    </w:p>
    <w:p w:rsidR="00AF2508" w:rsidRDefault="00AF2508">
      <w:pPr>
        <w:pStyle w:val="Amain"/>
      </w:pPr>
      <w:r>
        <w:rPr>
          <w:color w:val="000000"/>
        </w:rPr>
        <w:tab/>
        <w:t>(19)</w:t>
      </w:r>
      <w:r>
        <w:rPr>
          <w:color w:val="000000"/>
        </w:rPr>
        <w:tab/>
        <w:t>Every person employing any person in spray painting shall keep a health register in which shall be entered the names of all persons employed in, or exposed to spray painting and if any employee is absent from work for 3 days or more owing to illness attributable to spray painting or exposure to it, the name of the employee, together with his or her age and address and the date of cessation from work and duration of absence, shall be entered by the contractor in the health register.</w:t>
      </w:r>
    </w:p>
    <w:p w:rsidR="00AF2508" w:rsidRDefault="00AF2508">
      <w:pPr>
        <w:pStyle w:val="Amain"/>
      </w:pPr>
      <w:r>
        <w:tab/>
        <w:t>(20)</w:t>
      </w:r>
      <w:r>
        <w:tab/>
        <w:t>The health register kept under this section shall, on demand being made by an inspector at any reasonable time, be produced for examination.</w:t>
      </w:r>
    </w:p>
    <w:p w:rsidR="00AF2508" w:rsidRDefault="00AF2508">
      <w:pPr>
        <w:pStyle w:val="Assectheading"/>
      </w:pPr>
      <w:r>
        <w:rPr>
          <w:rStyle w:val="charItals"/>
          <w:i/>
        </w:rPr>
        <w:t>Duties of spray-gun operators</w:t>
      </w:r>
    </w:p>
    <w:p w:rsidR="00AF2508" w:rsidRDefault="00AF2508">
      <w:pPr>
        <w:pStyle w:val="Amain"/>
      </w:pPr>
      <w:r>
        <w:rPr>
          <w:color w:val="000000"/>
        </w:rPr>
        <w:tab/>
        <w:t>(21)</w:t>
      </w:r>
      <w:r>
        <w:rPr>
          <w:color w:val="000000"/>
        </w:rPr>
        <w:tab/>
        <w:t>Every spray-gun operator shall—</w:t>
      </w:r>
    </w:p>
    <w:p w:rsidR="00AF2508" w:rsidRDefault="00AF2508">
      <w:pPr>
        <w:pStyle w:val="Apara"/>
      </w:pPr>
      <w:r>
        <w:tab/>
        <w:t>(a)</w:t>
      </w:r>
      <w:r>
        <w:tab/>
        <w:t>so adjust the atomisation pressure of the spray-gun as to avoid creating undue mist; and</w:t>
      </w:r>
    </w:p>
    <w:p w:rsidR="00AF2508" w:rsidRDefault="00AF2508">
      <w:pPr>
        <w:pStyle w:val="Apara"/>
      </w:pPr>
      <w:r>
        <w:tab/>
        <w:t>(b)</w:t>
      </w:r>
      <w:r>
        <w:tab/>
        <w:t>so use a spray-gun that neither the operator nor any other worker continuously comes between the outlet of the spray-gun in operation and any fan provided for the purposes of ventilation; and</w:t>
      </w:r>
    </w:p>
    <w:p w:rsidR="00AF2508" w:rsidRDefault="00AF2508">
      <w:pPr>
        <w:pStyle w:val="Apara"/>
      </w:pPr>
      <w:r>
        <w:tab/>
        <w:t>(c)</w:t>
      </w:r>
      <w:r>
        <w:tab/>
        <w:t>not test the spray-gun by spraying promiscuously about any room or place; and</w:t>
      </w:r>
    </w:p>
    <w:p w:rsidR="00AF2508" w:rsidRDefault="00AF2508">
      <w:pPr>
        <w:pStyle w:val="Apara"/>
      </w:pPr>
      <w:r>
        <w:tab/>
        <w:t>(d)</w:t>
      </w:r>
      <w:r>
        <w:tab/>
        <w:t>wear the overalls, head covering and gloves prescribed in subsection (16) when engaged in or exposed to the spray painting of lead paint or silica paint; and</w:t>
      </w:r>
    </w:p>
    <w:p w:rsidR="00AF2508" w:rsidRDefault="00AF2508">
      <w:pPr>
        <w:pStyle w:val="Apara"/>
      </w:pPr>
      <w:r>
        <w:tab/>
        <w:t>(e)</w:t>
      </w:r>
      <w:r>
        <w:tab/>
        <w:t>wear the respirators required to be provided by subsection (16) when engaged in or in connection with any of the processes referred to in that subsection.</w:t>
      </w:r>
    </w:p>
    <w:p w:rsidR="00AF2508" w:rsidRDefault="00AF2508">
      <w:pPr>
        <w:pStyle w:val="Assectheading"/>
      </w:pPr>
      <w:r>
        <w:rPr>
          <w:rStyle w:val="charItals"/>
          <w:i/>
        </w:rPr>
        <w:t>Duties of other persons employed</w:t>
      </w:r>
    </w:p>
    <w:p w:rsidR="00AF2508" w:rsidRDefault="00AF2508">
      <w:pPr>
        <w:pStyle w:val="Amain"/>
      </w:pPr>
      <w:r>
        <w:rPr>
          <w:color w:val="000000"/>
        </w:rPr>
        <w:tab/>
        <w:t>(22)</w:t>
      </w:r>
      <w:r>
        <w:rPr>
          <w:color w:val="000000"/>
        </w:rPr>
        <w:tab/>
        <w:t>Every person shall—</w:t>
      </w:r>
    </w:p>
    <w:p w:rsidR="00AF2508" w:rsidRDefault="00AF2508">
      <w:pPr>
        <w:pStyle w:val="Apara"/>
      </w:pPr>
      <w:r>
        <w:tab/>
        <w:t>(a)</w:t>
      </w:r>
      <w:r>
        <w:tab/>
        <w:t>wear the overalls and head covering and gloves prescribed in subsection (16) while exposed to spray painting of lead paint or of silica paint; and</w:t>
      </w:r>
    </w:p>
    <w:p w:rsidR="00AF2508" w:rsidRDefault="00AF2508">
      <w:pPr>
        <w:pStyle w:val="Apara"/>
      </w:pPr>
      <w:r>
        <w:tab/>
        <w:t>(b)</w:t>
      </w:r>
      <w:r>
        <w:tab/>
        <w:t>wear the respirator required to be provided by subsection (16) while engaged in or in connection with any of the processes referred to in that subsection; and</w:t>
      </w:r>
    </w:p>
    <w:p w:rsidR="00AF2508" w:rsidRDefault="00AF2508">
      <w:pPr>
        <w:pStyle w:val="Apara"/>
      </w:pPr>
      <w:r>
        <w:tab/>
        <w:t>(c)</w:t>
      </w:r>
      <w:r>
        <w:tab/>
        <w:t>cause all cotton waste, cleaning rags or similar materials that have been used for cleaning up in a spray painting operation to be deposited in the metal containers provided in accordance with subsection (6); and</w:t>
      </w:r>
    </w:p>
    <w:p w:rsidR="00AF2508" w:rsidRDefault="00AF2508">
      <w:pPr>
        <w:pStyle w:val="Apara"/>
      </w:pPr>
      <w:r>
        <w:tab/>
        <w:t>(d)</w:t>
      </w:r>
      <w:r>
        <w:tab/>
        <w:t>refrain from smoking and from introducing, keeping, preparing or partaking of any food or drink in a room or place where a spray painting operation is being carried on; and</w:t>
      </w:r>
    </w:p>
    <w:p w:rsidR="00AF2508" w:rsidRDefault="00AF2508">
      <w:pPr>
        <w:pStyle w:val="Apara"/>
      </w:pPr>
      <w:r>
        <w:tab/>
        <w:t>(e)</w:t>
      </w:r>
      <w:r>
        <w:tab/>
        <w:t>after being employed in, or exposed to spray painting, thoroughly cleanse his or her face and hands before partaking of food or leaving the site of the building work.</w:t>
      </w:r>
    </w:p>
    <w:p w:rsidR="00AF2508" w:rsidRDefault="00AF2508">
      <w:pPr>
        <w:pStyle w:val="AH3Div"/>
      </w:pPr>
      <w:bookmarkStart w:id="152" w:name="_Toc161636816"/>
      <w:r>
        <w:rPr>
          <w:rStyle w:val="CharDivNo"/>
        </w:rPr>
        <w:t>Division 5.3</w:t>
      </w:r>
      <w:r>
        <w:rPr>
          <w:rStyle w:val="CharDivNo"/>
        </w:rPr>
        <w:tab/>
      </w:r>
      <w:r>
        <w:rPr>
          <w:rStyle w:val="CharDivText"/>
        </w:rPr>
        <w:t>Demolition of buildings and structures</w:t>
      </w:r>
      <w:bookmarkEnd w:id="152"/>
    </w:p>
    <w:p w:rsidR="00AF2508" w:rsidRDefault="00AF2508">
      <w:pPr>
        <w:pStyle w:val="AH5Sec"/>
      </w:pPr>
      <w:bookmarkStart w:id="153" w:name="_Toc161636817"/>
      <w:r>
        <w:rPr>
          <w:rStyle w:val="CharSectNo"/>
        </w:rPr>
        <w:t>84</w:t>
      </w:r>
      <w:bookmarkEnd w:id="153"/>
      <w:r>
        <w:tab/>
        <w:t xml:space="preserve">  </w:t>
      </w:r>
    </w:p>
    <w:p w:rsidR="00AF2508" w:rsidRDefault="00AF2508">
      <w:pPr>
        <w:pStyle w:val="Amain"/>
      </w:pPr>
      <w:r>
        <w:rPr>
          <w:color w:val="000000"/>
        </w:rPr>
        <w:tab/>
        <w:t>(1)</w:t>
      </w:r>
      <w:r>
        <w:rPr>
          <w:color w:val="000000"/>
        </w:rPr>
        <w:tab/>
      </w:r>
      <w:r>
        <w:t>This section shall apply to the demolition of any building or structure or substantial part of a building or structure.</w:t>
      </w:r>
    </w:p>
    <w:p w:rsidR="00AF2508" w:rsidRDefault="00AF2508">
      <w:pPr>
        <w:pStyle w:val="Amain"/>
      </w:pPr>
      <w:r>
        <w:tab/>
        <w:t>(2)</w:t>
      </w:r>
      <w:r>
        <w:tab/>
        <w:t>However, subsections (6), (9) and (11) do not apply in relation to the use of explosives within the meaning of the</w:t>
      </w:r>
      <w:r>
        <w:rPr>
          <w:rStyle w:val="charItals"/>
        </w:rPr>
        <w:t xml:space="preserve"> Occupational Health and Safety Regulation 1991</w:t>
      </w:r>
      <w:r>
        <w:t>.</w:t>
      </w:r>
    </w:p>
    <w:p w:rsidR="00AF2508" w:rsidRDefault="00AF2508">
      <w:pPr>
        <w:pStyle w:val="Amain"/>
        <w:rPr>
          <w:color w:val="000000"/>
        </w:rPr>
      </w:pPr>
      <w:r>
        <w:rPr>
          <w:color w:val="000000"/>
        </w:rPr>
        <w:tab/>
        <w:t>(3)</w:t>
      </w:r>
      <w:r>
        <w:rPr>
          <w:color w:val="000000"/>
        </w:rPr>
        <w:tab/>
        <w:t>Except as otherwise provided in this section, the person who directly or by his or her servants or agents carries out demolition work shall be responsible for compliance with this section.</w:t>
      </w:r>
    </w:p>
    <w:p w:rsidR="00AF2508" w:rsidRDefault="00AF2508">
      <w:pPr>
        <w:pStyle w:val="Amain"/>
      </w:pPr>
      <w:r>
        <w:rPr>
          <w:color w:val="000000"/>
        </w:rPr>
        <w:tab/>
        <w:t>(4)</w:t>
      </w:r>
      <w:r>
        <w:rPr>
          <w:color w:val="000000"/>
        </w:rPr>
        <w:tab/>
        <w:t>Before demolition is begun and also during the progress of the work—</w:t>
      </w:r>
    </w:p>
    <w:p w:rsidR="00AF2508" w:rsidRDefault="00AF2508">
      <w:pPr>
        <w:pStyle w:val="Apara"/>
      </w:pPr>
      <w:r>
        <w:tab/>
        <w:t>(a)</w:t>
      </w:r>
      <w:r>
        <w:tab/>
        <w:t>no electric cable or apparatus that is liable to be a source of danger, other than a cable or apparatus used for the operation, shall be allowed to remain electrically charged; and</w:t>
      </w:r>
    </w:p>
    <w:p w:rsidR="00AF2508" w:rsidRDefault="00AF2508">
      <w:pPr>
        <w:pStyle w:val="Apara"/>
        <w:keepNext/>
      </w:pPr>
      <w:r>
        <w:tab/>
        <w:t>(b)</w:t>
      </w:r>
      <w:r>
        <w:tab/>
        <w:t>all practicable steps shall be taken to prevent danger to all persons—</w:t>
      </w:r>
    </w:p>
    <w:p w:rsidR="00AF2508" w:rsidRDefault="00AF2508">
      <w:pPr>
        <w:pStyle w:val="Asubpara"/>
      </w:pPr>
      <w:r>
        <w:tab/>
        <w:t>(i)</w:t>
      </w:r>
      <w:r>
        <w:tab/>
        <w:t>from fire or explosion through leakage or accumulation of gas or vapour; and</w:t>
      </w:r>
    </w:p>
    <w:p w:rsidR="00AF2508" w:rsidRDefault="00AF2508">
      <w:pPr>
        <w:pStyle w:val="Asubpara"/>
      </w:pPr>
      <w:r>
        <w:tab/>
        <w:t>(ii)</w:t>
      </w:r>
      <w:r>
        <w:tab/>
        <w:t>from flooding from water mains, drains or sewers.</w:t>
      </w:r>
    </w:p>
    <w:p w:rsidR="00AF2508" w:rsidRDefault="00AF2508">
      <w:pPr>
        <w:pStyle w:val="Amain"/>
      </w:pPr>
      <w:r>
        <w:rPr>
          <w:color w:val="000000"/>
        </w:rPr>
        <w:tab/>
        <w:t>(5)</w:t>
      </w:r>
      <w:r>
        <w:rPr>
          <w:color w:val="000000"/>
        </w:rPr>
        <w:tab/>
        <w:t>All glazed sashes and glazed doors shall be removed or boarded up at the start of the demolition work.</w:t>
      </w:r>
    </w:p>
    <w:p w:rsidR="00AF2508" w:rsidRDefault="00AF2508">
      <w:pPr>
        <w:pStyle w:val="Amain"/>
        <w:rPr>
          <w:color w:val="000000"/>
        </w:rPr>
      </w:pPr>
      <w:r>
        <w:rPr>
          <w:color w:val="000000"/>
        </w:rPr>
        <w:tab/>
        <w:t>(6)</w:t>
      </w:r>
      <w:r>
        <w:rPr>
          <w:color w:val="000000"/>
        </w:rPr>
        <w:tab/>
        <w:t>Demolition of walls shall be executed storey by storey beginning at the roof and working downward.</w:t>
      </w:r>
    </w:p>
    <w:p w:rsidR="00AF2508" w:rsidRDefault="00AF2508">
      <w:pPr>
        <w:pStyle w:val="Amain"/>
      </w:pPr>
      <w:r>
        <w:rPr>
          <w:color w:val="000000"/>
        </w:rPr>
        <w:tab/>
        <w:t>(7)</w:t>
      </w:r>
      <w:r>
        <w:rPr>
          <w:color w:val="000000"/>
        </w:rPr>
        <w:tab/>
        <w:t>Masonry and brickwork shall be taken down in reasonably even courses.</w:t>
      </w:r>
    </w:p>
    <w:p w:rsidR="00AF2508" w:rsidRDefault="00AF2508">
      <w:pPr>
        <w:pStyle w:val="Amain"/>
      </w:pPr>
      <w:r>
        <w:rPr>
          <w:color w:val="000000"/>
        </w:rPr>
        <w:tab/>
        <w:t>(8)</w:t>
      </w:r>
      <w:r>
        <w:rPr>
          <w:color w:val="000000"/>
        </w:rPr>
        <w:tab/>
        <w:t>All walls unsupported for a height of 12 feet or more shall be protected against falling by the use of shoring or ties, or both.</w:t>
      </w:r>
    </w:p>
    <w:p w:rsidR="00AF2508" w:rsidRDefault="00AF2508">
      <w:pPr>
        <w:pStyle w:val="Amain"/>
      </w:pPr>
      <w:r>
        <w:rPr>
          <w:color w:val="000000"/>
        </w:rPr>
        <w:tab/>
        <w:t>(9)</w:t>
      </w:r>
      <w:r>
        <w:rPr>
          <w:color w:val="000000"/>
        </w:rPr>
        <w:tab/>
        <w:t>If walls are thin or structurally weak, scaffolding shall be erected and workers shall work from the scaffolding for the purpose of demolishing the walls.</w:t>
      </w:r>
    </w:p>
    <w:p w:rsidR="00AF2508" w:rsidRDefault="00AF2508">
      <w:pPr>
        <w:pStyle w:val="Amain"/>
      </w:pPr>
      <w:r>
        <w:rPr>
          <w:color w:val="000000"/>
        </w:rPr>
        <w:tab/>
        <w:t>(10)</w:t>
      </w:r>
      <w:r>
        <w:rPr>
          <w:color w:val="000000"/>
        </w:rPr>
        <w:tab/>
        <w:t>All practicable precautions shall be taken to avoid danger from collapse of the structure when any part of the framing is removed from a framed or partly framed building or structure.</w:t>
      </w:r>
    </w:p>
    <w:p w:rsidR="00AF2508" w:rsidRDefault="00AF2508">
      <w:pPr>
        <w:pStyle w:val="Amain"/>
      </w:pPr>
      <w:r>
        <w:rPr>
          <w:color w:val="000000"/>
        </w:rPr>
        <w:tab/>
        <w:t>(11)</w:t>
      </w:r>
      <w:r>
        <w:rPr>
          <w:color w:val="000000"/>
        </w:rPr>
        <w:tab/>
        <w:t>All practicable precautions shall be taken to avoid danger from any sudden twist, spring or collapse of any steelwork, ironwork or reinforced concrete when the steelwork, ironwork or reinforced concrete is cut or released.</w:t>
      </w:r>
    </w:p>
    <w:p w:rsidR="00AF2508" w:rsidRDefault="00AF2508">
      <w:pPr>
        <w:pStyle w:val="Amain"/>
        <w:rPr>
          <w:color w:val="000000"/>
        </w:rPr>
      </w:pPr>
      <w:r>
        <w:rPr>
          <w:color w:val="000000"/>
        </w:rPr>
        <w:tab/>
        <w:t>(12)</w:t>
      </w:r>
      <w:r>
        <w:rPr>
          <w:color w:val="000000"/>
        </w:rPr>
        <w:tab/>
        <w:t>Demolished material, debris, or spoil shall not be allowed to remain on any floor or structure if the weight of the material exceeds the safe carrying capacity of the floor or structure.</w:t>
      </w:r>
    </w:p>
    <w:p w:rsidR="00AF2508" w:rsidRDefault="00AF2508">
      <w:pPr>
        <w:pStyle w:val="Amain"/>
      </w:pPr>
      <w:r>
        <w:rPr>
          <w:color w:val="000000"/>
        </w:rPr>
        <w:tab/>
        <w:t>(13)</w:t>
      </w:r>
      <w:r>
        <w:rPr>
          <w:color w:val="000000"/>
        </w:rPr>
        <w:tab/>
        <w:t>Demolished material, debris or spoil shall be so piled or stacked that it will not endanger workers or other persons.</w:t>
      </w:r>
    </w:p>
    <w:p w:rsidR="00AF2508" w:rsidRDefault="00AF2508">
      <w:pPr>
        <w:pStyle w:val="Amain"/>
      </w:pPr>
      <w:r>
        <w:rPr>
          <w:color w:val="000000"/>
        </w:rPr>
        <w:tab/>
        <w:t>(14)</w:t>
      </w:r>
      <w:r>
        <w:rPr>
          <w:color w:val="000000"/>
        </w:rPr>
        <w:tab/>
        <w:t>Accumulated dust creating material, unless thoroughly dampened, shall not be thrown or dropped from the building or structure, but shall be lowered by hoisting apparatus or removed by material chutes that are completely enclosed.</w:t>
      </w:r>
    </w:p>
    <w:p w:rsidR="00AF2508" w:rsidRDefault="00AF2508">
      <w:pPr>
        <w:pStyle w:val="Amain"/>
        <w:rPr>
          <w:color w:val="000000"/>
        </w:rPr>
      </w:pPr>
      <w:r>
        <w:rPr>
          <w:color w:val="000000"/>
        </w:rPr>
        <w:tab/>
        <w:t>(15)</w:t>
      </w:r>
      <w:r>
        <w:rPr>
          <w:color w:val="000000"/>
        </w:rPr>
        <w:tab/>
        <w:t>The bottom of each material chute shall be equipped with a gate or stop, with suitable means for closing or regulating the flow of material.</w:t>
      </w:r>
    </w:p>
    <w:p w:rsidR="00AF2508" w:rsidRDefault="00AF2508">
      <w:pPr>
        <w:pStyle w:val="Amain"/>
        <w:rPr>
          <w:color w:val="000000"/>
        </w:rPr>
      </w:pPr>
      <w:r>
        <w:rPr>
          <w:color w:val="000000"/>
        </w:rPr>
        <w:tab/>
        <w:t>(16)</w:t>
      </w:r>
      <w:r>
        <w:rPr>
          <w:color w:val="000000"/>
        </w:rPr>
        <w:tab/>
        <w:t>The gate or stop shall be kept closed except for the discharge of material.</w:t>
      </w:r>
    </w:p>
    <w:p w:rsidR="00AF2508" w:rsidRDefault="00AF2508">
      <w:pPr>
        <w:pStyle w:val="Amain"/>
      </w:pPr>
      <w:r>
        <w:rPr>
          <w:color w:val="000000"/>
        </w:rPr>
        <w:tab/>
        <w:t>(17)</w:t>
      </w:r>
      <w:r>
        <w:rPr>
          <w:color w:val="000000"/>
        </w:rPr>
        <w:tab/>
        <w:t>Proper tools shall be provided and kept available to loosen material that becomes jammed in the chute.</w:t>
      </w:r>
    </w:p>
    <w:p w:rsidR="00AF2508" w:rsidRDefault="00AF2508">
      <w:pPr>
        <w:pStyle w:val="Amain"/>
      </w:pPr>
      <w:r>
        <w:rPr>
          <w:color w:val="000000"/>
        </w:rPr>
        <w:tab/>
        <w:t>(18)</w:t>
      </w:r>
      <w:r>
        <w:rPr>
          <w:color w:val="000000"/>
        </w:rPr>
        <w:tab/>
        <w:t>A danger sign shall be placed at the discharge end of every chute.</w:t>
      </w:r>
    </w:p>
    <w:p w:rsidR="00AF2508" w:rsidRDefault="00AF2508">
      <w:pPr>
        <w:pStyle w:val="Amain"/>
      </w:pPr>
      <w:r>
        <w:rPr>
          <w:color w:val="000000"/>
        </w:rPr>
        <w:tab/>
        <w:t>(19)</w:t>
      </w:r>
      <w:r>
        <w:rPr>
          <w:color w:val="000000"/>
        </w:rPr>
        <w:tab/>
        <w:t>During demolition, chutes, floors, stairways and other places affected shall be sprinkled frequently to keep down dust.</w:t>
      </w:r>
    </w:p>
    <w:p w:rsidR="00AF2508" w:rsidRDefault="00AF2508">
      <w:pPr>
        <w:pStyle w:val="Amain"/>
        <w:rPr>
          <w:color w:val="000000"/>
        </w:rPr>
      </w:pPr>
      <w:r>
        <w:rPr>
          <w:color w:val="000000"/>
        </w:rPr>
        <w:tab/>
        <w:t>(20)</w:t>
      </w:r>
      <w:r>
        <w:rPr>
          <w:color w:val="000000"/>
        </w:rPr>
        <w:tab/>
        <w:t>Stairs and stair railings shall be kept in place and in usable condition as long as possible.</w:t>
      </w:r>
    </w:p>
    <w:p w:rsidR="00AF2508" w:rsidRDefault="00AF2508">
      <w:pPr>
        <w:pStyle w:val="Amain"/>
      </w:pPr>
      <w:r>
        <w:rPr>
          <w:color w:val="000000"/>
        </w:rPr>
        <w:tab/>
        <w:t>(21)</w:t>
      </w:r>
      <w:r>
        <w:rPr>
          <w:color w:val="000000"/>
        </w:rPr>
        <w:tab/>
        <w:t>Steps and landings shall be kept free from debris.</w:t>
      </w:r>
    </w:p>
    <w:p w:rsidR="00AF2508" w:rsidRDefault="00AF2508">
      <w:pPr>
        <w:pStyle w:val="Amain"/>
      </w:pPr>
      <w:r>
        <w:rPr>
          <w:color w:val="000000"/>
        </w:rPr>
        <w:tab/>
        <w:t>(22)</w:t>
      </w:r>
      <w:r>
        <w:rPr>
          <w:color w:val="000000"/>
        </w:rPr>
        <w:tab/>
        <w:t>Openings in floors, unless covered or otherwise protected, shall be provided with guardrails and toe boards.</w:t>
      </w:r>
    </w:p>
    <w:p w:rsidR="00AF2508" w:rsidRDefault="00AF2508">
      <w:pPr>
        <w:pStyle w:val="Amain"/>
      </w:pPr>
      <w:r>
        <w:rPr>
          <w:color w:val="000000"/>
        </w:rPr>
        <w:tab/>
        <w:t>(23)</w:t>
      </w:r>
      <w:r>
        <w:rPr>
          <w:color w:val="000000"/>
        </w:rPr>
        <w:tab/>
        <w:t>If workers or other persons may be exposed to the danger of being struck by material or objects falling from upper working levels, the exposed area shall be shut off from access by means of guardrails and danger signs shall be posted.</w:t>
      </w:r>
    </w:p>
    <w:p w:rsidR="00AF2508" w:rsidRDefault="00AF2508">
      <w:pPr>
        <w:pStyle w:val="PageBreak"/>
      </w:pPr>
      <w:r>
        <w:br w:type="page"/>
      </w:r>
    </w:p>
    <w:p w:rsidR="00AF2508" w:rsidRDefault="00AF2508">
      <w:pPr>
        <w:pStyle w:val="AH2Part"/>
      </w:pPr>
      <w:bookmarkStart w:id="154" w:name="_Toc161636818"/>
      <w:r>
        <w:rPr>
          <w:rStyle w:val="CharPartNo"/>
        </w:rPr>
        <w:t>Part 6</w:t>
      </w:r>
      <w:r>
        <w:tab/>
      </w:r>
      <w:r>
        <w:rPr>
          <w:rStyle w:val="CharPartText"/>
        </w:rPr>
        <w:t>The proper design, construction, erection and use of scaffolding</w:t>
      </w:r>
      <w:bookmarkEnd w:id="154"/>
    </w:p>
    <w:p w:rsidR="00AF2508" w:rsidRDefault="00AF2508">
      <w:pPr>
        <w:pStyle w:val="Placeholder"/>
      </w:pPr>
      <w:r>
        <w:rPr>
          <w:rStyle w:val="CharDivNo"/>
        </w:rPr>
        <w:t xml:space="preserve">  </w:t>
      </w:r>
      <w:r>
        <w:rPr>
          <w:rStyle w:val="CharDivText"/>
        </w:rPr>
        <w:t xml:space="preserve">  </w:t>
      </w:r>
    </w:p>
    <w:p w:rsidR="00AF2508" w:rsidRDefault="00AF2508">
      <w:pPr>
        <w:pStyle w:val="AH5Sec"/>
        <w:rPr>
          <w:rStyle w:val="CharSectNo"/>
        </w:rPr>
      </w:pPr>
      <w:bookmarkStart w:id="155" w:name="_Toc161636819"/>
      <w:r>
        <w:rPr>
          <w:rStyle w:val="CharSectNo"/>
        </w:rPr>
        <w:t>85</w:t>
      </w:r>
      <w:r>
        <w:tab/>
      </w:r>
      <w:r>
        <w:rPr>
          <w:rStyle w:val="CharSectNo"/>
        </w:rPr>
        <w:t>Definitions for pt 6</w:t>
      </w:r>
      <w:bookmarkEnd w:id="155"/>
    </w:p>
    <w:p w:rsidR="00AF2508" w:rsidRDefault="00AF2508">
      <w:pPr>
        <w:pStyle w:val="Amainreturn"/>
      </w:pPr>
      <w:r>
        <w:t>In this regulation:</w:t>
      </w:r>
    </w:p>
    <w:p w:rsidR="00AF2508" w:rsidRDefault="00AF2508">
      <w:pPr>
        <w:pStyle w:val="aDef"/>
      </w:pPr>
      <w:r>
        <w:rPr>
          <w:rStyle w:val="charBoldItals"/>
        </w:rPr>
        <w:t>birdcage scaffolding</w:t>
      </w:r>
      <w:r>
        <w:t xml:space="preserve"> means independent pole scaffolding used in connection with the interior decoration of buildings or for fixing building ceilings or for other like work in the course of which loads required to be carried by the scaffolding are small in weight when compared with the weight of persons using the scaffolding.</w:t>
      </w:r>
    </w:p>
    <w:p w:rsidR="00AF2508" w:rsidRDefault="00AF2508">
      <w:pPr>
        <w:pStyle w:val="aDef"/>
      </w:pPr>
      <w:r>
        <w:rPr>
          <w:rStyle w:val="charBoldItals"/>
        </w:rPr>
        <w:t>cantilever scaffolding</w:t>
      </w:r>
      <w:r>
        <w:t xml:space="preserve"> means scaffolding the platform of which is supported by cantilevers.</w:t>
      </w:r>
    </w:p>
    <w:p w:rsidR="00AF2508" w:rsidRDefault="00AF2508">
      <w:pPr>
        <w:pStyle w:val="aDef"/>
      </w:pPr>
      <w:r>
        <w:rPr>
          <w:rStyle w:val="charBoldItals"/>
        </w:rPr>
        <w:t>heavy duty scaffolding</w:t>
      </w:r>
      <w:r>
        <w:t xml:space="preserve"> means scaffolding used by bricklayers, masons, plasterers and other like tradespeople who in the course of their work require that heavy materials be deposited on the scaffolding.</w:t>
      </w:r>
    </w:p>
    <w:p w:rsidR="00AF2508" w:rsidRDefault="00AF2508">
      <w:pPr>
        <w:pStyle w:val="aDef"/>
      </w:pPr>
      <w:r>
        <w:rPr>
          <w:rStyle w:val="charBoldItals"/>
        </w:rPr>
        <w:t>independent pole scaffolding</w:t>
      </w:r>
      <w:r>
        <w:t xml:space="preserve"> means scaffolding supported from the base by 2 or more rows of standards independent of support from a wall or other structure.</w:t>
      </w:r>
    </w:p>
    <w:p w:rsidR="00AF2508" w:rsidRDefault="00AF2508">
      <w:pPr>
        <w:pStyle w:val="aDef"/>
      </w:pPr>
      <w:r>
        <w:rPr>
          <w:rStyle w:val="charBoldItals"/>
        </w:rPr>
        <w:t>light duty scaffolding</w:t>
      </w:r>
      <w:r>
        <w:t xml:space="preserve"> means scaffolding for the use of carpenters, painters, plumbers, electricians and other like tradespeople and that is required to support material of weight greater than that carried by birdcage scaffolding but not so great as that carried by heavy duty scaffolding.</w:t>
      </w:r>
    </w:p>
    <w:p w:rsidR="00AF2508" w:rsidRDefault="00AF2508">
      <w:pPr>
        <w:pStyle w:val="aDef"/>
      </w:pPr>
      <w:r>
        <w:rPr>
          <w:rStyle w:val="charBoldItals"/>
        </w:rPr>
        <w:t>light swinging stage</w:t>
      </w:r>
      <w:r>
        <w:t xml:space="preserve"> means a scaffolding the working platform of which is suspended from overhead supports and does not exceed 18 feet in length, and whose weight, inclusive of all gear, ropes, tackle, and blocks in addition to all parts integral with the working staging but exclusive of needles, does not exceed 600 pounds, and that is so used that the total load on the working platform including workers and material does not at any time exceed 500 pounds.</w:t>
      </w:r>
    </w:p>
    <w:p w:rsidR="00AF2508" w:rsidRDefault="00AF2508">
      <w:pPr>
        <w:pStyle w:val="aDef"/>
      </w:pPr>
      <w:r>
        <w:rPr>
          <w:rStyle w:val="charBoldItals"/>
        </w:rPr>
        <w:t>run</w:t>
      </w:r>
      <w:r>
        <w:t xml:space="preserve"> means a stationary incline provided as a means of ascent and descent from one level to another.</w:t>
      </w:r>
    </w:p>
    <w:p w:rsidR="00AF2508" w:rsidRDefault="00AF2508">
      <w:pPr>
        <w:pStyle w:val="aDef"/>
      </w:pPr>
      <w:r>
        <w:rPr>
          <w:rStyle w:val="charBoldItals"/>
        </w:rPr>
        <w:t>single pole scaffolding</w:t>
      </w:r>
      <w:r>
        <w:t xml:space="preserve"> means a scaffolding supported from the base by but 1 row of standards, the inner edge of the working platform being supported by putlogs fixed to a wall or structure.</w:t>
      </w:r>
    </w:p>
    <w:p w:rsidR="00AF2508" w:rsidRDefault="00AF2508">
      <w:pPr>
        <w:pStyle w:val="aDef"/>
      </w:pPr>
      <w:r>
        <w:rPr>
          <w:rStyle w:val="charBoldItals"/>
        </w:rPr>
        <w:t>suspended scaffolding</w:t>
      </w:r>
      <w:r>
        <w:t xml:space="preserve"> means a scaffolding the platform of which is suspended from overhead supports by round steel wire ropes and is capable of being raised and lowered by means of winches or like mechanism.</w:t>
      </w:r>
    </w:p>
    <w:p w:rsidR="00AF2508" w:rsidRDefault="00AF2508">
      <w:pPr>
        <w:pStyle w:val="aDef"/>
      </w:pPr>
      <w:r>
        <w:rPr>
          <w:rStyle w:val="charBoldItals"/>
        </w:rPr>
        <w:t>toe board</w:t>
      </w:r>
      <w:r>
        <w:t xml:space="preserve"> means a board 9 inches in height erected at right angles to a scaffolding platform and tightly against the platform for protection to workers as well as to prevent material or tools falling from the a platform.</w:t>
      </w:r>
    </w:p>
    <w:p w:rsidR="00AF2508" w:rsidRDefault="00AF2508">
      <w:pPr>
        <w:pStyle w:val="AH3Div"/>
      </w:pPr>
      <w:bookmarkStart w:id="156" w:name="_Toc161636820"/>
      <w:r>
        <w:t>General</w:t>
      </w:r>
      <w:bookmarkEnd w:id="156"/>
    </w:p>
    <w:p w:rsidR="00AF2508" w:rsidRDefault="00AF2508">
      <w:pPr>
        <w:pStyle w:val="AH5Sec"/>
      </w:pPr>
      <w:bookmarkStart w:id="157" w:name="_Toc161636821"/>
      <w:r>
        <w:rPr>
          <w:rStyle w:val="CharSectNo"/>
        </w:rPr>
        <w:t>86</w:t>
      </w:r>
      <w:bookmarkEnd w:id="157"/>
      <w:r>
        <w:tab/>
        <w:t xml:space="preserve">  </w:t>
      </w:r>
    </w:p>
    <w:p w:rsidR="00AF2508" w:rsidRDefault="00AF2508">
      <w:pPr>
        <w:pStyle w:val="Assectheading"/>
      </w:pPr>
      <w:r>
        <w:rPr>
          <w:rStyle w:val="charItals"/>
          <w:i/>
        </w:rPr>
        <w:t>Scaffolding construction</w:t>
      </w:r>
    </w:p>
    <w:p w:rsidR="00AF2508" w:rsidRDefault="00AF2508">
      <w:pPr>
        <w:pStyle w:val="Amain"/>
        <w:rPr>
          <w:color w:val="000000"/>
        </w:rPr>
      </w:pPr>
      <w:r>
        <w:rPr>
          <w:color w:val="000000"/>
        </w:rPr>
        <w:tab/>
        <w:t>(1)</w:t>
      </w:r>
      <w:r>
        <w:rPr>
          <w:color w:val="000000"/>
        </w:rPr>
        <w:tab/>
        <w:t>Every scaffolding and every part of scaffolding shall be of sound material, good construction, adequate strength, free from patent defects and be suitable and safe for the purpose for which it is intended.</w:t>
      </w:r>
    </w:p>
    <w:p w:rsidR="00AF2508" w:rsidRDefault="00AF2508">
      <w:pPr>
        <w:pStyle w:val="Assectheading"/>
      </w:pPr>
      <w:r>
        <w:rPr>
          <w:rStyle w:val="charItals"/>
          <w:i/>
        </w:rPr>
        <w:t>Timber</w:t>
      </w:r>
    </w:p>
    <w:p w:rsidR="00AF2508" w:rsidRDefault="00AF2508">
      <w:pPr>
        <w:pStyle w:val="Amain"/>
      </w:pPr>
      <w:r>
        <w:rPr>
          <w:color w:val="000000"/>
        </w:rPr>
        <w:tab/>
        <w:t>(2)</w:t>
      </w:r>
      <w:r>
        <w:rPr>
          <w:color w:val="000000"/>
        </w:rPr>
        <w:tab/>
        <w:t>All timber used in the construction of scaffolding shall be an approved Australian hardwood or Oregon pine (Douglas fir) or other approved timber of equivalent strength and characteristics.</w:t>
      </w:r>
    </w:p>
    <w:p w:rsidR="00AF2508" w:rsidRDefault="00AF2508">
      <w:pPr>
        <w:pStyle w:val="Amain"/>
      </w:pPr>
      <w:r>
        <w:tab/>
        <w:t>(3)</w:t>
      </w:r>
      <w:r>
        <w:tab/>
        <w:t>Timber shall be thoroughly inspected before use.</w:t>
      </w:r>
    </w:p>
    <w:p w:rsidR="00AF2508" w:rsidRDefault="00AF2508">
      <w:pPr>
        <w:pStyle w:val="Assectheading"/>
        <w:rPr>
          <w:i w:val="0"/>
        </w:rPr>
      </w:pPr>
      <w:r>
        <w:rPr>
          <w:rStyle w:val="charItals"/>
          <w:i/>
        </w:rPr>
        <w:t>Working platforms</w:t>
      </w:r>
      <w:r>
        <w:rPr>
          <w:i w:val="0"/>
          <w:color w:val="000000"/>
        </w:rPr>
        <w:t>—</w:t>
      </w:r>
      <w:r>
        <w:rPr>
          <w:rStyle w:val="charItals"/>
          <w:i/>
        </w:rPr>
        <w:t>dimensions of scaffold planks</w:t>
      </w:r>
    </w:p>
    <w:p w:rsidR="00AF2508" w:rsidRDefault="00AF2508">
      <w:pPr>
        <w:pStyle w:val="Amain"/>
      </w:pPr>
      <w:r>
        <w:tab/>
        <w:t>(4)</w:t>
      </w:r>
      <w:r>
        <w:tab/>
        <w:t>Except as otherwise provided in this section, the cross-sectional dimensions of scaffold planks shall be not less than 9 inches by 1</w:t>
      </w:r>
      <w:r>
        <w:rPr>
          <w:position w:val="6"/>
          <w:sz w:val="18"/>
        </w:rPr>
        <w:t>1</w:t>
      </w:r>
      <w:r>
        <w:t>/</w:t>
      </w:r>
      <w:r>
        <w:rPr>
          <w:sz w:val="18"/>
        </w:rPr>
        <w:t>8</w:t>
      </w:r>
      <w:r>
        <w:t> inches if of hardwood or 9 inches by 1</w:t>
      </w:r>
      <w:r>
        <w:rPr>
          <w:position w:val="6"/>
          <w:sz w:val="18"/>
        </w:rPr>
        <w:t>1</w:t>
      </w:r>
      <w:r>
        <w:t>/</w:t>
      </w:r>
      <w:r>
        <w:rPr>
          <w:sz w:val="18"/>
        </w:rPr>
        <w:t>2</w:t>
      </w:r>
      <w:r>
        <w:t xml:space="preserve"> inches if of Oregon pine.</w:t>
      </w:r>
    </w:p>
    <w:p w:rsidR="00AF2508" w:rsidRDefault="00AF2508">
      <w:pPr>
        <w:pStyle w:val="Assectheading"/>
        <w:rPr>
          <w:i w:val="0"/>
        </w:rPr>
      </w:pPr>
      <w:r>
        <w:rPr>
          <w:rStyle w:val="charItals"/>
          <w:i/>
        </w:rPr>
        <w:t>Working platforms</w:t>
      </w:r>
      <w:r>
        <w:rPr>
          <w:i w:val="0"/>
          <w:color w:val="000000"/>
        </w:rPr>
        <w:t>—</w:t>
      </w:r>
      <w:r>
        <w:rPr>
          <w:rStyle w:val="charItals"/>
          <w:i/>
        </w:rPr>
        <w:t>scaffold planks to be of uniform thickness</w:t>
      </w:r>
    </w:p>
    <w:p w:rsidR="00AF2508" w:rsidRDefault="00AF2508">
      <w:pPr>
        <w:pStyle w:val="Amain"/>
      </w:pPr>
      <w:r>
        <w:tab/>
        <w:t>(5)</w:t>
      </w:r>
      <w:r>
        <w:tab/>
        <w:t>Scaffold planks used in the construction of working platforms shall be of uniform thickness so as not to cause unevenness of surface.</w:t>
      </w:r>
    </w:p>
    <w:p w:rsidR="00AF2508" w:rsidRDefault="00AF2508">
      <w:pPr>
        <w:pStyle w:val="Assectheading"/>
        <w:rPr>
          <w:i w:val="0"/>
        </w:rPr>
      </w:pPr>
      <w:r>
        <w:rPr>
          <w:rStyle w:val="charItals"/>
          <w:i/>
        </w:rPr>
        <w:t>Working platforms</w:t>
      </w:r>
      <w:r>
        <w:rPr>
          <w:i w:val="0"/>
          <w:color w:val="000000"/>
        </w:rPr>
        <w:t>—</w:t>
      </w:r>
      <w:r>
        <w:rPr>
          <w:rStyle w:val="charItals"/>
          <w:i/>
        </w:rPr>
        <w:t>scaffold planks to lap</w:t>
      </w:r>
    </w:p>
    <w:p w:rsidR="00AF2508" w:rsidRDefault="00AF2508">
      <w:pPr>
        <w:pStyle w:val="Amain"/>
      </w:pPr>
      <w:r>
        <w:tab/>
        <w:t>(6)</w:t>
      </w:r>
      <w:r>
        <w:tab/>
        <w:t>Except as otherwise provided in this section, scaffold planks shall be lapped 9 inches over supports.</w:t>
      </w:r>
    </w:p>
    <w:p w:rsidR="00AF2508" w:rsidRDefault="00AF2508">
      <w:pPr>
        <w:pStyle w:val="Amain"/>
      </w:pPr>
      <w:r>
        <w:tab/>
        <w:t>(7)</w:t>
      </w:r>
      <w:r>
        <w:tab/>
        <w:t>Unless approved measures are taken to prevent uplift, no plank shall overhang a support more than 9 inches.</w:t>
      </w:r>
    </w:p>
    <w:p w:rsidR="00AF2508" w:rsidRDefault="00AF2508">
      <w:pPr>
        <w:pStyle w:val="Assectheading"/>
        <w:rPr>
          <w:i w:val="0"/>
        </w:rPr>
      </w:pPr>
      <w:r>
        <w:rPr>
          <w:rStyle w:val="charItals"/>
          <w:i/>
        </w:rPr>
        <w:t>Working platforms</w:t>
      </w:r>
      <w:r>
        <w:rPr>
          <w:i w:val="0"/>
          <w:color w:val="000000"/>
        </w:rPr>
        <w:t>—</w:t>
      </w:r>
      <w:r>
        <w:rPr>
          <w:rStyle w:val="charItals"/>
          <w:i/>
        </w:rPr>
        <w:t>minimum width of working platforms</w:t>
      </w:r>
    </w:p>
    <w:p w:rsidR="00AF2508" w:rsidRDefault="00AF2508">
      <w:pPr>
        <w:pStyle w:val="Amain"/>
      </w:pPr>
      <w:r>
        <w:tab/>
        <w:t>(8)</w:t>
      </w:r>
      <w:r>
        <w:tab/>
        <w:t>Except as otherwise provided in this section, a working platform shall be not less than 18 inches in width.</w:t>
      </w:r>
    </w:p>
    <w:p w:rsidR="00AF2508" w:rsidRDefault="00AF2508">
      <w:pPr>
        <w:pStyle w:val="Assectheading"/>
        <w:rPr>
          <w:i w:val="0"/>
        </w:rPr>
      </w:pPr>
      <w:r>
        <w:rPr>
          <w:rStyle w:val="charItals"/>
          <w:i/>
        </w:rPr>
        <w:t>Working platforms</w:t>
      </w:r>
      <w:r>
        <w:rPr>
          <w:i w:val="0"/>
          <w:color w:val="000000"/>
        </w:rPr>
        <w:t>—</w:t>
      </w:r>
      <w:r>
        <w:rPr>
          <w:rStyle w:val="charItals"/>
          <w:i/>
        </w:rPr>
        <w:t>scaffold planks to be laid full width of frame</w:t>
      </w:r>
    </w:p>
    <w:p w:rsidR="00AF2508" w:rsidRDefault="00AF2508">
      <w:pPr>
        <w:pStyle w:val="Amain"/>
      </w:pPr>
      <w:r>
        <w:tab/>
        <w:t>(9)</w:t>
      </w:r>
      <w:r>
        <w:tab/>
        <w:t>Scaffold planks shall be laid over the full width of the scaffolding frame and, in laying the planks, care shall be taken to avoid traps.</w:t>
      </w:r>
    </w:p>
    <w:p w:rsidR="00AF2508" w:rsidRDefault="00AF2508">
      <w:pPr>
        <w:pStyle w:val="Assectheading"/>
        <w:rPr>
          <w:i w:val="0"/>
        </w:rPr>
      </w:pPr>
      <w:r>
        <w:rPr>
          <w:rStyle w:val="charItals"/>
          <w:i/>
        </w:rPr>
        <w:t>Guardrails and toe boards—where required</w:t>
      </w:r>
    </w:p>
    <w:p w:rsidR="00AF2508" w:rsidRDefault="00AF2508">
      <w:pPr>
        <w:pStyle w:val="Amain"/>
      </w:pPr>
      <w:r>
        <w:rPr>
          <w:color w:val="000000"/>
        </w:rPr>
        <w:tab/>
        <w:t>(10)</w:t>
      </w:r>
      <w:r>
        <w:rPr>
          <w:color w:val="000000"/>
        </w:rPr>
        <w:tab/>
        <w:t>Guardrails and toe boards shall be provided on the outer edges and ends of all scaffolding from which a person or object could fall a distance of 10 feet or more.</w:t>
      </w:r>
    </w:p>
    <w:p w:rsidR="00AF2508" w:rsidRDefault="00AF2508">
      <w:pPr>
        <w:pStyle w:val="Assectheading"/>
        <w:rPr>
          <w:i w:val="0"/>
          <w:color w:val="000000"/>
        </w:rPr>
      </w:pPr>
      <w:r>
        <w:rPr>
          <w:rStyle w:val="charItals"/>
          <w:i/>
        </w:rPr>
        <w:t>Guardrails</w:t>
      </w:r>
    </w:p>
    <w:p w:rsidR="00AF2508" w:rsidRDefault="00AF2508">
      <w:pPr>
        <w:pStyle w:val="Amain"/>
      </w:pPr>
      <w:r>
        <w:rPr>
          <w:color w:val="000000"/>
        </w:rPr>
        <w:tab/>
        <w:t>(11)</w:t>
      </w:r>
      <w:r>
        <w:rPr>
          <w:color w:val="000000"/>
        </w:rPr>
        <w:tab/>
        <w:t>Guardrails shall be of equivalent strength and rigidity to Oregon pine timber of cross-sectional dimensions four inches by 2 inches and shall be 36 inches in height.</w:t>
      </w:r>
    </w:p>
    <w:p w:rsidR="00AF2508" w:rsidRDefault="00AF2508">
      <w:pPr>
        <w:pStyle w:val="Amain"/>
      </w:pPr>
      <w:r>
        <w:tab/>
        <w:t>(12)</w:t>
      </w:r>
      <w:r>
        <w:tab/>
        <w:t>Guardrails of metal piping shall be not less than 1</w:t>
      </w:r>
      <w:r>
        <w:rPr>
          <w:position w:val="6"/>
          <w:sz w:val="18"/>
        </w:rPr>
        <w:t>11</w:t>
      </w:r>
      <w:r>
        <w:t>/</w:t>
      </w:r>
      <w:r>
        <w:rPr>
          <w:sz w:val="18"/>
        </w:rPr>
        <w:t>32</w:t>
      </w:r>
      <w:r>
        <w:t xml:space="preserve"> inches external diameter and if of rope not less than 3 inches in circumference.</w:t>
      </w:r>
    </w:p>
    <w:p w:rsidR="00AF2508" w:rsidRDefault="00AF2508">
      <w:pPr>
        <w:pStyle w:val="Amain"/>
      </w:pPr>
      <w:r>
        <w:tab/>
        <w:t>(13)</w:t>
      </w:r>
      <w:r>
        <w:tab/>
        <w:t>All guardrails shall be secured to uprights at intervals of not more than 8 feet.</w:t>
      </w:r>
    </w:p>
    <w:p w:rsidR="00AF2508" w:rsidRDefault="00AF2508">
      <w:pPr>
        <w:pStyle w:val="Assectheading"/>
        <w:rPr>
          <w:i w:val="0"/>
        </w:rPr>
      </w:pPr>
      <w:r>
        <w:rPr>
          <w:rStyle w:val="charItals"/>
          <w:i/>
        </w:rPr>
        <w:t>Toe boards</w:t>
      </w:r>
    </w:p>
    <w:p w:rsidR="00AF2508" w:rsidRDefault="00AF2508">
      <w:pPr>
        <w:pStyle w:val="Amain"/>
        <w:rPr>
          <w:color w:val="000000"/>
        </w:rPr>
      </w:pPr>
      <w:r>
        <w:rPr>
          <w:color w:val="000000"/>
        </w:rPr>
        <w:tab/>
        <w:t>(14)</w:t>
      </w:r>
      <w:r>
        <w:rPr>
          <w:color w:val="000000"/>
        </w:rPr>
        <w:tab/>
        <w:t>Toe boards shall project not less than 9 inches above the top of the platform planks and shall be set up so as to leave no space between the platform planks and the toe board bottom edge.</w:t>
      </w:r>
    </w:p>
    <w:p w:rsidR="00AF2508" w:rsidRDefault="00AF2508">
      <w:pPr>
        <w:pStyle w:val="Assectheading"/>
        <w:rPr>
          <w:i w:val="0"/>
        </w:rPr>
      </w:pPr>
      <w:r>
        <w:rPr>
          <w:rStyle w:val="charItals"/>
          <w:i/>
        </w:rPr>
        <w:t>Fixings</w:t>
      </w:r>
    </w:p>
    <w:p w:rsidR="00AF2508" w:rsidRDefault="00AF2508">
      <w:pPr>
        <w:pStyle w:val="Amain"/>
        <w:rPr>
          <w:color w:val="000000"/>
        </w:rPr>
      </w:pPr>
      <w:r>
        <w:rPr>
          <w:color w:val="000000"/>
        </w:rPr>
        <w:tab/>
        <w:t>(15)</w:t>
      </w:r>
      <w:r>
        <w:rPr>
          <w:color w:val="000000"/>
        </w:rPr>
        <w:tab/>
        <w:t xml:space="preserve">Fixings shall be steel bolts </w:t>
      </w:r>
      <w:r>
        <w:rPr>
          <w:color w:val="000000"/>
          <w:position w:val="6"/>
          <w:sz w:val="18"/>
        </w:rPr>
        <w:t>5</w:t>
      </w:r>
      <w:r>
        <w:rPr>
          <w:color w:val="000000"/>
        </w:rPr>
        <w:t>/</w:t>
      </w:r>
      <w:r>
        <w:rPr>
          <w:color w:val="000000"/>
          <w:sz w:val="18"/>
        </w:rPr>
        <w:t>8</w:t>
      </w:r>
      <w:r>
        <w:rPr>
          <w:color w:val="000000"/>
        </w:rPr>
        <w:t xml:space="preserve"> of an inch in diameter with washers and nuts, lashings of round fibre rope or other approved fixing.</w:t>
      </w:r>
    </w:p>
    <w:p w:rsidR="00AF2508" w:rsidRDefault="00AF2508">
      <w:pPr>
        <w:pStyle w:val="Amain"/>
        <w:rPr>
          <w:color w:val="000000"/>
        </w:rPr>
      </w:pPr>
      <w:r>
        <w:rPr>
          <w:color w:val="000000"/>
        </w:rPr>
        <w:tab/>
        <w:t>(16)</w:t>
      </w:r>
      <w:r>
        <w:rPr>
          <w:color w:val="000000"/>
        </w:rPr>
        <w:tab/>
        <w:t>For timbers not more than the dimensions provided in section 87 (3) to (9) and (29) to (55), fibre rope lashing for scaffolding shall be—</w:t>
      </w:r>
    </w:p>
    <w:p w:rsidR="00AF2508" w:rsidRDefault="00AF2508">
      <w:pPr>
        <w:pStyle w:val="Apara"/>
      </w:pPr>
      <w:r>
        <w:tab/>
        <w:t>(a)</w:t>
      </w:r>
      <w:r>
        <w:tab/>
        <w:t>for scaffolding of more than 30 feet in height—18 feet in length by 1</w:t>
      </w:r>
      <w:r>
        <w:rPr>
          <w:position w:val="6"/>
          <w:sz w:val="18"/>
        </w:rPr>
        <w:t>1</w:t>
      </w:r>
      <w:r>
        <w:t>/</w:t>
      </w:r>
      <w:r>
        <w:rPr>
          <w:sz w:val="18"/>
        </w:rPr>
        <w:t>2</w:t>
      </w:r>
      <w:r>
        <w:t xml:space="preserve"> inches in circumference; and</w:t>
      </w:r>
    </w:p>
    <w:p w:rsidR="00AF2508" w:rsidRDefault="00AF2508">
      <w:pPr>
        <w:pStyle w:val="Apara"/>
      </w:pPr>
      <w:r>
        <w:tab/>
        <w:t>(b)</w:t>
      </w:r>
      <w:r>
        <w:tab/>
        <w:t>for scaffolding of 30 feet or less in height the lashings—16 feet in length by 1</w:t>
      </w:r>
      <w:r>
        <w:rPr>
          <w:position w:val="6"/>
          <w:sz w:val="18"/>
        </w:rPr>
        <w:t>1</w:t>
      </w:r>
      <w:r>
        <w:t>/</w:t>
      </w:r>
      <w:r>
        <w:rPr>
          <w:sz w:val="18"/>
        </w:rPr>
        <w:t>2</w:t>
      </w:r>
      <w:r>
        <w:t xml:space="preserve"> inches in circumference.</w:t>
      </w:r>
    </w:p>
    <w:p w:rsidR="00AF2508" w:rsidRDefault="00AF2508">
      <w:pPr>
        <w:pStyle w:val="Amain"/>
      </w:pPr>
      <w:r>
        <w:tab/>
        <w:t>(17)</w:t>
      </w:r>
      <w:r>
        <w:tab/>
        <w:t>For timbers of greater dimensions the length of fibre rope lashings shall be as approved.</w:t>
      </w:r>
    </w:p>
    <w:p w:rsidR="00AF2508" w:rsidRDefault="00AF2508">
      <w:pPr>
        <w:pStyle w:val="Amain"/>
      </w:pPr>
      <w:r>
        <w:tab/>
        <w:t>(18)</w:t>
      </w:r>
      <w:r>
        <w:tab/>
        <w:t>It shall be an offence to use a fixing that has not been approved or that does not conform to the requirements of subsections (15) to (17).</w:t>
      </w:r>
    </w:p>
    <w:p w:rsidR="00AF2508" w:rsidRDefault="00AF2508">
      <w:pPr>
        <w:pStyle w:val="Assectheading"/>
        <w:rPr>
          <w:i w:val="0"/>
        </w:rPr>
      </w:pPr>
      <w:r>
        <w:rPr>
          <w:rStyle w:val="charItals"/>
          <w:i/>
        </w:rPr>
        <w:t>Pipes for tubular scaffolding</w:t>
      </w:r>
    </w:p>
    <w:p w:rsidR="00AF2508" w:rsidRDefault="00AF2508">
      <w:pPr>
        <w:pStyle w:val="Amain"/>
        <w:rPr>
          <w:color w:val="000000"/>
        </w:rPr>
      </w:pPr>
      <w:r>
        <w:rPr>
          <w:color w:val="000000"/>
        </w:rPr>
        <w:tab/>
        <w:t>(19)</w:t>
      </w:r>
      <w:r>
        <w:rPr>
          <w:color w:val="000000"/>
        </w:rPr>
        <w:tab/>
        <w:t>Pipes for use in the construction of tubular scaffolding shall be straight and free from indentations, corrosion and other defects.</w:t>
      </w:r>
    </w:p>
    <w:p w:rsidR="00AF2508" w:rsidRDefault="00AF2508">
      <w:pPr>
        <w:pStyle w:val="Amain"/>
        <w:rPr>
          <w:color w:val="000000"/>
        </w:rPr>
      </w:pPr>
      <w:r>
        <w:rPr>
          <w:color w:val="000000"/>
        </w:rPr>
        <w:tab/>
        <w:t>(20)</w:t>
      </w:r>
      <w:r>
        <w:rPr>
          <w:color w:val="000000"/>
        </w:rPr>
        <w:tab/>
        <w:t>The ends of all pipes shall be squared to ensure even bearing over the whole area of the section at joints and other connections.</w:t>
      </w:r>
    </w:p>
    <w:p w:rsidR="00AF2508" w:rsidRDefault="00AF2508">
      <w:pPr>
        <w:pStyle w:val="Amain"/>
        <w:rPr>
          <w:color w:val="000000"/>
        </w:rPr>
      </w:pPr>
      <w:r>
        <w:rPr>
          <w:color w:val="000000"/>
        </w:rPr>
        <w:tab/>
        <w:t>(21)</w:t>
      </w:r>
      <w:r>
        <w:rPr>
          <w:color w:val="000000"/>
        </w:rPr>
        <w:tab/>
        <w:t>The pipes shall be of the dimensions and material specified in this section.</w:t>
      </w:r>
    </w:p>
    <w:p w:rsidR="00AF2508" w:rsidRDefault="00AF2508">
      <w:pPr>
        <w:pStyle w:val="Assectheading"/>
        <w:rPr>
          <w:i w:val="0"/>
        </w:rPr>
      </w:pPr>
      <w:r>
        <w:rPr>
          <w:rStyle w:val="charItals"/>
          <w:i/>
        </w:rPr>
        <w:t>Fittings for tubular scaffolding</w:t>
      </w:r>
    </w:p>
    <w:p w:rsidR="00AF2508" w:rsidRDefault="00AF2508">
      <w:pPr>
        <w:pStyle w:val="Amain"/>
      </w:pPr>
      <w:r>
        <w:rPr>
          <w:color w:val="000000"/>
        </w:rPr>
        <w:tab/>
        <w:t>(22)</w:t>
      </w:r>
      <w:r>
        <w:rPr>
          <w:color w:val="000000"/>
        </w:rPr>
        <w:tab/>
        <w:t>Only approved fittings shall be used for connecting the various members of a tubular scaffolding.</w:t>
      </w:r>
    </w:p>
    <w:p w:rsidR="00AF2508" w:rsidRDefault="00AF2508">
      <w:pPr>
        <w:pStyle w:val="Amain"/>
      </w:pPr>
      <w:r>
        <w:tab/>
        <w:t>(23)</w:t>
      </w:r>
      <w:r>
        <w:tab/>
        <w:t>All such fittings shall accurately embrace, over the whole area of their bearing surfaces, the member or members on which they are used.</w:t>
      </w:r>
    </w:p>
    <w:p w:rsidR="00AF2508" w:rsidRDefault="00AF2508">
      <w:pPr>
        <w:pStyle w:val="Amain"/>
      </w:pPr>
      <w:r>
        <w:tab/>
        <w:t>(24)</w:t>
      </w:r>
      <w:r>
        <w:tab/>
        <w:t>If the efficacy of the fittings is dependent on frictional grip, the fittings shall not be used to transmit primary tensile forces.</w:t>
      </w:r>
    </w:p>
    <w:p w:rsidR="00AF2508" w:rsidRDefault="00AF2508">
      <w:pPr>
        <w:pStyle w:val="Amain"/>
      </w:pPr>
      <w:r>
        <w:tab/>
        <w:t>(25)</w:t>
      </w:r>
      <w:r>
        <w:tab/>
        <w:t>Fittings having screw threads in blind bosses or nuts, in which the amount of screw thread within the nut cannot be directly observed, shall not be used.</w:t>
      </w:r>
    </w:p>
    <w:p w:rsidR="00AF2508" w:rsidRDefault="00AF2508">
      <w:pPr>
        <w:pStyle w:val="Assectheading"/>
        <w:rPr>
          <w:i w:val="0"/>
        </w:rPr>
      </w:pPr>
      <w:r>
        <w:rPr>
          <w:rStyle w:val="charItals"/>
          <w:i/>
        </w:rPr>
        <w:t>Electrical hazards</w:t>
      </w:r>
    </w:p>
    <w:p w:rsidR="00AF2508" w:rsidRDefault="00AF2508">
      <w:pPr>
        <w:pStyle w:val="Amain"/>
      </w:pPr>
      <w:r>
        <w:rPr>
          <w:color w:val="000000"/>
        </w:rPr>
        <w:tab/>
        <w:t>(26)</w:t>
      </w:r>
      <w:r>
        <w:rPr>
          <w:color w:val="000000"/>
        </w:rPr>
        <w:tab/>
        <w:t>Scaffolding in which a metal member is used shall not be set up within 15 feet of any overhead electricity transmission line or main or within 15 feet of any electricity transmission apparatus until the transmission line, main, or transmission apparatus has been protected in an approved way by the electricity supply authority.</w:t>
      </w:r>
    </w:p>
    <w:p w:rsidR="00AF2508" w:rsidRDefault="00AF2508">
      <w:pPr>
        <w:pStyle w:val="Amain"/>
      </w:pPr>
      <w:r>
        <w:tab/>
        <w:t>(27)</w:t>
      </w:r>
      <w:r>
        <w:tab/>
        <w:t>Scaffolding built of timber members shall not be set up within 5 feet of any such transmission line, main, or transmission apparatus until the protection mentioned in subsection (26) has been effected.</w:t>
      </w:r>
    </w:p>
    <w:p w:rsidR="00AF2508" w:rsidRDefault="00AF2508">
      <w:pPr>
        <w:pStyle w:val="Assectheading"/>
        <w:rPr>
          <w:i w:val="0"/>
        </w:rPr>
      </w:pPr>
      <w:r>
        <w:rPr>
          <w:rStyle w:val="charItals"/>
          <w:i/>
        </w:rPr>
        <w:t>New types of scaffolding</w:t>
      </w:r>
    </w:p>
    <w:p w:rsidR="00AF2508" w:rsidRDefault="00AF2508">
      <w:pPr>
        <w:pStyle w:val="Amain"/>
      </w:pPr>
      <w:r>
        <w:rPr>
          <w:color w:val="000000"/>
        </w:rPr>
        <w:tab/>
        <w:t>(28)</w:t>
      </w:r>
      <w:r>
        <w:rPr>
          <w:color w:val="000000"/>
        </w:rPr>
        <w:tab/>
        <w:t>All scaffolding for which specifications have not been given in this regulation, and all patented or manufactured scaffolding, parts of scaffolding or scaffolding devices, and all types of scaffolding developed subsequent to 25 May 1950 shall be of an approved type.</w:t>
      </w:r>
    </w:p>
    <w:p w:rsidR="00AF2508" w:rsidRDefault="00AF2508">
      <w:pPr>
        <w:pStyle w:val="Assectheading"/>
        <w:rPr>
          <w:i w:val="0"/>
        </w:rPr>
      </w:pPr>
      <w:r>
        <w:rPr>
          <w:rStyle w:val="charItals"/>
          <w:i/>
        </w:rPr>
        <w:t>Repair of damaged scaffolding</w:t>
      </w:r>
    </w:p>
    <w:p w:rsidR="00AF2508" w:rsidRDefault="00AF2508">
      <w:pPr>
        <w:pStyle w:val="Amain"/>
      </w:pPr>
      <w:r>
        <w:rPr>
          <w:color w:val="000000"/>
        </w:rPr>
        <w:tab/>
        <w:t>(29)</w:t>
      </w:r>
      <w:r>
        <w:rPr>
          <w:color w:val="000000"/>
        </w:rPr>
        <w:tab/>
        <w:t>Any scaffolding that has been damaged or weakened by any cause shall be immediately repaired and workers shall not be permitted on the scaffolding, except for the purpose of effecting repairs, until all repairs have been completed.</w:t>
      </w:r>
    </w:p>
    <w:p w:rsidR="00AF2508" w:rsidRDefault="00AF2508">
      <w:pPr>
        <w:pStyle w:val="Assectheading"/>
        <w:rPr>
          <w:i w:val="0"/>
        </w:rPr>
      </w:pPr>
      <w:r>
        <w:rPr>
          <w:rStyle w:val="charItals"/>
          <w:i/>
        </w:rPr>
        <w:t>Restriction on use of fibre rope</w:t>
      </w:r>
    </w:p>
    <w:p w:rsidR="00AF2508" w:rsidRDefault="00AF2508">
      <w:pPr>
        <w:pStyle w:val="Amain"/>
      </w:pPr>
      <w:r>
        <w:rPr>
          <w:color w:val="000000"/>
        </w:rPr>
        <w:tab/>
        <w:t>(30)</w:t>
      </w:r>
      <w:r>
        <w:rPr>
          <w:color w:val="000000"/>
        </w:rPr>
        <w:tab/>
        <w:t>Fibre rope shall not be used on or in connection with any scaffolding set up in any acid manufacturing plant or in any other plant where acids are generated or released in quantity or in other location where the rope is likely to be detrimentally affected by acid.</w:t>
      </w:r>
    </w:p>
    <w:p w:rsidR="00AF2508" w:rsidRDefault="00AF2508">
      <w:pPr>
        <w:pStyle w:val="AH4SubDiv"/>
      </w:pPr>
      <w:bookmarkStart w:id="158" w:name="_Toc161636822"/>
      <w:r>
        <w:t>Construction of single and independent pole scaffolding</w:t>
      </w:r>
      <w:bookmarkEnd w:id="158"/>
    </w:p>
    <w:p w:rsidR="00AF2508" w:rsidRDefault="00AF2508">
      <w:pPr>
        <w:pStyle w:val="AH5Sec"/>
      </w:pPr>
      <w:bookmarkStart w:id="159" w:name="_Toc161636823"/>
      <w:r>
        <w:rPr>
          <w:rStyle w:val="CharSectNo"/>
        </w:rPr>
        <w:t>87</w:t>
      </w:r>
      <w:bookmarkEnd w:id="159"/>
      <w:r>
        <w:tab/>
        <w:t xml:space="preserve">  </w:t>
      </w:r>
    </w:p>
    <w:p w:rsidR="00AF2508" w:rsidRDefault="00AF2508">
      <w:pPr>
        <w:pStyle w:val="Assectheading"/>
        <w:rPr>
          <w:i w:val="0"/>
          <w:color w:val="000000"/>
        </w:rPr>
      </w:pPr>
      <w:r>
        <w:rPr>
          <w:rStyle w:val="charItals"/>
          <w:i/>
        </w:rPr>
        <w:t>General arrangement</w:t>
      </w:r>
    </w:p>
    <w:p w:rsidR="00AF2508" w:rsidRDefault="00AF2508">
      <w:pPr>
        <w:pStyle w:val="Amain"/>
        <w:rPr>
          <w:color w:val="000000"/>
        </w:rPr>
      </w:pPr>
      <w:r>
        <w:rPr>
          <w:color w:val="000000"/>
        </w:rPr>
        <w:tab/>
        <w:t>(1)</w:t>
      </w:r>
      <w:r>
        <w:rPr>
          <w:color w:val="000000"/>
        </w:rPr>
        <w:tab/>
        <w:t>Single pole and independent pole scaffolding shall comprise a number of standards to which are fixed horizontal members (ledgers) supporting putlogs on which are laid scaffold planks, the structure thus constituted being braced, both longitudinally and transversely.</w:t>
      </w:r>
    </w:p>
    <w:p w:rsidR="00AF2508" w:rsidRDefault="00AF2508">
      <w:pPr>
        <w:pStyle w:val="Assectheading"/>
        <w:rPr>
          <w:i w:val="0"/>
        </w:rPr>
      </w:pPr>
      <w:r>
        <w:rPr>
          <w:rStyle w:val="charItals"/>
          <w:i/>
        </w:rPr>
        <w:t>Bracing</w:t>
      </w:r>
    </w:p>
    <w:p w:rsidR="00AF2508" w:rsidRDefault="00AF2508">
      <w:pPr>
        <w:pStyle w:val="Amain"/>
        <w:rPr>
          <w:color w:val="000000"/>
        </w:rPr>
      </w:pPr>
      <w:r>
        <w:rPr>
          <w:color w:val="000000"/>
        </w:rPr>
        <w:tab/>
        <w:t>(2)</w:t>
      </w:r>
      <w:r>
        <w:rPr>
          <w:color w:val="000000"/>
        </w:rPr>
        <w:tab/>
        <w:t>This type of scaffolding shall be adequately braced in all directions to form a rigid structure capable of maintaining a wide margin of stability under all possible conditions.</w:t>
      </w:r>
    </w:p>
    <w:p w:rsidR="00AF2508" w:rsidRDefault="00AF2508">
      <w:pPr>
        <w:pStyle w:val="Assectheading"/>
      </w:pPr>
      <w:r>
        <w:rPr>
          <w:rStyle w:val="charItals"/>
          <w:i/>
        </w:rPr>
        <w:t>Standards</w:t>
      </w:r>
    </w:p>
    <w:p w:rsidR="00AF2508" w:rsidRDefault="00AF2508">
      <w:pPr>
        <w:pStyle w:val="Amain"/>
        <w:rPr>
          <w:color w:val="000000"/>
        </w:rPr>
      </w:pPr>
      <w:r>
        <w:rPr>
          <w:color w:val="000000"/>
        </w:rPr>
        <w:tab/>
        <w:t>(3)</w:t>
      </w:r>
      <w:r>
        <w:rPr>
          <w:color w:val="000000"/>
        </w:rPr>
        <w:tab/>
        <w:t>The base of every standard shall bear on a firm footing.</w:t>
      </w:r>
    </w:p>
    <w:p w:rsidR="00AF2508" w:rsidRDefault="00AF2508">
      <w:pPr>
        <w:pStyle w:val="Amain"/>
        <w:keepLines/>
      </w:pPr>
      <w:r>
        <w:rPr>
          <w:color w:val="000000"/>
        </w:rPr>
        <w:tab/>
        <w:t>(4)</w:t>
      </w:r>
      <w:r>
        <w:rPr>
          <w:color w:val="000000"/>
        </w:rPr>
        <w:tab/>
        <w:t>If there is a possibility of settlement of any standard, the standard shall be provided with a foundation of such size and of such strength as to spread the load from the standard over a large enough area to prevent settlement.</w:t>
      </w:r>
    </w:p>
    <w:p w:rsidR="00AF2508" w:rsidRDefault="00AF2508">
      <w:pPr>
        <w:pStyle w:val="Amain"/>
      </w:pPr>
      <w:r>
        <w:tab/>
        <w:t>(5)</w:t>
      </w:r>
      <w:r>
        <w:tab/>
        <w:t>If splices are necessary in round pole standards, butt jointed double poles shall be used instead of single poles and the double poles shall break joint at least 9 feet, poles being secured together with 2 rope lashings at the base and 1 rope lashing on each side of each butt joint.</w:t>
      </w:r>
    </w:p>
    <w:p w:rsidR="00AF2508" w:rsidRDefault="00AF2508">
      <w:pPr>
        <w:pStyle w:val="Amain"/>
      </w:pPr>
      <w:r>
        <w:tab/>
        <w:t>(6)</w:t>
      </w:r>
      <w:r>
        <w:tab/>
        <w:t>When necessary as a protection against the impact of trucks or other heavy moving equipment, the bases of standards shall be protected from displacement by bumpers.</w:t>
      </w:r>
    </w:p>
    <w:p w:rsidR="00AF2508" w:rsidRDefault="00AF2508">
      <w:pPr>
        <w:pStyle w:val="Amain"/>
      </w:pPr>
      <w:r>
        <w:tab/>
        <w:t>(7)</w:t>
      </w:r>
      <w:r>
        <w:tab/>
        <w:t xml:space="preserve">Sawn timber standards shall be butt jointed with 2 (two) 3-feet lengths of 4 inch by 2 inch timber fixed 1 on each side of the butt joint and bolted through with 4 </w:t>
      </w:r>
      <w:r>
        <w:rPr>
          <w:position w:val="6"/>
          <w:sz w:val="18"/>
        </w:rPr>
        <w:t>5</w:t>
      </w:r>
      <w:r>
        <w:t>/</w:t>
      </w:r>
      <w:r>
        <w:rPr>
          <w:sz w:val="18"/>
        </w:rPr>
        <w:t>8</w:t>
      </w:r>
      <w:r>
        <w:t xml:space="preserve"> inches diameter bolts, fitted with washers and nuts, spaced at 9 inch centres.</w:t>
      </w:r>
    </w:p>
    <w:p w:rsidR="00AF2508" w:rsidRDefault="00AF2508">
      <w:pPr>
        <w:pStyle w:val="Amain"/>
      </w:pPr>
      <w:r>
        <w:tab/>
        <w:t>(8)</w:t>
      </w:r>
      <w:r>
        <w:tab/>
        <w:t>Fish plates and bolts shall be symmetrically arranged at each such joint.</w:t>
      </w:r>
    </w:p>
    <w:p w:rsidR="00AF2508" w:rsidRDefault="00AF2508">
      <w:pPr>
        <w:pStyle w:val="Amain"/>
      </w:pPr>
      <w:r>
        <w:tab/>
        <w:t>(9)</w:t>
      </w:r>
      <w:r>
        <w:tab/>
        <w:t>Joints in the standards of tubular scaffolding shall not be at distances greater than 9 inches from ledgers or other members capable of effectively constraining the joints against lateral displacement.</w:t>
      </w:r>
    </w:p>
    <w:p w:rsidR="00AF2508" w:rsidRDefault="00AF2508">
      <w:pPr>
        <w:pStyle w:val="Assectheading"/>
      </w:pPr>
      <w:r>
        <w:rPr>
          <w:rStyle w:val="charItals"/>
          <w:i/>
        </w:rPr>
        <w:t>Ledgers</w:t>
      </w:r>
    </w:p>
    <w:p w:rsidR="00AF2508" w:rsidRDefault="00AF2508">
      <w:pPr>
        <w:pStyle w:val="Amain"/>
      </w:pPr>
      <w:r>
        <w:rPr>
          <w:color w:val="000000"/>
        </w:rPr>
        <w:tab/>
        <w:t>(10)</w:t>
      </w:r>
      <w:r>
        <w:rPr>
          <w:color w:val="000000"/>
        </w:rPr>
        <w:tab/>
        <w:t>Each ledger shall be secured to each standard at each crossing by use of the appropriate fixing prescribed by section 86 (15) to (17).</w:t>
      </w:r>
    </w:p>
    <w:p w:rsidR="00AF2508" w:rsidRDefault="00AF2508">
      <w:pPr>
        <w:pStyle w:val="Amain"/>
      </w:pPr>
      <w:r>
        <w:tab/>
        <w:t>(11)</w:t>
      </w:r>
      <w:r>
        <w:tab/>
        <w:t>Each ledger shall be so fixed that the greater rectilinear dimension of a section of it shall stand vertically.</w:t>
      </w:r>
    </w:p>
    <w:p w:rsidR="00AF2508" w:rsidRDefault="00AF2508">
      <w:pPr>
        <w:pStyle w:val="Amain"/>
      </w:pPr>
      <w:r>
        <w:tab/>
        <w:t>(12)</w:t>
      </w:r>
      <w:r>
        <w:tab/>
        <w:t>Ledgers shall be continuous and kept continuous for the whole length of a scaffolding frame.</w:t>
      </w:r>
    </w:p>
    <w:p w:rsidR="00AF2508" w:rsidRDefault="00AF2508">
      <w:pPr>
        <w:pStyle w:val="Amain"/>
      </w:pPr>
      <w:r>
        <w:tab/>
        <w:t>(13)</w:t>
      </w:r>
      <w:r>
        <w:tab/>
        <w:t>A joint shall not be made in a ledger of a single span.</w:t>
      </w:r>
    </w:p>
    <w:p w:rsidR="00AF2508" w:rsidRDefault="00AF2508">
      <w:pPr>
        <w:pStyle w:val="Amain"/>
      </w:pPr>
      <w:r>
        <w:tab/>
        <w:t>(14)</w:t>
      </w:r>
      <w:r>
        <w:tab/>
        <w:t>Joints shall not be made in ledgers in the vicinity of the end, or outer standards.</w:t>
      </w:r>
    </w:p>
    <w:p w:rsidR="00AF2508" w:rsidRDefault="00AF2508">
      <w:pPr>
        <w:pStyle w:val="Amain"/>
      </w:pPr>
      <w:r>
        <w:tab/>
        <w:t>(15)</w:t>
      </w:r>
      <w:r>
        <w:tab/>
        <w:t>Joints shall not be made in adjacent spans of any ledger.</w:t>
      </w:r>
    </w:p>
    <w:p w:rsidR="00AF2508" w:rsidRDefault="00AF2508">
      <w:pPr>
        <w:pStyle w:val="Amain"/>
      </w:pPr>
      <w:r>
        <w:tab/>
        <w:t>(16)</w:t>
      </w:r>
      <w:r>
        <w:tab/>
        <w:t>If a straight ledger is supported by a row of not less than 3 standards, 1 joint only may be made in the ledger, provided that the joint is not placed at a greater distance than 2 feet 3 inches from the central standard.</w:t>
      </w:r>
    </w:p>
    <w:p w:rsidR="00AF2508" w:rsidRDefault="00AF2508">
      <w:pPr>
        <w:pStyle w:val="Amain"/>
      </w:pPr>
      <w:r>
        <w:tab/>
        <w:t>(17)</w:t>
      </w:r>
      <w:r>
        <w:tab/>
        <w:t>If a straight ledger is supported by a row of 4 or more standards, the ledger joints may be placed at any position but not within adjacent or end spans.</w:t>
      </w:r>
    </w:p>
    <w:p w:rsidR="00AF2508" w:rsidRDefault="00AF2508">
      <w:pPr>
        <w:pStyle w:val="Assectheading"/>
      </w:pPr>
      <w:r>
        <w:rPr>
          <w:rStyle w:val="charItals"/>
          <w:i/>
        </w:rPr>
        <w:t>Putlogs</w:t>
      </w:r>
    </w:p>
    <w:p w:rsidR="00AF2508" w:rsidRDefault="00AF2508">
      <w:pPr>
        <w:pStyle w:val="Amain"/>
        <w:rPr>
          <w:color w:val="000000"/>
        </w:rPr>
      </w:pPr>
      <w:r>
        <w:rPr>
          <w:color w:val="000000"/>
        </w:rPr>
        <w:tab/>
        <w:t>(18)</w:t>
      </w:r>
      <w:r>
        <w:rPr>
          <w:color w:val="000000"/>
        </w:rPr>
        <w:tab/>
        <w:t>Putlogs shall be set above ledgers and they shall be securely fixed to ledgers or standards.</w:t>
      </w:r>
    </w:p>
    <w:p w:rsidR="00AF2508" w:rsidRDefault="00AF2508">
      <w:pPr>
        <w:pStyle w:val="Amain"/>
        <w:rPr>
          <w:color w:val="000000"/>
        </w:rPr>
      </w:pPr>
      <w:r>
        <w:rPr>
          <w:color w:val="000000"/>
        </w:rPr>
        <w:tab/>
        <w:t>(19)</w:t>
      </w:r>
      <w:r>
        <w:rPr>
          <w:color w:val="000000"/>
        </w:rPr>
        <w:tab/>
        <w:t>Every putlog shall have not less than 4</w:t>
      </w:r>
      <w:r>
        <w:rPr>
          <w:color w:val="000000"/>
          <w:position w:val="6"/>
          <w:sz w:val="18"/>
        </w:rPr>
        <w:t>1</w:t>
      </w:r>
      <w:r>
        <w:rPr>
          <w:color w:val="000000"/>
        </w:rPr>
        <w:t>/</w:t>
      </w:r>
      <w:r>
        <w:rPr>
          <w:color w:val="000000"/>
          <w:sz w:val="18"/>
        </w:rPr>
        <w:t>2</w:t>
      </w:r>
      <w:r>
        <w:rPr>
          <w:color w:val="000000"/>
        </w:rPr>
        <w:t xml:space="preserve"> inches bearing in walls and they shall be securely wedged in position in walls.</w:t>
      </w:r>
    </w:p>
    <w:p w:rsidR="00AF2508" w:rsidRDefault="00AF2508">
      <w:pPr>
        <w:pStyle w:val="Amain"/>
      </w:pPr>
      <w:r>
        <w:rPr>
          <w:color w:val="000000"/>
        </w:rPr>
        <w:tab/>
        <w:t>(20)</w:t>
      </w:r>
      <w:r>
        <w:rPr>
          <w:color w:val="000000"/>
        </w:rPr>
        <w:tab/>
        <w:t>If one end rests on a structure, it shall be effectively secured to the structure.</w:t>
      </w:r>
    </w:p>
    <w:p w:rsidR="00AF2508" w:rsidRDefault="00AF2508">
      <w:pPr>
        <w:pStyle w:val="Amain"/>
      </w:pPr>
      <w:r>
        <w:tab/>
        <w:t>(21)</w:t>
      </w:r>
      <w:r>
        <w:tab/>
        <w:t>A joint shall not be made in the span of a putlog.</w:t>
      </w:r>
    </w:p>
    <w:p w:rsidR="00AF2508" w:rsidRDefault="00AF2508">
      <w:pPr>
        <w:pStyle w:val="Amain"/>
      </w:pPr>
      <w:r>
        <w:tab/>
        <w:t>(22)</w:t>
      </w:r>
      <w:r>
        <w:tab/>
        <w:t>Putlogs shall be arranged so as to provide true and even support to scaffold planks.</w:t>
      </w:r>
    </w:p>
    <w:p w:rsidR="00AF2508" w:rsidRDefault="00AF2508">
      <w:pPr>
        <w:pStyle w:val="Amain"/>
        <w:rPr>
          <w:color w:val="000000"/>
        </w:rPr>
      </w:pPr>
      <w:r>
        <w:tab/>
        <w:t>(23)</w:t>
      </w:r>
      <w:r>
        <w:tab/>
        <w:t xml:space="preserve">On each ledger at least 1 putlog within 2 feet of each standard shall remain in the scaffolding until the scaffolding is finally </w:t>
      </w:r>
      <w:r>
        <w:rPr>
          <w:color w:val="000000"/>
        </w:rPr>
        <w:t>removed.</w:t>
      </w:r>
    </w:p>
    <w:p w:rsidR="00AF2508" w:rsidRDefault="00AF2508">
      <w:pPr>
        <w:pStyle w:val="Amain"/>
      </w:pPr>
      <w:r>
        <w:rPr>
          <w:color w:val="000000"/>
        </w:rPr>
        <w:tab/>
        <w:t>(24)</w:t>
      </w:r>
      <w:r>
        <w:rPr>
          <w:color w:val="000000"/>
        </w:rPr>
        <w:tab/>
        <w:t>The spacing of putlogs in scaffolding constructed of timber shall not</w:t>
      </w:r>
      <w:r>
        <w:t xml:space="preserve"> exceed 6 feet.</w:t>
      </w:r>
    </w:p>
    <w:p w:rsidR="00AF2508" w:rsidRDefault="00AF2508">
      <w:pPr>
        <w:pStyle w:val="Amain"/>
      </w:pPr>
      <w:r>
        <w:rPr>
          <w:color w:val="000000"/>
        </w:rPr>
        <w:tab/>
        <w:t>(25)</w:t>
      </w:r>
      <w:r>
        <w:rPr>
          <w:color w:val="000000"/>
        </w:rPr>
        <w:tab/>
        <w:t>For tubular scaffolding, 1 putlog shall be placed at each side of</w:t>
      </w:r>
      <w:r>
        <w:t xml:space="preserve"> each standard except the standards at each end of the scaffolding frame, where only 1 need be used.</w:t>
      </w:r>
    </w:p>
    <w:p w:rsidR="00AF2508" w:rsidRDefault="00AF2508">
      <w:pPr>
        <w:pStyle w:val="Amain"/>
      </w:pPr>
      <w:r>
        <w:tab/>
        <w:t>(26)</w:t>
      </w:r>
      <w:r>
        <w:tab/>
        <w:t>The putlogs for tubular scaffolding shall be positioned not more than 9 inches from a standard measured centre-line of standard to centre-line of putlog except as provided in this section.</w:t>
      </w:r>
    </w:p>
    <w:p w:rsidR="00AF2508" w:rsidRDefault="00AF2508">
      <w:pPr>
        <w:pStyle w:val="Amain"/>
      </w:pPr>
      <w:r>
        <w:tab/>
        <w:t>(27)</w:t>
      </w:r>
      <w:r>
        <w:tab/>
        <w:t>The maximum span of a putlog in tubular scaffolding shall not exceed 5 feet 2</w:t>
      </w:r>
      <w:r>
        <w:rPr>
          <w:position w:val="6"/>
          <w:sz w:val="18"/>
        </w:rPr>
        <w:t>1</w:t>
      </w:r>
      <w:r>
        <w:t>/</w:t>
      </w:r>
      <w:r>
        <w:rPr>
          <w:sz w:val="18"/>
        </w:rPr>
        <w:t>2</w:t>
      </w:r>
      <w:r>
        <w:t xml:space="preserve"> inches for a mild steel putlog, or 4 feet 8</w:t>
      </w:r>
      <w:r>
        <w:rPr>
          <w:position w:val="6"/>
          <w:sz w:val="18"/>
        </w:rPr>
        <w:t>1</w:t>
      </w:r>
      <w:r>
        <w:t>/</w:t>
      </w:r>
      <w:r>
        <w:rPr>
          <w:sz w:val="18"/>
        </w:rPr>
        <w:t>2</w:t>
      </w:r>
      <w:r>
        <w:t xml:space="preserve"> inches for a putlog of high tensile aluminium alloy measured centre to centre of supports.</w:t>
      </w:r>
    </w:p>
    <w:p w:rsidR="00AF2508" w:rsidRDefault="00AF2508">
      <w:pPr>
        <w:pStyle w:val="Amain"/>
      </w:pPr>
      <w:r>
        <w:tab/>
        <w:t>(28)</w:t>
      </w:r>
      <w:r>
        <w:tab/>
        <w:t>If 1 end of a putlog is supported by a wall or by part of a structure, the span shall be considered as the distance between the face of the wall and the centre-line of the ledger supporting the other end.</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permissible loads</w:t>
      </w:r>
    </w:p>
    <w:p w:rsidR="00AF2508" w:rsidRDefault="00AF2508">
      <w:pPr>
        <w:pStyle w:val="Amain"/>
      </w:pPr>
      <w:r>
        <w:tab/>
        <w:t>(29)</w:t>
      </w:r>
      <w:r>
        <w:tab/>
        <w:t>The load due to the weight of people and materials uniformly distributed over the area of a scaffolding platform shall not exceed 35 pounds per square foot of platform area.</w:t>
      </w:r>
    </w:p>
    <w:p w:rsidR="00AF2508" w:rsidRDefault="00AF2508">
      <w:pPr>
        <w:pStyle w:val="Amain"/>
      </w:pPr>
      <w:r>
        <w:tab/>
        <w:t>(30)</w:t>
      </w:r>
      <w:r>
        <w:tab/>
        <w:t>The weight of a concentrated load imposed on any bay of a scaffolding of this type shall not exceed 400 pounds provided that this load and the uniformly distributed load shall not act simultaneously.</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permissible number of working platforms</w:t>
      </w:r>
    </w:p>
    <w:p w:rsidR="00AF2508" w:rsidRDefault="00AF2508">
      <w:pPr>
        <w:pStyle w:val="Amain"/>
      </w:pPr>
      <w:r>
        <w:tab/>
        <w:t>(31)</w:t>
      </w:r>
      <w:r>
        <w:tab/>
        <w:t>Not more than 2 working platforms shall be set up and used on a scaffolding frame at any one time, but short platforms may be set up in different positions on the frame, provided that the total area of these platforms supported by any standard would not exceed that supported when 2 full length platforms are set up.</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height</w:t>
      </w:r>
    </w:p>
    <w:p w:rsidR="00AF2508" w:rsidRDefault="00AF2508">
      <w:pPr>
        <w:pStyle w:val="Amain"/>
        <w:keepLines/>
      </w:pPr>
      <w:r>
        <w:tab/>
        <w:t>(32)</w:t>
      </w:r>
      <w:r>
        <w:tab/>
        <w:t>For subsections (29) to (31) and (33) to (43), the height of the scaffolding means the perpendicular distance measured from the base from which the scaffolding rises to the top surface of the topmost platform.</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standards</w:t>
      </w:r>
    </w:p>
    <w:p w:rsidR="00AF2508" w:rsidRDefault="00AF2508">
      <w:pPr>
        <w:pStyle w:val="Amain"/>
      </w:pPr>
      <w:r>
        <w:tab/>
        <w:t>(33)</w:t>
      </w:r>
      <w:r>
        <w:tab/>
        <w:t>All standards shall be effectively tied to the building or structure or be otherwise braced at points not more than 12 feet apart in the length of each standard, and shall be—</w:t>
      </w:r>
    </w:p>
    <w:p w:rsidR="00AF2508" w:rsidRDefault="00AF2508">
      <w:pPr>
        <w:pStyle w:val="Apara"/>
      </w:pPr>
      <w:r>
        <w:tab/>
        <w:t>(a)</w:t>
      </w:r>
      <w:r>
        <w:tab/>
        <w:t>of sawn timber 4 inches by 3 inches sectional dimensions; or</w:t>
      </w:r>
    </w:p>
    <w:p w:rsidR="00AF2508" w:rsidRDefault="00AF2508">
      <w:pPr>
        <w:pStyle w:val="Apara"/>
      </w:pPr>
      <w:r>
        <w:tab/>
        <w:t>(b)</w:t>
      </w:r>
      <w:r>
        <w:tab/>
        <w:t>of timber poles not less than 3 inches diameter at the small end; or</w:t>
      </w:r>
    </w:p>
    <w:p w:rsidR="00AF2508" w:rsidRDefault="00AF2508">
      <w:pPr>
        <w:pStyle w:val="Apara"/>
      </w:pPr>
      <w:r>
        <w:tab/>
        <w:t>(c)</w:t>
      </w:r>
      <w:r>
        <w:tab/>
        <w:t>for tubular scaffolding only—of round metal pipes, steam quality, mild steel, or pipes of an approved high tensile aluminium alloy or other approved alloy, all such pipes being of an outside diameter of not less than 1</w:t>
      </w:r>
      <w:r>
        <w:rPr>
          <w:position w:val="6"/>
          <w:sz w:val="18"/>
        </w:rPr>
        <w:t>29</w:t>
      </w:r>
      <w:r>
        <w:t>/</w:t>
      </w:r>
      <w:r>
        <w:rPr>
          <w:sz w:val="18"/>
        </w:rPr>
        <w:t>32</w:t>
      </w:r>
      <w:r>
        <w:t xml:space="preserve"> inches, a nominal bore of 1</w:t>
      </w:r>
      <w:r>
        <w:rPr>
          <w:position w:val="6"/>
          <w:sz w:val="18"/>
        </w:rPr>
        <w:t>1</w:t>
      </w:r>
      <w:r>
        <w:t>/</w:t>
      </w:r>
      <w:r>
        <w:rPr>
          <w:sz w:val="18"/>
        </w:rPr>
        <w:t>2</w:t>
      </w:r>
      <w:r>
        <w:t xml:space="preserve"> inches and a wall thickness of not less than 0.192 inches for pipes of mild steel and 0.176 inches for pipes of an approved alloy; or</w:t>
      </w:r>
    </w:p>
    <w:p w:rsidR="00AF2508" w:rsidRDefault="00AF2508">
      <w:pPr>
        <w:pStyle w:val="Apara"/>
      </w:pPr>
      <w:r>
        <w:tab/>
        <w:t>(d)</w:t>
      </w:r>
      <w:r>
        <w:tab/>
        <w:t>of the other material, construction and dimensions that may be prescribed in this section or that may be approved.</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spacing of standards</w:t>
      </w:r>
    </w:p>
    <w:p w:rsidR="00AF2508" w:rsidRDefault="00AF2508">
      <w:pPr>
        <w:pStyle w:val="Amain"/>
      </w:pPr>
      <w:r>
        <w:tab/>
        <w:t>(34)</w:t>
      </w:r>
      <w:r>
        <w:tab/>
        <w:t>Sawn timber and pole standards shall be spaced not more than 10 feet apart measured from the centre-line of one standard to the centre-line of the adjacent standard in the same row.</w:t>
      </w:r>
    </w:p>
    <w:p w:rsidR="00AF2508" w:rsidRDefault="00AF2508">
      <w:pPr>
        <w:pStyle w:val="Amain"/>
      </w:pPr>
      <w:r>
        <w:tab/>
        <w:t>(35)</w:t>
      </w:r>
      <w:r>
        <w:tab/>
        <w:t>Pipe standards in tubular scaffolding shall be spaced not more than 7 feet 6 inches apart in any row measured as mentioned in subsection (34).</w:t>
      </w:r>
    </w:p>
    <w:p w:rsidR="00AF2508" w:rsidRDefault="00AF2508">
      <w:pPr>
        <w:pStyle w:val="Amain"/>
      </w:pPr>
      <w:r>
        <w:tab/>
        <w:t>(36)</w:t>
      </w:r>
      <w:r>
        <w:tab/>
        <w:t>If 2 or more rows of standards are used, the rows shall be spaced so as to be not more than 5 feet apart for scaffolding constructed of timber or of mild steel pipes and not more than 4 feet 6 inches apart for scaffolding constructed of pipes made of an approved aluminium alloy.</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ledgers</w:t>
      </w:r>
    </w:p>
    <w:p w:rsidR="00AF2508" w:rsidRDefault="00AF2508">
      <w:pPr>
        <w:pStyle w:val="Amain"/>
      </w:pPr>
      <w:r>
        <w:tab/>
        <w:t>(37)</w:t>
      </w:r>
      <w:r>
        <w:tab/>
        <w:t>Ledgers shall be spaced not more than 6 feet apart, provided that if circumstances so necessitate, the distance measured from the base of a scaffolding to the first ledger may be increased to not more than 10 feet, and shall be—</w:t>
      </w:r>
    </w:p>
    <w:p w:rsidR="00AF2508" w:rsidRDefault="00AF2508">
      <w:pPr>
        <w:pStyle w:val="Apara"/>
      </w:pPr>
      <w:r>
        <w:tab/>
        <w:t>(a)</w:t>
      </w:r>
      <w:r>
        <w:tab/>
        <w:t>of sawn timber not less than 6 inches by 1</w:t>
      </w:r>
      <w:r>
        <w:rPr>
          <w:position w:val="6"/>
          <w:sz w:val="18"/>
        </w:rPr>
        <w:t>1</w:t>
      </w:r>
      <w:r>
        <w:t>/</w:t>
      </w:r>
      <w:r>
        <w:rPr>
          <w:sz w:val="18"/>
        </w:rPr>
        <w:t>2</w:t>
      </w:r>
      <w:r>
        <w:t xml:space="preserve"> inches sectional dimensions if of hardwood and not less than 6 inches by 2 inches sectional dimensions if of Oregon pine; or</w:t>
      </w:r>
    </w:p>
    <w:p w:rsidR="00AF2508" w:rsidRDefault="00AF2508">
      <w:pPr>
        <w:pStyle w:val="Apara"/>
      </w:pPr>
      <w:r>
        <w:tab/>
        <w:t>(b)</w:t>
      </w:r>
      <w:r>
        <w:tab/>
        <w:t>of timber poles not less than 2</w:t>
      </w:r>
      <w:r>
        <w:rPr>
          <w:position w:val="6"/>
          <w:sz w:val="18"/>
        </w:rPr>
        <w:t>1</w:t>
      </w:r>
      <w:r>
        <w:t>/</w:t>
      </w:r>
      <w:r>
        <w:rPr>
          <w:sz w:val="18"/>
        </w:rPr>
        <w:t>2</w:t>
      </w:r>
      <w:r>
        <w:t xml:space="preserve"> inches diameter at the small end; or</w:t>
      </w:r>
    </w:p>
    <w:p w:rsidR="00AF2508" w:rsidRDefault="00AF2508">
      <w:pPr>
        <w:pStyle w:val="Apara"/>
      </w:pPr>
      <w:r>
        <w:tab/>
        <w:t>(c)</w:t>
      </w:r>
      <w:r>
        <w:tab/>
        <w:t>for tubular scaffolding only—of round metal pipes of the description and dimensions mentioned in subsection (33) (c); or</w:t>
      </w:r>
    </w:p>
    <w:p w:rsidR="00AF2508" w:rsidRDefault="00AF2508">
      <w:pPr>
        <w:pStyle w:val="Apara"/>
      </w:pPr>
      <w:r>
        <w:tab/>
        <w:t>(d)</w:t>
      </w:r>
      <w:r>
        <w:tab/>
        <w:t>of the other material, construction and dimensions that may be prescribed in this section, or that may be approved.</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putlogs</w:t>
      </w:r>
    </w:p>
    <w:p w:rsidR="00AF2508" w:rsidRDefault="00AF2508">
      <w:pPr>
        <w:pStyle w:val="Amain"/>
      </w:pPr>
      <w:r>
        <w:tab/>
        <w:t>(38)</w:t>
      </w:r>
      <w:r>
        <w:tab/>
        <w:t>Putlogs shall be—</w:t>
      </w:r>
    </w:p>
    <w:p w:rsidR="00AF2508" w:rsidRDefault="00AF2508">
      <w:pPr>
        <w:pStyle w:val="Apara"/>
      </w:pPr>
      <w:r>
        <w:tab/>
        <w:t>(a)</w:t>
      </w:r>
      <w:r>
        <w:tab/>
        <w:t>of sawn timber not less than 3 inches by 3 inches sectional dimensions if of hardwood and not less than 4 inches by 3 inches if of Oregon pine; or</w:t>
      </w:r>
    </w:p>
    <w:p w:rsidR="00AF2508" w:rsidRDefault="00AF2508">
      <w:pPr>
        <w:pStyle w:val="Apara"/>
      </w:pPr>
      <w:r>
        <w:tab/>
        <w:t>(b)</w:t>
      </w:r>
      <w:r>
        <w:tab/>
        <w:t>for tubular scaffolding only—of round metal pipes of the description and dimensions mentioned in subsection (33) (c); or</w:t>
      </w:r>
    </w:p>
    <w:p w:rsidR="00AF2508" w:rsidRDefault="00AF2508">
      <w:pPr>
        <w:pStyle w:val="Apara"/>
      </w:pPr>
      <w:r>
        <w:tab/>
        <w:t>(c)</w:t>
      </w:r>
      <w:r>
        <w:tab/>
        <w:t>of the other material, construction and dimensions that may be prescribed in this section or that may be approved.</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spacing of putlogs</w:t>
      </w:r>
    </w:p>
    <w:p w:rsidR="00AF2508" w:rsidRDefault="00AF2508">
      <w:pPr>
        <w:pStyle w:val="Amain"/>
      </w:pPr>
      <w:r>
        <w:tab/>
        <w:t>(39)</w:t>
      </w:r>
      <w:r>
        <w:tab/>
        <w:t>Sawn timber putlogs shall be spaced at not more than 6 feet apart.</w:t>
      </w:r>
    </w:p>
    <w:p w:rsidR="00AF2508" w:rsidRDefault="00AF2508">
      <w:pPr>
        <w:pStyle w:val="Amain"/>
      </w:pPr>
      <w:r>
        <w:tab/>
        <w:t>(40)</w:t>
      </w:r>
      <w:r>
        <w:tab/>
        <w:t>For scaffolding constructed of metal pipes, a putlog shall be placed at each side of each standard except the standards at each end of the scaffolding frame, where 1 only need be used.</w:t>
      </w:r>
    </w:p>
    <w:p w:rsidR="00AF2508" w:rsidRDefault="00AF2508">
      <w:pPr>
        <w:pStyle w:val="Amain"/>
      </w:pPr>
      <w:r>
        <w:tab/>
        <w:t>(41)</w:t>
      </w:r>
      <w:r>
        <w:tab/>
        <w:t>The putlogs for scaffolding constructed of metal pipes shall be positioned not more than 9 inches from a standard, measured centre-line of standard to centre-line of putlog.</w:t>
      </w:r>
    </w:p>
    <w:p w:rsidR="00AF2508" w:rsidRDefault="00AF2508">
      <w:pPr>
        <w:pStyle w:val="Amain"/>
      </w:pPr>
      <w:r>
        <w:tab/>
        <w:t>(42)</w:t>
      </w:r>
      <w:r>
        <w:tab/>
        <w:t>The maximum span of a mild steel pipe putlog shall not exceed 5 feet 2</w:t>
      </w:r>
      <w:r>
        <w:rPr>
          <w:position w:val="6"/>
          <w:sz w:val="18"/>
        </w:rPr>
        <w:t>1</w:t>
      </w:r>
      <w:r>
        <w:t>/</w:t>
      </w:r>
      <w:r>
        <w:rPr>
          <w:sz w:val="18"/>
        </w:rPr>
        <w:t>2</w:t>
      </w:r>
      <w:r>
        <w:t xml:space="preserve"> inches and the maximum span of a putlog of high tensile aluminium pipe shall not exceed 4 feet 8</w:t>
      </w:r>
      <w:r>
        <w:rPr>
          <w:position w:val="6"/>
          <w:sz w:val="18"/>
        </w:rPr>
        <w:t>1</w:t>
      </w:r>
      <w:r>
        <w:t>/</w:t>
      </w:r>
      <w:r>
        <w:rPr>
          <w:sz w:val="18"/>
        </w:rPr>
        <w:t>2</w:t>
      </w:r>
      <w:r>
        <w:t xml:space="preserve"> inches.</w:t>
      </w:r>
    </w:p>
    <w:p w:rsidR="00AF2508" w:rsidRDefault="00AF2508">
      <w:pPr>
        <w:pStyle w:val="Assectheading"/>
        <w:rPr>
          <w:i w:val="0"/>
        </w:rPr>
      </w:pPr>
      <w:r>
        <w:rPr>
          <w:rStyle w:val="charItals"/>
          <w:i/>
        </w:rPr>
        <w:t>Heavy duty single and independent pole scaffolding not exceeding 30 feet in height</w:t>
      </w:r>
      <w:r>
        <w:rPr>
          <w:i w:val="0"/>
          <w:color w:val="000000"/>
        </w:rPr>
        <w:t>—</w:t>
      </w:r>
      <w:r>
        <w:rPr>
          <w:rStyle w:val="charItals"/>
          <w:i/>
        </w:rPr>
        <w:t>bracings</w:t>
      </w:r>
    </w:p>
    <w:p w:rsidR="00AF2508" w:rsidRDefault="00AF2508">
      <w:pPr>
        <w:pStyle w:val="Amain"/>
      </w:pPr>
      <w:r>
        <w:tab/>
        <w:t>(43)</w:t>
      </w:r>
      <w:r>
        <w:tab/>
        <w:t>Bracings shall be—</w:t>
      </w:r>
    </w:p>
    <w:p w:rsidR="00AF2508" w:rsidRDefault="00AF2508">
      <w:pPr>
        <w:pStyle w:val="Apara"/>
      </w:pPr>
      <w:r>
        <w:tab/>
        <w:t>(a)</w:t>
      </w:r>
      <w:r>
        <w:tab/>
        <w:t>sawn timber not less than 9 square inches in sectional area; or</w:t>
      </w:r>
    </w:p>
    <w:p w:rsidR="00AF2508" w:rsidRDefault="00AF2508">
      <w:pPr>
        <w:pStyle w:val="Apara"/>
      </w:pPr>
      <w:r>
        <w:tab/>
        <w:t>(b)</w:t>
      </w:r>
      <w:r>
        <w:tab/>
        <w:t>timber poles not less than 2</w:t>
      </w:r>
      <w:r>
        <w:rPr>
          <w:position w:val="6"/>
          <w:sz w:val="18"/>
        </w:rPr>
        <w:t>1</w:t>
      </w:r>
      <w:r>
        <w:t>/</w:t>
      </w:r>
      <w:r>
        <w:rPr>
          <w:sz w:val="18"/>
        </w:rPr>
        <w:t>2</w:t>
      </w:r>
      <w:r>
        <w:t xml:space="preserve"> inches diameter at the small end; or</w:t>
      </w:r>
    </w:p>
    <w:p w:rsidR="00AF2508" w:rsidRDefault="00AF2508">
      <w:pPr>
        <w:pStyle w:val="Apara"/>
      </w:pPr>
      <w:r>
        <w:tab/>
        <w:t>(c)</w:t>
      </w:r>
      <w:r>
        <w:tab/>
        <w:t>for tubular scaffolding—round metal pipes as mentioned in subsection (33) (c); or</w:t>
      </w:r>
    </w:p>
    <w:p w:rsidR="00AF2508" w:rsidRDefault="00AF2508">
      <w:pPr>
        <w:pStyle w:val="Apara"/>
      </w:pPr>
      <w:r>
        <w:tab/>
        <w:t>(d)</w:t>
      </w:r>
      <w:r>
        <w:tab/>
        <w:t>of the other material, construction and dimensions that may be prescribed in this section or that may be approved.</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color w:val="000000"/>
        </w:rPr>
        <w:t>general</w:t>
      </w:r>
    </w:p>
    <w:p w:rsidR="00AF2508" w:rsidRDefault="00AF2508">
      <w:pPr>
        <w:pStyle w:val="Amain"/>
      </w:pPr>
      <w:r>
        <w:tab/>
        <w:t>(44)</w:t>
      </w:r>
      <w:r>
        <w:tab/>
        <w:t>The requirements of subsections (29) to (32) shall also apply to this type of scaffolding.</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rStyle w:val="charItals"/>
          <w:i/>
        </w:rPr>
        <w:t>standards</w:t>
      </w:r>
    </w:p>
    <w:p w:rsidR="00AF2508" w:rsidRDefault="00AF2508">
      <w:pPr>
        <w:pStyle w:val="Amain"/>
      </w:pPr>
      <w:r>
        <w:tab/>
        <w:t>(45)</w:t>
      </w:r>
      <w:r>
        <w:tab/>
        <w:t>Standards shall be—</w:t>
      </w:r>
    </w:p>
    <w:p w:rsidR="00AF2508" w:rsidRDefault="00AF2508">
      <w:pPr>
        <w:pStyle w:val="Apara"/>
      </w:pPr>
      <w:r>
        <w:tab/>
        <w:t>(a)</w:t>
      </w:r>
      <w:r>
        <w:tab/>
        <w:t>of sawn timber not less than 4 inches by 4 inches sectional dimensions; or</w:t>
      </w:r>
    </w:p>
    <w:p w:rsidR="00AF2508" w:rsidRDefault="00AF2508">
      <w:pPr>
        <w:pStyle w:val="Apara"/>
      </w:pPr>
      <w:r>
        <w:tab/>
        <w:t>(b)</w:t>
      </w:r>
      <w:r>
        <w:tab/>
        <w:t>of timber poles not less than 3 inches diameter at the small end; or</w:t>
      </w:r>
    </w:p>
    <w:p w:rsidR="00AF2508" w:rsidRDefault="00AF2508">
      <w:pPr>
        <w:pStyle w:val="Apara"/>
      </w:pPr>
      <w:r>
        <w:tab/>
        <w:t>(c)</w:t>
      </w:r>
      <w:r>
        <w:tab/>
        <w:t>for tubular scaffolding—round metal pipes of the description and dimensions mentioned in subsection (33) (c); or</w:t>
      </w:r>
    </w:p>
    <w:p w:rsidR="00AF2508" w:rsidRDefault="00AF2508">
      <w:pPr>
        <w:pStyle w:val="Apara"/>
      </w:pPr>
      <w:r>
        <w:tab/>
        <w:t>(d)</w:t>
      </w:r>
      <w:r>
        <w:tab/>
        <w:t>of the other material, construction and dimensions that may be prescribed in this section or that may be approved.</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rStyle w:val="charItals"/>
          <w:i/>
        </w:rPr>
        <w:t>spacing of standards</w:t>
      </w:r>
    </w:p>
    <w:p w:rsidR="00AF2508" w:rsidRDefault="00AF2508">
      <w:pPr>
        <w:pStyle w:val="Amain"/>
      </w:pPr>
      <w:r>
        <w:tab/>
        <w:t>(46)</w:t>
      </w:r>
      <w:r>
        <w:tab/>
        <w:t>Sawn timber and pole standards shall be spaced not more than 9 feet apart measured from the centre-line of one standard to the centre</w:t>
      </w:r>
      <w:r>
        <w:noBreakHyphen/>
        <w:t>line of the adjacent standard in the same row.</w:t>
      </w:r>
    </w:p>
    <w:p w:rsidR="00AF2508" w:rsidRDefault="00AF2508">
      <w:pPr>
        <w:pStyle w:val="Amain"/>
      </w:pPr>
      <w:r>
        <w:tab/>
        <w:t>(47)</w:t>
      </w:r>
      <w:r>
        <w:tab/>
        <w:t>Pipe standards in tubular scaffolding shall be spaced not more than 7 feet 6 inches apart in any row measured as mentioned in subsection (46).</w:t>
      </w:r>
    </w:p>
    <w:p w:rsidR="00AF2508" w:rsidRDefault="00AF2508">
      <w:pPr>
        <w:pStyle w:val="Amain"/>
      </w:pPr>
      <w:r>
        <w:tab/>
        <w:t>(48)</w:t>
      </w:r>
      <w:r>
        <w:tab/>
        <w:t>If 2 or more rows of standards are used the rows shall be spaced so as to be not more than 5 feet apart for scaffolding constructed of timber or of mild steel pipes and not more than 4 feet 6 inches apart for scaffolding constructed of pipes of approved aluminium alloy.</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rStyle w:val="charItals"/>
          <w:i/>
        </w:rPr>
        <w:t>ledgers</w:t>
      </w:r>
    </w:p>
    <w:p w:rsidR="00AF2508" w:rsidRDefault="00AF2508">
      <w:pPr>
        <w:pStyle w:val="Amain"/>
      </w:pPr>
      <w:r>
        <w:tab/>
        <w:t>(49)</w:t>
      </w:r>
      <w:r>
        <w:tab/>
        <w:t>Ledgers shall be spaced not more than 6 feet apart, provided that if circumstances so necessitate, the distance measured from the base of a scaffolding to the first ledger may be increased to not more than 10 feet, and shall be—</w:t>
      </w:r>
    </w:p>
    <w:p w:rsidR="00AF2508" w:rsidRDefault="00AF2508">
      <w:pPr>
        <w:pStyle w:val="Apara"/>
      </w:pPr>
      <w:r>
        <w:tab/>
        <w:t>(a)</w:t>
      </w:r>
      <w:r>
        <w:tab/>
        <w:t>of approved sawn hardwood timber not less than 6 inches by 2 inches sectional dimensions or of Oregon pine timber not less than 6 inches by 2</w:t>
      </w:r>
      <w:r>
        <w:rPr>
          <w:position w:val="6"/>
          <w:sz w:val="18"/>
        </w:rPr>
        <w:t>1</w:t>
      </w:r>
      <w:r>
        <w:t>/</w:t>
      </w:r>
      <w:r>
        <w:rPr>
          <w:sz w:val="18"/>
        </w:rPr>
        <w:t>2</w:t>
      </w:r>
      <w:r>
        <w:t xml:space="preserve"> inches sectional dimensions; or</w:t>
      </w:r>
    </w:p>
    <w:p w:rsidR="00AF2508" w:rsidRDefault="00AF2508">
      <w:pPr>
        <w:pStyle w:val="Apara"/>
      </w:pPr>
      <w:r>
        <w:tab/>
        <w:t>(b)</w:t>
      </w:r>
      <w:r>
        <w:tab/>
        <w:t>of timber poles not less than 3 inches diameter at the small end; or</w:t>
      </w:r>
    </w:p>
    <w:p w:rsidR="00AF2508" w:rsidRDefault="00AF2508">
      <w:pPr>
        <w:pStyle w:val="Apara"/>
      </w:pPr>
      <w:r>
        <w:tab/>
        <w:t>(c)</w:t>
      </w:r>
      <w:r>
        <w:tab/>
        <w:t>for tubular scaffolding only—of round metal pipes of the description and dimensions mentioned in subsection (33) (c); or</w:t>
      </w:r>
    </w:p>
    <w:p w:rsidR="00AF2508" w:rsidRDefault="00AF2508">
      <w:pPr>
        <w:pStyle w:val="Apara"/>
      </w:pPr>
      <w:r>
        <w:tab/>
        <w:t>(d)</w:t>
      </w:r>
      <w:r>
        <w:tab/>
        <w:t>of the other material construction and dimensions that may be prescribed in this section or that may be approved.</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rStyle w:val="charItals"/>
          <w:i/>
        </w:rPr>
        <w:t>putlogs</w:t>
      </w:r>
    </w:p>
    <w:p w:rsidR="00AF2508" w:rsidRDefault="00AF2508">
      <w:pPr>
        <w:pStyle w:val="Amain"/>
      </w:pPr>
      <w:r>
        <w:tab/>
        <w:t>(50)</w:t>
      </w:r>
      <w:r>
        <w:tab/>
        <w:t>Putlogs shall be—</w:t>
      </w:r>
    </w:p>
    <w:p w:rsidR="00AF2508" w:rsidRDefault="00AF2508">
      <w:pPr>
        <w:pStyle w:val="Apara"/>
      </w:pPr>
      <w:r>
        <w:tab/>
        <w:t>(a)</w:t>
      </w:r>
      <w:r>
        <w:tab/>
        <w:t>of sawn hardwood timber not less than 3 inches by 3 inches sectional dimensions; or</w:t>
      </w:r>
    </w:p>
    <w:p w:rsidR="00AF2508" w:rsidRDefault="00AF2508">
      <w:pPr>
        <w:pStyle w:val="Apara"/>
      </w:pPr>
      <w:r>
        <w:tab/>
        <w:t>(b)</w:t>
      </w:r>
      <w:r>
        <w:tab/>
        <w:t>for tubular scaffolding only—of round metal pipes of the description and dimensions mentioned in subsection (33) (c); or</w:t>
      </w:r>
    </w:p>
    <w:p w:rsidR="00AF2508" w:rsidRDefault="00AF2508">
      <w:pPr>
        <w:pStyle w:val="Apara"/>
      </w:pPr>
      <w:r>
        <w:tab/>
        <w:t>(c)</w:t>
      </w:r>
      <w:r>
        <w:tab/>
        <w:t>of the other material, construction and dimensions that may be prescribed in this section or that may be approved.</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rStyle w:val="charItals"/>
          <w:i/>
        </w:rPr>
        <w:t>spacing of putlogs</w:t>
      </w:r>
    </w:p>
    <w:p w:rsidR="00AF2508" w:rsidRDefault="00AF2508">
      <w:pPr>
        <w:pStyle w:val="Amain"/>
        <w:keepNext/>
      </w:pPr>
      <w:r>
        <w:tab/>
        <w:t>(51)</w:t>
      </w:r>
      <w:r>
        <w:tab/>
        <w:t>Sawn timber putlogs shall be spaced at not more than 6 feet apart.</w:t>
      </w:r>
    </w:p>
    <w:p w:rsidR="00AF2508" w:rsidRDefault="00AF2508">
      <w:pPr>
        <w:pStyle w:val="Amain"/>
      </w:pPr>
      <w:r>
        <w:tab/>
        <w:t>(52)</w:t>
      </w:r>
      <w:r>
        <w:tab/>
        <w:t>For scaffolding constructed of metal pipes, 1 putlog shall be placed at each side of each standard, except the standards at each end of the scaffolding frame where only 1 putlog need be used.</w:t>
      </w:r>
    </w:p>
    <w:p w:rsidR="00AF2508" w:rsidRDefault="00AF2508">
      <w:pPr>
        <w:pStyle w:val="Amain"/>
      </w:pPr>
      <w:r>
        <w:tab/>
        <w:t>(53)</w:t>
      </w:r>
      <w:r>
        <w:tab/>
        <w:t>All putlogs for scaffolding constructed of metal pipes shall be located not more than 9 inches from a standard measured from the centre-line of the standard to the centre-line of the putlog.</w:t>
      </w:r>
    </w:p>
    <w:p w:rsidR="00AF2508" w:rsidRDefault="00AF2508">
      <w:pPr>
        <w:pStyle w:val="Amain"/>
      </w:pPr>
      <w:r>
        <w:tab/>
        <w:t>(54)</w:t>
      </w:r>
      <w:r>
        <w:tab/>
        <w:t>The maximum span of a mild steel pipe putlog shall not exceed 5 feet 2</w:t>
      </w:r>
      <w:r>
        <w:rPr>
          <w:position w:val="6"/>
          <w:sz w:val="18"/>
        </w:rPr>
        <w:t>1</w:t>
      </w:r>
      <w:r>
        <w:t>/</w:t>
      </w:r>
      <w:r>
        <w:rPr>
          <w:sz w:val="18"/>
        </w:rPr>
        <w:t>2</w:t>
      </w:r>
      <w:r>
        <w:t xml:space="preserve"> inches and the maximum span of a putlog of high tensile aluminium pipe shall not exceed 4 feet 8</w:t>
      </w:r>
      <w:r>
        <w:rPr>
          <w:position w:val="6"/>
          <w:sz w:val="18"/>
        </w:rPr>
        <w:t>1</w:t>
      </w:r>
      <w:r>
        <w:t>/</w:t>
      </w:r>
      <w:r>
        <w:rPr>
          <w:sz w:val="18"/>
        </w:rPr>
        <w:t>2</w:t>
      </w:r>
      <w:r>
        <w:t xml:space="preserve"> inches.</w:t>
      </w:r>
    </w:p>
    <w:p w:rsidR="00AF2508" w:rsidRDefault="00AF2508">
      <w:pPr>
        <w:pStyle w:val="Assectheading"/>
      </w:pPr>
      <w:r>
        <w:rPr>
          <w:rStyle w:val="charItals"/>
          <w:i/>
        </w:rPr>
        <w:t>Heavy duty single and independent pole scaffolding exceeding 30 feet but not exceeding 150 feet in height</w:t>
      </w:r>
      <w:r>
        <w:rPr>
          <w:i w:val="0"/>
          <w:color w:val="000000"/>
        </w:rPr>
        <w:t>—</w:t>
      </w:r>
      <w:r>
        <w:rPr>
          <w:rStyle w:val="charItals"/>
          <w:i/>
        </w:rPr>
        <w:t>bracings</w:t>
      </w:r>
    </w:p>
    <w:p w:rsidR="00AF2508" w:rsidRDefault="00AF2508">
      <w:pPr>
        <w:pStyle w:val="Amain"/>
      </w:pPr>
      <w:r>
        <w:tab/>
        <w:t>(55)</w:t>
      </w:r>
      <w:r>
        <w:tab/>
        <w:t>Bracings shall be—</w:t>
      </w:r>
    </w:p>
    <w:p w:rsidR="00AF2508" w:rsidRDefault="00AF2508">
      <w:pPr>
        <w:pStyle w:val="Apara"/>
      </w:pPr>
      <w:r>
        <w:tab/>
        <w:t>(a)</w:t>
      </w:r>
      <w:r>
        <w:tab/>
        <w:t>sawn timber, not less than 9</w:t>
      </w:r>
      <w:r>
        <w:rPr>
          <w:b/>
        </w:rPr>
        <w:t xml:space="preserve"> </w:t>
      </w:r>
      <w:r>
        <w:t>square inches in sectional area; or</w:t>
      </w:r>
    </w:p>
    <w:p w:rsidR="00AF2508" w:rsidRDefault="00AF2508">
      <w:pPr>
        <w:pStyle w:val="Apara"/>
      </w:pPr>
      <w:r>
        <w:tab/>
        <w:t>(b)</w:t>
      </w:r>
      <w:r>
        <w:tab/>
        <w:t>timber poles not less than 2</w:t>
      </w:r>
      <w:r>
        <w:rPr>
          <w:position w:val="6"/>
          <w:sz w:val="18"/>
        </w:rPr>
        <w:t>1</w:t>
      </w:r>
      <w:r>
        <w:t>/</w:t>
      </w:r>
      <w:r>
        <w:rPr>
          <w:sz w:val="18"/>
        </w:rPr>
        <w:t>2</w:t>
      </w:r>
      <w:r>
        <w:t xml:space="preserve"> inches diameter at the small end; or</w:t>
      </w:r>
    </w:p>
    <w:p w:rsidR="00AF2508" w:rsidRDefault="00AF2508">
      <w:pPr>
        <w:pStyle w:val="Apara"/>
      </w:pPr>
      <w:r>
        <w:tab/>
        <w:t>(c)</w:t>
      </w:r>
      <w:r>
        <w:tab/>
        <w:t>for light duty scaffolding—round metal pipes mentioned in subsection (33) (c); or</w:t>
      </w:r>
    </w:p>
    <w:p w:rsidR="00AF2508" w:rsidRDefault="00AF2508">
      <w:pPr>
        <w:pStyle w:val="Apara"/>
      </w:pPr>
      <w:r>
        <w:tab/>
        <w:t>(d)</w:t>
      </w:r>
      <w:r>
        <w:tab/>
        <w:t>of the other material, construction and dimensions that may be prescribed in this section or that may be approved.</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permissible loads</w:t>
      </w:r>
    </w:p>
    <w:p w:rsidR="00AF2508" w:rsidRDefault="00AF2508">
      <w:pPr>
        <w:pStyle w:val="Amain"/>
      </w:pPr>
      <w:r>
        <w:tab/>
        <w:t>(56)</w:t>
      </w:r>
      <w:r>
        <w:tab/>
        <w:t>This type of scaffolding shall be used only by painters and decorators and other like tradespeople in building work of such description that the scaffolding is subjected only to small loads from the combined weight of workers and materials.</w:t>
      </w:r>
    </w:p>
    <w:p w:rsidR="00AF2508" w:rsidRDefault="00AF2508">
      <w:pPr>
        <w:pStyle w:val="Amain"/>
      </w:pPr>
      <w:r>
        <w:tab/>
        <w:t>(57)</w:t>
      </w:r>
      <w:r>
        <w:tab/>
        <w:t>The total load due to the weight of workers and material on the platform of a light duty scaffolding shall not exceed the equivalent of a uniformly distributed load of 10 pounds per square foot of platform area.</w:t>
      </w:r>
    </w:p>
    <w:p w:rsidR="00AF2508" w:rsidRDefault="00AF2508">
      <w:pPr>
        <w:pStyle w:val="Amain"/>
      </w:pPr>
      <w:r>
        <w:tab/>
        <w:t>(58)</w:t>
      </w:r>
      <w:r>
        <w:tab/>
        <w:t>This loading equals the combined weight of 4 workers plus material weighing 50 pounds.</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height</w:t>
      </w:r>
    </w:p>
    <w:p w:rsidR="00AF2508" w:rsidRDefault="00AF2508">
      <w:pPr>
        <w:pStyle w:val="Amain"/>
      </w:pPr>
      <w:r>
        <w:tab/>
        <w:t>(59)</w:t>
      </w:r>
      <w:r>
        <w:tab/>
        <w:t>The height of the topmost platform shall not exceed 100 feet, such height being the distance measured from the base from which the scaffolding rises to the top surface of the platform.</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permissible number of working platforms</w:t>
      </w:r>
    </w:p>
    <w:p w:rsidR="00AF2508" w:rsidRDefault="00AF2508">
      <w:pPr>
        <w:pStyle w:val="Amain"/>
      </w:pPr>
      <w:r>
        <w:tab/>
        <w:t>(60)</w:t>
      </w:r>
      <w:r>
        <w:tab/>
        <w:t>Not more than 2 working platforms shall be set up and used on a scaffolding frame at any time, but short platforms may be set up in different positions on the frame provided that the total area of these platforms supported by any standard would not exceed that supported when 2 full length platforms are set up.</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standards</w:t>
      </w:r>
    </w:p>
    <w:p w:rsidR="00AF2508" w:rsidRDefault="00AF2508">
      <w:pPr>
        <w:pStyle w:val="Amain"/>
      </w:pPr>
      <w:r>
        <w:tab/>
        <w:t>(61)</w:t>
      </w:r>
      <w:r>
        <w:tab/>
        <w:t>Standards shall be of round metal pipes, steam quality, mild steel, or pipes of an approved high tensile aluminium alloy, or other approved alloy, all such pipes being of an outside diameter of not less than 1</w:t>
      </w:r>
      <w:r>
        <w:rPr>
          <w:position w:val="6"/>
          <w:sz w:val="18"/>
        </w:rPr>
        <w:t>29</w:t>
      </w:r>
      <w:r>
        <w:t>/</w:t>
      </w:r>
      <w:r>
        <w:rPr>
          <w:sz w:val="18"/>
        </w:rPr>
        <w:t>32</w:t>
      </w:r>
      <w:r>
        <w:t xml:space="preserve"> inches, a nominal bore of 1</w:t>
      </w:r>
      <w:r>
        <w:rPr>
          <w:position w:val="6"/>
          <w:sz w:val="18"/>
        </w:rPr>
        <w:t>1</w:t>
      </w:r>
      <w:r>
        <w:t>/</w:t>
      </w:r>
      <w:r>
        <w:rPr>
          <w:sz w:val="18"/>
        </w:rPr>
        <w:t>2</w:t>
      </w:r>
      <w:r>
        <w:t xml:space="preserve"> inches and a wall thickness of not less than 0.192 inches for pipes of mild steel and 0.176 inches for pipes of an approved alloy.</w:t>
      </w:r>
    </w:p>
    <w:p w:rsidR="00AF2508" w:rsidRDefault="00AF2508">
      <w:pPr>
        <w:pStyle w:val="Amain"/>
      </w:pPr>
      <w:r>
        <w:tab/>
        <w:t>(62)</w:t>
      </w:r>
      <w:r>
        <w:tab/>
        <w:t>All standards shall be effectively tied to the building or structure or be otherwise braced at points not more than 12 feet apart, measured centre to centre.</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spacing of standards</w:t>
      </w:r>
    </w:p>
    <w:p w:rsidR="00AF2508" w:rsidRDefault="00AF2508">
      <w:pPr>
        <w:pStyle w:val="Amain"/>
      </w:pPr>
      <w:r>
        <w:tab/>
        <w:t>(63)</w:t>
      </w:r>
      <w:r>
        <w:tab/>
        <w:t>Standards shall be spaced not more than 12 feet apart measured from the centre-line of one standard to the centre-line of the adjacent standard in the same row.</w:t>
      </w:r>
    </w:p>
    <w:p w:rsidR="00AF2508" w:rsidRDefault="00AF2508">
      <w:pPr>
        <w:pStyle w:val="Amain"/>
      </w:pPr>
      <w:r>
        <w:tab/>
        <w:t>(64)</w:t>
      </w:r>
      <w:r>
        <w:tab/>
        <w:t>If 2 or more rows of standards are used the rows shall be spaced so as to be not more than 6 feet apart measured from the centre-line of one row to the centre-line of another row.</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ledgers</w:t>
      </w:r>
    </w:p>
    <w:p w:rsidR="00AF2508" w:rsidRDefault="00AF2508">
      <w:pPr>
        <w:pStyle w:val="Amain"/>
      </w:pPr>
      <w:r>
        <w:tab/>
        <w:t>(65)</w:t>
      </w:r>
      <w:r>
        <w:tab/>
        <w:t>Ledgers shall be of round metal pipes of the description and dimensions mentioned in subsection (61).</w:t>
      </w:r>
    </w:p>
    <w:p w:rsidR="00AF2508" w:rsidRDefault="00AF2508">
      <w:pPr>
        <w:pStyle w:val="Amain"/>
      </w:pPr>
      <w:r>
        <w:tab/>
        <w:t>(66)</w:t>
      </w:r>
      <w:r>
        <w:tab/>
        <w:t>Ledgers shall be spaced not more than 10 feet apart.</w:t>
      </w:r>
    </w:p>
    <w:p w:rsidR="00AF2508" w:rsidRDefault="00AF2508">
      <w:pPr>
        <w:pStyle w:val="Amain"/>
      </w:pPr>
      <w:r>
        <w:tab/>
        <w:t>(67)</w:t>
      </w:r>
      <w:r>
        <w:tab/>
        <w:t>For this type of scaffolding the distance of a joint in a ledger from a vertical shall not exceed 1 foot 9 inches.</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putlogs</w:t>
      </w:r>
    </w:p>
    <w:p w:rsidR="00AF2508" w:rsidRDefault="00AF2508">
      <w:pPr>
        <w:pStyle w:val="Amain"/>
      </w:pPr>
      <w:r>
        <w:tab/>
        <w:t>(68)</w:t>
      </w:r>
      <w:r>
        <w:tab/>
        <w:t>Putlogs shall be round metal pipes of the description and dimensions mentioned in subsection (61).</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spacing of putlogs</w:t>
      </w:r>
    </w:p>
    <w:p w:rsidR="00AF2508" w:rsidRDefault="00AF2508">
      <w:pPr>
        <w:pStyle w:val="Amain"/>
      </w:pPr>
      <w:r>
        <w:tab/>
        <w:t>(69)</w:t>
      </w:r>
      <w:r>
        <w:tab/>
        <w:t>A putlog shall be placed at each side of each standard except the standards at each end of the scaffolding frame, where 1 only need be used.</w:t>
      </w:r>
    </w:p>
    <w:p w:rsidR="00AF2508" w:rsidRDefault="00AF2508">
      <w:pPr>
        <w:pStyle w:val="Amain"/>
      </w:pPr>
      <w:r>
        <w:tab/>
        <w:t>(70)</w:t>
      </w:r>
      <w:r>
        <w:tab/>
        <w:t>The distance measured between the centre-line of a putlog and the centre-line of a standard shall be 2 feet.</w:t>
      </w:r>
    </w:p>
    <w:p w:rsidR="00AF2508" w:rsidRDefault="00AF2508">
      <w:pPr>
        <w:pStyle w:val="Amain"/>
      </w:pPr>
      <w:r>
        <w:tab/>
        <w:t>(71)</w:t>
      </w:r>
      <w:r>
        <w:tab/>
        <w:t>The span of a putlog shall not exceed 6 feet 4</w:t>
      </w:r>
      <w:r>
        <w:rPr>
          <w:position w:val="6"/>
          <w:sz w:val="18"/>
        </w:rPr>
        <w:t>1</w:t>
      </w:r>
      <w:r>
        <w:t>/</w:t>
      </w:r>
      <w:r>
        <w:rPr>
          <w:sz w:val="18"/>
        </w:rPr>
        <w:t>2</w:t>
      </w:r>
      <w:r>
        <w:t xml:space="preserve"> inches.</w:t>
      </w:r>
    </w:p>
    <w:p w:rsidR="00AF2508" w:rsidRDefault="00AF2508">
      <w:pPr>
        <w:pStyle w:val="Assectheading"/>
        <w:rPr>
          <w:i w:val="0"/>
        </w:rPr>
      </w:pPr>
      <w:r>
        <w:rPr>
          <w:rStyle w:val="charItals"/>
          <w:i/>
        </w:rPr>
        <w:t>Light duty single and independent pole tubular scaffolding</w:t>
      </w:r>
      <w:r>
        <w:rPr>
          <w:i w:val="0"/>
          <w:color w:val="000000"/>
        </w:rPr>
        <w:t>—</w:t>
      </w:r>
      <w:r>
        <w:rPr>
          <w:rStyle w:val="charItals"/>
          <w:i/>
        </w:rPr>
        <w:t>bracings</w:t>
      </w:r>
    </w:p>
    <w:p w:rsidR="00AF2508" w:rsidRDefault="00AF2508">
      <w:pPr>
        <w:pStyle w:val="Amain"/>
      </w:pPr>
      <w:r>
        <w:tab/>
        <w:t>(72)</w:t>
      </w:r>
      <w:r>
        <w:tab/>
        <w:t>Bracings shall be round metal pipes of the description and dimensions mentioned in subsection (61).</w:t>
      </w:r>
    </w:p>
    <w:p w:rsidR="00AF2508" w:rsidRDefault="00AF2508">
      <w:pPr>
        <w:pStyle w:val="Assectheading"/>
        <w:rPr>
          <w:i w:val="0"/>
        </w:rPr>
      </w:pPr>
      <w:r>
        <w:rPr>
          <w:rStyle w:val="charItals"/>
          <w:i/>
        </w:rPr>
        <w:t>Tubular birdcage scaffolding</w:t>
      </w:r>
      <w:r>
        <w:rPr>
          <w:i w:val="0"/>
          <w:color w:val="000000"/>
        </w:rPr>
        <w:t>—</w:t>
      </w:r>
      <w:r>
        <w:rPr>
          <w:rStyle w:val="charItals"/>
          <w:i/>
        </w:rPr>
        <w:t>permissible loads</w:t>
      </w:r>
    </w:p>
    <w:p w:rsidR="00AF2508" w:rsidRDefault="00AF2508">
      <w:pPr>
        <w:pStyle w:val="Amain"/>
      </w:pPr>
      <w:r>
        <w:tab/>
        <w:t>(73)</w:t>
      </w:r>
      <w:r>
        <w:tab/>
        <w:t>The total load on the platform in any bay at any time of this type of scaffolding shall not exceed the weight of 2 workers plus material weighing 50 pounds.</w:t>
      </w:r>
    </w:p>
    <w:p w:rsidR="00AF2508" w:rsidRDefault="00AF2508">
      <w:pPr>
        <w:pStyle w:val="Assectheading"/>
        <w:rPr>
          <w:i w:val="0"/>
        </w:rPr>
      </w:pPr>
      <w:r>
        <w:rPr>
          <w:rStyle w:val="charItals"/>
          <w:i/>
        </w:rPr>
        <w:t>Tubular birdcage scaffolding</w:t>
      </w:r>
      <w:r>
        <w:rPr>
          <w:i w:val="0"/>
          <w:color w:val="000000"/>
        </w:rPr>
        <w:t>—</w:t>
      </w:r>
      <w:r>
        <w:rPr>
          <w:rStyle w:val="charItals"/>
          <w:i/>
        </w:rPr>
        <w:t>arrangement and construction</w:t>
      </w:r>
    </w:p>
    <w:p w:rsidR="00AF2508" w:rsidRDefault="00AF2508">
      <w:pPr>
        <w:pStyle w:val="Amain"/>
      </w:pPr>
      <w:r>
        <w:tab/>
        <w:t>(74)</w:t>
      </w:r>
      <w:r>
        <w:tab/>
        <w:t>The general arrangement, construction and materials shall be as mentioned in subsections (56) to (72) subject to the following:</w:t>
      </w:r>
    </w:p>
    <w:p w:rsidR="00AF2508" w:rsidRDefault="00AF2508">
      <w:pPr>
        <w:pStyle w:val="Apara"/>
      </w:pPr>
      <w:r>
        <w:tab/>
        <w:t>(a)</w:t>
      </w:r>
      <w:r>
        <w:tab/>
        <w:t>platform planks may be spaced not more than 7 inches apart;</w:t>
      </w:r>
    </w:p>
    <w:p w:rsidR="00AF2508" w:rsidRDefault="00AF2508">
      <w:pPr>
        <w:pStyle w:val="Apara"/>
      </w:pPr>
      <w:r>
        <w:tab/>
        <w:t>(b)</w:t>
      </w:r>
      <w:r>
        <w:tab/>
        <w:t>the span of a mild steel putlog may be increased to 8 feet and the span of a high tensile aluminium putlog may be increased to 6 feet;</w:t>
      </w:r>
    </w:p>
    <w:p w:rsidR="00AF2508" w:rsidRDefault="00AF2508">
      <w:pPr>
        <w:pStyle w:val="Apara"/>
      </w:pPr>
      <w:r>
        <w:tab/>
        <w:t>(c)</w:t>
      </w:r>
      <w:r>
        <w:tab/>
        <w:t>standards shall be spaced not more than 10 feet apart in any row, unless additional putlogs are provided to support cantilevered ends of platform planks;</w:t>
      </w:r>
    </w:p>
    <w:p w:rsidR="00AF2508" w:rsidRDefault="00AF2508">
      <w:pPr>
        <w:pStyle w:val="Apara"/>
      </w:pPr>
      <w:r>
        <w:tab/>
        <w:t>(d)</w:t>
      </w:r>
      <w:r>
        <w:tab/>
        <w:t>not more than 1 working platform shall be set up on a scaffolding frame at any time.</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uses of scaffolding</w:t>
      </w:r>
    </w:p>
    <w:p w:rsidR="00AF2508" w:rsidRDefault="00AF2508">
      <w:pPr>
        <w:pStyle w:val="Amain"/>
      </w:pPr>
      <w:r>
        <w:tab/>
        <w:t>(75)</w:t>
      </w:r>
      <w:r>
        <w:tab/>
        <w:t>This type of scaffolding shall only be used by painters, repairers, decorators, electric welders and other like tradespeople.</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tubes</w:t>
      </w:r>
    </w:p>
    <w:p w:rsidR="00AF2508" w:rsidRDefault="00AF2508">
      <w:pPr>
        <w:pStyle w:val="Amain"/>
      </w:pPr>
      <w:r>
        <w:tab/>
        <w:t>(76)</w:t>
      </w:r>
      <w:r>
        <w:tab/>
        <w:t>Tubes shall be mild steel round pipes of steam quality, not less than 1</w:t>
      </w:r>
      <w:r>
        <w:rPr>
          <w:position w:val="6"/>
          <w:sz w:val="18"/>
        </w:rPr>
        <w:t>11</w:t>
      </w:r>
      <w:r>
        <w:t>/</w:t>
      </w:r>
      <w:r>
        <w:rPr>
          <w:sz w:val="18"/>
        </w:rPr>
        <w:t>32</w:t>
      </w:r>
      <w:r>
        <w:t xml:space="preserve"> inches outside diameter, having walls not less in thickness than 0.16 inch.</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fittings</w:t>
      </w:r>
    </w:p>
    <w:p w:rsidR="00AF2508" w:rsidRDefault="00AF2508">
      <w:pPr>
        <w:pStyle w:val="Amain"/>
      </w:pPr>
      <w:r>
        <w:tab/>
        <w:t>(77)</w:t>
      </w:r>
      <w:r>
        <w:tab/>
        <w:t>The fittings or devices used for connecting the various members of the scaffolding shall be only those that have been approved.</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height</w:t>
      </w:r>
    </w:p>
    <w:p w:rsidR="00AF2508" w:rsidRDefault="00AF2508">
      <w:pPr>
        <w:pStyle w:val="Amain"/>
      </w:pPr>
      <w:r>
        <w:tab/>
        <w:t>(78)</w:t>
      </w:r>
      <w:r>
        <w:tab/>
        <w:t>The height of the topmost platform above the surface on which the scaffolding is erected shall not exceed 15 feet for scaffolding having 1 or 2 rows of standards and shall not exceed 24 feet for scaffolding having 3 or more rows of standards.</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standards</w:t>
      </w:r>
    </w:p>
    <w:p w:rsidR="00AF2508" w:rsidRDefault="00AF2508">
      <w:pPr>
        <w:pStyle w:val="Amain"/>
      </w:pPr>
      <w:r>
        <w:tab/>
        <w:t>(79)</w:t>
      </w:r>
      <w:r>
        <w:tab/>
        <w:t>Standards shall be spaced not more than 5 feet apart measured horizontally centre to centre along any row.</w:t>
      </w:r>
    </w:p>
    <w:p w:rsidR="00AF2508" w:rsidRDefault="00AF2508">
      <w:pPr>
        <w:pStyle w:val="Amain"/>
      </w:pPr>
      <w:r>
        <w:tab/>
        <w:t>(80)</w:t>
      </w:r>
      <w:r>
        <w:tab/>
        <w:t>If 2 or more rows of standards are used, the rows shall be spaced 3 feet 9 inches apart measured horizontally centre to centre.</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ledgers</w:t>
      </w:r>
    </w:p>
    <w:p w:rsidR="00AF2508" w:rsidRDefault="00AF2508">
      <w:pPr>
        <w:pStyle w:val="Amain"/>
      </w:pPr>
      <w:r>
        <w:tab/>
        <w:t>(81)</w:t>
      </w:r>
      <w:r>
        <w:tab/>
        <w:t>Each ledger shall be supported by and at each standard.</w:t>
      </w:r>
    </w:p>
    <w:p w:rsidR="00AF2508" w:rsidRDefault="00AF2508">
      <w:pPr>
        <w:pStyle w:val="Amain"/>
      </w:pPr>
      <w:r>
        <w:tab/>
        <w:t>(82)</w:t>
      </w:r>
      <w:r>
        <w:tab/>
        <w:t>The vertical distance of one ledger to the next adjacent in the height of a standard shall not exceed 6 feet.</w:t>
      </w:r>
    </w:p>
    <w:p w:rsidR="00AF2508" w:rsidRDefault="00AF2508">
      <w:pPr>
        <w:pStyle w:val="Amain"/>
      </w:pPr>
      <w:r>
        <w:tab/>
        <w:t>(83)</w:t>
      </w:r>
      <w:r>
        <w:tab/>
        <w:t>The lowest ledger shall be fixed at a height not exceeding 18 inches above the feet of the standards.</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putlogs</w:t>
      </w:r>
    </w:p>
    <w:p w:rsidR="00AF2508" w:rsidRDefault="00AF2508">
      <w:pPr>
        <w:pStyle w:val="Amain"/>
      </w:pPr>
      <w:r>
        <w:tab/>
        <w:t>(84)</w:t>
      </w:r>
      <w:r>
        <w:tab/>
        <w:t>Putlogs shall be connected directly to the standards and the fittings employed shall be set together as closely as is practicable.</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bracing</w:t>
      </w:r>
    </w:p>
    <w:p w:rsidR="00AF2508" w:rsidRDefault="00AF2508">
      <w:pPr>
        <w:pStyle w:val="Amain"/>
      </w:pPr>
      <w:r>
        <w:tab/>
        <w:t>(85)</w:t>
      </w:r>
      <w:r>
        <w:tab/>
        <w:t>Diagonal bracings of steel scaffolding tubing shall be so arranged and fixed as to directly and effectively prevent longitudinal movements of all putlogs and of all ledgers.</w:t>
      </w:r>
    </w:p>
    <w:p w:rsidR="00AF2508" w:rsidRDefault="00AF2508">
      <w:pPr>
        <w:pStyle w:val="Amain"/>
      </w:pPr>
      <w:r>
        <w:tab/>
        <w:t>(86)</w:t>
      </w:r>
      <w:r>
        <w:tab/>
        <w:t>Alternatively the putlogs shall be effectively braced from an adjacent building or structure and the bracing shall be at least of equal effect to that otherwise required.</w:t>
      </w:r>
    </w:p>
    <w:p w:rsidR="00AF2508" w:rsidRDefault="00AF2508">
      <w:pPr>
        <w:pStyle w:val="Assectheading"/>
        <w:rPr>
          <w:i w:val="0"/>
        </w:rPr>
      </w:pPr>
      <w:r>
        <w:rPr>
          <w:rStyle w:val="charItals"/>
          <w:i/>
        </w:rPr>
        <w:t>Light duty single and independent pole scaffolding of 1 inch internal diameter steel tube</w:t>
      </w:r>
      <w:r>
        <w:rPr>
          <w:i w:val="0"/>
          <w:color w:val="000000"/>
        </w:rPr>
        <w:t>—</w:t>
      </w:r>
      <w:r>
        <w:rPr>
          <w:rStyle w:val="charItals"/>
          <w:i/>
        </w:rPr>
        <w:t>general limitations</w:t>
      </w:r>
    </w:p>
    <w:p w:rsidR="00AF2508" w:rsidRDefault="00AF2508">
      <w:pPr>
        <w:pStyle w:val="Amain"/>
      </w:pPr>
      <w:r>
        <w:tab/>
        <w:t>(87)</w:t>
      </w:r>
      <w:r>
        <w:tab/>
        <w:t>In connection with this type of scaffolding no person shall—</w:t>
      </w:r>
    </w:p>
    <w:p w:rsidR="00AF2508" w:rsidRDefault="00AF2508">
      <w:pPr>
        <w:pStyle w:val="Apara"/>
      </w:pPr>
      <w:r>
        <w:tab/>
        <w:t>(a)</w:t>
      </w:r>
      <w:r>
        <w:tab/>
        <w:t>impose or cause to be imposed on any putlog a greater total load than 470 pounds weight, inclusive of workers, tools, equipment, materials and platform timbers; or</w:t>
      </w:r>
    </w:p>
    <w:p w:rsidR="00AF2508" w:rsidRDefault="00AF2508">
      <w:pPr>
        <w:pStyle w:val="Apara"/>
      </w:pPr>
      <w:r>
        <w:tab/>
        <w:t>(b)</w:t>
      </w:r>
      <w:r>
        <w:tab/>
        <w:t>impose or cause to be imposed simultaneously on any scaffolding framework a greater number of working platforms than 2, but short platforms may be set up in different positions on the frame provided that the total area of these platforms supported by any part of the framework shall not exceed that supported when 2 full length platforms are set up; or</w:t>
      </w:r>
    </w:p>
    <w:p w:rsidR="00AF2508" w:rsidRDefault="00AF2508">
      <w:pPr>
        <w:pStyle w:val="Apara"/>
      </w:pPr>
      <w:r>
        <w:tab/>
        <w:t>(c)</w:t>
      </w:r>
      <w:r>
        <w:tab/>
        <w:t>use or cause to be used in connection with the scaffolding any connector, clip, socket, fitting, jack, base, finial, fastening, wheel or caster, unless it has been approved; or</w:t>
      </w:r>
    </w:p>
    <w:p w:rsidR="00AF2508" w:rsidRDefault="00AF2508">
      <w:pPr>
        <w:pStyle w:val="Apara"/>
      </w:pPr>
      <w:r>
        <w:tab/>
        <w:t>(d)</w:t>
      </w:r>
      <w:r>
        <w:tab/>
        <w:t>use or cause to be used any such connector, clip, socket, fitting, jack, base, finial, fastening, wheel or caster in any way or for any purpose other than that for which it has been approved, or for any greater loading than that for which it has been so approved; or</w:t>
      </w:r>
    </w:p>
    <w:p w:rsidR="00AF2508" w:rsidRDefault="00AF2508">
      <w:pPr>
        <w:pStyle w:val="Apara"/>
      </w:pPr>
      <w:r>
        <w:tab/>
        <w:t>(e)</w:t>
      </w:r>
      <w:r>
        <w:tab/>
        <w:t>fix or use or cause to be fixed or used any putlog of greater span than 3 feet 9 inches measured horizontally centre to centre of the standards or from the centre of a standard to the nearest face of the other support; or</w:t>
      </w:r>
    </w:p>
    <w:p w:rsidR="00AF2508" w:rsidRDefault="00AF2508">
      <w:pPr>
        <w:pStyle w:val="Apara"/>
      </w:pPr>
      <w:r>
        <w:tab/>
        <w:t>(f)</w:t>
      </w:r>
      <w:r>
        <w:tab/>
        <w:t>load or cause to be loaded any member of the scaffolding framework in any way other than that mentioned in this section.</w:t>
      </w:r>
    </w:p>
    <w:p w:rsidR="00AF2508" w:rsidRDefault="00AF2508">
      <w:pPr>
        <w:pStyle w:val="AH4SubDiv"/>
      </w:pPr>
      <w:bookmarkStart w:id="160" w:name="_Toc161636824"/>
      <w:r>
        <w:t>Cantilever scaffolding</w:t>
      </w:r>
      <w:bookmarkEnd w:id="160"/>
    </w:p>
    <w:p w:rsidR="00AF2508" w:rsidRDefault="00AF2508">
      <w:pPr>
        <w:pStyle w:val="AH5Sec"/>
      </w:pPr>
      <w:bookmarkStart w:id="161" w:name="_Toc161636825"/>
      <w:r>
        <w:rPr>
          <w:rStyle w:val="CharSectNo"/>
        </w:rPr>
        <w:t>88</w:t>
      </w:r>
      <w:bookmarkEnd w:id="161"/>
      <w:r>
        <w:tab/>
        <w:t xml:space="preserve">  </w:t>
      </w:r>
    </w:p>
    <w:p w:rsidR="00AF2508" w:rsidRDefault="00AF2508">
      <w:pPr>
        <w:pStyle w:val="Assectheading"/>
      </w:pPr>
      <w:r>
        <w:rPr>
          <w:rStyle w:val="charItals"/>
          <w:i/>
        </w:rPr>
        <w:t>General arrangement</w:t>
      </w:r>
    </w:p>
    <w:p w:rsidR="00AF2508" w:rsidRDefault="00AF2508">
      <w:pPr>
        <w:pStyle w:val="Amain"/>
        <w:rPr>
          <w:color w:val="000000"/>
        </w:rPr>
      </w:pPr>
      <w:r>
        <w:rPr>
          <w:color w:val="000000"/>
        </w:rPr>
        <w:tab/>
        <w:t>(1)</w:t>
      </w:r>
      <w:r>
        <w:rPr>
          <w:color w:val="000000"/>
        </w:rPr>
        <w:tab/>
        <w:t>The general arrangement of cantilever scaffolding shall be as shown in schedule 7, plate 2.</w:t>
      </w:r>
    </w:p>
    <w:p w:rsidR="00AF2508" w:rsidRDefault="00AF2508">
      <w:pPr>
        <w:pStyle w:val="Assectheading"/>
      </w:pPr>
      <w:r>
        <w:rPr>
          <w:rStyle w:val="charItals"/>
          <w:i/>
        </w:rPr>
        <w:t>Platform width</w:t>
      </w:r>
    </w:p>
    <w:p w:rsidR="00AF2508" w:rsidRDefault="00AF2508">
      <w:pPr>
        <w:pStyle w:val="Amain"/>
        <w:rPr>
          <w:color w:val="000000"/>
        </w:rPr>
      </w:pPr>
      <w:r>
        <w:rPr>
          <w:color w:val="000000"/>
        </w:rPr>
        <w:tab/>
        <w:t>(2)</w:t>
      </w:r>
      <w:r>
        <w:rPr>
          <w:color w:val="000000"/>
        </w:rPr>
        <w:tab/>
        <w:t>The platform width for this type of scaffolding shall not exceed 5 feet unless otherwise approved.</w:t>
      </w:r>
    </w:p>
    <w:p w:rsidR="00AF2508" w:rsidRDefault="00AF2508">
      <w:pPr>
        <w:pStyle w:val="Assectheading"/>
      </w:pPr>
      <w:r>
        <w:rPr>
          <w:rStyle w:val="charItals"/>
          <w:i/>
        </w:rPr>
        <w:t>Platform planks</w:t>
      </w:r>
    </w:p>
    <w:p w:rsidR="00AF2508" w:rsidRDefault="00AF2508">
      <w:pPr>
        <w:pStyle w:val="Amain"/>
        <w:rPr>
          <w:color w:val="000000"/>
        </w:rPr>
      </w:pPr>
      <w:r>
        <w:rPr>
          <w:color w:val="000000"/>
        </w:rPr>
        <w:tab/>
        <w:t>(3)</w:t>
      </w:r>
      <w:r>
        <w:rPr>
          <w:color w:val="000000"/>
        </w:rPr>
        <w:tab/>
        <w:t>The platform planks shall be spiked, strapped, lashed, or wired in position to overcome creep and to prevent displacement by wind.</w:t>
      </w:r>
    </w:p>
    <w:p w:rsidR="00AF2508" w:rsidRDefault="00AF2508">
      <w:pPr>
        <w:pStyle w:val="Amain"/>
      </w:pPr>
      <w:r>
        <w:tab/>
        <w:t>(4)</w:t>
      </w:r>
      <w:r>
        <w:tab/>
        <w:t>The dimensions of a section of any platform plank shall be not less than 10 inches by 1</w:t>
      </w:r>
      <w:r>
        <w:rPr>
          <w:position w:val="6"/>
          <w:sz w:val="18"/>
        </w:rPr>
        <w:t>1</w:t>
      </w:r>
      <w:r>
        <w:t>/</w:t>
      </w:r>
      <w:r>
        <w:rPr>
          <w:sz w:val="18"/>
        </w:rPr>
        <w:t>2</w:t>
      </w:r>
      <w:r>
        <w:t xml:space="preserve"> inches for spans to 6 feet and 10 inches by 2 inches for spans exceeding 6 feet but not exceeding 10 feet.</w:t>
      </w:r>
    </w:p>
    <w:p w:rsidR="00AF2508" w:rsidRDefault="00AF2508">
      <w:pPr>
        <w:pStyle w:val="Assectheading"/>
      </w:pPr>
      <w:r>
        <w:rPr>
          <w:rStyle w:val="charItals"/>
          <w:i/>
        </w:rPr>
        <w:t>Guardrails and toe board</w:t>
      </w:r>
    </w:p>
    <w:p w:rsidR="00AF2508" w:rsidRDefault="00AF2508">
      <w:pPr>
        <w:pStyle w:val="Amain"/>
      </w:pPr>
      <w:r>
        <w:rPr>
          <w:color w:val="000000"/>
        </w:rPr>
        <w:tab/>
        <w:t>(5)</w:t>
      </w:r>
      <w:r>
        <w:rPr>
          <w:color w:val="000000"/>
        </w:rPr>
        <w:tab/>
        <w:t>A toe board shall be securely fixed at the open sides of all platforms and guardrails at the open sides and ends of all platforms.</w:t>
      </w:r>
    </w:p>
    <w:p w:rsidR="00AF2508" w:rsidRDefault="00AF2508">
      <w:pPr>
        <w:pStyle w:val="Amain"/>
      </w:pPr>
      <w:r>
        <w:tab/>
        <w:t>(6)</w:t>
      </w:r>
      <w:r>
        <w:tab/>
        <w:t>Guardrails of the dimensions and description provided for by this regulation shall be fixed at the open sides and ends of all platforms.</w:t>
      </w:r>
    </w:p>
    <w:p w:rsidR="00AF2508" w:rsidRDefault="00AF2508">
      <w:pPr>
        <w:pStyle w:val="Assectheading"/>
      </w:pPr>
      <w:r>
        <w:rPr>
          <w:rStyle w:val="charItals"/>
          <w:i/>
        </w:rPr>
        <w:t>Cantilevers</w:t>
      </w:r>
    </w:p>
    <w:p w:rsidR="00AF2508" w:rsidRDefault="00AF2508">
      <w:pPr>
        <w:pStyle w:val="Amain"/>
      </w:pPr>
      <w:r>
        <w:rPr>
          <w:color w:val="000000"/>
        </w:rPr>
        <w:tab/>
        <w:t>(7)</w:t>
      </w:r>
      <w:r>
        <w:rPr>
          <w:color w:val="000000"/>
        </w:rPr>
        <w:tab/>
        <w:t>The length of a cantilever inside a building or structure shall not be less than 8 feet measured horizontally from the centre-line of the cantilever support to the centre of the bolt securing the inboard end to its support.</w:t>
      </w:r>
    </w:p>
    <w:p w:rsidR="00AF2508" w:rsidRDefault="00AF2508">
      <w:pPr>
        <w:pStyle w:val="Amain"/>
        <w:keepLines/>
      </w:pPr>
      <w:r>
        <w:tab/>
        <w:t>(8)</w:t>
      </w:r>
      <w:r>
        <w:tab/>
        <w:t>The dimensions of a section of a cantilever shall not be less than 9 inches by 2</w:t>
      </w:r>
      <w:r>
        <w:rPr>
          <w:position w:val="6"/>
          <w:sz w:val="18"/>
        </w:rPr>
        <w:t>1</w:t>
      </w:r>
      <w:r>
        <w:t>/</w:t>
      </w:r>
      <w:r>
        <w:rPr>
          <w:sz w:val="18"/>
        </w:rPr>
        <w:t>2</w:t>
      </w:r>
      <w:r>
        <w:t xml:space="preserve"> inches for Oregon pine timber, or 9 inches by 2 inches for approved hardwood timber if the distance between the centre-lines of adjacent cantilevers does not exceed 6 feet.</w:t>
      </w:r>
    </w:p>
    <w:p w:rsidR="00AF2508" w:rsidRDefault="00AF2508">
      <w:pPr>
        <w:pStyle w:val="Amain"/>
      </w:pPr>
      <w:r>
        <w:tab/>
        <w:t>(9)</w:t>
      </w:r>
      <w:r>
        <w:tab/>
        <w:t>If the distance is more than 6 feet but does not exceed 10 feet, the dimensions of the section shall be 10 inches by 2</w:t>
      </w:r>
      <w:r>
        <w:rPr>
          <w:position w:val="6"/>
          <w:sz w:val="18"/>
        </w:rPr>
        <w:t>1</w:t>
      </w:r>
      <w:r>
        <w:t>/</w:t>
      </w:r>
      <w:r>
        <w:rPr>
          <w:sz w:val="18"/>
        </w:rPr>
        <w:t>2</w:t>
      </w:r>
      <w:r>
        <w:t xml:space="preserve"> inches for oregon and 10 inches by 2 inches for hardwood.</w:t>
      </w:r>
    </w:p>
    <w:p w:rsidR="00AF2508" w:rsidRDefault="00AF2508">
      <w:pPr>
        <w:pStyle w:val="Amain"/>
      </w:pPr>
      <w:r>
        <w:tab/>
        <w:t>(10)</w:t>
      </w:r>
      <w:r>
        <w:tab/>
        <w:t xml:space="preserve">The diameter of a bolt used for fixing the inboard end of a cantilever to its support shall be not less than </w:t>
      </w:r>
      <w:r>
        <w:rPr>
          <w:position w:val="6"/>
          <w:sz w:val="18"/>
        </w:rPr>
        <w:t>5</w:t>
      </w:r>
      <w:r>
        <w:t>/</w:t>
      </w:r>
      <w:r>
        <w:rPr>
          <w:sz w:val="18"/>
        </w:rPr>
        <w:t>8</w:t>
      </w:r>
      <w:r>
        <w:t xml:space="preserve"> of an inch.</w:t>
      </w:r>
    </w:p>
    <w:p w:rsidR="00AF2508" w:rsidRDefault="00AF2508">
      <w:pPr>
        <w:pStyle w:val="Assectheading"/>
      </w:pPr>
      <w:r>
        <w:rPr>
          <w:rStyle w:val="charItals"/>
          <w:i/>
        </w:rPr>
        <w:t>Toms</w:t>
      </w:r>
    </w:p>
    <w:p w:rsidR="00AF2508" w:rsidRDefault="00AF2508">
      <w:pPr>
        <w:pStyle w:val="Amain"/>
      </w:pPr>
      <w:r>
        <w:rPr>
          <w:color w:val="000000"/>
        </w:rPr>
        <w:tab/>
        <w:t>(11)</w:t>
      </w:r>
      <w:r>
        <w:rPr>
          <w:color w:val="000000"/>
        </w:rPr>
        <w:tab/>
        <w:t>If the inboard end of a cantilever is fixed to a tom, the dimensions of a section of the tom shall be not less than 4 inches by 3 inches.</w:t>
      </w:r>
    </w:p>
    <w:p w:rsidR="00AF2508" w:rsidRDefault="00AF2508">
      <w:pPr>
        <w:pStyle w:val="Amain"/>
      </w:pPr>
      <w:r>
        <w:tab/>
        <w:t>(12)</w:t>
      </w:r>
      <w:r>
        <w:tab/>
        <w:t>Each tom shall rise from a pair of fox wedges, which shall be driven tight and then nailed, or it shall be fixed in an equally secure way.</w:t>
      </w:r>
    </w:p>
    <w:p w:rsidR="00AF2508" w:rsidRDefault="00AF2508">
      <w:pPr>
        <w:pStyle w:val="Assectheading"/>
      </w:pPr>
      <w:r>
        <w:rPr>
          <w:color w:val="000000"/>
        </w:rPr>
        <w:t>Bracing</w:t>
      </w:r>
    </w:p>
    <w:p w:rsidR="00AF2508" w:rsidRDefault="00AF2508">
      <w:pPr>
        <w:pStyle w:val="Amain"/>
      </w:pPr>
      <w:r>
        <w:rPr>
          <w:color w:val="000000"/>
        </w:rPr>
        <w:tab/>
        <w:t>(13)</w:t>
      </w:r>
      <w:r>
        <w:rPr>
          <w:color w:val="000000"/>
        </w:rPr>
        <w:tab/>
        <w:t>All toms shall be effectively braced by the use of 3 inch by 2 inch timber diagonal braces as indicated in schedule 7, plate 2.</w:t>
      </w:r>
    </w:p>
    <w:p w:rsidR="00AF2508" w:rsidRDefault="00AF2508">
      <w:pPr>
        <w:pStyle w:val="Amain"/>
      </w:pPr>
      <w:r>
        <w:tab/>
        <w:t>(14)</w:t>
      </w:r>
      <w:r>
        <w:tab/>
        <w:t>Each cantilever shall be braced as shown in schedule 7, plate 2 by 3 inch by 2 inch timber braces.</w:t>
      </w:r>
    </w:p>
    <w:p w:rsidR="00AF2508" w:rsidRDefault="00AF2508">
      <w:pPr>
        <w:pStyle w:val="Amain"/>
      </w:pPr>
      <w:r>
        <w:tab/>
        <w:t>(15)</w:t>
      </w:r>
      <w:r>
        <w:tab/>
        <w:t xml:space="preserve">All braces shall be fixed by bolts not less than </w:t>
      </w:r>
      <w:r>
        <w:rPr>
          <w:position w:val="6"/>
          <w:sz w:val="18"/>
        </w:rPr>
        <w:t>1</w:t>
      </w:r>
      <w:r>
        <w:t>/</w:t>
      </w:r>
      <w:r>
        <w:rPr>
          <w:sz w:val="18"/>
        </w:rPr>
        <w:t>2</w:t>
      </w:r>
      <w:r>
        <w:t xml:space="preserve"> an inch in diameter.</w:t>
      </w:r>
    </w:p>
    <w:p w:rsidR="00AF2508" w:rsidRDefault="00AF2508">
      <w:pPr>
        <w:pStyle w:val="AH4SubDiv"/>
      </w:pPr>
      <w:bookmarkStart w:id="162" w:name="_Toc161636826"/>
      <w:r>
        <w:t>Bracket scaffolding</w:t>
      </w:r>
      <w:bookmarkEnd w:id="162"/>
    </w:p>
    <w:p w:rsidR="00AF2508" w:rsidRDefault="00AF2508">
      <w:pPr>
        <w:pStyle w:val="AH5Sec"/>
      </w:pPr>
      <w:bookmarkStart w:id="163" w:name="_Toc161636827"/>
      <w:r>
        <w:rPr>
          <w:rStyle w:val="CharSectNo"/>
        </w:rPr>
        <w:t>89</w:t>
      </w:r>
      <w:bookmarkEnd w:id="163"/>
      <w:r>
        <w:tab/>
        <w:t xml:space="preserve">  </w:t>
      </w:r>
    </w:p>
    <w:p w:rsidR="00AF2508" w:rsidRDefault="00AF2508">
      <w:pPr>
        <w:pStyle w:val="Assectheading"/>
      </w:pPr>
      <w:r>
        <w:t>General</w:t>
      </w:r>
    </w:p>
    <w:p w:rsidR="00AF2508" w:rsidRDefault="00AF2508">
      <w:pPr>
        <w:pStyle w:val="Amain"/>
        <w:keepNext/>
      </w:pPr>
      <w:r>
        <w:tab/>
        <w:t>(1)</w:t>
      </w:r>
      <w:r>
        <w:tab/>
        <w:t>In this section:</w:t>
      </w:r>
    </w:p>
    <w:p w:rsidR="00AF2508" w:rsidRDefault="00AF2508">
      <w:pPr>
        <w:pStyle w:val="aDef"/>
      </w:pPr>
      <w:r>
        <w:rPr>
          <w:b/>
          <w:i/>
        </w:rPr>
        <w:t>bracket scaffolding</w:t>
      </w:r>
      <w:r>
        <w:t xml:space="preserve"> means a working platform supported by brackets, either of timber or metal, constructed and erected as mentioned in this section.</w:t>
      </w:r>
    </w:p>
    <w:p w:rsidR="00AF2508" w:rsidRDefault="00AF2508">
      <w:pPr>
        <w:pStyle w:val="Amain"/>
      </w:pPr>
      <w:r>
        <w:tab/>
        <w:t>(2)</w:t>
      </w:r>
      <w:r>
        <w:tab/>
        <w:t>Bracket scaffolding shall be used only by carpenters, painters, tuck pointers, electricians, plumbers and other like tradespeople who do not require their working platform to carry quantities of materials or to withstand the effects of marked physical activity.</w:t>
      </w:r>
    </w:p>
    <w:p w:rsidR="00AF2508" w:rsidRDefault="00AF2508">
      <w:pPr>
        <w:pStyle w:val="Assectheading"/>
      </w:pPr>
      <w:r>
        <w:rPr>
          <w:rStyle w:val="charItals"/>
          <w:i/>
        </w:rPr>
        <w:t>General arrangement</w:t>
      </w:r>
    </w:p>
    <w:p w:rsidR="00AF2508" w:rsidRDefault="00AF2508">
      <w:pPr>
        <w:pStyle w:val="Amain"/>
        <w:rPr>
          <w:color w:val="000000"/>
        </w:rPr>
      </w:pPr>
      <w:r>
        <w:rPr>
          <w:color w:val="000000"/>
        </w:rPr>
        <w:tab/>
        <w:t>(3)</w:t>
      </w:r>
      <w:r>
        <w:rPr>
          <w:color w:val="000000"/>
        </w:rPr>
        <w:tab/>
        <w:t>The general arrangement of a timber bracket scaffolding shall be as shown in schedule 7, plate 3, figure 1, provided that the brackets shall not be spaced at a greater distance apart than 14 feet.</w:t>
      </w:r>
    </w:p>
    <w:p w:rsidR="00AF2508" w:rsidRDefault="00AF2508">
      <w:pPr>
        <w:pStyle w:val="Assectheading"/>
      </w:pPr>
      <w:r>
        <w:rPr>
          <w:rStyle w:val="charItals"/>
          <w:i/>
        </w:rPr>
        <w:t>Construction of timber brackets—general arrangement</w:t>
      </w:r>
    </w:p>
    <w:p w:rsidR="00AF2508" w:rsidRDefault="00AF2508">
      <w:pPr>
        <w:pStyle w:val="Amain"/>
        <w:rPr>
          <w:color w:val="000000"/>
        </w:rPr>
      </w:pPr>
      <w:r>
        <w:rPr>
          <w:color w:val="000000"/>
        </w:rPr>
        <w:tab/>
        <w:t>(4)</w:t>
      </w:r>
      <w:r>
        <w:rPr>
          <w:color w:val="000000"/>
        </w:rPr>
        <w:tab/>
        <w:t>The general arrangement of brackets shall be as shown in schedule 7, plate 3, figure 2 or 3.</w:t>
      </w:r>
    </w:p>
    <w:p w:rsidR="00AF2508" w:rsidRDefault="00AF2508">
      <w:pPr>
        <w:pStyle w:val="Assectheading"/>
      </w:pPr>
      <w:r>
        <w:rPr>
          <w:rStyle w:val="charItals"/>
          <w:i/>
        </w:rPr>
        <w:t>Construction of timber brackets—vertical legs</w:t>
      </w:r>
    </w:p>
    <w:p w:rsidR="00AF2508" w:rsidRDefault="00AF2508">
      <w:pPr>
        <w:pStyle w:val="Amain"/>
      </w:pPr>
      <w:r>
        <w:tab/>
        <w:t>(5)</w:t>
      </w:r>
      <w:r>
        <w:tab/>
        <w:t>The minimum length of the vertical leg of a bracket shall be 4 feet and the minimum cross-sectional dimensions shall be 4 inches by 3 inches for Oregon pine timber and 4 inches by 2 inches for hardwood timber.</w:t>
      </w:r>
    </w:p>
    <w:p w:rsidR="00AF2508" w:rsidRDefault="00AF2508">
      <w:pPr>
        <w:pStyle w:val="Assectheading"/>
      </w:pPr>
      <w:r>
        <w:rPr>
          <w:rStyle w:val="charItals"/>
          <w:i/>
        </w:rPr>
        <w:t>Construction of timber brackets—horizontal legs</w:t>
      </w:r>
    </w:p>
    <w:p w:rsidR="00AF2508" w:rsidRDefault="00AF2508">
      <w:pPr>
        <w:pStyle w:val="Amain"/>
      </w:pPr>
      <w:r>
        <w:tab/>
        <w:t>(6)</w:t>
      </w:r>
      <w:r>
        <w:tab/>
        <w:t>The overall length of the horizontal legs shall not exceed 2 feet 6 inches and the cross-sectional dimensions of the legs shall be as set out in subsection (5) for vertical legs.</w:t>
      </w:r>
    </w:p>
    <w:p w:rsidR="00AF2508" w:rsidRDefault="00AF2508">
      <w:pPr>
        <w:pStyle w:val="Assectheading"/>
      </w:pPr>
      <w:r>
        <w:rPr>
          <w:rStyle w:val="charItals"/>
          <w:i/>
        </w:rPr>
        <w:t>Construction of timber brackets—connection vertical to horizontal legs</w:t>
      </w:r>
    </w:p>
    <w:p w:rsidR="00AF2508" w:rsidRDefault="00AF2508">
      <w:pPr>
        <w:pStyle w:val="Amain"/>
      </w:pPr>
      <w:r>
        <w:tab/>
        <w:t>(7)</w:t>
      </w:r>
      <w:r>
        <w:tab/>
        <w:t xml:space="preserve">The inboard end of the horizontal leg shall sit fair and square on the upper end of a vertical leg and one shall be connected to the other either by a 14 inch by 14 inch gusset of 14 gauge mild steel plate, secured by 4 </w:t>
      </w:r>
      <w:r>
        <w:rPr>
          <w:position w:val="6"/>
          <w:sz w:val="18"/>
        </w:rPr>
        <w:t>3</w:t>
      </w:r>
      <w:r>
        <w:t>/</w:t>
      </w:r>
      <w:r>
        <w:rPr>
          <w:sz w:val="18"/>
        </w:rPr>
        <w:t>8</w:t>
      </w:r>
      <w:r>
        <w:t xml:space="preserve"> inches diameter mild steel bolts, 2 in each leg as shown schedule 7, plate 3, figure 2, or by the insertion of a </w:t>
      </w:r>
      <w:r>
        <w:rPr>
          <w:position w:val="6"/>
          <w:sz w:val="18"/>
        </w:rPr>
        <w:t>3</w:t>
      </w:r>
      <w:r>
        <w:t>/</w:t>
      </w:r>
      <w:r>
        <w:rPr>
          <w:sz w:val="18"/>
        </w:rPr>
        <w:t>16</w:t>
      </w:r>
      <w:r>
        <w:t xml:space="preserve"> of an inch thick mild steel plate connected by 3 (three) </w:t>
      </w:r>
      <w:r>
        <w:rPr>
          <w:position w:val="6"/>
          <w:sz w:val="18"/>
        </w:rPr>
        <w:t>3</w:t>
      </w:r>
      <w:r>
        <w:t>/</w:t>
      </w:r>
      <w:r>
        <w:rPr>
          <w:sz w:val="18"/>
        </w:rPr>
        <w:t>8</w:t>
      </w:r>
      <w:r>
        <w:t> of and inch diameter mild steel bolts as shown in schedule 7, plate 3, figure 3.</w:t>
      </w:r>
    </w:p>
    <w:p w:rsidR="00AF2508" w:rsidRDefault="00AF2508">
      <w:pPr>
        <w:pStyle w:val="Assectheading"/>
      </w:pPr>
      <w:r>
        <w:rPr>
          <w:rStyle w:val="charItals"/>
          <w:i/>
        </w:rPr>
        <w:t>Construction of timber brackets—bracing between vertical and horizontal legs</w:t>
      </w:r>
    </w:p>
    <w:p w:rsidR="00AF2508" w:rsidRDefault="00AF2508">
      <w:pPr>
        <w:pStyle w:val="Amain"/>
      </w:pPr>
      <w:r>
        <w:tab/>
        <w:t>(8)</w:t>
      </w:r>
      <w:r>
        <w:tab/>
        <w:t>If the vertical leg is connected to the horizontal by a gusset, 1 pair of braces of 3 inch by 1</w:t>
      </w:r>
      <w:r>
        <w:rPr>
          <w:position w:val="6"/>
          <w:sz w:val="18"/>
        </w:rPr>
        <w:t>1</w:t>
      </w:r>
      <w:r>
        <w:t>/</w:t>
      </w:r>
      <w:r>
        <w:rPr>
          <w:sz w:val="18"/>
        </w:rPr>
        <w:t>4</w:t>
      </w:r>
      <w:r>
        <w:t xml:space="preserve"> inch timber shall be used as shown in schedule 7, plate 3, figure 2, or if a mild steel insert is used for this connection 2 pairs of braces of those dimensions shall be used for the purpose as shown in schedule 7, plate 3, figure 3.</w:t>
      </w:r>
    </w:p>
    <w:p w:rsidR="00AF2508" w:rsidRDefault="00AF2508">
      <w:pPr>
        <w:pStyle w:val="Amain"/>
      </w:pPr>
      <w:r>
        <w:tab/>
        <w:t>(9)</w:t>
      </w:r>
      <w:r>
        <w:tab/>
        <w:t>In both cases the ends of each brace shall be cut to form a shoulder that shall bear against the horizontal and vertical legs of the bracket, respectively.</w:t>
      </w:r>
    </w:p>
    <w:p w:rsidR="00AF2508" w:rsidRDefault="00AF2508">
      <w:pPr>
        <w:pStyle w:val="Assectheading"/>
      </w:pPr>
      <w:r>
        <w:rPr>
          <w:rStyle w:val="charItals"/>
          <w:i/>
        </w:rPr>
        <w:t>Construction of timber brackets—handrail brackets</w:t>
      </w:r>
    </w:p>
    <w:p w:rsidR="00AF2508" w:rsidRDefault="00AF2508">
      <w:pPr>
        <w:pStyle w:val="Amain"/>
      </w:pPr>
      <w:r>
        <w:tab/>
        <w:t>(10)</w:t>
      </w:r>
      <w:r>
        <w:tab/>
        <w:t xml:space="preserve">Handrail brackets constructed of mild steel plate </w:t>
      </w:r>
      <w:r>
        <w:rPr>
          <w:position w:val="6"/>
          <w:sz w:val="18"/>
        </w:rPr>
        <w:t>3</w:t>
      </w:r>
      <w:r>
        <w:t>/</w:t>
      </w:r>
      <w:r>
        <w:rPr>
          <w:sz w:val="18"/>
        </w:rPr>
        <w:t>16</w:t>
      </w:r>
      <w:r>
        <w:t xml:space="preserve"> of an inch thick shall be fixed to the outer end of the horizontal leg of each bracket by </w:t>
      </w:r>
      <w:r>
        <w:rPr>
          <w:position w:val="6"/>
          <w:sz w:val="18"/>
        </w:rPr>
        <w:t>3</w:t>
      </w:r>
      <w:r>
        <w:t>/</w:t>
      </w:r>
      <w:r>
        <w:rPr>
          <w:sz w:val="18"/>
        </w:rPr>
        <w:t>8</w:t>
      </w:r>
      <w:r>
        <w:t xml:space="preserve"> of an inch diameter mild steel bolts as indicated in schedule 7, plate 3, figure 5 and the handrail upright shall be bolted to this bracket.</w:t>
      </w:r>
    </w:p>
    <w:p w:rsidR="00AF2508" w:rsidRDefault="00AF2508">
      <w:pPr>
        <w:pStyle w:val="Assectheading"/>
      </w:pPr>
      <w:r>
        <w:rPr>
          <w:rStyle w:val="charItals"/>
          <w:i/>
        </w:rPr>
        <w:t>Struts</w:t>
      </w:r>
    </w:p>
    <w:p w:rsidR="00AF2508" w:rsidRDefault="00AF2508">
      <w:pPr>
        <w:pStyle w:val="Amain"/>
        <w:rPr>
          <w:color w:val="000000"/>
        </w:rPr>
      </w:pPr>
      <w:r>
        <w:rPr>
          <w:color w:val="000000"/>
        </w:rPr>
        <w:tab/>
        <w:t>(11)</w:t>
      </w:r>
      <w:r>
        <w:rPr>
          <w:color w:val="000000"/>
        </w:rPr>
        <w:tab/>
        <w:t>The strut used for holding a bracket against a wall shall not be less than 4 inches by 3 inches cross-sectional dimensions for lengths up to and including 20 feet.</w:t>
      </w:r>
    </w:p>
    <w:p w:rsidR="00AF2508" w:rsidRDefault="00AF2508">
      <w:pPr>
        <w:pStyle w:val="Amain"/>
        <w:rPr>
          <w:color w:val="000000"/>
        </w:rPr>
      </w:pPr>
      <w:r>
        <w:rPr>
          <w:color w:val="000000"/>
        </w:rPr>
        <w:tab/>
        <w:t>(12)</w:t>
      </w:r>
      <w:r>
        <w:rPr>
          <w:color w:val="000000"/>
        </w:rPr>
        <w:tab/>
        <w:t>The strut shall be so positioned that the 3 inch face is uppermost.</w:t>
      </w:r>
    </w:p>
    <w:p w:rsidR="00AF2508" w:rsidRDefault="00AF2508">
      <w:pPr>
        <w:pStyle w:val="Amain"/>
        <w:rPr>
          <w:color w:val="000000"/>
        </w:rPr>
      </w:pPr>
      <w:r>
        <w:rPr>
          <w:color w:val="000000"/>
        </w:rPr>
        <w:tab/>
        <w:t>(13)</w:t>
      </w:r>
      <w:r>
        <w:rPr>
          <w:color w:val="000000"/>
        </w:rPr>
        <w:tab/>
        <w:t>For lengths longer than 20 feet, the cross-sectional dimensions shall be so increased that a strut of equal strength is provided.</w:t>
      </w:r>
    </w:p>
    <w:p w:rsidR="00AF2508" w:rsidRDefault="00AF2508">
      <w:pPr>
        <w:pStyle w:val="Amain"/>
      </w:pPr>
      <w:r>
        <w:rPr>
          <w:color w:val="000000"/>
        </w:rPr>
        <w:tab/>
        <w:t>(14)</w:t>
      </w:r>
      <w:r>
        <w:rPr>
          <w:color w:val="000000"/>
        </w:rPr>
        <w:tab/>
        <w:t>The lower ends of the struts shall be effectively secured against movement.</w:t>
      </w:r>
    </w:p>
    <w:p w:rsidR="00AF2508" w:rsidRDefault="00AF2508">
      <w:pPr>
        <w:pStyle w:val="Amain"/>
      </w:pPr>
      <w:r>
        <w:tab/>
        <w:t>(15)</w:t>
      </w:r>
      <w:r>
        <w:tab/>
        <w:t>The angle of the struts with the horizontal shall not be greater than 60</w:t>
      </w:r>
      <w:r>
        <w:rPr>
          <w:rFonts w:ascii="Helvetica" w:hAnsi="Helvetica"/>
        </w:rPr>
        <w:t>°</w:t>
      </w:r>
      <w:r>
        <w:t xml:space="preserve"> or less than 50</w:t>
      </w:r>
      <w:r>
        <w:rPr>
          <w:rFonts w:ascii="Helvetica" w:hAnsi="Helvetica"/>
        </w:rPr>
        <w:t>°</w:t>
      </w:r>
      <w:r>
        <w:t>, with the exception that for seasoned brickwork the angle may be flattened to between 40</w:t>
      </w:r>
      <w:r>
        <w:rPr>
          <w:rFonts w:ascii="Helvetica" w:hAnsi="Helvetica"/>
        </w:rPr>
        <w:t>°</w:t>
      </w:r>
      <w:r>
        <w:t xml:space="preserve"> and 60</w:t>
      </w:r>
      <w:r>
        <w:rPr>
          <w:rFonts w:ascii="Helvetica" w:hAnsi="Helvetica"/>
        </w:rPr>
        <w:t>°</w:t>
      </w:r>
      <w:r>
        <w:t>.</w:t>
      </w:r>
    </w:p>
    <w:p w:rsidR="00AF2508" w:rsidRDefault="00AF2508">
      <w:pPr>
        <w:pStyle w:val="Assectheading"/>
      </w:pPr>
      <w:r>
        <w:rPr>
          <w:rStyle w:val="charItals"/>
          <w:i/>
        </w:rPr>
        <w:t>Bracing between struts</w:t>
      </w:r>
    </w:p>
    <w:p w:rsidR="00AF2508" w:rsidRDefault="00AF2508">
      <w:pPr>
        <w:pStyle w:val="Amain"/>
        <w:rPr>
          <w:color w:val="000000"/>
        </w:rPr>
      </w:pPr>
      <w:r>
        <w:rPr>
          <w:color w:val="000000"/>
        </w:rPr>
        <w:tab/>
        <w:t>(16)</w:t>
      </w:r>
      <w:r>
        <w:rPr>
          <w:color w:val="000000"/>
        </w:rPr>
        <w:tab/>
        <w:t>Struts shall be braced one to the other as indicated in schedule 7, plate 3, figure 1.</w:t>
      </w:r>
    </w:p>
    <w:p w:rsidR="00AF2508" w:rsidRDefault="00AF2508">
      <w:pPr>
        <w:pStyle w:val="Amain"/>
        <w:rPr>
          <w:color w:val="000000"/>
        </w:rPr>
      </w:pPr>
      <w:r>
        <w:rPr>
          <w:color w:val="000000"/>
        </w:rPr>
        <w:tab/>
        <w:t>(17)</w:t>
      </w:r>
      <w:r>
        <w:rPr>
          <w:color w:val="000000"/>
        </w:rPr>
        <w:tab/>
        <w:t>The braces, marked ‘B’ in the figure, shall have cross-sectional dimensions not less than 3 inches by 1</w:t>
      </w:r>
      <w:r>
        <w:rPr>
          <w:color w:val="000000"/>
          <w:position w:val="6"/>
          <w:sz w:val="18"/>
        </w:rPr>
        <w:t>1</w:t>
      </w:r>
      <w:r>
        <w:rPr>
          <w:color w:val="000000"/>
        </w:rPr>
        <w:t>/</w:t>
      </w:r>
      <w:r>
        <w:rPr>
          <w:color w:val="000000"/>
          <w:sz w:val="18"/>
        </w:rPr>
        <w:t>4</w:t>
      </w:r>
      <w:r>
        <w:rPr>
          <w:color w:val="000000"/>
        </w:rPr>
        <w:t xml:space="preserve"> inches for both hardwood and Oregon pine, and may be spiked, clamped or bolted in position.</w:t>
      </w:r>
    </w:p>
    <w:p w:rsidR="00AF2508" w:rsidRDefault="00AF2508">
      <w:pPr>
        <w:pStyle w:val="Assectheading"/>
      </w:pPr>
      <w:r>
        <w:rPr>
          <w:rStyle w:val="charItals"/>
          <w:i/>
        </w:rPr>
        <w:t>Platform</w:t>
      </w:r>
    </w:p>
    <w:p w:rsidR="00AF2508" w:rsidRDefault="00AF2508">
      <w:pPr>
        <w:pStyle w:val="Amain"/>
        <w:rPr>
          <w:color w:val="000000"/>
        </w:rPr>
      </w:pPr>
      <w:r>
        <w:rPr>
          <w:color w:val="000000"/>
        </w:rPr>
        <w:tab/>
        <w:t>(18)</w:t>
      </w:r>
      <w:r>
        <w:rPr>
          <w:color w:val="000000"/>
        </w:rPr>
        <w:tab/>
        <w:t>The platform may be of Oregon pine or hardwood scaffold planks.</w:t>
      </w:r>
    </w:p>
    <w:p w:rsidR="00AF2508" w:rsidRDefault="00AF2508">
      <w:pPr>
        <w:pStyle w:val="Amain"/>
      </w:pPr>
      <w:r>
        <w:rPr>
          <w:color w:val="000000"/>
        </w:rPr>
        <w:tab/>
        <w:t>(19)</w:t>
      </w:r>
      <w:r>
        <w:rPr>
          <w:color w:val="000000"/>
        </w:rPr>
        <w:tab/>
        <w:t>The overall width of the platform shall not exceed 2 feet 6 inches and the minimum width shall be 1 foot 6 inches.</w:t>
      </w:r>
    </w:p>
    <w:p w:rsidR="00AF2508" w:rsidRDefault="00AF2508">
      <w:pPr>
        <w:pStyle w:val="Amain"/>
      </w:pPr>
      <w:r>
        <w:tab/>
        <w:t>(20)</w:t>
      </w:r>
      <w:r>
        <w:tab/>
        <w:t>The scaffold planks shall be spiked or otherwise effectively secured to the brackets at each end and shall be cleated at mid length in the way shown in schedule 7, plate 3, figure 4.</w:t>
      </w:r>
    </w:p>
    <w:p w:rsidR="00AF2508" w:rsidRDefault="00AF2508">
      <w:pPr>
        <w:pStyle w:val="Amain"/>
      </w:pPr>
      <w:r>
        <w:tab/>
        <w:t>(21)</w:t>
      </w:r>
      <w:r>
        <w:tab/>
        <w:t>If the distance between brackets does not exceed 12 feet, the thickness of the scaffold planks shall be not less than 1</w:t>
      </w:r>
      <w:r>
        <w:rPr>
          <w:position w:val="6"/>
          <w:sz w:val="18"/>
        </w:rPr>
        <w:t>1</w:t>
      </w:r>
      <w:r>
        <w:t>/</w:t>
      </w:r>
      <w:r>
        <w:rPr>
          <w:sz w:val="18"/>
        </w:rPr>
        <w:t>2</w:t>
      </w:r>
      <w:r>
        <w:t xml:space="preserve"> inches for Oregon pine timber and 1</w:t>
      </w:r>
      <w:r>
        <w:rPr>
          <w:position w:val="6"/>
          <w:sz w:val="18"/>
        </w:rPr>
        <w:t>1</w:t>
      </w:r>
      <w:r>
        <w:t>/</w:t>
      </w:r>
      <w:r>
        <w:rPr>
          <w:sz w:val="18"/>
        </w:rPr>
        <w:t>8</w:t>
      </w:r>
      <w:r>
        <w:t xml:space="preserve"> inches for hardwood timber.</w:t>
      </w:r>
    </w:p>
    <w:p w:rsidR="00AF2508" w:rsidRDefault="00AF2508">
      <w:pPr>
        <w:pStyle w:val="Amain"/>
      </w:pPr>
      <w:r>
        <w:tab/>
        <w:t>(22)</w:t>
      </w:r>
      <w:r>
        <w:tab/>
        <w:t>If the distance between brackets exceeds 12 feet but does not exceed 14 feet the thickness of the scaffold planks shall be not less than 1</w:t>
      </w:r>
      <w:r>
        <w:rPr>
          <w:position w:val="6"/>
          <w:sz w:val="18"/>
        </w:rPr>
        <w:t>3</w:t>
      </w:r>
      <w:r>
        <w:t>/</w:t>
      </w:r>
      <w:r>
        <w:rPr>
          <w:sz w:val="18"/>
        </w:rPr>
        <w:t>4</w:t>
      </w:r>
      <w:r>
        <w:t>  inches for Oregon pine and 1</w:t>
      </w:r>
      <w:r>
        <w:rPr>
          <w:position w:val="6"/>
          <w:sz w:val="18"/>
        </w:rPr>
        <w:t>3</w:t>
      </w:r>
      <w:r>
        <w:t>/</w:t>
      </w:r>
      <w:r>
        <w:rPr>
          <w:sz w:val="18"/>
        </w:rPr>
        <w:t>8</w:t>
      </w:r>
      <w:r>
        <w:t xml:space="preserve"> inches for hardwood.</w:t>
      </w:r>
    </w:p>
    <w:p w:rsidR="00AF2508" w:rsidRDefault="00AF2508">
      <w:pPr>
        <w:pStyle w:val="Assectheading"/>
      </w:pPr>
      <w:r>
        <w:rPr>
          <w:rStyle w:val="charItals"/>
          <w:i/>
        </w:rPr>
        <w:t>Handrails</w:t>
      </w:r>
    </w:p>
    <w:p w:rsidR="00AF2508" w:rsidRDefault="00AF2508">
      <w:pPr>
        <w:pStyle w:val="Amain"/>
        <w:rPr>
          <w:color w:val="000000"/>
        </w:rPr>
      </w:pPr>
      <w:r>
        <w:rPr>
          <w:color w:val="000000"/>
        </w:rPr>
        <w:tab/>
        <w:t>(23)</w:t>
      </w:r>
      <w:r>
        <w:rPr>
          <w:color w:val="000000"/>
        </w:rPr>
        <w:tab/>
        <w:t>Handrails shall be fixed at the outer edges and ends of all bracket scaffolding and shall be not less than 3 inches by 2 inches cross</w:t>
      </w:r>
      <w:r>
        <w:rPr>
          <w:color w:val="000000"/>
        </w:rPr>
        <w:noBreakHyphen/>
        <w:t>sectional dimensions.</w:t>
      </w:r>
    </w:p>
    <w:p w:rsidR="00AF2508" w:rsidRDefault="00AF2508">
      <w:pPr>
        <w:pStyle w:val="Amain"/>
        <w:rPr>
          <w:color w:val="000000"/>
        </w:rPr>
      </w:pPr>
      <w:r>
        <w:rPr>
          <w:color w:val="000000"/>
        </w:rPr>
        <w:tab/>
        <w:t>(24)</w:t>
      </w:r>
      <w:r>
        <w:rPr>
          <w:color w:val="000000"/>
        </w:rPr>
        <w:tab/>
        <w:t>Handrail uprights shall be effectively and rigidly attached to the brackets as mentioned in subsection (10).</w:t>
      </w:r>
    </w:p>
    <w:p w:rsidR="00AF2508" w:rsidRDefault="00AF2508">
      <w:pPr>
        <w:pStyle w:val="Assectheading"/>
      </w:pPr>
      <w:r>
        <w:rPr>
          <w:rStyle w:val="charItals"/>
          <w:i/>
        </w:rPr>
        <w:t>Metal brackets</w:t>
      </w:r>
    </w:p>
    <w:p w:rsidR="00AF2508" w:rsidRDefault="00AF2508">
      <w:pPr>
        <w:pStyle w:val="Amain"/>
      </w:pPr>
      <w:r>
        <w:rPr>
          <w:color w:val="000000"/>
        </w:rPr>
        <w:tab/>
        <w:t>(25)</w:t>
      </w:r>
      <w:r>
        <w:rPr>
          <w:color w:val="000000"/>
        </w:rPr>
        <w:tab/>
        <w:t>Metal brackets shall be so designed and constructed that they conform to the appropriate design requirements of part 11.</w:t>
      </w:r>
    </w:p>
    <w:p w:rsidR="00AF2508" w:rsidRDefault="00AF2508">
      <w:pPr>
        <w:pStyle w:val="Amain"/>
      </w:pPr>
      <w:r>
        <w:tab/>
        <w:t>(26)</w:t>
      </w:r>
      <w:r>
        <w:tab/>
        <w:t>Working platforms supported by metal brackets shall conform to the requirements of this section.</w:t>
      </w:r>
    </w:p>
    <w:p w:rsidR="00AF2508" w:rsidRDefault="00AF2508">
      <w:pPr>
        <w:pStyle w:val="AH4SubDiv"/>
      </w:pPr>
      <w:bookmarkStart w:id="164" w:name="_Toc161636828"/>
      <w:r>
        <w:t>Suspended scaffolding</w:t>
      </w:r>
      <w:bookmarkEnd w:id="164"/>
    </w:p>
    <w:p w:rsidR="00AF2508" w:rsidRDefault="00AF2508">
      <w:pPr>
        <w:pStyle w:val="AH5Sec"/>
      </w:pPr>
      <w:bookmarkStart w:id="165" w:name="_Toc161636829"/>
      <w:r>
        <w:rPr>
          <w:rStyle w:val="CharSectNo"/>
        </w:rPr>
        <w:t>90</w:t>
      </w:r>
      <w:bookmarkEnd w:id="165"/>
      <w:r>
        <w:tab/>
        <w:t xml:space="preserve">  </w:t>
      </w:r>
    </w:p>
    <w:p w:rsidR="00AF2508" w:rsidRDefault="00AF2508">
      <w:pPr>
        <w:pStyle w:val="Assectheading"/>
      </w:pPr>
      <w:r>
        <w:rPr>
          <w:rStyle w:val="charItals"/>
          <w:i/>
        </w:rPr>
        <w:t>Loading</w:t>
      </w:r>
    </w:p>
    <w:p w:rsidR="00AF2508" w:rsidRDefault="00AF2508">
      <w:pPr>
        <w:pStyle w:val="Amain"/>
      </w:pPr>
      <w:r>
        <w:rPr>
          <w:color w:val="000000"/>
        </w:rPr>
        <w:tab/>
        <w:t>(1)</w:t>
      </w:r>
      <w:r>
        <w:rPr>
          <w:color w:val="000000"/>
        </w:rPr>
        <w:tab/>
        <w:t>Suspended scaffolding constructed and erected in accordance with this section or to an approved design and description shall not at any time be loaded, except in a bona fide test in the presence of an inspector, in excess of the maximum load permitted by this section or specified by the chief inspector in an approval.</w:t>
      </w:r>
    </w:p>
    <w:p w:rsidR="00AF2508" w:rsidRDefault="00AF2508">
      <w:pPr>
        <w:pStyle w:val="Amain"/>
      </w:pPr>
      <w:r>
        <w:tab/>
        <w:t>(2)</w:t>
      </w:r>
      <w:r>
        <w:tab/>
        <w:t>The load on the platform over any one bay of a suspended scaffolding, constructed in accordance with this section, due to the weight of workers and materials shall not exceed 1 200 pounds and the gross weight, that is, the weight of scaffolding platforms, machine, ropes, workers and materials on any one outrigger shall not exceed 1 800 pounds or the load that is approved.</w:t>
      </w:r>
    </w:p>
    <w:p w:rsidR="00AF2508" w:rsidRDefault="00AF2508">
      <w:pPr>
        <w:pStyle w:val="Assectheading"/>
      </w:pPr>
      <w:r>
        <w:rPr>
          <w:rStyle w:val="charItals"/>
          <w:i/>
        </w:rPr>
        <w:t>Inspection</w:t>
      </w:r>
    </w:p>
    <w:p w:rsidR="00AF2508" w:rsidRDefault="00AF2508">
      <w:pPr>
        <w:pStyle w:val="Amain"/>
        <w:rPr>
          <w:color w:val="000000"/>
        </w:rPr>
      </w:pPr>
      <w:r>
        <w:rPr>
          <w:color w:val="000000"/>
        </w:rPr>
        <w:tab/>
        <w:t>(3)</w:t>
      </w:r>
      <w:r>
        <w:rPr>
          <w:color w:val="000000"/>
        </w:rPr>
        <w:tab/>
        <w:t>The moving parts of every scaffolding machine shall be inspected at least twice a month and a record shall be kept of the findings of the inspections.</w:t>
      </w:r>
    </w:p>
    <w:p w:rsidR="00AF2508" w:rsidRDefault="00AF2508">
      <w:pPr>
        <w:pStyle w:val="Amain"/>
      </w:pPr>
      <w:r>
        <w:rPr>
          <w:color w:val="000000"/>
        </w:rPr>
        <w:tab/>
        <w:t>(4)</w:t>
      </w:r>
      <w:r>
        <w:rPr>
          <w:color w:val="000000"/>
        </w:rPr>
        <w:tab/>
        <w:t>This record shall be accessible to an inspector at all times.</w:t>
      </w:r>
    </w:p>
    <w:p w:rsidR="00AF2508" w:rsidRDefault="00AF2508">
      <w:pPr>
        <w:pStyle w:val="Amain"/>
      </w:pPr>
      <w:r>
        <w:tab/>
        <w:t>(5)</w:t>
      </w:r>
      <w:r>
        <w:tab/>
        <w:t>The owner of a scaffolding machine shall be notified to at once replace any defective or worn parts and the use of the machine shall be discontinued until the required replacements have been made.</w:t>
      </w:r>
    </w:p>
    <w:p w:rsidR="00AF2508" w:rsidRDefault="00AF2508">
      <w:pPr>
        <w:pStyle w:val="Amain"/>
      </w:pPr>
      <w:r>
        <w:tab/>
        <w:t>(6)</w:t>
      </w:r>
      <w:r>
        <w:tab/>
        <w:t>In addition the owner or lessor of every scaffolding machine shall make a monthly inspection of every scaffolding machine in use and a record of the findings shall be kept.</w:t>
      </w:r>
    </w:p>
    <w:p w:rsidR="00AF2508" w:rsidRDefault="00AF2508">
      <w:pPr>
        <w:pStyle w:val="Amain"/>
      </w:pPr>
      <w:r>
        <w:tab/>
        <w:t>(7)</w:t>
      </w:r>
      <w:r>
        <w:tab/>
        <w:t>This record shall also be accessible to an inspector at all times.</w:t>
      </w:r>
    </w:p>
    <w:p w:rsidR="00AF2508" w:rsidRDefault="00AF2508">
      <w:pPr>
        <w:pStyle w:val="Amain"/>
      </w:pPr>
      <w:r>
        <w:tab/>
        <w:t>(8)</w:t>
      </w:r>
      <w:r>
        <w:tab/>
        <w:t>When a scaffolding machine is removed from a location, it shall be thoroughly inspected and overhauled before again being used.</w:t>
      </w:r>
    </w:p>
    <w:p w:rsidR="00AF2508" w:rsidRDefault="00AF2508">
      <w:pPr>
        <w:pStyle w:val="Assectheading"/>
      </w:pPr>
      <w:r>
        <w:rPr>
          <w:rStyle w:val="charItals"/>
          <w:i/>
        </w:rPr>
        <w:t>Platform</w:t>
      </w:r>
    </w:p>
    <w:p w:rsidR="00AF2508" w:rsidRDefault="00AF2508">
      <w:pPr>
        <w:pStyle w:val="Amain"/>
        <w:rPr>
          <w:color w:val="000000"/>
        </w:rPr>
      </w:pPr>
      <w:r>
        <w:rPr>
          <w:color w:val="000000"/>
        </w:rPr>
        <w:tab/>
        <w:t>(9)</w:t>
      </w:r>
      <w:r>
        <w:rPr>
          <w:color w:val="000000"/>
        </w:rPr>
        <w:tab/>
        <w:t>The total width of the working platform shall not exceed 5 feet.</w:t>
      </w:r>
    </w:p>
    <w:p w:rsidR="00AF2508" w:rsidRDefault="00AF2508">
      <w:pPr>
        <w:pStyle w:val="Amain"/>
        <w:rPr>
          <w:color w:val="000000"/>
        </w:rPr>
      </w:pPr>
      <w:r>
        <w:rPr>
          <w:color w:val="000000"/>
        </w:rPr>
        <w:tab/>
        <w:t>(10)</w:t>
      </w:r>
      <w:r>
        <w:rPr>
          <w:color w:val="000000"/>
        </w:rPr>
        <w:tab/>
        <w:t>The working platform shall be formed of scaffold planks laid so that their edges abut and fit tight.</w:t>
      </w:r>
    </w:p>
    <w:p w:rsidR="00AF2508" w:rsidRDefault="00AF2508">
      <w:pPr>
        <w:pStyle w:val="Amain"/>
      </w:pPr>
      <w:r>
        <w:rPr>
          <w:color w:val="000000"/>
        </w:rPr>
        <w:tab/>
        <w:t>(11)</w:t>
      </w:r>
      <w:r>
        <w:rPr>
          <w:color w:val="000000"/>
        </w:rPr>
        <w:tab/>
        <w:t>Scaffold planks shall be of Oregon pine not less than 10 inches wide and 2 inches thick.</w:t>
      </w:r>
    </w:p>
    <w:p w:rsidR="00AF2508" w:rsidRDefault="00AF2508">
      <w:pPr>
        <w:pStyle w:val="Amain"/>
      </w:pPr>
      <w:r>
        <w:tab/>
        <w:t>(12)</w:t>
      </w:r>
      <w:r>
        <w:tab/>
        <w:t>Each scaffold plank shall overlap its support by at least 12 inches but not more than 24 inches at the ends of the scaffolding.</w:t>
      </w:r>
    </w:p>
    <w:p w:rsidR="00AF2508" w:rsidRDefault="00AF2508">
      <w:pPr>
        <w:pStyle w:val="Amain"/>
      </w:pPr>
      <w:r>
        <w:tab/>
        <w:t>(13)</w:t>
      </w:r>
      <w:r>
        <w:tab/>
        <w:t>The ends of the scaffold planks of each unit, comprising 4 machines, shall be cleated and the cleats shall be made of 4 inches by 1</w:t>
      </w:r>
      <w:r>
        <w:rPr>
          <w:position w:val="6"/>
          <w:sz w:val="18"/>
        </w:rPr>
        <w:t>1</w:t>
      </w:r>
      <w:r>
        <w:t>/</w:t>
      </w:r>
      <w:r>
        <w:rPr>
          <w:sz w:val="18"/>
        </w:rPr>
        <w:t>2</w:t>
      </w:r>
      <w:r>
        <w:t xml:space="preserve"> inches timber, or of 2 inches by </w:t>
      </w:r>
      <w:r>
        <w:rPr>
          <w:position w:val="6"/>
          <w:sz w:val="18"/>
        </w:rPr>
        <w:t>3</w:t>
      </w:r>
      <w:r>
        <w:t>/</w:t>
      </w:r>
      <w:r>
        <w:rPr>
          <w:sz w:val="18"/>
        </w:rPr>
        <w:t>8</w:t>
      </w:r>
      <w:r>
        <w:t xml:space="preserve"> of an inch steel placed near the ends of the planks and outside the bearers and be so arranged as to ensure that the ends of the planks cannot lose their bearing on a bearer.</w:t>
      </w:r>
    </w:p>
    <w:p w:rsidR="00AF2508" w:rsidRDefault="00AF2508">
      <w:pPr>
        <w:pStyle w:val="Amain"/>
      </w:pPr>
      <w:r>
        <w:tab/>
        <w:t>(14)</w:t>
      </w:r>
      <w:r>
        <w:tab/>
        <w:t xml:space="preserve">Each scaffold plank shall be secured to the cleats by bolts not less than </w:t>
      </w:r>
      <w:r>
        <w:rPr>
          <w:position w:val="6"/>
          <w:sz w:val="18"/>
        </w:rPr>
        <w:t>3</w:t>
      </w:r>
      <w:r>
        <w:t>/</w:t>
      </w:r>
      <w:r>
        <w:rPr>
          <w:sz w:val="18"/>
        </w:rPr>
        <w:t>8</w:t>
      </w:r>
      <w:r>
        <w:t xml:space="preserve"> of an inch in diameter.</w:t>
      </w:r>
    </w:p>
    <w:p w:rsidR="00AF2508" w:rsidRDefault="00AF2508">
      <w:pPr>
        <w:pStyle w:val="Amain"/>
      </w:pPr>
      <w:r>
        <w:tab/>
        <w:t>(15)</w:t>
      </w:r>
      <w:r>
        <w:tab/>
        <w:t xml:space="preserve">Every such platform shall be supported on bearers made of steel, or other approved metal, having a transverse strength at least equivalent to a 2 inches by 2 inches by </w:t>
      </w:r>
      <w:r>
        <w:rPr>
          <w:position w:val="6"/>
          <w:sz w:val="18"/>
        </w:rPr>
        <w:t>3</w:t>
      </w:r>
      <w:r>
        <w:t>/</w:t>
      </w:r>
      <w:r>
        <w:rPr>
          <w:sz w:val="18"/>
        </w:rPr>
        <w:t>8</w:t>
      </w:r>
      <w:r>
        <w:t xml:space="preserve"> of a inch Australian Standard steel angle section.</w:t>
      </w:r>
    </w:p>
    <w:p w:rsidR="00AF2508" w:rsidRDefault="00AF2508">
      <w:pPr>
        <w:pStyle w:val="Assectheading"/>
        <w:rPr>
          <w:rStyle w:val="charItals"/>
          <w:i/>
        </w:rPr>
      </w:pPr>
      <w:r>
        <w:rPr>
          <w:rStyle w:val="charItals"/>
          <w:i/>
        </w:rPr>
        <w:t>Guardrails and fender boards</w:t>
      </w:r>
    </w:p>
    <w:p w:rsidR="00AF2508" w:rsidRDefault="00AF2508">
      <w:pPr>
        <w:pStyle w:val="Amain"/>
      </w:pPr>
      <w:r>
        <w:rPr>
          <w:color w:val="000000"/>
        </w:rPr>
        <w:tab/>
        <w:t>(16)</w:t>
      </w:r>
      <w:r>
        <w:rPr>
          <w:color w:val="000000"/>
        </w:rPr>
        <w:tab/>
        <w:t>Guardrails constructed in conformity with this regulation shall be effectively secured at a height of not less than 3 feet above the platform surface.</w:t>
      </w:r>
    </w:p>
    <w:p w:rsidR="00AF2508" w:rsidRDefault="00AF2508">
      <w:pPr>
        <w:pStyle w:val="Amain"/>
      </w:pPr>
      <w:r>
        <w:tab/>
        <w:t>(17)</w:t>
      </w:r>
      <w:r>
        <w:tab/>
        <w:t>Fender boards 9 inches high and 1</w:t>
      </w:r>
      <w:r>
        <w:rPr>
          <w:position w:val="6"/>
          <w:sz w:val="18"/>
        </w:rPr>
        <w:t>1</w:t>
      </w:r>
      <w:r>
        <w:t>/</w:t>
      </w:r>
      <w:r>
        <w:rPr>
          <w:sz w:val="18"/>
        </w:rPr>
        <w:t>2</w:t>
      </w:r>
      <w:r>
        <w:t xml:space="preserve"> inches thick shall be effectively secured on the outside, inside and ends of each platform.</w:t>
      </w:r>
    </w:p>
    <w:p w:rsidR="00AF2508" w:rsidRDefault="00AF2508">
      <w:pPr>
        <w:pStyle w:val="Assectheading"/>
      </w:pPr>
      <w:r>
        <w:rPr>
          <w:rStyle w:val="charItals"/>
          <w:i/>
        </w:rPr>
        <w:t>Prevention of swaying</w:t>
      </w:r>
    </w:p>
    <w:p w:rsidR="00AF2508" w:rsidRDefault="00AF2508">
      <w:pPr>
        <w:pStyle w:val="Amain"/>
        <w:rPr>
          <w:color w:val="000000"/>
        </w:rPr>
      </w:pPr>
      <w:r>
        <w:rPr>
          <w:color w:val="000000"/>
        </w:rPr>
        <w:tab/>
        <w:t>(18)</w:t>
      </w:r>
      <w:r>
        <w:rPr>
          <w:color w:val="000000"/>
        </w:rPr>
        <w:tab/>
        <w:t>Ropes or hooks shall be used and fastened to the platform of the scaffolding and to the building or structure in such way and at such intervals as to prevent the scaffolding swaying away from the building or structure.</w:t>
      </w:r>
    </w:p>
    <w:p w:rsidR="00AF2508" w:rsidRDefault="00AF2508">
      <w:pPr>
        <w:pStyle w:val="Amain"/>
        <w:rPr>
          <w:color w:val="000000"/>
        </w:rPr>
      </w:pPr>
      <w:r>
        <w:rPr>
          <w:color w:val="000000"/>
        </w:rPr>
        <w:tab/>
        <w:t>(19)</w:t>
      </w:r>
      <w:r>
        <w:rPr>
          <w:color w:val="000000"/>
        </w:rPr>
        <w:tab/>
        <w:t>Likewise fenders shall be provided if required to prevent the scaffolding from swinging against the building or structure.</w:t>
      </w:r>
    </w:p>
    <w:p w:rsidR="00AF2508" w:rsidRDefault="00AF2508">
      <w:pPr>
        <w:pStyle w:val="Assectheading"/>
      </w:pPr>
      <w:r>
        <w:rPr>
          <w:rStyle w:val="charItals"/>
          <w:i/>
        </w:rPr>
        <w:t>Suspended scaffolding machines</w:t>
      </w:r>
    </w:p>
    <w:p w:rsidR="00AF2508" w:rsidRDefault="00AF2508">
      <w:pPr>
        <w:pStyle w:val="Amain"/>
      </w:pPr>
      <w:r>
        <w:rPr>
          <w:color w:val="000000"/>
        </w:rPr>
        <w:tab/>
        <w:t>(20)</w:t>
      </w:r>
      <w:r>
        <w:rPr>
          <w:color w:val="000000"/>
        </w:rPr>
        <w:tab/>
        <w:t>No scaffolding machine, winch or other like mechanism shall be used as the lifting or lowering mechanism of a suspended scaffolding unless drawings, or a sample of the machine, winch, or mechanism, together with a complete description in writing of how the machine, winch, or mechanism is to be set up, used, and maintained, have previously been submitted to the chief inspector and have been approved.</w:t>
      </w:r>
    </w:p>
    <w:p w:rsidR="00AF2508" w:rsidRDefault="00AF2508">
      <w:pPr>
        <w:pStyle w:val="Amain"/>
        <w:keepLines/>
      </w:pPr>
      <w:r>
        <w:tab/>
        <w:t>(21)</w:t>
      </w:r>
      <w:r>
        <w:tab/>
        <w:t>All such machines, winches, and mechanisms shall be designed, set up, used and maintained as provided in the section and in accordance with the approved design and description, and while in use shall be kept lubricated and maintained in an efficient state of repair, free from accumulation of dust, dirt or foreign matter.</w:t>
      </w:r>
    </w:p>
    <w:p w:rsidR="00AF2508" w:rsidRDefault="00AF2508">
      <w:pPr>
        <w:pStyle w:val="Assectheading"/>
      </w:pPr>
      <w:r>
        <w:rPr>
          <w:rStyle w:val="charItals"/>
          <w:i/>
        </w:rPr>
        <w:t>Wire ropes for suspended scaffolding</w:t>
      </w:r>
    </w:p>
    <w:p w:rsidR="00AF2508" w:rsidRDefault="00AF2508">
      <w:pPr>
        <w:pStyle w:val="Amain"/>
        <w:rPr>
          <w:color w:val="000000"/>
        </w:rPr>
      </w:pPr>
      <w:r>
        <w:rPr>
          <w:color w:val="000000"/>
        </w:rPr>
        <w:tab/>
        <w:t>(22)</w:t>
      </w:r>
      <w:r>
        <w:rPr>
          <w:color w:val="000000"/>
        </w:rPr>
        <w:tab/>
        <w:t>Steel wire ropes of approved flexibility shall be used for suspended scaffolding.</w:t>
      </w:r>
    </w:p>
    <w:p w:rsidR="00AF2508" w:rsidRDefault="00AF2508">
      <w:pPr>
        <w:pStyle w:val="Amain"/>
      </w:pPr>
      <w:r>
        <w:rPr>
          <w:color w:val="000000"/>
        </w:rPr>
        <w:tab/>
        <w:t>(23)</w:t>
      </w:r>
      <w:r>
        <w:rPr>
          <w:color w:val="000000"/>
        </w:rPr>
        <w:tab/>
        <w:t>The terminal ends of every such rope shall be effectively secured to anchorages of ultimate strength at least equal to that of the rope.</w:t>
      </w:r>
    </w:p>
    <w:p w:rsidR="00AF2508" w:rsidRDefault="00AF2508">
      <w:pPr>
        <w:pStyle w:val="Amain"/>
      </w:pPr>
      <w:r>
        <w:tab/>
        <w:t>(24)</w:t>
      </w:r>
      <w:r>
        <w:tab/>
        <w:t>Ropes shall be evenly wound on the drum and not more rope than can be accommodated between the drum flanges shall be wound on the drum.</w:t>
      </w:r>
    </w:p>
    <w:p w:rsidR="00AF2508" w:rsidRDefault="00AF2508">
      <w:pPr>
        <w:pStyle w:val="Assectheading"/>
      </w:pPr>
      <w:r>
        <w:rPr>
          <w:rStyle w:val="charItals"/>
          <w:i/>
        </w:rPr>
        <w:t>Platform steel structural members</w:t>
      </w:r>
    </w:p>
    <w:p w:rsidR="00AF2508" w:rsidRDefault="00AF2508">
      <w:pPr>
        <w:pStyle w:val="Amain"/>
        <w:rPr>
          <w:color w:val="000000"/>
        </w:rPr>
      </w:pPr>
      <w:r>
        <w:rPr>
          <w:color w:val="000000"/>
        </w:rPr>
        <w:tab/>
        <w:t>(25)</w:t>
      </w:r>
      <w:r>
        <w:rPr>
          <w:color w:val="000000"/>
        </w:rPr>
        <w:tab/>
        <w:t>The steel structural members of a suspended scaffolding platform shall be so designed, constructed and used that under maximum conditions of loading the stress in each and every part of the members and in the connections of one part or member to another shall not exceed that prescribed by part 11.</w:t>
      </w:r>
    </w:p>
    <w:p w:rsidR="00AF2508" w:rsidRDefault="00AF2508">
      <w:pPr>
        <w:pStyle w:val="Assectheading"/>
      </w:pPr>
      <w:r>
        <w:rPr>
          <w:rStyle w:val="charItals"/>
          <w:i/>
        </w:rPr>
        <w:t>Cantilevers supporting a suspended scaffolding</w:t>
      </w:r>
    </w:p>
    <w:p w:rsidR="00AF2508" w:rsidRDefault="00AF2508">
      <w:pPr>
        <w:pStyle w:val="Amain"/>
        <w:rPr>
          <w:color w:val="000000"/>
        </w:rPr>
      </w:pPr>
      <w:r>
        <w:rPr>
          <w:color w:val="000000"/>
        </w:rPr>
        <w:tab/>
        <w:t>(26)</w:t>
      </w:r>
      <w:r>
        <w:rPr>
          <w:color w:val="000000"/>
        </w:rPr>
        <w:tab/>
        <w:t>The cantilevers constituting the overhead supports for a suspended scaffolding shall be rolled steel joist sections at least equivalent in strength to a 7 inches by 3</w:t>
      </w:r>
      <w:r>
        <w:rPr>
          <w:color w:val="000000"/>
          <w:position w:val="6"/>
          <w:sz w:val="18"/>
        </w:rPr>
        <w:t>1</w:t>
      </w:r>
      <w:r>
        <w:rPr>
          <w:color w:val="000000"/>
        </w:rPr>
        <w:t>/</w:t>
      </w:r>
      <w:r>
        <w:rPr>
          <w:color w:val="000000"/>
          <w:sz w:val="18"/>
        </w:rPr>
        <w:t>2</w:t>
      </w:r>
      <w:r>
        <w:rPr>
          <w:color w:val="000000"/>
        </w:rPr>
        <w:t xml:space="preserve"> inches by 15 pounds per running foot Australian Standard rolled steel joist section.</w:t>
      </w:r>
    </w:p>
    <w:p w:rsidR="00AF2508" w:rsidRDefault="00AF2508">
      <w:pPr>
        <w:pStyle w:val="Amain"/>
      </w:pPr>
      <w:r>
        <w:rPr>
          <w:color w:val="000000"/>
        </w:rPr>
        <w:tab/>
        <w:t>(27)</w:t>
      </w:r>
      <w:r>
        <w:rPr>
          <w:color w:val="000000"/>
        </w:rPr>
        <w:tab/>
        <w:t>The cantilevers shall be at least 15 feet in length and they shall not project more than 6 feet 6 inches from the outside point of support on a building or structure.</w:t>
      </w:r>
    </w:p>
    <w:p w:rsidR="00AF2508" w:rsidRDefault="00AF2508">
      <w:pPr>
        <w:pStyle w:val="Amain"/>
      </w:pPr>
      <w:r>
        <w:tab/>
        <w:t>(28)</w:t>
      </w:r>
      <w:r>
        <w:tab/>
        <w:t>These cantilevers shall be spaced at not more than 10 feet apart measured from the longitudinal centre-line of one to the longitudinal centre-line of the adjacent cantilever.</w:t>
      </w:r>
    </w:p>
    <w:p w:rsidR="00AF2508" w:rsidRDefault="00AF2508">
      <w:pPr>
        <w:pStyle w:val="Assectheading"/>
      </w:pPr>
      <w:r>
        <w:rPr>
          <w:rStyle w:val="charItals"/>
          <w:i/>
        </w:rPr>
        <w:t>Supports for suspended scaffolding cantilevers</w:t>
      </w:r>
    </w:p>
    <w:p w:rsidR="00AF2508" w:rsidRDefault="00AF2508">
      <w:pPr>
        <w:pStyle w:val="Amain"/>
        <w:rPr>
          <w:color w:val="000000"/>
        </w:rPr>
      </w:pPr>
      <w:r>
        <w:rPr>
          <w:color w:val="000000"/>
        </w:rPr>
        <w:tab/>
        <w:t>(29)</w:t>
      </w:r>
      <w:r>
        <w:rPr>
          <w:color w:val="000000"/>
        </w:rPr>
        <w:tab/>
        <w:t>Every such cantilever shall be provided with an adequate and firm support and the support shall be so arranged that the projecting or cantilever part shall be as short as possible.</w:t>
      </w:r>
    </w:p>
    <w:p w:rsidR="00AF2508" w:rsidRDefault="00AF2508">
      <w:pPr>
        <w:pStyle w:val="Assectheading"/>
      </w:pPr>
      <w:r>
        <w:rPr>
          <w:rStyle w:val="charItals"/>
          <w:i/>
        </w:rPr>
        <w:t>Fixing of suspended scaffolding cantilevers</w:t>
      </w:r>
    </w:p>
    <w:p w:rsidR="00AF2508" w:rsidRDefault="00AF2508">
      <w:pPr>
        <w:pStyle w:val="Amain"/>
      </w:pPr>
      <w:r>
        <w:rPr>
          <w:color w:val="000000"/>
        </w:rPr>
        <w:tab/>
        <w:t>(30)</w:t>
      </w:r>
      <w:r>
        <w:rPr>
          <w:color w:val="000000"/>
        </w:rPr>
        <w:tab/>
        <w:t>The inner end of each cantilever shall—</w:t>
      </w:r>
    </w:p>
    <w:p w:rsidR="00AF2508" w:rsidRDefault="00AF2508">
      <w:pPr>
        <w:pStyle w:val="Apara"/>
      </w:pPr>
      <w:r>
        <w:tab/>
        <w:t>(a)</w:t>
      </w:r>
      <w:r>
        <w:tab/>
        <w:t>be secured to the building or structure with bolts or other suitable fittings; or</w:t>
      </w:r>
    </w:p>
    <w:p w:rsidR="00AF2508" w:rsidRDefault="00AF2508">
      <w:pPr>
        <w:pStyle w:val="Apara"/>
      </w:pPr>
      <w:r>
        <w:tab/>
        <w:t>(b)</w:t>
      </w:r>
      <w:r>
        <w:tab/>
        <w:t>be counterbalanced with weights in accordance with the provisions of part 11; or</w:t>
      </w:r>
    </w:p>
    <w:p w:rsidR="00AF2508" w:rsidRDefault="00AF2508">
      <w:pPr>
        <w:pStyle w:val="Apara"/>
      </w:pPr>
      <w:r>
        <w:tab/>
        <w:t>(c)</w:t>
      </w:r>
      <w:r>
        <w:tab/>
        <w:t>be shored from a higher floor or steel frame of a building or structure, provided that every shore used is positively secured in its correct position and in such a way that no lateral movement can occur, and provided further that every shore so used is of adequate strength for the purpose and is so placed and fixed that undue load is not imposed on any part of the building or structure supporting the cantilever.</w:t>
      </w:r>
    </w:p>
    <w:p w:rsidR="00AF2508" w:rsidRDefault="00AF2508">
      <w:pPr>
        <w:pStyle w:val="Amain"/>
      </w:pPr>
      <w:r>
        <w:tab/>
        <w:t>(31)</w:t>
      </w:r>
      <w:r>
        <w:tab/>
        <w:t>The bolts or other fittings mentioned in subsection (30) (a), and also the parts of the building or structure to which the cantilever is fixed, shall provide a factor of safety of at least 4 under maximum conditions of loading.</w:t>
      </w:r>
    </w:p>
    <w:p w:rsidR="00AF2508" w:rsidRDefault="00AF2508">
      <w:pPr>
        <w:pStyle w:val="Assectheading"/>
      </w:pPr>
      <w:r>
        <w:rPr>
          <w:rStyle w:val="charItals"/>
          <w:i/>
        </w:rPr>
        <w:t>Suspended scaffolding cantilever supports</w:t>
      </w:r>
    </w:p>
    <w:p w:rsidR="00AF2508" w:rsidRDefault="00AF2508">
      <w:pPr>
        <w:pStyle w:val="Amain"/>
      </w:pPr>
      <w:r>
        <w:rPr>
          <w:color w:val="000000"/>
        </w:rPr>
        <w:tab/>
        <w:t>(32)</w:t>
      </w:r>
      <w:r>
        <w:rPr>
          <w:color w:val="000000"/>
        </w:rPr>
        <w:tab/>
        <w:t>Every platform or structure, or beam, bearer, or other structural member used for supporting any such cantilever and the loads from it or from any counterbalance or used for supporting and transferring the weight of counterbalance to cantilever, or used for transferring the loads from a cantilever to part of a building or structure shall be of such construction that a factor of safety of at least 6 shall obtain in all timber parts, taking into consideration the resultant loads from the cantilever when the suspended scaffolding is fully loaded, and also, when the scaffolding is unloaded.</w:t>
      </w:r>
    </w:p>
    <w:p w:rsidR="00AF2508" w:rsidRDefault="00AF2508">
      <w:pPr>
        <w:pStyle w:val="Amain"/>
      </w:pPr>
      <w:r>
        <w:tab/>
        <w:t>(33)</w:t>
      </w:r>
      <w:r>
        <w:tab/>
        <w:t>Every such platform, or structure, or beam, bearer, or other structural member shall be so constructed and fixed and secured that lateral movement cannot occur in any direction.</w:t>
      </w:r>
    </w:p>
    <w:p w:rsidR="00AF2508" w:rsidRDefault="00AF2508">
      <w:pPr>
        <w:pStyle w:val="Assectheading"/>
      </w:pPr>
      <w:r>
        <w:rPr>
          <w:rStyle w:val="charItals"/>
          <w:i/>
        </w:rPr>
        <w:t>Bolt diameters</w:t>
      </w:r>
    </w:p>
    <w:p w:rsidR="00AF2508" w:rsidRDefault="00AF2508">
      <w:pPr>
        <w:pStyle w:val="Amain"/>
        <w:rPr>
          <w:color w:val="000000"/>
        </w:rPr>
      </w:pPr>
      <w:r>
        <w:rPr>
          <w:color w:val="000000"/>
        </w:rPr>
        <w:tab/>
        <w:t>(34)</w:t>
      </w:r>
      <w:r>
        <w:rPr>
          <w:color w:val="000000"/>
        </w:rPr>
        <w:tab/>
        <w:t xml:space="preserve">Every bolt used for anchoring a cantilever or used in connections in the structure supporting a cantilever or for securing a shore in position, or for securing bracing or other structural member shall not be less than </w:t>
      </w:r>
      <w:r>
        <w:rPr>
          <w:color w:val="000000"/>
          <w:position w:val="6"/>
          <w:sz w:val="18"/>
        </w:rPr>
        <w:t>5</w:t>
      </w:r>
      <w:r>
        <w:rPr>
          <w:color w:val="000000"/>
        </w:rPr>
        <w:t>/</w:t>
      </w:r>
      <w:r>
        <w:rPr>
          <w:color w:val="000000"/>
          <w:sz w:val="18"/>
        </w:rPr>
        <w:t>8</w:t>
      </w:r>
      <w:r>
        <w:rPr>
          <w:color w:val="000000"/>
        </w:rPr>
        <w:t xml:space="preserve"> of an inch in diameter and shall be provided with standard washers.</w:t>
      </w:r>
    </w:p>
    <w:p w:rsidR="00AF2508" w:rsidRDefault="00AF2508">
      <w:pPr>
        <w:pStyle w:val="Assectheading"/>
      </w:pPr>
      <w:r>
        <w:rPr>
          <w:rStyle w:val="charItals"/>
          <w:i/>
        </w:rPr>
        <w:t>Weight of cantilever counterbalance</w:t>
      </w:r>
    </w:p>
    <w:p w:rsidR="00AF2508" w:rsidRDefault="00AF2508">
      <w:pPr>
        <w:pStyle w:val="Amain"/>
        <w:rPr>
          <w:color w:val="000000"/>
        </w:rPr>
      </w:pPr>
      <w:r>
        <w:rPr>
          <w:color w:val="000000"/>
        </w:rPr>
        <w:tab/>
        <w:t>(35)</w:t>
      </w:r>
      <w:r>
        <w:rPr>
          <w:color w:val="000000"/>
        </w:rPr>
        <w:tab/>
        <w:t>The net weight of the counterbalance on any cantilever shall not be less than 3 times that necessary to balance the load on the projecting part of the cantilever when the scaffolding is fully loaded.</w:t>
      </w:r>
    </w:p>
    <w:p w:rsidR="00AF2508" w:rsidRDefault="00AF2508">
      <w:pPr>
        <w:pStyle w:val="Assectheading"/>
      </w:pPr>
      <w:r>
        <w:rPr>
          <w:rStyle w:val="charItals"/>
          <w:i/>
        </w:rPr>
        <w:t>Suspended scaffolding rope anchors</w:t>
      </w:r>
    </w:p>
    <w:p w:rsidR="00AF2508" w:rsidRDefault="00AF2508">
      <w:pPr>
        <w:pStyle w:val="Amain"/>
        <w:rPr>
          <w:color w:val="000000"/>
        </w:rPr>
      </w:pPr>
      <w:r>
        <w:rPr>
          <w:color w:val="000000"/>
        </w:rPr>
        <w:tab/>
        <w:t>(36)</w:t>
      </w:r>
      <w:r>
        <w:rPr>
          <w:color w:val="000000"/>
        </w:rPr>
        <w:tab/>
        <w:t xml:space="preserve">A fitting of mild steel stock having sectional dimensions not less than 2 inches by </w:t>
      </w:r>
      <w:r>
        <w:rPr>
          <w:color w:val="000000"/>
          <w:position w:val="6"/>
          <w:sz w:val="18"/>
        </w:rPr>
        <w:t>3</w:t>
      </w:r>
      <w:r>
        <w:rPr>
          <w:color w:val="000000"/>
        </w:rPr>
        <w:t>/</w:t>
      </w:r>
      <w:r>
        <w:rPr>
          <w:color w:val="000000"/>
          <w:sz w:val="18"/>
        </w:rPr>
        <w:t>8</w:t>
      </w:r>
      <w:r>
        <w:rPr>
          <w:color w:val="000000"/>
        </w:rPr>
        <w:t xml:space="preserve"> of an inch shall be fitted at the outer end of every suspended scaffolding cantilever for the purpose of anchoring the scaffolding suspension rope or rope block.</w:t>
      </w:r>
    </w:p>
    <w:p w:rsidR="00AF2508" w:rsidRDefault="00AF2508">
      <w:pPr>
        <w:pStyle w:val="Amain"/>
      </w:pPr>
      <w:r>
        <w:rPr>
          <w:color w:val="000000"/>
        </w:rPr>
        <w:tab/>
        <w:t>(37)</w:t>
      </w:r>
      <w:r>
        <w:rPr>
          <w:color w:val="000000"/>
        </w:rPr>
        <w:tab/>
        <w:t>Every such fitting shall fit snug at the top and sides of the cantilever.</w:t>
      </w:r>
    </w:p>
    <w:p w:rsidR="00AF2508" w:rsidRDefault="00AF2508">
      <w:pPr>
        <w:pStyle w:val="Amain"/>
      </w:pPr>
      <w:r>
        <w:tab/>
        <w:t>(38)</w:t>
      </w:r>
      <w:r>
        <w:tab/>
        <w:t>Each leg shall be so forged as to make an angle of not less than 75</w:t>
      </w:r>
      <w:r>
        <w:rPr>
          <w:rFonts w:ascii="Helvetica" w:hAnsi="Helvetica"/>
        </w:rPr>
        <w:t>°</w:t>
      </w:r>
      <w:r>
        <w:t xml:space="preserve"> with the bottom surface of the cantilever, until the inside faces of each leg are 1 inch apart.</w:t>
      </w:r>
    </w:p>
    <w:p w:rsidR="00AF2508" w:rsidRDefault="00AF2508">
      <w:pPr>
        <w:pStyle w:val="Amain"/>
      </w:pPr>
      <w:r>
        <w:tab/>
        <w:t>(39)</w:t>
      </w:r>
      <w:r>
        <w:tab/>
        <w:t>Each leg shall then be forged so as to assume a vertical position.</w:t>
      </w:r>
    </w:p>
    <w:p w:rsidR="00AF2508" w:rsidRDefault="00AF2508">
      <w:pPr>
        <w:pStyle w:val="Amain"/>
      </w:pPr>
      <w:r>
        <w:tab/>
        <w:t>(40)</w:t>
      </w:r>
      <w:r>
        <w:tab/>
        <w:t>The legs are to be of such length that the vertical portions are parallel for not less than 2</w:t>
      </w:r>
      <w:r>
        <w:rPr>
          <w:position w:val="6"/>
          <w:sz w:val="18"/>
        </w:rPr>
        <w:t>1</w:t>
      </w:r>
      <w:r>
        <w:t>/</w:t>
      </w:r>
      <w:r>
        <w:rPr>
          <w:sz w:val="18"/>
        </w:rPr>
        <w:t>2</w:t>
      </w:r>
      <w:r>
        <w:t xml:space="preserve"> inches.</w:t>
      </w:r>
    </w:p>
    <w:p w:rsidR="00AF2508" w:rsidRDefault="00AF2508">
      <w:pPr>
        <w:pStyle w:val="Amain"/>
      </w:pPr>
      <w:r>
        <w:tab/>
        <w:t>(41)</w:t>
      </w:r>
      <w:r>
        <w:tab/>
        <w:t xml:space="preserve">The vertical part of each leg shall then be drilled to take a </w:t>
      </w:r>
      <w:r>
        <w:rPr>
          <w:position w:val="6"/>
          <w:sz w:val="18"/>
        </w:rPr>
        <w:t>3</w:t>
      </w:r>
      <w:r>
        <w:t>/</w:t>
      </w:r>
      <w:r>
        <w:rPr>
          <w:sz w:val="18"/>
        </w:rPr>
        <w:t>4</w:t>
      </w:r>
      <w:r>
        <w:t xml:space="preserve"> of an inch diameter steel bolt, the centre of the bolt hole being not less than 1 inch distant from the lower bend.</w:t>
      </w:r>
    </w:p>
    <w:p w:rsidR="00AF2508" w:rsidRDefault="00AF2508">
      <w:pPr>
        <w:pStyle w:val="Amain"/>
      </w:pPr>
      <w:r>
        <w:tab/>
        <w:t>(42)</w:t>
      </w:r>
      <w:r>
        <w:tab/>
        <w:t xml:space="preserve">A steel bolt not less than </w:t>
      </w:r>
      <w:r>
        <w:rPr>
          <w:position w:val="6"/>
          <w:sz w:val="18"/>
        </w:rPr>
        <w:t>3</w:t>
      </w:r>
      <w:r>
        <w:t>/</w:t>
      </w:r>
      <w:r>
        <w:rPr>
          <w:sz w:val="18"/>
        </w:rPr>
        <w:t>4</w:t>
      </w:r>
      <w:r>
        <w:t xml:space="preserve"> of an inch in diameter shall be inserted in the holes in the vertical legs, the bolt nut then being screwed on and the end of the bolt riveted over, or alternatively a split pin may be fitted in a hole drilled through the bolt end outside the nut.</w:t>
      </w:r>
    </w:p>
    <w:p w:rsidR="00AF2508" w:rsidRDefault="00AF2508">
      <w:pPr>
        <w:pStyle w:val="Amain"/>
      </w:pPr>
      <w:r>
        <w:tab/>
        <w:t>(43)</w:t>
      </w:r>
      <w:r>
        <w:tab/>
        <w:t>Every such fitting shall be secured to the cantilever by a bolt through the sides of the fitting and through the mid-section of the cantilever web or by a bolt passing through the cantilever web nearer the end of the cantilever than the spot where the fitting is positioned.</w:t>
      </w:r>
    </w:p>
    <w:p w:rsidR="00AF2508" w:rsidRDefault="00AF2508">
      <w:pPr>
        <w:pStyle w:val="Assectheading"/>
      </w:pPr>
      <w:r>
        <w:rPr>
          <w:rStyle w:val="charItals"/>
          <w:i/>
        </w:rPr>
        <w:t>Use of suspended scaffolding machines</w:t>
      </w:r>
    </w:p>
    <w:p w:rsidR="00AF2508" w:rsidRDefault="00AF2508">
      <w:pPr>
        <w:pStyle w:val="Amain"/>
        <w:rPr>
          <w:color w:val="000000"/>
        </w:rPr>
      </w:pPr>
      <w:r>
        <w:rPr>
          <w:color w:val="000000"/>
        </w:rPr>
        <w:tab/>
        <w:t>(44)</w:t>
      </w:r>
      <w:r>
        <w:rPr>
          <w:color w:val="000000"/>
        </w:rPr>
        <w:tab/>
        <w:t>No person under 18 years old and no person unless specifically authorised by his or her employer so to do, shall work a machine, winch, or mechanism used for raising or lowering a suspended scaffolding and no person shall in any way interfere with it.</w:t>
      </w:r>
    </w:p>
    <w:p w:rsidR="00AF2508" w:rsidRDefault="00AF2508">
      <w:pPr>
        <w:pStyle w:val="Amain"/>
      </w:pPr>
      <w:r>
        <w:rPr>
          <w:color w:val="000000"/>
        </w:rPr>
        <w:tab/>
        <w:t>(45)</w:t>
      </w:r>
      <w:r>
        <w:rPr>
          <w:color w:val="000000"/>
        </w:rPr>
        <w:tab/>
        <w:t>No person shall employ, instruct or direct any person under 18 years old to act in contravention of this provision.</w:t>
      </w:r>
    </w:p>
    <w:p w:rsidR="00AF2508" w:rsidRDefault="00AF2508">
      <w:pPr>
        <w:pStyle w:val="Amain"/>
      </w:pPr>
      <w:r>
        <w:tab/>
        <w:t>(46)</w:t>
      </w:r>
      <w:r>
        <w:tab/>
        <w:t>The handles of the scaffolding machine, winch, or mechanism shall be left in that position that will prevent the platform from descending when the machine, winch, or mechanism is not actually in use for raising or lowering the platform.</w:t>
      </w:r>
    </w:p>
    <w:p w:rsidR="00AF2508" w:rsidRDefault="00AF2508">
      <w:pPr>
        <w:pStyle w:val="Assectheading"/>
      </w:pPr>
      <w:r>
        <w:rPr>
          <w:rStyle w:val="charItals"/>
          <w:i/>
        </w:rPr>
        <w:t>Platform to be kept level</w:t>
      </w:r>
    </w:p>
    <w:p w:rsidR="00AF2508" w:rsidRDefault="00AF2508">
      <w:pPr>
        <w:pStyle w:val="Amain"/>
        <w:rPr>
          <w:color w:val="000000"/>
        </w:rPr>
      </w:pPr>
      <w:r>
        <w:rPr>
          <w:color w:val="000000"/>
        </w:rPr>
        <w:tab/>
        <w:t>(47)</w:t>
      </w:r>
      <w:r>
        <w:rPr>
          <w:color w:val="000000"/>
        </w:rPr>
        <w:tab/>
        <w:t>The process of raising and lowering a suspended scaffolding shall be such as to ensure that the working platform shall remain substantially level.</w:t>
      </w:r>
    </w:p>
    <w:p w:rsidR="00AF2508" w:rsidRDefault="00AF2508">
      <w:pPr>
        <w:pStyle w:val="Assectheading"/>
      </w:pPr>
      <w:r>
        <w:rPr>
          <w:rStyle w:val="charItals"/>
          <w:i/>
        </w:rPr>
        <w:t>Restrictions on use of suspended scaffolding</w:t>
      </w:r>
    </w:p>
    <w:p w:rsidR="00AF2508" w:rsidRDefault="00AF2508">
      <w:pPr>
        <w:pStyle w:val="Amain"/>
      </w:pPr>
      <w:r>
        <w:rPr>
          <w:color w:val="000000"/>
        </w:rPr>
        <w:tab/>
        <w:t>(48)</w:t>
      </w:r>
      <w:r>
        <w:rPr>
          <w:color w:val="000000"/>
        </w:rPr>
        <w:tab/>
        <w:t>Suspended scaffolding shall not be used if in the opinion of an inspector—</w:t>
      </w:r>
    </w:p>
    <w:p w:rsidR="00AF2508" w:rsidRDefault="00AF2508">
      <w:pPr>
        <w:pStyle w:val="Apara"/>
      </w:pPr>
      <w:r>
        <w:tab/>
        <w:t>(a)</w:t>
      </w:r>
      <w:r>
        <w:tab/>
        <w:t>the position of the scaffolding and the conditions under which the scaffolding is or would be used are dangerous to human life or limb; or</w:t>
      </w:r>
    </w:p>
    <w:p w:rsidR="00AF2508" w:rsidRDefault="00AF2508">
      <w:pPr>
        <w:pStyle w:val="Apara"/>
      </w:pPr>
      <w:r>
        <w:tab/>
        <w:t>(b)</w:t>
      </w:r>
      <w:r>
        <w:tab/>
        <w:t>the building or structure to which the scaffolding is attached or is proposed to be attached is not suitable for safely supporting a suspended scaffolding; or</w:t>
      </w:r>
    </w:p>
    <w:p w:rsidR="00AF2508" w:rsidRDefault="00AF2508">
      <w:pPr>
        <w:pStyle w:val="Apara"/>
      </w:pPr>
      <w:r>
        <w:tab/>
        <w:t>(c)</w:t>
      </w:r>
      <w:r>
        <w:tab/>
        <w:t>the scaffolding is not suitable for the work contemplated.</w:t>
      </w:r>
    </w:p>
    <w:p w:rsidR="00AF2508" w:rsidRDefault="00AF2508">
      <w:pPr>
        <w:pStyle w:val="AH4SubDiv"/>
      </w:pPr>
      <w:bookmarkStart w:id="166" w:name="_Toc161636830"/>
      <w:r>
        <w:t>Light swinging stages</w:t>
      </w:r>
      <w:bookmarkEnd w:id="166"/>
    </w:p>
    <w:p w:rsidR="00AF2508" w:rsidRDefault="00AF2508">
      <w:pPr>
        <w:pStyle w:val="AH5Sec"/>
      </w:pPr>
      <w:bookmarkStart w:id="167" w:name="_Toc161636831"/>
      <w:r>
        <w:rPr>
          <w:rStyle w:val="CharSectNo"/>
        </w:rPr>
        <w:t>91</w:t>
      </w:r>
      <w:bookmarkEnd w:id="167"/>
      <w:r>
        <w:tab/>
        <w:t xml:space="preserve">  </w:t>
      </w:r>
    </w:p>
    <w:p w:rsidR="00AF2508" w:rsidRDefault="00AF2508">
      <w:pPr>
        <w:pStyle w:val="Assectheading"/>
      </w:pPr>
      <w:r>
        <w:rPr>
          <w:rStyle w:val="charItals"/>
          <w:i/>
        </w:rPr>
        <w:t>Designs to be submitted</w:t>
      </w:r>
    </w:p>
    <w:p w:rsidR="00AF2508" w:rsidRDefault="00AF2508">
      <w:pPr>
        <w:pStyle w:val="Amain"/>
        <w:rPr>
          <w:color w:val="000000"/>
        </w:rPr>
      </w:pPr>
      <w:r>
        <w:rPr>
          <w:color w:val="000000"/>
        </w:rPr>
        <w:tab/>
        <w:t>(1)</w:t>
      </w:r>
      <w:r>
        <w:rPr>
          <w:color w:val="000000"/>
        </w:rPr>
        <w:tab/>
        <w:t>If it is impracticable to construct and use a light swinging stage of a type conforming to the requirements of this section, completely detailed working drawings together with a full description of the proposed methods of use of the light swinging stage proposed to be erected and used shall be submitted to the chief inspector and be approved before any person is allowed on the stage.</w:t>
      </w:r>
    </w:p>
    <w:p w:rsidR="00AF2508" w:rsidRDefault="00AF2508">
      <w:pPr>
        <w:pStyle w:val="Assectheading"/>
      </w:pPr>
      <w:r>
        <w:rPr>
          <w:rStyle w:val="charItals"/>
          <w:i/>
        </w:rPr>
        <w:t>Working platform</w:t>
      </w:r>
    </w:p>
    <w:p w:rsidR="00AF2508" w:rsidRDefault="00AF2508">
      <w:pPr>
        <w:pStyle w:val="Amain"/>
        <w:rPr>
          <w:color w:val="000000"/>
        </w:rPr>
      </w:pPr>
      <w:r>
        <w:rPr>
          <w:color w:val="000000"/>
        </w:rPr>
        <w:tab/>
        <w:t>(2)</w:t>
      </w:r>
      <w:r>
        <w:rPr>
          <w:color w:val="000000"/>
        </w:rPr>
        <w:tab/>
        <w:t>The working platform of a light swinging stage shall be not less than 20 inches nor more than 24 inches wide and shall be formed of straight grained oregon scaffolding planks not less than 1</w:t>
      </w:r>
      <w:r>
        <w:rPr>
          <w:color w:val="000000"/>
          <w:position w:val="6"/>
          <w:sz w:val="18"/>
        </w:rPr>
        <w:t>1</w:t>
      </w:r>
      <w:r>
        <w:rPr>
          <w:color w:val="000000"/>
        </w:rPr>
        <w:t>/</w:t>
      </w:r>
      <w:r>
        <w:rPr>
          <w:color w:val="000000"/>
          <w:sz w:val="18"/>
        </w:rPr>
        <w:t>2</w:t>
      </w:r>
      <w:r>
        <w:rPr>
          <w:color w:val="000000"/>
        </w:rPr>
        <w:t xml:space="preserve"> inches thick, running the full length of the platform.</w:t>
      </w:r>
    </w:p>
    <w:p w:rsidR="00AF2508" w:rsidRDefault="00AF2508">
      <w:pPr>
        <w:pStyle w:val="Amain"/>
        <w:rPr>
          <w:color w:val="000000"/>
        </w:rPr>
      </w:pPr>
      <w:r>
        <w:rPr>
          <w:color w:val="000000"/>
        </w:rPr>
        <w:tab/>
        <w:t>(3)</w:t>
      </w:r>
      <w:r>
        <w:rPr>
          <w:color w:val="000000"/>
        </w:rPr>
        <w:tab/>
        <w:t>These planks shall be stiffened with strong cleats fixed at the centre and immediately adjacent to each hanger.</w:t>
      </w:r>
    </w:p>
    <w:p w:rsidR="00AF2508" w:rsidRDefault="00AF2508">
      <w:pPr>
        <w:pStyle w:val="Amain"/>
        <w:rPr>
          <w:color w:val="000000"/>
        </w:rPr>
      </w:pPr>
      <w:r>
        <w:rPr>
          <w:color w:val="000000"/>
        </w:rPr>
        <w:tab/>
        <w:t>(4)</w:t>
      </w:r>
      <w:r>
        <w:rPr>
          <w:color w:val="000000"/>
        </w:rPr>
        <w:tab/>
        <w:t>The total length of the working platform shall not exceed 18 feet and the span of the scaffold planks from the centre-line of one hanger to the centre-line of the other shall not exceed 12 feet.</w:t>
      </w:r>
    </w:p>
    <w:p w:rsidR="00AF2508" w:rsidRDefault="00AF2508">
      <w:pPr>
        <w:pStyle w:val="Amain"/>
        <w:rPr>
          <w:color w:val="000000"/>
        </w:rPr>
      </w:pPr>
      <w:r>
        <w:rPr>
          <w:color w:val="000000"/>
        </w:rPr>
        <w:tab/>
        <w:t>(5)</w:t>
      </w:r>
      <w:r>
        <w:rPr>
          <w:color w:val="000000"/>
        </w:rPr>
        <w:tab/>
        <w:t>The overhang of the scaffold planks at each end shall not exceed </w:t>
      </w:r>
      <w:r>
        <w:rPr>
          <w:color w:val="000000"/>
          <w:position w:val="6"/>
          <w:sz w:val="18"/>
        </w:rPr>
        <w:t>1</w:t>
      </w:r>
      <w:r>
        <w:rPr>
          <w:color w:val="000000"/>
        </w:rPr>
        <w:t>/</w:t>
      </w:r>
      <w:r>
        <w:rPr>
          <w:color w:val="000000"/>
          <w:sz w:val="18"/>
        </w:rPr>
        <w:t>4</w:t>
      </w:r>
      <w:r>
        <w:rPr>
          <w:color w:val="000000"/>
        </w:rPr>
        <w:t> of the distance between the centre-lines of the hangers.</w:t>
      </w:r>
    </w:p>
    <w:p w:rsidR="00AF2508" w:rsidRDefault="00AF2508">
      <w:pPr>
        <w:pStyle w:val="Assectheading"/>
      </w:pPr>
      <w:r>
        <w:rPr>
          <w:rStyle w:val="charItals"/>
          <w:i/>
        </w:rPr>
        <w:t>Guardrails and toe boards</w:t>
      </w:r>
    </w:p>
    <w:p w:rsidR="00AF2508" w:rsidRDefault="00AF2508">
      <w:pPr>
        <w:pStyle w:val="Amain"/>
      </w:pPr>
      <w:r>
        <w:rPr>
          <w:color w:val="000000"/>
        </w:rPr>
        <w:tab/>
        <w:t>(6)</w:t>
      </w:r>
      <w:r>
        <w:rPr>
          <w:color w:val="000000"/>
        </w:rPr>
        <w:tab/>
        <w:t>A guardrail of straight grained Oregon pine having sectional dimensions not less than 3 inches by 2 inches or of galvanised steel water pipe of 1 inch internal diameter, or of a section and material ensuring equivalent strength and stiffness for the span, securely fastened to the hangers at not less than 30 inches above the surface of the working platform shall be provided on the outer side of the platform, and also, if in the opinion of an inspector it is necessary in the interests of safety to human life and limb, on the inside and ends of the platform.</w:t>
      </w:r>
    </w:p>
    <w:p w:rsidR="00AF2508" w:rsidRDefault="00AF2508">
      <w:pPr>
        <w:pStyle w:val="Amain"/>
      </w:pPr>
      <w:r>
        <w:tab/>
        <w:t>(7)</w:t>
      </w:r>
      <w:r>
        <w:tab/>
        <w:t>A toe board of not less than 6 inches by 1 inch sectional dimensions shall be provided and securely fixed on edge on the other side of the platform in all cases and if material or tools are to be loosely placed on the platform, a toe board of like section is to be provided on both sides and ends.</w:t>
      </w:r>
    </w:p>
    <w:p w:rsidR="00AF2508" w:rsidRDefault="00AF2508">
      <w:pPr>
        <w:pStyle w:val="Assectheading"/>
      </w:pPr>
      <w:r>
        <w:rPr>
          <w:rStyle w:val="charItals"/>
          <w:i/>
        </w:rPr>
        <w:t>Hangers</w:t>
      </w:r>
    </w:p>
    <w:p w:rsidR="00AF2508" w:rsidRDefault="00AF2508">
      <w:pPr>
        <w:pStyle w:val="Amain"/>
        <w:rPr>
          <w:color w:val="000000"/>
        </w:rPr>
      </w:pPr>
      <w:r>
        <w:rPr>
          <w:color w:val="000000"/>
        </w:rPr>
        <w:tab/>
        <w:t>(8)</w:t>
      </w:r>
      <w:r>
        <w:rPr>
          <w:color w:val="000000"/>
        </w:rPr>
        <w:tab/>
        <w:t xml:space="preserve">The hangers supporting the working platform of a light swinging stage shall be constructed of steel bar 2 inches by </w:t>
      </w:r>
      <w:r>
        <w:rPr>
          <w:color w:val="000000"/>
          <w:position w:val="6"/>
          <w:sz w:val="18"/>
        </w:rPr>
        <w:t>1</w:t>
      </w:r>
      <w:r>
        <w:rPr>
          <w:color w:val="000000"/>
        </w:rPr>
        <w:t>/</w:t>
      </w:r>
      <w:r>
        <w:rPr>
          <w:color w:val="000000"/>
          <w:sz w:val="18"/>
        </w:rPr>
        <w:t>2</w:t>
      </w:r>
      <w:r>
        <w:rPr>
          <w:color w:val="000000"/>
        </w:rPr>
        <w:t xml:space="preserve"> an inch sectional dimensions or of steel rod 1 inch in diameter.</w:t>
      </w:r>
    </w:p>
    <w:p w:rsidR="00AF2508" w:rsidRDefault="00AF2508">
      <w:pPr>
        <w:pStyle w:val="Amain"/>
        <w:rPr>
          <w:color w:val="000000"/>
        </w:rPr>
      </w:pPr>
      <w:r>
        <w:rPr>
          <w:color w:val="000000"/>
        </w:rPr>
        <w:tab/>
        <w:t>(9)</w:t>
      </w:r>
      <w:r>
        <w:rPr>
          <w:color w:val="000000"/>
        </w:rPr>
        <w:tab/>
        <w:t>Each hanger shall pass under the platform planks and shall be securely fixed to them.</w:t>
      </w:r>
    </w:p>
    <w:p w:rsidR="00AF2508" w:rsidRDefault="00AF2508">
      <w:pPr>
        <w:pStyle w:val="Amain"/>
      </w:pPr>
      <w:r>
        <w:rPr>
          <w:color w:val="000000"/>
        </w:rPr>
        <w:tab/>
        <w:t>(10)</w:t>
      </w:r>
      <w:r>
        <w:rPr>
          <w:color w:val="000000"/>
        </w:rPr>
        <w:tab/>
        <w:t>The distance measured between the vertical legs of a hanger shall not exceed that necessary to accommodate the full width of the platform scaffold planks.</w:t>
      </w:r>
    </w:p>
    <w:p w:rsidR="00AF2508" w:rsidRDefault="00AF2508">
      <w:pPr>
        <w:pStyle w:val="Amain"/>
      </w:pPr>
      <w:r>
        <w:tab/>
        <w:t>(11)</w:t>
      </w:r>
      <w:r>
        <w:tab/>
        <w:t>An anchorage of approved design shall be incorporated in the construction of each hanger, such anchorage to be used for the purpose of attaching the bottom block of the rope tackle used for raising and lowering the platform.</w:t>
      </w:r>
    </w:p>
    <w:p w:rsidR="00AF2508" w:rsidRDefault="00AF2508">
      <w:pPr>
        <w:pStyle w:val="Assectheading"/>
        <w:rPr>
          <w:i w:val="0"/>
        </w:rPr>
      </w:pPr>
      <w:r>
        <w:rPr>
          <w:rStyle w:val="charItals"/>
          <w:i/>
        </w:rPr>
        <w:t>Tackle for raising and lowering light swinging stages</w:t>
      </w:r>
      <w:r>
        <w:rPr>
          <w:i w:val="0"/>
          <w:color w:val="000000"/>
        </w:rPr>
        <w:t>—</w:t>
      </w:r>
      <w:r>
        <w:rPr>
          <w:rStyle w:val="charItals"/>
          <w:i/>
        </w:rPr>
        <w:t>rope</w:t>
      </w:r>
    </w:p>
    <w:p w:rsidR="00AF2508" w:rsidRDefault="00AF2508">
      <w:pPr>
        <w:pStyle w:val="Amain"/>
      </w:pPr>
      <w:r>
        <w:tab/>
        <w:t>(12)</w:t>
      </w:r>
      <w:r>
        <w:tab/>
        <w:t>The fall rope of a tackle used for raising and lowering a light swinging stage shall be constructed of Manila or sisal fibre, shall be not less than 2</w:t>
      </w:r>
      <w:r>
        <w:rPr>
          <w:position w:val="6"/>
          <w:sz w:val="18"/>
        </w:rPr>
        <w:t>1</w:t>
      </w:r>
      <w:r>
        <w:t>/</w:t>
      </w:r>
      <w:r>
        <w:rPr>
          <w:sz w:val="18"/>
        </w:rPr>
        <w:t>2</w:t>
      </w:r>
      <w:r>
        <w:t xml:space="preserve"> inches in circumference and shall be reeved through a double and a single block so as to form 4 parts of rope.</w:t>
      </w:r>
    </w:p>
    <w:p w:rsidR="00AF2508" w:rsidRDefault="00AF2508">
      <w:pPr>
        <w:pStyle w:val="Amain"/>
      </w:pPr>
      <w:r>
        <w:tab/>
        <w:t>(13)</w:t>
      </w:r>
      <w:r>
        <w:tab/>
        <w:t>At all times other than when the stage is being raised or lowered the hauling part of the fibre rope is to be made fast with a self-locking hitch to the lower block.</w:t>
      </w:r>
    </w:p>
    <w:p w:rsidR="00AF2508" w:rsidRDefault="00AF2508">
      <w:pPr>
        <w:pStyle w:val="Assectheading"/>
        <w:rPr>
          <w:i w:val="0"/>
        </w:rPr>
      </w:pPr>
      <w:r>
        <w:rPr>
          <w:rStyle w:val="charItals"/>
          <w:i/>
        </w:rPr>
        <w:t>Tackle for raising and lowering light swinging stages</w:t>
      </w:r>
      <w:r>
        <w:rPr>
          <w:i w:val="0"/>
          <w:color w:val="000000"/>
        </w:rPr>
        <w:t>—</w:t>
      </w:r>
      <w:r>
        <w:rPr>
          <w:rStyle w:val="charItals"/>
          <w:i/>
        </w:rPr>
        <w:t>fibre rope blocks</w:t>
      </w:r>
    </w:p>
    <w:p w:rsidR="00AF2508" w:rsidRDefault="00AF2508">
      <w:pPr>
        <w:pStyle w:val="Amain"/>
      </w:pPr>
      <w:r>
        <w:tab/>
        <w:t>(14)</w:t>
      </w:r>
      <w:r>
        <w:tab/>
        <w:t>The carcase of every block for fibre rope, both single and double sheave, used in the tackle for raising and lowering a light swinging stage, shall be constructed of steel and the sheaves of each such block shall be not less than 4 inches in diameter, measured at the bottom of the rope groove.</w:t>
      </w:r>
    </w:p>
    <w:p w:rsidR="00AF2508" w:rsidRDefault="00AF2508">
      <w:pPr>
        <w:pStyle w:val="Amain"/>
      </w:pPr>
      <w:r>
        <w:tab/>
        <w:t>(15)</w:t>
      </w:r>
      <w:r>
        <w:tab/>
        <w:t>The rope groove shall be of such size and shape as to afford ample support for the fibre rope passing over the sheave.</w:t>
      </w:r>
    </w:p>
    <w:p w:rsidR="00AF2508" w:rsidRDefault="00AF2508">
      <w:pPr>
        <w:pStyle w:val="Amain"/>
      </w:pPr>
      <w:r>
        <w:tab/>
        <w:t>(16)</w:t>
      </w:r>
      <w:r>
        <w:tab/>
        <w:t>No such block shall, unless approved, be used in which the rope anchorage or becket is fixed to the block carcase by welding.</w:t>
      </w:r>
    </w:p>
    <w:p w:rsidR="00AF2508" w:rsidRDefault="00AF2508">
      <w:pPr>
        <w:pStyle w:val="Amain"/>
      </w:pPr>
      <w:r>
        <w:tab/>
        <w:t>(17)</w:t>
      </w:r>
      <w:r>
        <w:tab/>
        <w:t>Rope blocks shall be adequately secured to a needle by a steel wire rope lashing or by a steel fitting designed in conformity with the requirements of part 11.</w:t>
      </w:r>
    </w:p>
    <w:p w:rsidR="00AF2508" w:rsidRDefault="00AF2508">
      <w:pPr>
        <w:pStyle w:val="Amain"/>
      </w:pPr>
      <w:r>
        <w:tab/>
        <w:t>(18)</w:t>
      </w:r>
      <w:r>
        <w:tab/>
        <w:t>The mouth of every rope block hook shall be moused to prevent inadvertent displacement.</w:t>
      </w:r>
    </w:p>
    <w:p w:rsidR="00AF2508" w:rsidRDefault="00AF2508">
      <w:pPr>
        <w:pStyle w:val="Assectheading"/>
        <w:rPr>
          <w:i w:val="0"/>
        </w:rPr>
      </w:pPr>
      <w:r>
        <w:rPr>
          <w:rStyle w:val="charItals"/>
          <w:i/>
        </w:rPr>
        <w:t>Needles</w:t>
      </w:r>
    </w:p>
    <w:p w:rsidR="00AF2508" w:rsidRDefault="00AF2508">
      <w:pPr>
        <w:pStyle w:val="Amain"/>
      </w:pPr>
      <w:r>
        <w:rPr>
          <w:color w:val="000000"/>
        </w:rPr>
        <w:tab/>
        <w:t>(19)</w:t>
      </w:r>
      <w:r>
        <w:rPr>
          <w:color w:val="000000"/>
        </w:rPr>
        <w:tab/>
        <w:t xml:space="preserve">For this section, the cantilevers from which a light swinging stage tackle is suspended shall be known as </w:t>
      </w:r>
      <w:r>
        <w:rPr>
          <w:b/>
          <w:i/>
          <w:color w:val="000000"/>
        </w:rPr>
        <w:t>needles</w:t>
      </w:r>
      <w:r>
        <w:rPr>
          <w:color w:val="000000"/>
        </w:rPr>
        <w:t>.</w:t>
      </w:r>
    </w:p>
    <w:p w:rsidR="00AF2508" w:rsidRDefault="00AF2508">
      <w:pPr>
        <w:pStyle w:val="Amain"/>
      </w:pPr>
      <w:r>
        <w:tab/>
        <w:t>(20)</w:t>
      </w:r>
      <w:r>
        <w:tab/>
        <w:t>Timber needles of at least equivalent strength to Oregon pine shall in no case be of smaller sectional dimensions than 6 inches by 4 inches and shall be placed on edge.</w:t>
      </w:r>
    </w:p>
    <w:p w:rsidR="00AF2508" w:rsidRDefault="00AF2508">
      <w:pPr>
        <w:pStyle w:val="Amain"/>
      </w:pPr>
      <w:r>
        <w:tab/>
        <w:t>(21)</w:t>
      </w:r>
      <w:r>
        <w:tab/>
        <w:t>If needles of this minimum section are used, the point of suspension of the fall rope top block shall not be more than 2 feet from the point of bearing of the needle on the building or structure.</w:t>
      </w:r>
    </w:p>
    <w:p w:rsidR="00AF2508" w:rsidRDefault="00AF2508">
      <w:pPr>
        <w:pStyle w:val="Amain"/>
      </w:pPr>
      <w:r>
        <w:tab/>
        <w:t>(22)</w:t>
      </w:r>
      <w:r>
        <w:tab/>
        <w:t>If this dimension cannot be kept within this limit, needles of larger sectional dimensions shall be used and the transverse strength of such larger section shall bear the same proportion to a 6 inch by 4 inch section on edge as the longer length of the cantilevered portion bears to 2 feet.</w:t>
      </w:r>
    </w:p>
    <w:p w:rsidR="00AF2508" w:rsidRDefault="00AF2508">
      <w:pPr>
        <w:pStyle w:val="Amain"/>
      </w:pPr>
      <w:r>
        <w:tab/>
        <w:t>(23)</w:t>
      </w:r>
      <w:r>
        <w:tab/>
        <w:t>If timber needles are counterbalanced, their length shall not be less than 12 feet and not less than 9 feet of the length shall be on the counterbalanced side.</w:t>
      </w:r>
    </w:p>
    <w:p w:rsidR="00AF2508" w:rsidRDefault="00AF2508">
      <w:pPr>
        <w:pStyle w:val="Assectheading"/>
        <w:rPr>
          <w:i w:val="0"/>
        </w:rPr>
      </w:pPr>
      <w:r>
        <w:rPr>
          <w:rStyle w:val="charItals"/>
          <w:i/>
        </w:rPr>
        <w:t>Fixing of needles</w:t>
      </w:r>
    </w:p>
    <w:p w:rsidR="00AF2508" w:rsidRDefault="00AF2508">
      <w:pPr>
        <w:pStyle w:val="Amain"/>
      </w:pPr>
      <w:r>
        <w:rPr>
          <w:color w:val="000000"/>
        </w:rPr>
        <w:tab/>
        <w:t>(24)</w:t>
      </w:r>
      <w:r>
        <w:rPr>
          <w:color w:val="000000"/>
        </w:rPr>
        <w:tab/>
        <w:t>Needles shall either be firmly secured to the building or structure with bolts, approved steel fittings, or lashing, designed in conformity with the provisions of part 11 or they shall be counterbalanced with weights in accordance with that part.</w:t>
      </w:r>
    </w:p>
    <w:p w:rsidR="00AF2508" w:rsidRDefault="00AF2508">
      <w:pPr>
        <w:pStyle w:val="Amain"/>
      </w:pPr>
      <w:r>
        <w:tab/>
        <w:t>(25)</w:t>
      </w:r>
      <w:r>
        <w:tab/>
        <w:t>Provision shall be made to prevent needles turning over or moving laterally, and any planking, platform or other structure provided for supporting needles or the counterbalance on needles shall have adequate strength to sustain the maximum weight imposed without undue deflection.</w:t>
      </w:r>
    </w:p>
    <w:p w:rsidR="00AF2508" w:rsidRDefault="00AF2508">
      <w:pPr>
        <w:pStyle w:val="Assectheading"/>
        <w:rPr>
          <w:i w:val="0"/>
        </w:rPr>
      </w:pPr>
      <w:r>
        <w:rPr>
          <w:rStyle w:val="charItals"/>
          <w:i/>
        </w:rPr>
        <w:t>Counterbalance</w:t>
      </w:r>
    </w:p>
    <w:p w:rsidR="00AF2508" w:rsidRDefault="00AF2508">
      <w:pPr>
        <w:pStyle w:val="Amain"/>
      </w:pPr>
      <w:r>
        <w:rPr>
          <w:color w:val="000000"/>
        </w:rPr>
        <w:tab/>
        <w:t>(26)</w:t>
      </w:r>
      <w:r>
        <w:rPr>
          <w:color w:val="000000"/>
        </w:rPr>
        <w:tab/>
        <w:t>The net weight of the counterbalance on any needle shall not be less than 3 times the weight necessary to balance the weight of the load on the projecting part of a needle when the stage is fully loaded.</w:t>
      </w:r>
    </w:p>
    <w:p w:rsidR="00AF2508" w:rsidRDefault="00AF2508">
      <w:pPr>
        <w:pStyle w:val="Amain"/>
      </w:pPr>
      <w:r>
        <w:tab/>
        <w:t>(27)</w:t>
      </w:r>
      <w:r>
        <w:tab/>
        <w:t>In calculating the net weight of counterbalance, due regard shall be given to the points of suspension of the stage, the disposition of the counterbalance, and the point of substantial bearing of the needle between them.</w:t>
      </w:r>
    </w:p>
    <w:p w:rsidR="00AF2508" w:rsidRDefault="00AF2508">
      <w:pPr>
        <w:pStyle w:val="Amain"/>
      </w:pPr>
      <w:r>
        <w:tab/>
        <w:t>(28)</w:t>
      </w:r>
      <w:r>
        <w:tab/>
        <w:t>Every such counterbalance shall be secured to the needles in a way that will prevent it accidentally shifting or being inadvertently removed.</w:t>
      </w:r>
    </w:p>
    <w:p w:rsidR="00AF2508" w:rsidRDefault="00AF2508">
      <w:pPr>
        <w:pStyle w:val="Amain"/>
      </w:pPr>
      <w:r>
        <w:tab/>
        <w:t>(29)</w:t>
      </w:r>
      <w:r>
        <w:tab/>
        <w:t>Sand or liquids shall not be used as a counterbalance.</w:t>
      </w:r>
    </w:p>
    <w:p w:rsidR="00AF2508" w:rsidRDefault="00AF2508">
      <w:pPr>
        <w:pStyle w:val="Assectheading"/>
        <w:rPr>
          <w:i w:val="0"/>
        </w:rPr>
      </w:pPr>
      <w:r>
        <w:rPr>
          <w:rStyle w:val="charItals"/>
          <w:i/>
        </w:rPr>
        <w:t>Use of parapet hooks prohibited</w:t>
      </w:r>
    </w:p>
    <w:p w:rsidR="00AF2508" w:rsidRDefault="00AF2508">
      <w:pPr>
        <w:pStyle w:val="Amain"/>
        <w:rPr>
          <w:color w:val="000000"/>
        </w:rPr>
      </w:pPr>
      <w:r>
        <w:rPr>
          <w:color w:val="000000"/>
        </w:rPr>
        <w:tab/>
        <w:t>(30)</w:t>
      </w:r>
      <w:r>
        <w:rPr>
          <w:color w:val="000000"/>
        </w:rPr>
        <w:tab/>
        <w:t>A parapet hook shall not be used for the purpose of suspending a light swinging stage.</w:t>
      </w:r>
    </w:p>
    <w:p w:rsidR="00AF2508" w:rsidRDefault="00AF2508">
      <w:pPr>
        <w:pStyle w:val="Assectheading"/>
        <w:rPr>
          <w:i w:val="0"/>
        </w:rPr>
      </w:pPr>
      <w:r>
        <w:rPr>
          <w:rStyle w:val="charItals"/>
          <w:i/>
        </w:rPr>
        <w:t>Stage to be kept level</w:t>
      </w:r>
    </w:p>
    <w:p w:rsidR="00AF2508" w:rsidRDefault="00AF2508">
      <w:pPr>
        <w:pStyle w:val="Amain"/>
        <w:rPr>
          <w:color w:val="000000"/>
        </w:rPr>
      </w:pPr>
      <w:r>
        <w:rPr>
          <w:color w:val="000000"/>
        </w:rPr>
        <w:tab/>
        <w:t>(31)</w:t>
      </w:r>
      <w:r>
        <w:rPr>
          <w:color w:val="000000"/>
        </w:rPr>
        <w:tab/>
        <w:t>In raising and lowering a light swinging stage the process shall be carried out in such a way as to ensure that the platform will remain substantially level.</w:t>
      </w:r>
    </w:p>
    <w:p w:rsidR="00AF2508" w:rsidRDefault="00AF2508">
      <w:pPr>
        <w:pStyle w:val="Assectheading"/>
        <w:rPr>
          <w:i w:val="0"/>
        </w:rPr>
      </w:pPr>
      <w:r>
        <w:rPr>
          <w:rStyle w:val="charItals"/>
          <w:i/>
        </w:rPr>
        <w:t>Winches for light swinging stages</w:t>
      </w:r>
    </w:p>
    <w:p w:rsidR="00AF2508" w:rsidRDefault="00AF2508">
      <w:pPr>
        <w:pStyle w:val="Amain"/>
      </w:pPr>
      <w:r>
        <w:rPr>
          <w:color w:val="000000"/>
        </w:rPr>
        <w:tab/>
        <w:t>(32)</w:t>
      </w:r>
      <w:r>
        <w:rPr>
          <w:color w:val="000000"/>
        </w:rPr>
        <w:tab/>
        <w:t>A machine, winch or other mechanism may be used for raising and lowering a light swinging stage provided that—</w:t>
      </w:r>
    </w:p>
    <w:p w:rsidR="00AF2508" w:rsidRDefault="00AF2508">
      <w:pPr>
        <w:pStyle w:val="Apara"/>
      </w:pPr>
      <w:r>
        <w:tab/>
        <w:t>(a)</w:t>
      </w:r>
      <w:r>
        <w:tab/>
        <w:t>a design; or</w:t>
      </w:r>
    </w:p>
    <w:p w:rsidR="00AF2508" w:rsidRDefault="00AF2508">
      <w:pPr>
        <w:pStyle w:val="Apara"/>
      </w:pPr>
      <w:r>
        <w:tab/>
        <w:t>(b)</w:t>
      </w:r>
      <w:r>
        <w:tab/>
        <w:t>a sample together with a written description of how the machine, winch or mechanism is to be set up, used and maintained;</w:t>
      </w:r>
    </w:p>
    <w:p w:rsidR="00AF2508" w:rsidRDefault="00AF2508">
      <w:pPr>
        <w:pStyle w:val="Amainreturn"/>
      </w:pPr>
      <w:r>
        <w:t>has previously been submitted to the chief inspector and has been approved.</w:t>
      </w:r>
    </w:p>
    <w:p w:rsidR="00AF2508" w:rsidRDefault="00AF2508">
      <w:pPr>
        <w:pStyle w:val="Amain"/>
      </w:pPr>
      <w:r>
        <w:tab/>
        <w:t>(33)</w:t>
      </w:r>
      <w:r>
        <w:tab/>
        <w:t>All such machines, winches and mechanisms shall be designed, set up, used, and maintained as provided in the section and in accordance with the approved design and description, and while in use they shall be kept lubricated and maintained in an efficient state of repair and free from any accumulation of dust, dirt, or foreign matter.</w:t>
      </w:r>
    </w:p>
    <w:p w:rsidR="00AF2508" w:rsidRDefault="00AF2508">
      <w:pPr>
        <w:pStyle w:val="Amain"/>
      </w:pPr>
      <w:r>
        <w:tab/>
        <w:t>(34)</w:t>
      </w:r>
      <w:r>
        <w:tab/>
        <w:t>Ropes shall be wound evenly on the drum of such machine, winch or mechanism and not more rope than can be accommodated between the drum flanges shall be wound on the drum.</w:t>
      </w:r>
    </w:p>
    <w:p w:rsidR="00AF2508" w:rsidRDefault="00AF2508">
      <w:pPr>
        <w:pStyle w:val="Amain"/>
      </w:pPr>
      <w:r>
        <w:tab/>
        <w:t>(35)</w:t>
      </w:r>
      <w:r>
        <w:tab/>
        <w:t>The handles of all such machines, winches and mechanisms when not actually in use for raising or lowering shall be kept in that position that will prevent the stage from descending.</w:t>
      </w:r>
    </w:p>
    <w:p w:rsidR="00AF2508" w:rsidRDefault="00AF2508">
      <w:pPr>
        <w:pStyle w:val="Assectheading"/>
        <w:rPr>
          <w:i w:val="0"/>
        </w:rPr>
      </w:pPr>
      <w:r>
        <w:rPr>
          <w:rStyle w:val="charItals"/>
          <w:i/>
        </w:rPr>
        <w:t>Restrictions of light swinging stages</w:t>
      </w:r>
    </w:p>
    <w:p w:rsidR="00AF2508" w:rsidRDefault="00AF2508">
      <w:pPr>
        <w:pStyle w:val="Amain"/>
      </w:pPr>
      <w:r>
        <w:rPr>
          <w:color w:val="000000"/>
        </w:rPr>
        <w:tab/>
        <w:t>(36)</w:t>
      </w:r>
      <w:r>
        <w:rPr>
          <w:color w:val="000000"/>
        </w:rPr>
        <w:tab/>
        <w:t>Light swinging stages shall not be used where, in the opinion of an inspector—</w:t>
      </w:r>
    </w:p>
    <w:p w:rsidR="00AF2508" w:rsidRDefault="00AF2508">
      <w:pPr>
        <w:pStyle w:val="Apara"/>
      </w:pPr>
      <w:r>
        <w:tab/>
        <w:t>(a)</w:t>
      </w:r>
      <w:r>
        <w:tab/>
        <w:t>the position of the scaffolding and the conditions under which the scaffolding is or would be used are dangerous to human life and limb; or</w:t>
      </w:r>
    </w:p>
    <w:p w:rsidR="00AF2508" w:rsidRDefault="00AF2508">
      <w:pPr>
        <w:pStyle w:val="Apara"/>
      </w:pPr>
      <w:r>
        <w:tab/>
        <w:t>(b)</w:t>
      </w:r>
      <w:r>
        <w:tab/>
        <w:t>the building or structure to which the scaffolding is attached or is proposed to be attached is not suitable for safely supporting the type of scaffolding used or proposed to be used; or</w:t>
      </w:r>
    </w:p>
    <w:p w:rsidR="00AF2508" w:rsidRDefault="00AF2508">
      <w:pPr>
        <w:pStyle w:val="Apara"/>
      </w:pPr>
      <w:r>
        <w:tab/>
        <w:t>(c)</w:t>
      </w:r>
      <w:r>
        <w:tab/>
        <w:t>the scaffolding is not suitable for the work contemplated.</w:t>
      </w:r>
    </w:p>
    <w:p w:rsidR="00AF2508" w:rsidRDefault="00AF2508">
      <w:pPr>
        <w:pStyle w:val="Amain"/>
      </w:pPr>
      <w:r>
        <w:tab/>
        <w:t>(37)</w:t>
      </w:r>
      <w:r>
        <w:tab/>
        <w:t>No person under 18 years old and no person unless specially authorised by his or her employer so to do shall work a machine, winch or mechanism used for raising or lowering a light swinging stage and no person shall interfere with it.</w:t>
      </w:r>
    </w:p>
    <w:p w:rsidR="00AF2508" w:rsidRDefault="00AF2508">
      <w:pPr>
        <w:pStyle w:val="Amain"/>
      </w:pPr>
      <w:r>
        <w:tab/>
        <w:t>(38)</w:t>
      </w:r>
      <w:r>
        <w:tab/>
        <w:t>No person shall employ, instruct, or direct any person under 18 years old to act in contravention of this provision.</w:t>
      </w:r>
    </w:p>
    <w:p w:rsidR="00AF2508" w:rsidRDefault="00AF2508">
      <w:pPr>
        <w:pStyle w:val="Assectheading"/>
        <w:rPr>
          <w:i w:val="0"/>
        </w:rPr>
      </w:pPr>
      <w:r>
        <w:rPr>
          <w:rStyle w:val="charItals"/>
          <w:i/>
        </w:rPr>
        <w:t>Inspection</w:t>
      </w:r>
    </w:p>
    <w:p w:rsidR="00AF2508" w:rsidRDefault="00AF2508">
      <w:pPr>
        <w:pStyle w:val="Amain"/>
      </w:pPr>
      <w:r>
        <w:rPr>
          <w:color w:val="000000"/>
        </w:rPr>
        <w:tab/>
        <w:t>(39)</w:t>
      </w:r>
      <w:r>
        <w:rPr>
          <w:color w:val="000000"/>
        </w:rPr>
        <w:tab/>
        <w:t>Immediately before the erection of a light swinging stage and at frequent intervals afterwards, the person actually responsible for erecting the stage and the scaffolder in charge of the work shall inspect all parts of the stage and its supports and satisfy himself or herself as to its safety and conformity with the section.</w:t>
      </w:r>
    </w:p>
    <w:p w:rsidR="00AF2508" w:rsidRDefault="00AF2508">
      <w:pPr>
        <w:pStyle w:val="AH4SubDiv"/>
      </w:pPr>
      <w:bookmarkStart w:id="168" w:name="_Toc161636832"/>
      <w:r>
        <w:t>Boatswain’s chairs</w:t>
      </w:r>
      <w:bookmarkEnd w:id="168"/>
    </w:p>
    <w:p w:rsidR="00AF2508" w:rsidRDefault="00AF2508">
      <w:pPr>
        <w:pStyle w:val="AH5Sec"/>
      </w:pPr>
      <w:bookmarkStart w:id="169" w:name="_Toc161636833"/>
      <w:r>
        <w:rPr>
          <w:rStyle w:val="CharSectNo"/>
        </w:rPr>
        <w:t>92</w:t>
      </w:r>
      <w:bookmarkEnd w:id="169"/>
      <w:r>
        <w:tab/>
        <w:t xml:space="preserve">  </w:t>
      </w:r>
    </w:p>
    <w:p w:rsidR="00AF2508" w:rsidRDefault="00AF2508">
      <w:pPr>
        <w:pStyle w:val="Assectheading"/>
      </w:pPr>
      <w:r>
        <w:rPr>
          <w:rStyle w:val="charItals"/>
          <w:i/>
        </w:rPr>
        <w:t>Seat construction</w:t>
      </w:r>
    </w:p>
    <w:p w:rsidR="00AF2508" w:rsidRDefault="00AF2508">
      <w:pPr>
        <w:pStyle w:val="Amain"/>
      </w:pPr>
      <w:r>
        <w:rPr>
          <w:color w:val="000000"/>
        </w:rPr>
        <w:tab/>
        <w:t>(1)</w:t>
      </w:r>
      <w:r>
        <w:rPr>
          <w:color w:val="000000"/>
        </w:rPr>
        <w:tab/>
        <w:t>The seat of a boatswain’s chair shall be constructed of timber not less than 1 inch in thickness and the seat shall be so arranged that a person seated in it shall have a seating space of not less than 18 inches by 10 inches.</w:t>
      </w:r>
    </w:p>
    <w:p w:rsidR="00AF2508" w:rsidRDefault="00AF2508">
      <w:pPr>
        <w:pStyle w:val="Amain"/>
      </w:pPr>
      <w:r>
        <w:tab/>
        <w:t>(2)</w:t>
      </w:r>
      <w:r>
        <w:tab/>
        <w:t>Cleats made of timber not less than 3 inches by 1 inch sectional dimensions shall be firmly fixed to the ends of the timber, on the underside, forming the seat.</w:t>
      </w:r>
    </w:p>
    <w:p w:rsidR="00AF2508" w:rsidRDefault="00AF2508">
      <w:pPr>
        <w:pStyle w:val="Assectheading"/>
      </w:pPr>
      <w:r>
        <w:rPr>
          <w:rStyle w:val="charItals"/>
          <w:i/>
        </w:rPr>
        <w:t>Slings</w:t>
      </w:r>
    </w:p>
    <w:p w:rsidR="00AF2508" w:rsidRDefault="00AF2508">
      <w:pPr>
        <w:pStyle w:val="Amain"/>
      </w:pPr>
      <w:r>
        <w:rPr>
          <w:color w:val="000000"/>
        </w:rPr>
        <w:tab/>
        <w:t>(3)</w:t>
      </w:r>
      <w:r>
        <w:rPr>
          <w:color w:val="000000"/>
        </w:rPr>
        <w:tab/>
        <w:t>The slings supporting the seat of a boatswain’s chair shall be of fibre rope, not less than 1</w:t>
      </w:r>
      <w:r>
        <w:rPr>
          <w:color w:val="000000"/>
          <w:position w:val="6"/>
          <w:sz w:val="18"/>
        </w:rPr>
        <w:t>1</w:t>
      </w:r>
      <w:r>
        <w:rPr>
          <w:color w:val="000000"/>
        </w:rPr>
        <w:t>/</w:t>
      </w:r>
      <w:r>
        <w:rPr>
          <w:color w:val="000000"/>
          <w:sz w:val="18"/>
        </w:rPr>
        <w:t>2</w:t>
      </w:r>
      <w:r>
        <w:rPr>
          <w:color w:val="000000"/>
        </w:rPr>
        <w:t xml:space="preserve"> inches in circumference.</w:t>
      </w:r>
    </w:p>
    <w:p w:rsidR="00AF2508" w:rsidRDefault="00AF2508">
      <w:pPr>
        <w:pStyle w:val="Amain"/>
      </w:pPr>
      <w:r>
        <w:tab/>
        <w:t>(4)</w:t>
      </w:r>
      <w:r>
        <w:tab/>
        <w:t>These slings shall be crossed underneath the chair seat and each leg shall pass through a suitable hole, 1 in each of the 4 corners of the seat and be arranged to form a loop over the seat to take a rope pulley block hook.</w:t>
      </w:r>
    </w:p>
    <w:p w:rsidR="00AF2508" w:rsidRDefault="00AF2508">
      <w:pPr>
        <w:pStyle w:val="Amain"/>
      </w:pPr>
      <w:r>
        <w:tab/>
        <w:t>(5)</w:t>
      </w:r>
      <w:r>
        <w:tab/>
        <w:t>These slings shall be fixed to the underside of the seat to prevent the seat tilting in the slings.</w:t>
      </w:r>
    </w:p>
    <w:p w:rsidR="00AF2508" w:rsidRDefault="00AF2508">
      <w:pPr>
        <w:pStyle w:val="Assectheading"/>
        <w:rPr>
          <w:i w:val="0"/>
        </w:rPr>
      </w:pPr>
      <w:r>
        <w:rPr>
          <w:rStyle w:val="charItals"/>
          <w:i/>
        </w:rPr>
        <w:t>Tackle</w:t>
      </w:r>
      <w:r>
        <w:rPr>
          <w:i w:val="0"/>
          <w:color w:val="000000"/>
        </w:rPr>
        <w:t>—</w:t>
      </w:r>
      <w:r>
        <w:rPr>
          <w:rStyle w:val="charItals"/>
          <w:i/>
        </w:rPr>
        <w:t>blocks</w:t>
      </w:r>
    </w:p>
    <w:p w:rsidR="00AF2508" w:rsidRDefault="00AF2508">
      <w:pPr>
        <w:pStyle w:val="Amain"/>
      </w:pPr>
      <w:r>
        <w:tab/>
        <w:t>(6)</w:t>
      </w:r>
      <w:r>
        <w:tab/>
        <w:t>The rope blocks included in the tackle for suspending and raising and lowering a boatswain’s chair shall be 1 (one) 2-sheave upper block and a single sheave lower block.</w:t>
      </w:r>
    </w:p>
    <w:p w:rsidR="00AF2508" w:rsidRDefault="00AF2508">
      <w:pPr>
        <w:pStyle w:val="Amain"/>
      </w:pPr>
      <w:r>
        <w:tab/>
        <w:t>(7)</w:t>
      </w:r>
      <w:r>
        <w:tab/>
        <w:t>The carcase of each block shall be of steel and the rope anchor or becket on the bottom block shall not unless approved be fixed to the block by welding.</w:t>
      </w:r>
    </w:p>
    <w:p w:rsidR="00AF2508" w:rsidRDefault="00AF2508">
      <w:pPr>
        <w:pStyle w:val="Amain"/>
      </w:pPr>
      <w:r>
        <w:tab/>
        <w:t>(8)</w:t>
      </w:r>
      <w:r>
        <w:tab/>
        <w:t>The rope sheaves shall be not less than 4 inches in diameter and they shall be grooved to accommodate the tackle rope.</w:t>
      </w:r>
    </w:p>
    <w:p w:rsidR="00AF2508" w:rsidRDefault="00AF2508">
      <w:pPr>
        <w:pStyle w:val="Assectheading"/>
        <w:rPr>
          <w:i w:val="0"/>
        </w:rPr>
      </w:pPr>
      <w:r>
        <w:rPr>
          <w:rStyle w:val="charItals"/>
          <w:i/>
        </w:rPr>
        <w:t>Tackle</w:t>
      </w:r>
      <w:r>
        <w:rPr>
          <w:i w:val="0"/>
          <w:color w:val="000000"/>
        </w:rPr>
        <w:t>—</w:t>
      </w:r>
      <w:r>
        <w:rPr>
          <w:rStyle w:val="charItals"/>
          <w:i/>
        </w:rPr>
        <w:t>rope</w:t>
      </w:r>
    </w:p>
    <w:p w:rsidR="00AF2508" w:rsidRDefault="00AF2508">
      <w:pPr>
        <w:pStyle w:val="Amain"/>
      </w:pPr>
      <w:r>
        <w:tab/>
        <w:t>(9)</w:t>
      </w:r>
      <w:r>
        <w:tab/>
        <w:t>The rope of the tackle suspending a boatswain’s chair shall be of either Manila or sisal fibre.</w:t>
      </w:r>
    </w:p>
    <w:p w:rsidR="00AF2508" w:rsidRDefault="00AF2508">
      <w:pPr>
        <w:pStyle w:val="Amain"/>
      </w:pPr>
      <w:r>
        <w:tab/>
        <w:t>(10)</w:t>
      </w:r>
      <w:r>
        <w:tab/>
        <w:t>The rope shall be so reeved as to form a 4-part rope tackle and shall be not less than 2 inches in circumference.</w:t>
      </w:r>
    </w:p>
    <w:p w:rsidR="00AF2508" w:rsidRDefault="00AF2508">
      <w:pPr>
        <w:pStyle w:val="Assectheading"/>
        <w:rPr>
          <w:i w:val="0"/>
        </w:rPr>
      </w:pPr>
      <w:r>
        <w:rPr>
          <w:rStyle w:val="charItals"/>
          <w:i/>
        </w:rPr>
        <w:t>Support</w:t>
      </w:r>
    </w:p>
    <w:p w:rsidR="00AF2508" w:rsidRDefault="00AF2508">
      <w:pPr>
        <w:pStyle w:val="Amain"/>
        <w:rPr>
          <w:color w:val="000000"/>
        </w:rPr>
      </w:pPr>
      <w:r>
        <w:rPr>
          <w:color w:val="000000"/>
        </w:rPr>
        <w:tab/>
        <w:t>(11)</w:t>
      </w:r>
      <w:r>
        <w:rPr>
          <w:color w:val="000000"/>
        </w:rPr>
        <w:tab/>
        <w:t>All overhead support for a boatswain’s chair shall be safely secured in position and shall be of sufficient strength to sustain not less than 4 times the weight to be suspended from it.</w:t>
      </w:r>
    </w:p>
    <w:p w:rsidR="00AF2508" w:rsidRDefault="00AF2508">
      <w:pPr>
        <w:pStyle w:val="Assectheading"/>
        <w:rPr>
          <w:i w:val="0"/>
        </w:rPr>
      </w:pPr>
      <w:r>
        <w:rPr>
          <w:rStyle w:val="charItals"/>
          <w:i/>
        </w:rPr>
        <w:t>Inspection</w:t>
      </w:r>
    </w:p>
    <w:p w:rsidR="00AF2508" w:rsidRDefault="00AF2508">
      <w:pPr>
        <w:pStyle w:val="Amain"/>
      </w:pPr>
      <w:r>
        <w:rPr>
          <w:color w:val="000000"/>
        </w:rPr>
        <w:tab/>
        <w:t>(12)</w:t>
      </w:r>
      <w:r>
        <w:rPr>
          <w:color w:val="000000"/>
        </w:rPr>
        <w:tab/>
        <w:t>Immediately before the erection of a boatswain’s chair, and at frequent intervals afterwards, the person actually responsible for the erection of the chair, or the person in charge of the work, shall inspect the overhead supports and the tackle to see that it is safe for use and in use.</w:t>
      </w:r>
    </w:p>
    <w:p w:rsidR="00AF2508" w:rsidRDefault="00AF2508">
      <w:pPr>
        <w:pStyle w:val="AH4SubDiv"/>
      </w:pPr>
      <w:bookmarkStart w:id="170" w:name="_Toc161636834"/>
      <w:r>
        <w:t>Scaffolding for use on ships in dock or on slips</w:t>
      </w:r>
      <w:bookmarkEnd w:id="170"/>
    </w:p>
    <w:p w:rsidR="00AF2508" w:rsidRDefault="00AF2508">
      <w:pPr>
        <w:pStyle w:val="AH5Sec"/>
      </w:pPr>
      <w:bookmarkStart w:id="171" w:name="_Toc161636835"/>
      <w:r>
        <w:rPr>
          <w:rStyle w:val="CharSectNo"/>
        </w:rPr>
        <w:t>93</w:t>
      </w:r>
      <w:bookmarkEnd w:id="171"/>
      <w:r>
        <w:tab/>
        <w:t xml:space="preserve">  </w:t>
      </w:r>
    </w:p>
    <w:p w:rsidR="00AF2508" w:rsidRDefault="00AF2508">
      <w:pPr>
        <w:pStyle w:val="Assectheading"/>
        <w:rPr>
          <w:i w:val="0"/>
        </w:rPr>
      </w:pPr>
      <w:r>
        <w:rPr>
          <w:rStyle w:val="charItals"/>
          <w:i/>
        </w:rPr>
        <w:t>Large flying stages</w:t>
      </w:r>
      <w:r>
        <w:rPr>
          <w:i w:val="0"/>
          <w:color w:val="000000"/>
        </w:rPr>
        <w:t>—</w:t>
      </w:r>
      <w:r>
        <w:rPr>
          <w:rStyle w:val="charItals"/>
          <w:i/>
        </w:rPr>
        <w:t>working platforms</w:t>
      </w:r>
    </w:p>
    <w:p w:rsidR="00AF2508" w:rsidRDefault="00AF2508">
      <w:pPr>
        <w:pStyle w:val="Amain"/>
      </w:pPr>
      <w:r>
        <w:tab/>
        <w:t>(1)</w:t>
      </w:r>
      <w:r>
        <w:tab/>
        <w:t>The working platform of this type of scaffolding shall be Oregon pine planks not less than 12 inches by 3 inches sectional dimensions and if the distance between the ropes supporting the stage exceeds 18 feet an intermediate supporting rope shall be used.</w:t>
      </w:r>
    </w:p>
    <w:p w:rsidR="00AF2508" w:rsidRDefault="00AF2508">
      <w:pPr>
        <w:pStyle w:val="Amain"/>
      </w:pPr>
      <w:r>
        <w:tab/>
        <w:t>(2)</w:t>
      </w:r>
      <w:r>
        <w:tab/>
        <w:t>Staging planks shall lap at least 4 feet.</w:t>
      </w:r>
    </w:p>
    <w:p w:rsidR="00AF2508" w:rsidRDefault="00AF2508">
      <w:pPr>
        <w:pStyle w:val="Assectheading"/>
        <w:rPr>
          <w:i w:val="0"/>
        </w:rPr>
      </w:pPr>
      <w:r>
        <w:rPr>
          <w:rStyle w:val="charItals"/>
          <w:i/>
        </w:rPr>
        <w:t>Large flying stages</w:t>
      </w:r>
      <w:r>
        <w:rPr>
          <w:i w:val="0"/>
          <w:color w:val="000000"/>
        </w:rPr>
        <w:t>—</w:t>
      </w:r>
      <w:r>
        <w:rPr>
          <w:rStyle w:val="charItals"/>
          <w:i/>
        </w:rPr>
        <w:t>stage ropes</w:t>
      </w:r>
    </w:p>
    <w:p w:rsidR="00AF2508" w:rsidRDefault="00AF2508">
      <w:pPr>
        <w:pStyle w:val="Amain"/>
      </w:pPr>
      <w:r>
        <w:tab/>
        <w:t>(3)</w:t>
      </w:r>
      <w:r>
        <w:tab/>
        <w:t>The stage ropes shall be flexible steel wire ropes not less than 1</w:t>
      </w:r>
      <w:r>
        <w:rPr>
          <w:position w:val="6"/>
          <w:sz w:val="18"/>
        </w:rPr>
        <w:t>1</w:t>
      </w:r>
      <w:r>
        <w:t>/</w:t>
      </w:r>
      <w:r>
        <w:rPr>
          <w:sz w:val="18"/>
        </w:rPr>
        <w:t>2 </w:t>
      </w:r>
      <w:r>
        <w:t>inches in circumference and shall have a long eye spliced in one end to go round planks, the eye to be not less than 4 feet 6 inches in length.</w:t>
      </w:r>
    </w:p>
    <w:p w:rsidR="00AF2508" w:rsidRDefault="00AF2508">
      <w:pPr>
        <w:pStyle w:val="Amain"/>
      </w:pPr>
      <w:r>
        <w:tab/>
        <w:t>(4)</w:t>
      </w:r>
      <w:r>
        <w:tab/>
        <w:t>A short eye shall be spliced in the other end to take a tail rope.</w:t>
      </w:r>
    </w:p>
    <w:p w:rsidR="00AF2508" w:rsidRDefault="00AF2508">
      <w:pPr>
        <w:pStyle w:val="Amain"/>
      </w:pPr>
      <w:r>
        <w:tab/>
        <w:t>(5)</w:t>
      </w:r>
      <w:r>
        <w:tab/>
        <w:t>Tail ropes shall be flexible steel wire ropes not less than 1</w:t>
      </w:r>
      <w:r>
        <w:rPr>
          <w:position w:val="6"/>
          <w:sz w:val="18"/>
        </w:rPr>
        <w:t>1</w:t>
      </w:r>
      <w:r>
        <w:t>/</w:t>
      </w:r>
      <w:r>
        <w:rPr>
          <w:sz w:val="18"/>
        </w:rPr>
        <w:t>2</w:t>
      </w:r>
      <w:r>
        <w:t xml:space="preserve"> inches in circumference and of sufficient length to pass over the bulwarks.</w:t>
      </w:r>
    </w:p>
    <w:p w:rsidR="00AF2508" w:rsidRDefault="00AF2508">
      <w:pPr>
        <w:pStyle w:val="Amain"/>
      </w:pPr>
      <w:r>
        <w:tab/>
        <w:t>(6)</w:t>
      </w:r>
      <w:r>
        <w:tab/>
        <w:t>Stage ropes shall be attached to planks, in the middle of plank laps, with 1 full turn of the large eye.</w:t>
      </w:r>
    </w:p>
    <w:p w:rsidR="00AF2508" w:rsidRDefault="00AF2508">
      <w:pPr>
        <w:pStyle w:val="Assectheading"/>
        <w:rPr>
          <w:i w:val="0"/>
        </w:rPr>
      </w:pPr>
      <w:r>
        <w:rPr>
          <w:rStyle w:val="charItals"/>
          <w:i/>
        </w:rPr>
        <w:t>Large flying stages</w:t>
      </w:r>
      <w:r>
        <w:rPr>
          <w:i w:val="0"/>
          <w:color w:val="000000"/>
        </w:rPr>
        <w:t>—</w:t>
      </w:r>
      <w:r>
        <w:rPr>
          <w:rStyle w:val="charItals"/>
          <w:i/>
        </w:rPr>
        <w:t>guys</w:t>
      </w:r>
    </w:p>
    <w:p w:rsidR="00AF2508" w:rsidRDefault="00AF2508">
      <w:pPr>
        <w:pStyle w:val="Amain"/>
      </w:pPr>
      <w:r>
        <w:tab/>
        <w:t>(7)</w:t>
      </w:r>
      <w:r>
        <w:tab/>
        <w:t>A sufficient number of guy ropes shall be used to secure proper steadiness of every stage.</w:t>
      </w:r>
    </w:p>
    <w:p w:rsidR="00AF2508" w:rsidRDefault="00AF2508">
      <w:pPr>
        <w:pStyle w:val="Amain"/>
      </w:pPr>
      <w:r>
        <w:tab/>
        <w:t>(8)</w:t>
      </w:r>
      <w:r>
        <w:tab/>
        <w:t>The guys shall be of flexible steel wire, not less than 1</w:t>
      </w:r>
      <w:r>
        <w:rPr>
          <w:position w:val="6"/>
          <w:sz w:val="18"/>
        </w:rPr>
        <w:t>1</w:t>
      </w:r>
      <w:r>
        <w:t>/</w:t>
      </w:r>
      <w:r>
        <w:rPr>
          <w:sz w:val="18"/>
        </w:rPr>
        <w:t>4</w:t>
      </w:r>
      <w:r>
        <w:t xml:space="preserve"> inches in circumference with fibre tail ropes not less than 2 inches in circumference.</w:t>
      </w:r>
    </w:p>
    <w:p w:rsidR="00AF2508" w:rsidRDefault="00AF2508">
      <w:pPr>
        <w:pStyle w:val="Amain"/>
      </w:pPr>
      <w:r>
        <w:tab/>
        <w:t>(9)</w:t>
      </w:r>
      <w:r>
        <w:tab/>
        <w:t>Guy and tail ropes shall be attached by means of spliced eyes.</w:t>
      </w:r>
    </w:p>
    <w:p w:rsidR="00AF2508" w:rsidRDefault="00AF2508">
      <w:pPr>
        <w:pStyle w:val="Amain"/>
      </w:pPr>
      <w:r>
        <w:tab/>
        <w:t>(10)</w:t>
      </w:r>
      <w:r>
        <w:tab/>
        <w:t>All stages shall have effective end guys.</w:t>
      </w:r>
    </w:p>
    <w:p w:rsidR="00AF2508" w:rsidRDefault="00AF2508">
      <w:pPr>
        <w:pStyle w:val="Assectheading"/>
        <w:rPr>
          <w:i w:val="0"/>
        </w:rPr>
      </w:pPr>
      <w:r>
        <w:rPr>
          <w:rStyle w:val="charItals"/>
          <w:i/>
        </w:rPr>
        <w:t>Large flying stages</w:t>
      </w:r>
      <w:r>
        <w:rPr>
          <w:i w:val="0"/>
          <w:color w:val="000000"/>
        </w:rPr>
        <w:t>—</w:t>
      </w:r>
      <w:r>
        <w:rPr>
          <w:rStyle w:val="charItals"/>
          <w:i/>
        </w:rPr>
        <w:t>life-lines</w:t>
      </w:r>
    </w:p>
    <w:p w:rsidR="00AF2508" w:rsidRDefault="00AF2508">
      <w:pPr>
        <w:pStyle w:val="Amain"/>
      </w:pPr>
      <w:r>
        <w:tab/>
        <w:t>(11)</w:t>
      </w:r>
      <w:r>
        <w:tab/>
        <w:t>All stages shall be provided with life-lines of not less than 2</w:t>
      </w:r>
      <w:r>
        <w:rPr>
          <w:position w:val="6"/>
          <w:sz w:val="18"/>
        </w:rPr>
        <w:t>1</w:t>
      </w:r>
      <w:r>
        <w:t>/</w:t>
      </w:r>
      <w:r>
        <w:rPr>
          <w:sz w:val="18"/>
        </w:rPr>
        <w:t>2</w:t>
      </w:r>
      <w:r>
        <w:t xml:space="preserve"> inch circumference fibre rope properly secured to the stage ropes by means of fibre rope lanyards not less than 1</w:t>
      </w:r>
      <w:r>
        <w:rPr>
          <w:position w:val="6"/>
          <w:sz w:val="18"/>
        </w:rPr>
        <w:t>1</w:t>
      </w:r>
      <w:r>
        <w:t>/</w:t>
      </w:r>
      <w:r>
        <w:rPr>
          <w:sz w:val="18"/>
        </w:rPr>
        <w:t>4</w:t>
      </w:r>
      <w:r>
        <w:t xml:space="preserve"> inches in circumference at a height of not less than 2 feet 6 inches above the surface of the planks.</w:t>
      </w:r>
    </w:p>
    <w:p w:rsidR="00AF2508" w:rsidRDefault="00AF2508">
      <w:pPr>
        <w:pStyle w:val="Assectheading"/>
        <w:rPr>
          <w:i w:val="0"/>
        </w:rPr>
      </w:pPr>
      <w:r>
        <w:rPr>
          <w:rStyle w:val="charItals"/>
          <w:i/>
        </w:rPr>
        <w:t>Small flying stages</w:t>
      </w:r>
      <w:r>
        <w:rPr>
          <w:i w:val="0"/>
          <w:color w:val="000000"/>
        </w:rPr>
        <w:t>—</w:t>
      </w:r>
      <w:r>
        <w:rPr>
          <w:rStyle w:val="charItals"/>
          <w:i/>
        </w:rPr>
        <w:t>working platform</w:t>
      </w:r>
    </w:p>
    <w:p w:rsidR="00AF2508" w:rsidRDefault="00AF2508">
      <w:pPr>
        <w:pStyle w:val="Amain"/>
      </w:pPr>
      <w:r>
        <w:tab/>
        <w:t>(12)</w:t>
      </w:r>
      <w:r>
        <w:tab/>
        <w:t>The working platform of this type of scaffolding shall be Oregon pine planks not less than 12 inches by 2 inches sectional dimensions and not more than 14 feet in length.</w:t>
      </w:r>
    </w:p>
    <w:p w:rsidR="00AF2508" w:rsidRDefault="00AF2508">
      <w:pPr>
        <w:pStyle w:val="Assectheading"/>
        <w:rPr>
          <w:i w:val="0"/>
        </w:rPr>
      </w:pPr>
      <w:r>
        <w:rPr>
          <w:rStyle w:val="charItals"/>
          <w:i/>
        </w:rPr>
        <w:t>Small flying stages</w:t>
      </w:r>
      <w:r>
        <w:rPr>
          <w:i w:val="0"/>
          <w:color w:val="000000"/>
        </w:rPr>
        <w:t>—</w:t>
      </w:r>
      <w:r>
        <w:rPr>
          <w:rStyle w:val="charItals"/>
          <w:i/>
        </w:rPr>
        <w:t>stage ropes</w:t>
      </w:r>
    </w:p>
    <w:p w:rsidR="00AF2508" w:rsidRDefault="00AF2508">
      <w:pPr>
        <w:pStyle w:val="Amain"/>
      </w:pPr>
      <w:r>
        <w:tab/>
        <w:t>(13)</w:t>
      </w:r>
      <w:r>
        <w:tab/>
        <w:t>The stage ropes shall be flexible steel wire ropes not less than 1 inch in circumference and shall be attached to planks by making 1 full turn around the plank, seizing the rope beneath the plank and stapling it in position at the sides of the plank.</w:t>
      </w:r>
    </w:p>
    <w:p w:rsidR="00AF2508" w:rsidRDefault="00AF2508">
      <w:pPr>
        <w:pStyle w:val="Amain"/>
      </w:pPr>
      <w:r>
        <w:tab/>
        <w:t>(14)</w:t>
      </w:r>
      <w:r>
        <w:tab/>
        <w:t>The stage ropes shall be attached to flexible steel wire tail ropes not less than 1</w:t>
      </w:r>
      <w:r>
        <w:rPr>
          <w:position w:val="6"/>
          <w:sz w:val="18"/>
        </w:rPr>
        <w:t>1</w:t>
      </w:r>
      <w:r>
        <w:t>/</w:t>
      </w:r>
      <w:r>
        <w:rPr>
          <w:sz w:val="18"/>
        </w:rPr>
        <w:t>4</w:t>
      </w:r>
      <w:r>
        <w:t xml:space="preserve"> inches in circumference and of sufficient length to pass over the bulwarks.</w:t>
      </w:r>
    </w:p>
    <w:p w:rsidR="00AF2508" w:rsidRDefault="00AF2508">
      <w:pPr>
        <w:pStyle w:val="Assectheading"/>
        <w:rPr>
          <w:i w:val="0"/>
        </w:rPr>
      </w:pPr>
      <w:r>
        <w:rPr>
          <w:rStyle w:val="charItals"/>
          <w:i/>
        </w:rPr>
        <w:t>Small flying stages</w:t>
      </w:r>
      <w:r>
        <w:rPr>
          <w:i w:val="0"/>
          <w:color w:val="000000"/>
        </w:rPr>
        <w:t>—</w:t>
      </w:r>
      <w:r>
        <w:rPr>
          <w:rStyle w:val="charItals"/>
          <w:i/>
        </w:rPr>
        <w:t>distance spars</w:t>
      </w:r>
    </w:p>
    <w:p w:rsidR="00AF2508" w:rsidRDefault="00AF2508">
      <w:pPr>
        <w:pStyle w:val="Amain"/>
      </w:pPr>
      <w:r>
        <w:tab/>
        <w:t>(15)</w:t>
      </w:r>
      <w:r>
        <w:tab/>
        <w:t>Small flying stages shall be provided with spars securely fixed to planks, and sufficiently long to ensure effective working conditions.</w:t>
      </w:r>
    </w:p>
    <w:p w:rsidR="00AF2508" w:rsidRDefault="00AF2508">
      <w:pPr>
        <w:pStyle w:val="Assectheading"/>
        <w:rPr>
          <w:i w:val="0"/>
        </w:rPr>
      </w:pPr>
      <w:r>
        <w:rPr>
          <w:rStyle w:val="charItals"/>
          <w:i/>
        </w:rPr>
        <w:t>Small flying stages</w:t>
      </w:r>
      <w:r>
        <w:rPr>
          <w:i w:val="0"/>
          <w:color w:val="000000"/>
        </w:rPr>
        <w:t>—</w:t>
      </w:r>
      <w:r>
        <w:rPr>
          <w:rStyle w:val="charItals"/>
          <w:i/>
        </w:rPr>
        <w:t>life-lines</w:t>
      </w:r>
    </w:p>
    <w:p w:rsidR="00AF2508" w:rsidRDefault="00AF2508">
      <w:pPr>
        <w:pStyle w:val="Amain"/>
      </w:pPr>
      <w:r>
        <w:tab/>
        <w:t>(16)</w:t>
      </w:r>
      <w:r>
        <w:tab/>
        <w:t>When it is necessary for workers to work standing on small flying stages an efficient life-line shall be provided.</w:t>
      </w:r>
    </w:p>
    <w:p w:rsidR="00AF2508" w:rsidRDefault="00AF2508">
      <w:pPr>
        <w:pStyle w:val="Assectheading"/>
        <w:rPr>
          <w:i w:val="0"/>
        </w:rPr>
      </w:pPr>
      <w:r>
        <w:rPr>
          <w:rStyle w:val="charItals"/>
          <w:i/>
        </w:rPr>
        <w:t>Small flying stages</w:t>
      </w:r>
      <w:r>
        <w:rPr>
          <w:i w:val="0"/>
          <w:color w:val="000000"/>
        </w:rPr>
        <w:t>—</w:t>
      </w:r>
      <w:r>
        <w:rPr>
          <w:rStyle w:val="charItals"/>
          <w:i/>
        </w:rPr>
        <w:t>restriction of use</w:t>
      </w:r>
    </w:p>
    <w:p w:rsidR="00AF2508" w:rsidRDefault="00AF2508">
      <w:pPr>
        <w:pStyle w:val="Amain"/>
      </w:pPr>
      <w:r>
        <w:tab/>
        <w:t>(17)</w:t>
      </w:r>
      <w:r>
        <w:tab/>
        <w:t>A small flying stage shall not be used in any operation in which power operated tools are employed.</w:t>
      </w:r>
    </w:p>
    <w:p w:rsidR="00AF2508" w:rsidRDefault="00AF2508">
      <w:pPr>
        <w:pStyle w:val="Assectheading"/>
        <w:rPr>
          <w:color w:val="000000"/>
        </w:rPr>
      </w:pPr>
      <w:r>
        <w:rPr>
          <w:rStyle w:val="charItals"/>
          <w:i/>
        </w:rPr>
        <w:t>Suspended stages for engineers and boilermakers</w:t>
      </w:r>
      <w:r>
        <w:rPr>
          <w:i w:val="0"/>
          <w:color w:val="000000"/>
        </w:rPr>
        <w:t>—</w:t>
      </w:r>
      <w:r>
        <w:rPr>
          <w:color w:val="000000"/>
        </w:rPr>
        <w:t>general</w:t>
      </w:r>
    </w:p>
    <w:p w:rsidR="00AF2508" w:rsidRDefault="00AF2508">
      <w:pPr>
        <w:pStyle w:val="Amain"/>
        <w:rPr>
          <w:color w:val="000000"/>
        </w:rPr>
      </w:pPr>
      <w:r>
        <w:rPr>
          <w:color w:val="000000"/>
        </w:rPr>
        <w:tab/>
        <w:t>(18)</w:t>
      </w:r>
      <w:r>
        <w:rPr>
          <w:color w:val="000000"/>
        </w:rPr>
        <w:tab/>
        <w:t>All suspended stages for the use of engineers and boilermakers shall be so designed and constructed as to bear not less than 3 times the weight of the load to be put on them.</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suspension</w:t>
      </w:r>
    </w:p>
    <w:p w:rsidR="00AF2508" w:rsidRDefault="00AF2508">
      <w:pPr>
        <w:pStyle w:val="Amain"/>
      </w:pPr>
      <w:r>
        <w:tab/>
        <w:t>(19)</w:t>
      </w:r>
      <w:r>
        <w:tab/>
        <w:t>This type of stage must be suspended from overhead catheads or needles of adequate strength properly lashed or otherwise securely and safely fixed in position.</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working platform</w:t>
      </w:r>
    </w:p>
    <w:p w:rsidR="00AF2508" w:rsidRDefault="00AF2508">
      <w:pPr>
        <w:pStyle w:val="Amain"/>
      </w:pPr>
      <w:r>
        <w:tab/>
        <w:t>(20)</w:t>
      </w:r>
      <w:r>
        <w:tab/>
        <w:t>The working platform of this type of scaffolding shall comprise Oregon pine planks not less than 12 inches by 3 inches free from knots and shakes.</w:t>
      </w:r>
    </w:p>
    <w:p w:rsidR="00AF2508" w:rsidRDefault="00AF2508">
      <w:pPr>
        <w:pStyle w:val="Amain"/>
      </w:pPr>
      <w:r>
        <w:tab/>
        <w:t>(21)</w:t>
      </w:r>
      <w:r>
        <w:tab/>
        <w:t>It shall be supported at intervals of not more than 14 feet and shall be not less than 2 planks in width.</w:t>
      </w:r>
    </w:p>
    <w:p w:rsidR="00AF2508" w:rsidRDefault="00AF2508">
      <w:pPr>
        <w:pStyle w:val="Amain"/>
      </w:pPr>
      <w:r>
        <w:tab/>
        <w:t>(22)</w:t>
      </w:r>
      <w:r>
        <w:tab/>
        <w:t>Planks shall lap at least 4 feet.</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platform bearers</w:t>
      </w:r>
    </w:p>
    <w:p w:rsidR="00AF2508" w:rsidRDefault="00AF2508">
      <w:pPr>
        <w:pStyle w:val="Amain"/>
      </w:pPr>
      <w:r>
        <w:tab/>
        <w:t>(23)</w:t>
      </w:r>
      <w:r>
        <w:tab/>
        <w:t>Platform spawls or bearers shall be of Oregon pine or other approved timber not less than 6 inches by 6 inches sectional dimensions.</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supporting ropes</w:t>
      </w:r>
    </w:p>
    <w:p w:rsidR="00AF2508" w:rsidRDefault="00AF2508">
      <w:pPr>
        <w:pStyle w:val="Amain"/>
      </w:pPr>
      <w:r>
        <w:tab/>
        <w:t>(24)</w:t>
      </w:r>
      <w:r>
        <w:tab/>
        <w:t>The supporting ropes for this type of stage shall be flexible steel wire ropes not less than 1</w:t>
      </w:r>
      <w:r>
        <w:rPr>
          <w:position w:val="6"/>
          <w:sz w:val="18"/>
        </w:rPr>
        <w:t>1</w:t>
      </w:r>
      <w:r>
        <w:t>/</w:t>
      </w:r>
      <w:r>
        <w:rPr>
          <w:sz w:val="18"/>
        </w:rPr>
        <w:t>2</w:t>
      </w:r>
      <w:r>
        <w:t xml:space="preserve"> inches in circumference.</w:t>
      </w:r>
    </w:p>
    <w:p w:rsidR="00AF2508" w:rsidRDefault="00AF2508">
      <w:pPr>
        <w:pStyle w:val="Amain"/>
      </w:pPr>
      <w:r>
        <w:tab/>
        <w:t>(25)</w:t>
      </w:r>
      <w:r>
        <w:tab/>
        <w:t>They shall be secured to the overhead needles or catheads and to the plank spawls or bearers.</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life-lines</w:t>
      </w:r>
    </w:p>
    <w:p w:rsidR="00AF2508" w:rsidRDefault="00AF2508">
      <w:pPr>
        <w:pStyle w:val="Amain"/>
      </w:pPr>
      <w:r>
        <w:tab/>
        <w:t>(26)</w:t>
      </w:r>
      <w:r>
        <w:tab/>
        <w:t>If the use of life-lines will not interfere with the operations being carried on and workers have to work standing on a stage, life-lines of not less than 2</w:t>
      </w:r>
      <w:r>
        <w:rPr>
          <w:position w:val="6"/>
          <w:sz w:val="18"/>
        </w:rPr>
        <w:t>1</w:t>
      </w:r>
      <w:r>
        <w:t>/</w:t>
      </w:r>
      <w:r>
        <w:rPr>
          <w:sz w:val="18"/>
        </w:rPr>
        <w:t>2</w:t>
      </w:r>
      <w:r>
        <w:t xml:space="preserve"> inches circumference fibre rope shall be effectively lashed to the supporting ropes or to special stanchions by means of rope lanyards 1</w:t>
      </w:r>
      <w:r>
        <w:rPr>
          <w:position w:val="6"/>
          <w:sz w:val="18"/>
        </w:rPr>
        <w:t>1</w:t>
      </w:r>
      <w:r>
        <w:t>/</w:t>
      </w:r>
      <w:r>
        <w:rPr>
          <w:sz w:val="18"/>
        </w:rPr>
        <w:t>2</w:t>
      </w:r>
      <w:r>
        <w:t xml:space="preserve"> inches in circumference.</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guys</w:t>
      </w:r>
    </w:p>
    <w:p w:rsidR="00AF2508" w:rsidRDefault="00AF2508">
      <w:pPr>
        <w:pStyle w:val="Amain"/>
      </w:pPr>
      <w:r>
        <w:tab/>
        <w:t>(27)</w:t>
      </w:r>
      <w:r>
        <w:tab/>
        <w:t>Guy ropes of adequate strength and sufficient in number shall be used to secure proper steadiness of every such stage.</w:t>
      </w:r>
    </w:p>
    <w:p w:rsidR="00AF2508" w:rsidRDefault="00AF2508">
      <w:pPr>
        <w:pStyle w:val="Assectheading"/>
        <w:rPr>
          <w:color w:val="000000"/>
        </w:rPr>
      </w:pPr>
      <w:r>
        <w:rPr>
          <w:rStyle w:val="charItals"/>
          <w:i/>
        </w:rPr>
        <w:t>Suspended stages for engineers and boilermakers</w:t>
      </w:r>
      <w:r>
        <w:rPr>
          <w:i w:val="0"/>
          <w:color w:val="000000"/>
        </w:rPr>
        <w:t>—</w:t>
      </w:r>
      <w:r>
        <w:rPr>
          <w:rStyle w:val="charItals"/>
          <w:i/>
        </w:rPr>
        <w:t>smaller stages</w:t>
      </w:r>
    </w:p>
    <w:p w:rsidR="00AF2508" w:rsidRDefault="00AF2508">
      <w:pPr>
        <w:pStyle w:val="Amain"/>
      </w:pPr>
      <w:r>
        <w:tab/>
        <w:t>(28)</w:t>
      </w:r>
      <w:r>
        <w:tab/>
        <w:t>Stages in which the distance between supports is appreciably less than provided for in this section may have planks and spawls of lesser dimensions than provided for in this section subject to the scaffolding having a strength equivalent to the scaffolding covered by this section.</w:t>
      </w:r>
    </w:p>
    <w:p w:rsidR="00AF2508" w:rsidRDefault="00AF2508">
      <w:pPr>
        <w:pStyle w:val="Assectheading"/>
        <w:rPr>
          <w:color w:val="000000"/>
        </w:rPr>
      </w:pPr>
      <w:r>
        <w:rPr>
          <w:rStyle w:val="charItals"/>
          <w:i/>
        </w:rPr>
        <w:t>Engineers and boilermakers trestle scaffolds</w:t>
      </w:r>
    </w:p>
    <w:p w:rsidR="00AF2508" w:rsidRDefault="00AF2508">
      <w:pPr>
        <w:pStyle w:val="Amain"/>
      </w:pPr>
      <w:r>
        <w:rPr>
          <w:color w:val="000000"/>
        </w:rPr>
        <w:tab/>
        <w:t>(29)</w:t>
      </w:r>
      <w:r>
        <w:rPr>
          <w:color w:val="000000"/>
        </w:rPr>
        <w:tab/>
        <w:t>Trestles conforming to the requirements of this regulation may be used for supporting a working platform of adequate strength for engineers and boilermakers.</w:t>
      </w:r>
    </w:p>
    <w:p w:rsidR="00AF2508" w:rsidRDefault="00AF2508">
      <w:pPr>
        <w:pStyle w:val="Assectheading"/>
        <w:rPr>
          <w:i w:val="0"/>
          <w:color w:val="000000"/>
        </w:rPr>
      </w:pPr>
      <w:r>
        <w:rPr>
          <w:rStyle w:val="charItals"/>
          <w:i/>
        </w:rPr>
        <w:t>Access to Stages</w:t>
      </w:r>
    </w:p>
    <w:p w:rsidR="00AF2508" w:rsidRDefault="00AF2508">
      <w:pPr>
        <w:pStyle w:val="Amain"/>
      </w:pPr>
      <w:r>
        <w:rPr>
          <w:color w:val="000000"/>
        </w:rPr>
        <w:tab/>
        <w:t>(30)</w:t>
      </w:r>
      <w:r>
        <w:rPr>
          <w:color w:val="000000"/>
        </w:rPr>
        <w:tab/>
        <w:t>Safe means of access shall be provided to all stages used on ships in dock or on slips.</w:t>
      </w:r>
    </w:p>
    <w:p w:rsidR="00AF2508" w:rsidRDefault="00AF2508">
      <w:pPr>
        <w:pStyle w:val="Amain"/>
      </w:pPr>
      <w:r>
        <w:tab/>
        <w:t>(31)</w:t>
      </w:r>
      <w:r>
        <w:tab/>
        <w:t>If a builders’ ladder is used as a means of access, it shall extend to a height of at least 3 feet 6 inches above the place of landing for persons using the ladder.</w:t>
      </w:r>
    </w:p>
    <w:p w:rsidR="00AF2508" w:rsidRDefault="00AF2508">
      <w:pPr>
        <w:pStyle w:val="AH4SubDiv"/>
      </w:pPr>
      <w:bookmarkStart w:id="172" w:name="_Toc161636836"/>
      <w:r>
        <w:t>Runs and ramps</w:t>
      </w:r>
      <w:bookmarkEnd w:id="172"/>
    </w:p>
    <w:p w:rsidR="00AF2508" w:rsidRDefault="00AF2508">
      <w:pPr>
        <w:pStyle w:val="AH5Sec"/>
      </w:pPr>
      <w:bookmarkStart w:id="173" w:name="_Toc161636837"/>
      <w:r>
        <w:rPr>
          <w:rStyle w:val="CharSectNo"/>
        </w:rPr>
        <w:t>94</w:t>
      </w:r>
      <w:bookmarkEnd w:id="173"/>
      <w:r>
        <w:tab/>
        <w:t xml:space="preserve">  </w:t>
      </w:r>
    </w:p>
    <w:p w:rsidR="00AF2508" w:rsidRDefault="00AF2508">
      <w:pPr>
        <w:pStyle w:val="Amain"/>
      </w:pPr>
      <w:r>
        <w:tab/>
        <w:t>(1)</w:t>
      </w:r>
      <w:r>
        <w:tab/>
        <w:t>All runs, ramps, gangways and similar structures used as a means of communication in building work shall be of sound material, good construction, adequate strength, free from patent defects and be safe for the purposes for which they are intended.</w:t>
      </w:r>
    </w:p>
    <w:p w:rsidR="00AF2508" w:rsidRDefault="00AF2508">
      <w:pPr>
        <w:pStyle w:val="Amain"/>
      </w:pPr>
      <w:r>
        <w:tab/>
        <w:t>(2)</w:t>
      </w:r>
      <w:r>
        <w:tab/>
        <w:t>They shall be constructed of timber planks not less than 10 inches by 2 inches sectional dimensions and shall be not less than 2 feet 6 inches wide.</w:t>
      </w:r>
    </w:p>
    <w:p w:rsidR="00AF2508" w:rsidRDefault="00AF2508">
      <w:pPr>
        <w:pStyle w:val="Amain"/>
      </w:pPr>
      <w:r>
        <w:tab/>
        <w:t>(3)</w:t>
      </w:r>
      <w:r>
        <w:tab/>
        <w:t>When the planks overlap, the plank that runs from below shall be placed so that it laps over the one running from above.</w:t>
      </w:r>
    </w:p>
    <w:p w:rsidR="00AF2508" w:rsidRDefault="00AF2508">
      <w:pPr>
        <w:pStyle w:val="Amain"/>
      </w:pPr>
      <w:r>
        <w:tab/>
        <w:t>(4)</w:t>
      </w:r>
      <w:r>
        <w:tab/>
        <w:t>Such planks shall be positively fixed in position.</w:t>
      </w:r>
    </w:p>
    <w:p w:rsidR="00AF2508" w:rsidRDefault="00AF2508">
      <w:pPr>
        <w:pStyle w:val="Amain"/>
      </w:pPr>
      <w:r>
        <w:tab/>
        <w:t>(5)</w:t>
      </w:r>
      <w:r>
        <w:tab/>
        <w:t>The supports for the planks shall be of adequate strength and shall be effectively braced.</w:t>
      </w:r>
    </w:p>
    <w:p w:rsidR="00AF2508" w:rsidRDefault="00AF2508">
      <w:pPr>
        <w:pStyle w:val="Amain"/>
      </w:pPr>
      <w:r>
        <w:tab/>
        <w:t>(6)</w:t>
      </w:r>
      <w:r>
        <w:tab/>
        <w:t>The construction of runs, ramps and gangways at an incline greater than 1 foot rise in 3 feet is prohibited.</w:t>
      </w:r>
    </w:p>
    <w:p w:rsidR="00AF2508" w:rsidRDefault="00AF2508">
      <w:pPr>
        <w:pStyle w:val="Amain"/>
      </w:pPr>
      <w:r>
        <w:tab/>
        <w:t>(7)</w:t>
      </w:r>
      <w:r>
        <w:tab/>
        <w:t>The planks of runs, ramps and gangways shall be cleated or otherwise fastened together to prevent unequal sagging.</w:t>
      </w:r>
    </w:p>
    <w:p w:rsidR="00AF2508" w:rsidRDefault="00AF2508">
      <w:pPr>
        <w:pStyle w:val="Amain"/>
      </w:pPr>
      <w:r>
        <w:tab/>
        <w:t>(8)</w:t>
      </w:r>
      <w:r>
        <w:tab/>
        <w:t>If runs, ramps and gangways are more than 8 feet in height, the outside edges at least shall be provided with guardrails and toe boards.</w:t>
      </w:r>
    </w:p>
    <w:p w:rsidR="00AF2508" w:rsidRDefault="00AF2508">
      <w:pPr>
        <w:pStyle w:val="PageBreak"/>
      </w:pPr>
      <w:r>
        <w:br w:type="page"/>
      </w:r>
    </w:p>
    <w:p w:rsidR="00AF2508" w:rsidRDefault="00AF2508">
      <w:pPr>
        <w:pStyle w:val="AH2Part"/>
      </w:pPr>
      <w:bookmarkStart w:id="174" w:name="_Toc161636838"/>
      <w:r>
        <w:rPr>
          <w:rStyle w:val="CharPartNo"/>
        </w:rPr>
        <w:t>Part 7</w:t>
      </w:r>
      <w:r>
        <w:tab/>
      </w:r>
      <w:r>
        <w:rPr>
          <w:rStyle w:val="CharPartText"/>
        </w:rPr>
        <w:t>Safeguards and measures to be taken for securing the safety and health of persons engaged in excavation work</w:t>
      </w:r>
      <w:bookmarkEnd w:id="174"/>
    </w:p>
    <w:p w:rsidR="00AF2508" w:rsidRDefault="00AF2508">
      <w:pPr>
        <w:pStyle w:val="AH3Div"/>
      </w:pPr>
      <w:bookmarkStart w:id="175" w:name="_Toc161636839"/>
      <w:r>
        <w:rPr>
          <w:rStyle w:val="CharDivNo"/>
        </w:rPr>
        <w:t>Division 7.1</w:t>
      </w:r>
      <w:r>
        <w:rPr>
          <w:rStyle w:val="CharDivNo"/>
        </w:rPr>
        <w:tab/>
      </w:r>
      <w:r>
        <w:rPr>
          <w:rStyle w:val="CharDivText"/>
        </w:rPr>
        <w:t>General</w:t>
      </w:r>
      <w:bookmarkEnd w:id="175"/>
    </w:p>
    <w:p w:rsidR="00AF2508" w:rsidRDefault="00AF2508">
      <w:pPr>
        <w:pStyle w:val="AH5Sec"/>
      </w:pPr>
      <w:bookmarkStart w:id="176" w:name="_Toc161636840"/>
      <w:r>
        <w:rPr>
          <w:rStyle w:val="CharSectNo"/>
        </w:rPr>
        <w:t>95</w:t>
      </w:r>
      <w:bookmarkEnd w:id="176"/>
      <w:r>
        <w:tab/>
        <w:t xml:space="preserve">  </w:t>
      </w:r>
    </w:p>
    <w:p w:rsidR="00AF2508" w:rsidRDefault="00AF2508">
      <w:pPr>
        <w:pStyle w:val="Amain"/>
        <w:rPr>
          <w:color w:val="000000"/>
        </w:rPr>
      </w:pPr>
      <w:r>
        <w:rPr>
          <w:color w:val="000000"/>
        </w:rPr>
        <w:tab/>
        <w:t>(1)</w:t>
      </w:r>
      <w:r>
        <w:rPr>
          <w:color w:val="000000"/>
        </w:rPr>
        <w:tab/>
        <w:t>An adequate supply of timber of the required dimensions, or other approved material, shall if necessary be provided and used to prevent, so far as is reasonably practicable and as early as is reasonably practicable in the course of the work, danger to any person employed from a fall or dislodgment of earth, rock or other material forming the side of or adjacent to any excavation work.</w:t>
      </w:r>
    </w:p>
    <w:p w:rsidR="00AF2508" w:rsidRDefault="00AF2508">
      <w:pPr>
        <w:pStyle w:val="Amain"/>
        <w:rPr>
          <w:color w:val="000000"/>
        </w:rPr>
      </w:pPr>
      <w:r>
        <w:rPr>
          <w:color w:val="000000"/>
        </w:rPr>
        <w:tab/>
        <w:t>(2)</w:t>
      </w:r>
      <w:r>
        <w:rPr>
          <w:color w:val="000000"/>
        </w:rPr>
        <w:tab/>
        <w:t>In addition to any other examination necessary to ensure compliance with this regulation, every part of an excavation work, other than a part to which subsection (3) (a) applies, shall be specially examined before any person works in it and afterwards at least once in every period of 7 days for the purpose of ensuring compliance with this regulation and in particular to see that timber and other supports are adequate, properly secured and in good condition.</w:t>
      </w:r>
    </w:p>
    <w:p w:rsidR="00AF2508" w:rsidRDefault="00AF2508">
      <w:pPr>
        <w:pStyle w:val="Amain"/>
      </w:pPr>
      <w:r>
        <w:rPr>
          <w:color w:val="000000"/>
        </w:rPr>
        <w:tab/>
        <w:t>(3)</w:t>
      </w:r>
      <w:r>
        <w:rPr>
          <w:color w:val="000000"/>
        </w:rPr>
        <w:tab/>
        <w:t>However—</w:t>
      </w:r>
    </w:p>
    <w:p w:rsidR="00AF2508" w:rsidRDefault="00AF2508">
      <w:pPr>
        <w:pStyle w:val="Apara"/>
      </w:pPr>
      <w:r>
        <w:tab/>
        <w:t>(a)</w:t>
      </w:r>
      <w:r>
        <w:tab/>
        <w:t>subsections (1) and (2) shall not apply if, having regard to the nature and slope of the side of the excavation and other circumstances, no fall or dislodgment of earth or other material so as to bury or trap a person employed, or so as to strike a person employed from a height of more than 5 feet is liable to occur; and</w:t>
      </w:r>
    </w:p>
    <w:p w:rsidR="00AF2508" w:rsidRDefault="00AF2508">
      <w:pPr>
        <w:pStyle w:val="Apara"/>
        <w:keepLines/>
      </w:pPr>
      <w:r>
        <w:tab/>
        <w:t>(b)</w:t>
      </w:r>
      <w:r>
        <w:tab/>
        <w:t>subsections (1) and (2) shall not apply in relation to a person actually engaged in timbering or other work (including an examination as mentioned in subsection (2)) that is being carried out for the purpose of compliance with subsections (1) and (2), if appropriate precautions are taken to ensure his or her safety as far as circumstances permit; and</w:t>
      </w:r>
    </w:p>
    <w:p w:rsidR="00AF2508" w:rsidRDefault="00AF2508">
      <w:pPr>
        <w:pStyle w:val="Apara"/>
      </w:pPr>
      <w:r>
        <w:tab/>
        <w:t>(c)</w:t>
      </w:r>
      <w:r>
        <w:tab/>
        <w:t>the requirement in subsection (2) as to a special examination once in every 7 days shall not apply until the work has been in progress for a period of 5 working days (whether continuous or not).</w:t>
      </w:r>
    </w:p>
    <w:p w:rsidR="00AF2508" w:rsidRDefault="00AF2508">
      <w:pPr>
        <w:pStyle w:val="Amain"/>
      </w:pPr>
      <w:r>
        <w:rPr>
          <w:color w:val="000000"/>
        </w:rPr>
        <w:tab/>
        <w:t>(4)</w:t>
      </w:r>
      <w:r>
        <w:rPr>
          <w:color w:val="000000"/>
        </w:rPr>
        <w:tab/>
        <w:t>No excavation work that is likely to reduce, so as to endanger any person employed, the security or stability of any part of any building or structure, whether temporary or permanent, shall be begun or continued unless adequate steps are taken before and during the progress of the work to prevent danger to any person employed from collapse of the building or structure or the fall of any part of it.</w:t>
      </w:r>
    </w:p>
    <w:p w:rsidR="00AF2508" w:rsidRDefault="00AF2508">
      <w:pPr>
        <w:pStyle w:val="Amain"/>
      </w:pPr>
      <w:r>
        <w:rPr>
          <w:color w:val="000000"/>
        </w:rPr>
        <w:tab/>
        <w:t>(5)</w:t>
      </w:r>
      <w:r>
        <w:rPr>
          <w:color w:val="000000"/>
        </w:rPr>
        <w:tab/>
        <w:t>Timbering used to retain or support any part of an excavation work shall be of good construction, sound material and adequate strength for the purpose for which it is used.</w:t>
      </w:r>
    </w:p>
    <w:p w:rsidR="00AF2508" w:rsidRDefault="00AF2508">
      <w:pPr>
        <w:pStyle w:val="Amain"/>
      </w:pPr>
      <w:r>
        <w:rPr>
          <w:color w:val="000000"/>
        </w:rPr>
        <w:tab/>
        <w:t>(6)</w:t>
      </w:r>
      <w:r>
        <w:rPr>
          <w:color w:val="000000"/>
        </w:rPr>
        <w:tab/>
        <w:t>If any timbering used to retain or support any part of an excavation work is liable to inward movement at the bottom and bracing or strutting at the bottom is not practicable, the timbering shall be adequately strutted or braced at a higher level so as to prevent such movement.</w:t>
      </w:r>
    </w:p>
    <w:p w:rsidR="00AF2508" w:rsidRDefault="00AF2508">
      <w:pPr>
        <w:pStyle w:val="Amain"/>
      </w:pPr>
      <w:r>
        <w:rPr>
          <w:color w:val="000000"/>
        </w:rPr>
        <w:tab/>
        <w:t>(7)</w:t>
      </w:r>
      <w:r>
        <w:rPr>
          <w:color w:val="000000"/>
        </w:rPr>
        <w:tab/>
        <w:t>All struts, braces and walings in any excavation work shall be properly and adequately secured so as to prevent their accidental displacement or fall.</w:t>
      </w:r>
    </w:p>
    <w:p w:rsidR="00AF2508" w:rsidRDefault="00AF2508">
      <w:pPr>
        <w:pStyle w:val="Amain"/>
      </w:pPr>
      <w:r>
        <w:rPr>
          <w:color w:val="000000"/>
        </w:rPr>
        <w:tab/>
        <w:t>(8)</w:t>
      </w:r>
      <w:r>
        <w:rPr>
          <w:color w:val="000000"/>
        </w:rPr>
        <w:tab/>
        <w:t>Safe means of access shall be provided to every place where persons are employed in an excavation work.</w:t>
      </w:r>
    </w:p>
    <w:p w:rsidR="00AF2508" w:rsidRDefault="00AF2508">
      <w:pPr>
        <w:pStyle w:val="Amain"/>
        <w:keepLines/>
      </w:pPr>
      <w:r>
        <w:rPr>
          <w:color w:val="000000"/>
        </w:rPr>
        <w:tab/>
        <w:t>(9)</w:t>
      </w:r>
      <w:r>
        <w:rPr>
          <w:color w:val="000000"/>
        </w:rPr>
        <w:tab/>
        <w:t>If there is reason to apprehend danger to persons employed in any excavation work due to rising water or from an irruption of water or material, there shall be provided means to enable every person to reach a position of safety.</w:t>
      </w:r>
    </w:p>
    <w:p w:rsidR="00AF2508" w:rsidRDefault="00AF2508">
      <w:pPr>
        <w:pStyle w:val="Amain"/>
        <w:rPr>
          <w:color w:val="000000"/>
        </w:rPr>
      </w:pPr>
      <w:r>
        <w:rPr>
          <w:color w:val="000000"/>
        </w:rPr>
        <w:tab/>
        <w:t>(10)</w:t>
      </w:r>
      <w:r>
        <w:rPr>
          <w:color w:val="000000"/>
        </w:rPr>
        <w:tab/>
        <w:t>If persons are employed in a shift and other persons are working above them, there shall be provided as early as is reasonably practicable an effective diaphragm to prevent the firstmentioned persons from being struck by tools or other objects falling from the place where the other persons are working.</w:t>
      </w:r>
    </w:p>
    <w:p w:rsidR="00AF2508" w:rsidRDefault="00AF2508">
      <w:pPr>
        <w:pStyle w:val="Amain"/>
      </w:pPr>
      <w:r>
        <w:rPr>
          <w:color w:val="000000"/>
        </w:rPr>
        <w:tab/>
        <w:t>(11)</w:t>
      </w:r>
      <w:r>
        <w:rPr>
          <w:color w:val="000000"/>
        </w:rPr>
        <w:tab/>
        <w:t>The doors in the diaphragms shall be as small as practicable, shall open upwards and shall be kept closed except when necessarily open for the passage of persons and gear.</w:t>
      </w:r>
    </w:p>
    <w:p w:rsidR="00AF2508" w:rsidRDefault="00AF2508">
      <w:pPr>
        <w:pStyle w:val="Amain"/>
      </w:pPr>
      <w:r>
        <w:rPr>
          <w:color w:val="000000"/>
        </w:rPr>
        <w:tab/>
        <w:t>(12)</w:t>
      </w:r>
      <w:r>
        <w:rPr>
          <w:color w:val="000000"/>
        </w:rPr>
        <w:tab/>
        <w:t>Every accessible part of an excavation work into which a person is liable to fall a distance of more than 6 feet shall be provided with a suitable barrier to a height of at least 3 feet and as close as is reasonably practicable to the edge.</w:t>
      </w:r>
    </w:p>
    <w:p w:rsidR="00AF2508" w:rsidRDefault="00AF2508">
      <w:pPr>
        <w:pStyle w:val="Amain"/>
      </w:pPr>
      <w:r>
        <w:tab/>
        <w:t>(13)</w:t>
      </w:r>
      <w:r>
        <w:tab/>
        <w:t>However, subsection (12) shall not apply to any part of an excavation work while (and to the extent to which) the absence of the barrier is necessary for the access of persons or for the movement of plant, gear, or materials or while (and to the extent to which) it has not yet been practicable to erect the barrier since the formation of that part of the excavation work.</w:t>
      </w:r>
    </w:p>
    <w:p w:rsidR="00AF2508" w:rsidRDefault="00AF2508">
      <w:pPr>
        <w:pStyle w:val="Amain"/>
      </w:pPr>
      <w:r>
        <w:rPr>
          <w:color w:val="000000"/>
        </w:rPr>
        <w:tab/>
        <w:t>(14)</w:t>
      </w:r>
      <w:r>
        <w:rPr>
          <w:color w:val="000000"/>
        </w:rPr>
        <w:tab/>
        <w:t>Material shall not be placed or stacked near the edge of any excavation work so as to endanger persons employed below.</w:t>
      </w:r>
    </w:p>
    <w:p w:rsidR="00AF2508" w:rsidRDefault="00AF2508">
      <w:pPr>
        <w:pStyle w:val="Amain"/>
      </w:pPr>
      <w:r>
        <w:tab/>
        <w:t>(15)</w:t>
      </w:r>
      <w:r>
        <w:tab/>
        <w:t>No load shall be placed or moved near the edge of any excavation work where it is likely to cause a collapse of the side of the excavation work and thereby endanger any person.</w:t>
      </w:r>
    </w:p>
    <w:p w:rsidR="00AF2508" w:rsidRDefault="00AF2508">
      <w:pPr>
        <w:pStyle w:val="AH3Div"/>
      </w:pPr>
      <w:bookmarkStart w:id="177" w:name="_Toc161636841"/>
      <w:r>
        <w:rPr>
          <w:rStyle w:val="CharDivNo"/>
        </w:rPr>
        <w:t>Division 7.2</w:t>
      </w:r>
      <w:r>
        <w:rPr>
          <w:rStyle w:val="CharDivNo"/>
        </w:rPr>
        <w:tab/>
      </w:r>
      <w:r>
        <w:rPr>
          <w:rStyle w:val="CharDivText"/>
        </w:rPr>
        <w:t>Cofferdams and caissons</w:t>
      </w:r>
      <w:bookmarkEnd w:id="177"/>
    </w:p>
    <w:p w:rsidR="00AF2508" w:rsidRDefault="00AF2508">
      <w:pPr>
        <w:pStyle w:val="AH5Sec"/>
      </w:pPr>
      <w:bookmarkStart w:id="178" w:name="_Toc161636842"/>
      <w:r>
        <w:rPr>
          <w:rStyle w:val="CharSectNo"/>
        </w:rPr>
        <w:t>96</w:t>
      </w:r>
      <w:bookmarkEnd w:id="178"/>
      <w:r>
        <w:tab/>
        <w:t xml:space="preserve">  </w:t>
      </w:r>
    </w:p>
    <w:p w:rsidR="00AF2508" w:rsidRDefault="00AF2508">
      <w:pPr>
        <w:pStyle w:val="Amain"/>
      </w:pPr>
      <w:r>
        <w:rPr>
          <w:color w:val="000000"/>
        </w:rPr>
        <w:tab/>
        <w:t>(1)</w:t>
      </w:r>
      <w:r>
        <w:rPr>
          <w:color w:val="000000"/>
        </w:rPr>
        <w:tab/>
        <w:t>Every cofferdam or caisson and every part of it shall be of good construction, sound material, and adequate strength and shall be properly maintained.</w:t>
      </w:r>
    </w:p>
    <w:p w:rsidR="00AF2508" w:rsidRDefault="00AF2508">
      <w:pPr>
        <w:pStyle w:val="Amain"/>
      </w:pPr>
      <w:r>
        <w:rPr>
          <w:color w:val="000000"/>
        </w:rPr>
        <w:tab/>
        <w:t>(2)</w:t>
      </w:r>
      <w:r>
        <w:rPr>
          <w:color w:val="000000"/>
        </w:rPr>
        <w:tab/>
        <w:t>A cofferdam or caisson shall if necessary be specially secured in position so as to prevent movement in a way dangerous to persons employed.</w:t>
      </w:r>
    </w:p>
    <w:p w:rsidR="00AF2508" w:rsidRDefault="00AF2508">
      <w:pPr>
        <w:pStyle w:val="Amain"/>
      </w:pPr>
      <w:r>
        <w:rPr>
          <w:color w:val="000000"/>
        </w:rPr>
        <w:tab/>
        <w:t>(3)</w:t>
      </w:r>
      <w:r>
        <w:rPr>
          <w:color w:val="000000"/>
        </w:rPr>
        <w:tab/>
        <w:t>The bracings and ties of every cofferdam or caisson shall be properly and adequately secured to prevent their accidental displacement or fall.</w:t>
      </w:r>
    </w:p>
    <w:p w:rsidR="00AF2508" w:rsidRDefault="00AF2508">
      <w:pPr>
        <w:pStyle w:val="Amain"/>
      </w:pPr>
      <w:r>
        <w:rPr>
          <w:color w:val="000000"/>
        </w:rPr>
        <w:tab/>
        <w:t>(4)</w:t>
      </w:r>
      <w:r>
        <w:rPr>
          <w:color w:val="000000"/>
        </w:rPr>
        <w:tab/>
        <w:t>The person in charge of the work of constructing, placing in position, substantially adding to, altering, or dismantling a cofferdam or caisson, and as far as possible every worker employed for any such work, shall possess adequate experience of this kind of work.</w:t>
      </w:r>
    </w:p>
    <w:p w:rsidR="00AF2508" w:rsidRDefault="00AF2508">
      <w:pPr>
        <w:pStyle w:val="Amain"/>
      </w:pPr>
      <w:r>
        <w:rPr>
          <w:color w:val="000000"/>
        </w:rPr>
        <w:tab/>
        <w:t>(5)</w:t>
      </w:r>
      <w:r>
        <w:rPr>
          <w:color w:val="000000"/>
        </w:rPr>
        <w:tab/>
        <w:t>All material for the construction or fixing of a cofferdam or caisson shall be inspected on each occasion before being taken into use for such a purpose, and material that is unsuitable or defective in any respect shall not be so used.</w:t>
      </w:r>
    </w:p>
    <w:p w:rsidR="00AF2508" w:rsidRDefault="00AF2508">
      <w:pPr>
        <w:pStyle w:val="Amain"/>
      </w:pPr>
      <w:r>
        <w:rPr>
          <w:color w:val="000000"/>
        </w:rPr>
        <w:tab/>
        <w:t>(6)</w:t>
      </w:r>
      <w:r>
        <w:rPr>
          <w:color w:val="000000"/>
        </w:rPr>
        <w:tab/>
        <w:t>Safe means of access shall be provided to every place where persons are employed in a cofferdam or caisson.</w:t>
      </w:r>
    </w:p>
    <w:p w:rsidR="00AF2508" w:rsidRDefault="00AF2508">
      <w:pPr>
        <w:pStyle w:val="Amain"/>
      </w:pPr>
      <w:r>
        <w:rPr>
          <w:color w:val="000000"/>
        </w:rPr>
        <w:tab/>
        <w:t>(7)</w:t>
      </w:r>
      <w:r>
        <w:rPr>
          <w:color w:val="000000"/>
        </w:rPr>
        <w:tab/>
        <w:t>Adequate means for persons to reach places of safety shall be provided in every cofferdam or caisson in case of an inrush of water.</w:t>
      </w:r>
    </w:p>
    <w:p w:rsidR="00AF2508" w:rsidRDefault="00AF2508">
      <w:pPr>
        <w:pStyle w:val="AH3Div"/>
      </w:pPr>
      <w:bookmarkStart w:id="179" w:name="_Toc161636843"/>
      <w:r>
        <w:rPr>
          <w:rStyle w:val="CharDivNo"/>
        </w:rPr>
        <w:t>Division 7.3</w:t>
      </w:r>
      <w:r>
        <w:rPr>
          <w:rStyle w:val="CharDivNo"/>
        </w:rPr>
        <w:tab/>
      </w:r>
      <w:r>
        <w:rPr>
          <w:rStyle w:val="CharDivText"/>
        </w:rPr>
        <w:t>Trenches</w:t>
      </w:r>
      <w:bookmarkEnd w:id="179"/>
    </w:p>
    <w:p w:rsidR="00AF2508" w:rsidRDefault="00AF2508">
      <w:pPr>
        <w:pStyle w:val="AH5Sec"/>
      </w:pPr>
      <w:bookmarkStart w:id="180" w:name="_Toc161636844"/>
      <w:r>
        <w:rPr>
          <w:rStyle w:val="CharSectNo"/>
        </w:rPr>
        <w:t>97</w:t>
      </w:r>
      <w:bookmarkEnd w:id="180"/>
      <w:r>
        <w:tab/>
        <w:t xml:space="preserve">  </w:t>
      </w:r>
    </w:p>
    <w:p w:rsidR="00AF2508" w:rsidRDefault="00AF2508">
      <w:pPr>
        <w:pStyle w:val="Amain"/>
        <w:keepLines/>
        <w:rPr>
          <w:color w:val="000000"/>
        </w:rPr>
      </w:pPr>
      <w:r>
        <w:rPr>
          <w:color w:val="000000"/>
        </w:rPr>
        <w:tab/>
        <w:t>(1)</w:t>
      </w:r>
      <w:r>
        <w:rPr>
          <w:color w:val="000000"/>
        </w:rPr>
        <w:tab/>
        <w:t>All trenches of over 8 feet in length and 5 feet or more in depth in hard compact ground shall be braced at intervals not exceeding 6 feet with 6 inches by 1</w:t>
      </w:r>
      <w:r>
        <w:rPr>
          <w:color w:val="000000"/>
          <w:position w:val="6"/>
          <w:sz w:val="18"/>
        </w:rPr>
        <w:t>1</w:t>
      </w:r>
      <w:r>
        <w:rPr>
          <w:color w:val="000000"/>
        </w:rPr>
        <w:t>/</w:t>
      </w:r>
      <w:r>
        <w:rPr>
          <w:color w:val="000000"/>
          <w:sz w:val="18"/>
        </w:rPr>
        <w:t>4</w:t>
      </w:r>
      <w:r>
        <w:rPr>
          <w:color w:val="000000"/>
        </w:rPr>
        <w:t xml:space="preserve"> inches hardwood runners or heavier material, placed vertically in the trench opposite each other against the trench walls.</w:t>
      </w:r>
    </w:p>
    <w:p w:rsidR="00AF2508" w:rsidRDefault="00AF2508">
      <w:pPr>
        <w:pStyle w:val="Amain"/>
      </w:pPr>
      <w:r>
        <w:rPr>
          <w:color w:val="000000"/>
        </w:rPr>
        <w:tab/>
        <w:t>(2)</w:t>
      </w:r>
      <w:r>
        <w:rPr>
          <w:color w:val="000000"/>
        </w:rPr>
        <w:tab/>
        <w:t>The runners shall, if possible, extend to the bottom of the trench, otherwise as low as possible to clear the top of the pipe, sewer, conduit, or other material to be placed in the bottom of the trench.</w:t>
      </w:r>
    </w:p>
    <w:p w:rsidR="00AF2508" w:rsidRDefault="00AF2508">
      <w:pPr>
        <w:pStyle w:val="Amain"/>
      </w:pPr>
      <w:r>
        <w:rPr>
          <w:color w:val="000000"/>
        </w:rPr>
        <w:tab/>
        <w:t>(3)</w:t>
      </w:r>
      <w:r>
        <w:rPr>
          <w:color w:val="000000"/>
        </w:rPr>
        <w:tab/>
        <w:t>Runners shall be supported by walings placed horizontally and held in position by screw-jacks or by struts.</w:t>
      </w:r>
    </w:p>
    <w:p w:rsidR="00AF2508" w:rsidRDefault="00AF2508">
      <w:pPr>
        <w:pStyle w:val="Amain"/>
      </w:pPr>
      <w:r>
        <w:tab/>
        <w:t>(4)</w:t>
      </w:r>
      <w:r>
        <w:tab/>
        <w:t>Side and end walings abutting at the corners of excavations shall be joined by halving one to the other so that each waling will sustain its correct proportion of any external load imposed on them.</w:t>
      </w:r>
    </w:p>
    <w:p w:rsidR="00AF2508" w:rsidRDefault="00AF2508">
      <w:pPr>
        <w:pStyle w:val="Amain"/>
        <w:rPr>
          <w:color w:val="000000"/>
        </w:rPr>
      </w:pPr>
      <w:r>
        <w:rPr>
          <w:color w:val="000000"/>
        </w:rPr>
        <w:tab/>
        <w:t>(5)</w:t>
      </w:r>
      <w:r>
        <w:rPr>
          <w:color w:val="000000"/>
        </w:rPr>
        <w:tab/>
        <w:t>The cross-sectional dimensions of hardwood walings shall be not less than 6 inches by 3 inches.</w:t>
      </w:r>
    </w:p>
    <w:p w:rsidR="00AF2508" w:rsidRDefault="00AF2508">
      <w:pPr>
        <w:pStyle w:val="Amain"/>
      </w:pPr>
      <w:r>
        <w:rPr>
          <w:color w:val="000000"/>
        </w:rPr>
        <w:tab/>
        <w:t>(6)</w:t>
      </w:r>
      <w:r>
        <w:rPr>
          <w:color w:val="000000"/>
        </w:rPr>
        <w:tab/>
        <w:t>Walings of other materials or timbers shall be at least of equivalent strength to hardwood walings.</w:t>
      </w:r>
    </w:p>
    <w:p w:rsidR="00AF2508" w:rsidRDefault="00AF2508">
      <w:pPr>
        <w:pStyle w:val="Amain"/>
      </w:pPr>
      <w:r>
        <w:tab/>
        <w:t>(7)</w:t>
      </w:r>
      <w:r>
        <w:tab/>
        <w:t>Walings shall be spaced at not more than 3 feet apart measured vertically from centre to centre of walings.</w:t>
      </w:r>
    </w:p>
    <w:p w:rsidR="00AF2508" w:rsidRDefault="00AF2508">
      <w:pPr>
        <w:pStyle w:val="Amain"/>
      </w:pPr>
      <w:r>
        <w:rPr>
          <w:color w:val="000000"/>
        </w:rPr>
        <w:tab/>
        <w:t>(8)</w:t>
      </w:r>
      <w:r>
        <w:rPr>
          <w:color w:val="000000"/>
        </w:rPr>
        <w:tab/>
        <w:t>Struts or screw-jacks shall be spaced at not more than 6 feet apart except at the joints of walings where they must be closer.</w:t>
      </w:r>
    </w:p>
    <w:p w:rsidR="00AF2508" w:rsidRDefault="00AF2508">
      <w:pPr>
        <w:pStyle w:val="Amain"/>
        <w:keepNext/>
      </w:pPr>
      <w:r>
        <w:tab/>
        <w:t>(9)</w:t>
      </w:r>
      <w:r>
        <w:tab/>
        <w:t>The cross-sectional dimensions of struts relative to the width of a trench shall be not less than is shown in table 97</w:t>
      </w:r>
    </w:p>
    <w:p w:rsidR="00AF2508" w:rsidRDefault="00AF2508">
      <w:pPr>
        <w:pStyle w:val="TableHd"/>
        <w:ind w:hanging="516"/>
      </w:pPr>
      <w:r>
        <w:t>Table 97</w:t>
      </w:r>
    </w:p>
    <w:tbl>
      <w:tblPr>
        <w:tblW w:w="0" w:type="auto"/>
        <w:tblInd w:w="800" w:type="dxa"/>
        <w:tblLayout w:type="fixed"/>
        <w:tblCellMar>
          <w:left w:w="80" w:type="dxa"/>
          <w:right w:w="80" w:type="dxa"/>
        </w:tblCellMar>
        <w:tblLook w:val="0000" w:firstRow="0" w:lastRow="0" w:firstColumn="0" w:lastColumn="0" w:noHBand="0" w:noVBand="0"/>
      </w:tblPr>
      <w:tblGrid>
        <w:gridCol w:w="4125"/>
        <w:gridCol w:w="2595"/>
      </w:tblGrid>
      <w:tr w:rsidR="00AF2508">
        <w:trPr>
          <w:cantSplit/>
        </w:trPr>
        <w:tc>
          <w:tcPr>
            <w:tcW w:w="4125" w:type="dxa"/>
            <w:tcBorders>
              <w:bottom w:val="single" w:sz="6" w:space="0" w:color="auto"/>
            </w:tcBorders>
          </w:tcPr>
          <w:p w:rsidR="00AF2508" w:rsidRDefault="00AF2508">
            <w:pPr>
              <w:pStyle w:val="TableColHd"/>
            </w:pPr>
            <w:r>
              <w:t>Width of trench</w:t>
            </w:r>
          </w:p>
        </w:tc>
        <w:tc>
          <w:tcPr>
            <w:tcW w:w="2595" w:type="dxa"/>
            <w:tcBorders>
              <w:bottom w:val="single" w:sz="6" w:space="0" w:color="auto"/>
            </w:tcBorders>
          </w:tcPr>
          <w:p w:rsidR="00AF2508" w:rsidRDefault="00AF2508">
            <w:pPr>
              <w:pStyle w:val="TableColHd"/>
            </w:pPr>
            <w:r>
              <w:t>Dimensions of strut</w:t>
            </w:r>
          </w:p>
        </w:tc>
      </w:tr>
      <w:tr w:rsidR="00AF2508">
        <w:trPr>
          <w:cantSplit/>
        </w:trPr>
        <w:tc>
          <w:tcPr>
            <w:tcW w:w="4125" w:type="dxa"/>
            <w:tcBorders>
              <w:top w:val="single" w:sz="6" w:space="0" w:color="auto"/>
            </w:tcBorders>
          </w:tcPr>
          <w:p w:rsidR="00AF2508" w:rsidRDefault="00AF2508">
            <w:pPr>
              <w:pStyle w:val="TableText"/>
            </w:pPr>
            <w:r>
              <w:t>1 foot to 2 feet 11 inches</w:t>
            </w:r>
          </w:p>
        </w:tc>
        <w:tc>
          <w:tcPr>
            <w:tcW w:w="2595" w:type="dxa"/>
            <w:tcBorders>
              <w:top w:val="single" w:sz="6" w:space="0" w:color="auto"/>
            </w:tcBorders>
          </w:tcPr>
          <w:p w:rsidR="00AF2508" w:rsidRDefault="00AF2508">
            <w:pPr>
              <w:pStyle w:val="TableText"/>
            </w:pPr>
            <w:r>
              <w:t>4 inches by 3 inches</w:t>
            </w:r>
          </w:p>
        </w:tc>
      </w:tr>
      <w:tr w:rsidR="00AF2508">
        <w:trPr>
          <w:cantSplit/>
        </w:trPr>
        <w:tc>
          <w:tcPr>
            <w:tcW w:w="4125" w:type="dxa"/>
          </w:tcPr>
          <w:p w:rsidR="00AF2508" w:rsidRDefault="00AF2508">
            <w:pPr>
              <w:pStyle w:val="TableText"/>
            </w:pPr>
            <w:r>
              <w:t>3 feet to 4 feet 11 inches</w:t>
            </w:r>
          </w:p>
        </w:tc>
        <w:tc>
          <w:tcPr>
            <w:tcW w:w="2595" w:type="dxa"/>
          </w:tcPr>
          <w:p w:rsidR="00AF2508" w:rsidRDefault="00AF2508">
            <w:pPr>
              <w:pStyle w:val="TableText"/>
            </w:pPr>
            <w:r>
              <w:t>6 inches by 3 inches</w:t>
            </w:r>
          </w:p>
        </w:tc>
      </w:tr>
      <w:tr w:rsidR="00AF2508">
        <w:trPr>
          <w:cantSplit/>
        </w:trPr>
        <w:tc>
          <w:tcPr>
            <w:tcW w:w="4125" w:type="dxa"/>
          </w:tcPr>
          <w:p w:rsidR="00AF2508" w:rsidRDefault="00AF2508">
            <w:pPr>
              <w:pStyle w:val="TableText"/>
            </w:pPr>
            <w:r>
              <w:t>5 feet to 6 feet 11 inches</w:t>
            </w:r>
          </w:p>
        </w:tc>
        <w:tc>
          <w:tcPr>
            <w:tcW w:w="2595" w:type="dxa"/>
          </w:tcPr>
          <w:p w:rsidR="00AF2508" w:rsidRDefault="00AF2508">
            <w:pPr>
              <w:pStyle w:val="TableText"/>
            </w:pPr>
            <w:r>
              <w:t>6 inches by 4 inches</w:t>
            </w:r>
          </w:p>
        </w:tc>
      </w:tr>
      <w:tr w:rsidR="00AF2508">
        <w:trPr>
          <w:cantSplit/>
        </w:trPr>
        <w:tc>
          <w:tcPr>
            <w:tcW w:w="4125" w:type="dxa"/>
          </w:tcPr>
          <w:p w:rsidR="00AF2508" w:rsidRDefault="00AF2508">
            <w:pPr>
              <w:pStyle w:val="TableText"/>
            </w:pPr>
            <w:r>
              <w:t>7 feet to 9 feet</w:t>
            </w:r>
          </w:p>
        </w:tc>
        <w:tc>
          <w:tcPr>
            <w:tcW w:w="2595" w:type="dxa"/>
          </w:tcPr>
          <w:p w:rsidR="00AF2508" w:rsidRDefault="00AF2508">
            <w:pPr>
              <w:pStyle w:val="TableText"/>
            </w:pPr>
            <w:r>
              <w:t>6 inches by 6 inches</w:t>
            </w:r>
          </w:p>
        </w:tc>
      </w:tr>
    </w:tbl>
    <w:p w:rsidR="00AF2508" w:rsidRDefault="00AF2508"/>
    <w:p w:rsidR="00AF2508" w:rsidRDefault="00AF2508">
      <w:pPr>
        <w:pStyle w:val="Amain"/>
        <w:rPr>
          <w:color w:val="000000"/>
        </w:rPr>
      </w:pPr>
      <w:r>
        <w:rPr>
          <w:color w:val="000000"/>
        </w:rPr>
        <w:tab/>
        <w:t>(10)</w:t>
      </w:r>
      <w:r>
        <w:rPr>
          <w:color w:val="000000"/>
        </w:rPr>
        <w:tab/>
        <w:t>The timbering of trenches shall proceed as the work of excavation progresses.</w:t>
      </w:r>
    </w:p>
    <w:p w:rsidR="00AF2508" w:rsidRDefault="00AF2508">
      <w:pPr>
        <w:pStyle w:val="Amain"/>
      </w:pPr>
      <w:r>
        <w:rPr>
          <w:color w:val="000000"/>
        </w:rPr>
        <w:tab/>
        <w:t>(11)</w:t>
      </w:r>
      <w:r>
        <w:rPr>
          <w:color w:val="000000"/>
        </w:rPr>
        <w:tab/>
        <w:t>If a mechanical digger is used the timbering shall be kept as close as practicable to the digger but the length of untimbered trench shall not exceed 10 feet, measured from the lower edge of the digger jib.</w:t>
      </w:r>
    </w:p>
    <w:p w:rsidR="00AF2508" w:rsidRDefault="00AF2508">
      <w:pPr>
        <w:pStyle w:val="Amain"/>
        <w:rPr>
          <w:color w:val="000000"/>
        </w:rPr>
      </w:pPr>
      <w:r>
        <w:rPr>
          <w:color w:val="000000"/>
        </w:rPr>
        <w:tab/>
        <w:t>(12)</w:t>
      </w:r>
      <w:r>
        <w:rPr>
          <w:color w:val="000000"/>
        </w:rPr>
        <w:tab/>
        <w:t>Trenches in saturated, filled, or otherwise unstable ground (other than of the nature of wet running sand) shall be close timbered.</w:t>
      </w:r>
    </w:p>
    <w:p w:rsidR="00AF2508" w:rsidRDefault="00AF2508">
      <w:pPr>
        <w:pStyle w:val="Amain"/>
        <w:rPr>
          <w:color w:val="000000"/>
        </w:rPr>
      </w:pPr>
      <w:r>
        <w:rPr>
          <w:color w:val="000000"/>
        </w:rPr>
        <w:tab/>
        <w:t>(13)</w:t>
      </w:r>
      <w:r>
        <w:rPr>
          <w:color w:val="000000"/>
        </w:rPr>
        <w:tab/>
        <w:t>The cross-sectional dimensions of the runners shall be not less than 6 inches by 1</w:t>
      </w:r>
      <w:r>
        <w:rPr>
          <w:color w:val="000000"/>
          <w:position w:val="6"/>
          <w:sz w:val="18"/>
        </w:rPr>
        <w:t>1</w:t>
      </w:r>
      <w:r>
        <w:rPr>
          <w:color w:val="000000"/>
        </w:rPr>
        <w:t>/</w:t>
      </w:r>
      <w:r>
        <w:rPr>
          <w:color w:val="000000"/>
          <w:sz w:val="18"/>
        </w:rPr>
        <w:t>4</w:t>
      </w:r>
      <w:r>
        <w:rPr>
          <w:color w:val="000000"/>
        </w:rPr>
        <w:t xml:space="preserve"> inches for hardwood timber runners.</w:t>
      </w:r>
    </w:p>
    <w:p w:rsidR="00AF2508" w:rsidRDefault="00AF2508">
      <w:pPr>
        <w:pStyle w:val="Amain"/>
      </w:pPr>
      <w:r>
        <w:rPr>
          <w:color w:val="000000"/>
        </w:rPr>
        <w:tab/>
        <w:t>(14)</w:t>
      </w:r>
      <w:r>
        <w:rPr>
          <w:color w:val="000000"/>
        </w:rPr>
        <w:tab/>
        <w:t>The cross-sectional dimensions for hardwood timber walings shall be not less than 6 inches by 3 inches and they shall be spaced as required by subsection (7).</w:t>
      </w:r>
    </w:p>
    <w:p w:rsidR="00AF2508" w:rsidRDefault="00AF2508">
      <w:pPr>
        <w:pStyle w:val="Amain"/>
      </w:pPr>
      <w:r>
        <w:tab/>
        <w:t>(15)</w:t>
      </w:r>
      <w:r>
        <w:tab/>
        <w:t>Struts shall be of the cross-sectional dimensions prescribed by subsection (9).</w:t>
      </w:r>
    </w:p>
    <w:p w:rsidR="00AF2508" w:rsidRDefault="00AF2508">
      <w:pPr>
        <w:pStyle w:val="Amain"/>
        <w:rPr>
          <w:color w:val="000000"/>
        </w:rPr>
      </w:pPr>
      <w:r>
        <w:rPr>
          <w:color w:val="000000"/>
        </w:rPr>
        <w:tab/>
        <w:t>(16)</w:t>
      </w:r>
      <w:r>
        <w:rPr>
          <w:color w:val="000000"/>
        </w:rPr>
        <w:tab/>
        <w:t xml:space="preserve">If running material, as wet running sand, is encountered runners shall be kept </w:t>
      </w:r>
      <w:r>
        <w:rPr>
          <w:color w:val="000000"/>
          <w:position w:val="6"/>
          <w:sz w:val="18"/>
        </w:rPr>
        <w:t>1</w:t>
      </w:r>
      <w:r>
        <w:rPr>
          <w:color w:val="000000"/>
        </w:rPr>
        <w:t>/</w:t>
      </w:r>
      <w:r>
        <w:rPr>
          <w:color w:val="000000"/>
          <w:sz w:val="18"/>
        </w:rPr>
        <w:t>2</w:t>
      </w:r>
      <w:r>
        <w:rPr>
          <w:color w:val="000000"/>
        </w:rPr>
        <w:t xml:space="preserve"> an inch apart and the spaces thus formed shall be caulked with straw or other suitable material.</w:t>
      </w:r>
    </w:p>
    <w:p w:rsidR="00AF2508" w:rsidRDefault="00AF2508">
      <w:pPr>
        <w:pStyle w:val="Amain"/>
      </w:pPr>
      <w:r>
        <w:rPr>
          <w:color w:val="000000"/>
        </w:rPr>
        <w:tab/>
        <w:t>(17)</w:t>
      </w:r>
      <w:r>
        <w:rPr>
          <w:color w:val="000000"/>
        </w:rPr>
        <w:tab/>
        <w:t>If practicable straw, grass, bags, or other suitable material shall be packed behind the runners.</w:t>
      </w:r>
    </w:p>
    <w:p w:rsidR="00AF2508" w:rsidRDefault="00AF2508">
      <w:pPr>
        <w:pStyle w:val="Amain"/>
      </w:pPr>
      <w:r>
        <w:tab/>
        <w:t>(18)</w:t>
      </w:r>
      <w:r>
        <w:tab/>
        <w:t>Walings and struts shall be of the materials and cross-sectional dimensions and shall be placed as prescribed, respectively, by subsections (5) to (7) and subsections (8) and (9).</w:t>
      </w:r>
    </w:p>
    <w:p w:rsidR="00AF2508" w:rsidRDefault="00AF2508">
      <w:pPr>
        <w:pStyle w:val="Amain"/>
      </w:pPr>
      <w:r>
        <w:rPr>
          <w:color w:val="000000"/>
        </w:rPr>
        <w:tab/>
        <w:t>(19)</w:t>
      </w:r>
      <w:r>
        <w:rPr>
          <w:color w:val="000000"/>
        </w:rPr>
        <w:tab/>
        <w:t>An inspector, should the inspector considers it necessary, may order heavier timbering than that prescribed by this section.</w:t>
      </w:r>
    </w:p>
    <w:p w:rsidR="00AF2508" w:rsidRDefault="00AF2508">
      <w:pPr>
        <w:pStyle w:val="Amain"/>
        <w:rPr>
          <w:color w:val="000000"/>
        </w:rPr>
      </w:pPr>
      <w:r>
        <w:rPr>
          <w:color w:val="000000"/>
        </w:rPr>
        <w:tab/>
        <w:t>(20)</w:t>
      </w:r>
      <w:r>
        <w:rPr>
          <w:color w:val="000000"/>
        </w:rPr>
        <w:tab/>
        <w:t>Excavated material shall not be placed nearer than 1 foot to the edge of a trench.</w:t>
      </w:r>
    </w:p>
    <w:p w:rsidR="00AF2508" w:rsidRDefault="00AF2508">
      <w:pPr>
        <w:pStyle w:val="Amain"/>
      </w:pPr>
      <w:r>
        <w:rPr>
          <w:color w:val="000000"/>
        </w:rPr>
        <w:tab/>
        <w:t>(21)</w:t>
      </w:r>
      <w:r>
        <w:rPr>
          <w:color w:val="000000"/>
        </w:rPr>
        <w:tab/>
        <w:t>For a trench in running material, provided circumstances permit, no material shall be placed nearer than 3 feet to the edge of the trench.</w:t>
      </w:r>
    </w:p>
    <w:p w:rsidR="00AF2508" w:rsidRDefault="00AF2508">
      <w:pPr>
        <w:pStyle w:val="Amain"/>
      </w:pPr>
      <w:r>
        <w:rPr>
          <w:color w:val="000000"/>
        </w:rPr>
        <w:tab/>
        <w:t>(22)</w:t>
      </w:r>
      <w:r>
        <w:rPr>
          <w:color w:val="000000"/>
        </w:rPr>
        <w:tab/>
        <w:t>All trenches 5 feet or more in depth shall be supplied with 1 ladder for each 200 feet of trench or fraction of it, which ladder shall extend from the bottom of the trench to at least 3 feet 6 inches above the top.</w:t>
      </w:r>
    </w:p>
    <w:p w:rsidR="00AF2508" w:rsidRDefault="00AF2508">
      <w:pPr>
        <w:pStyle w:val="AH3Div"/>
      </w:pPr>
      <w:bookmarkStart w:id="181" w:name="_Toc161636845"/>
      <w:r>
        <w:rPr>
          <w:rStyle w:val="CharDivNo"/>
        </w:rPr>
        <w:t>Division 7.4</w:t>
      </w:r>
      <w:r>
        <w:rPr>
          <w:rStyle w:val="CharDivNo"/>
        </w:rPr>
        <w:tab/>
      </w:r>
      <w:r>
        <w:rPr>
          <w:rStyle w:val="CharDivText"/>
        </w:rPr>
        <w:t>Shafts, wells and tunnels</w:t>
      </w:r>
      <w:bookmarkEnd w:id="181"/>
    </w:p>
    <w:p w:rsidR="00AF2508" w:rsidRDefault="00AF2508">
      <w:pPr>
        <w:pStyle w:val="AH5Sec"/>
      </w:pPr>
      <w:bookmarkStart w:id="182" w:name="_Toc161636846"/>
      <w:r>
        <w:rPr>
          <w:rStyle w:val="CharSectNo"/>
        </w:rPr>
        <w:t>98</w:t>
      </w:r>
      <w:bookmarkEnd w:id="182"/>
      <w:r>
        <w:tab/>
        <w:t xml:space="preserve">  </w:t>
      </w:r>
    </w:p>
    <w:p w:rsidR="00AF2508" w:rsidRDefault="00AF2508">
      <w:pPr>
        <w:pStyle w:val="Amain"/>
      </w:pPr>
      <w:r>
        <w:tab/>
        <w:t>(1)</w:t>
      </w:r>
      <w:r>
        <w:tab/>
        <w:t>Every shaft and well shall be securely cased, lined or otherwise made safe.</w:t>
      </w:r>
    </w:p>
    <w:p w:rsidR="00AF2508" w:rsidRDefault="00AF2508">
      <w:pPr>
        <w:pStyle w:val="Amain"/>
      </w:pPr>
      <w:r>
        <w:tab/>
        <w:t>(2)</w:t>
      </w:r>
      <w:r>
        <w:tab/>
        <w:t>Every drive and tunnel shall be securely protected and made safe for persons employed in it.</w:t>
      </w:r>
    </w:p>
    <w:p w:rsidR="00AF2508" w:rsidRDefault="00AF2508">
      <w:pPr>
        <w:pStyle w:val="Amain"/>
      </w:pPr>
      <w:r>
        <w:tab/>
        <w:t>(3)</w:t>
      </w:r>
      <w:r>
        <w:tab/>
        <w:t>All entrances between the bottom of every shaft and the poppet head pulley wheel shall be securely fenced, including any entrances from an elevated platform.</w:t>
      </w:r>
    </w:p>
    <w:p w:rsidR="00AF2508" w:rsidRDefault="00AF2508">
      <w:pPr>
        <w:pStyle w:val="Amain"/>
      </w:pPr>
      <w:r>
        <w:tab/>
        <w:t>(4)</w:t>
      </w:r>
      <w:r>
        <w:tab/>
        <w:t>Any fence or cover may be temporarily removed, to facilitate the work that is in progress, if proper precautions are taken.</w:t>
      </w:r>
    </w:p>
    <w:p w:rsidR="00AF2508" w:rsidRDefault="00AF2508">
      <w:pPr>
        <w:pStyle w:val="Amain"/>
      </w:pPr>
      <w:r>
        <w:tab/>
        <w:t>(5)</w:t>
      </w:r>
      <w:r>
        <w:tab/>
        <w:t>If a fence or cover has been removed from any shaft entrance to allow work to proceed, 2 horizontal bars shall be fixed across the entrance not less than 2 feet nor more than 4 feet from the floor.</w:t>
      </w:r>
    </w:p>
    <w:p w:rsidR="00AF2508" w:rsidRDefault="00AF2508">
      <w:pPr>
        <w:pStyle w:val="Amain"/>
      </w:pPr>
      <w:r>
        <w:tab/>
        <w:t>(6)</w:t>
      </w:r>
      <w:r>
        <w:tab/>
        <w:t>If access to workings is by way of a shaft and the shaft is also used for haulage purposes, the shaft shall be divided into 2 compartments, one to be used for a ladder way the other for haulage purposes.</w:t>
      </w:r>
    </w:p>
    <w:p w:rsidR="00AF2508" w:rsidRDefault="00AF2508">
      <w:pPr>
        <w:pStyle w:val="Amain"/>
      </w:pPr>
      <w:r>
        <w:tab/>
        <w:t>(7)</w:t>
      </w:r>
      <w:r>
        <w:tab/>
        <w:t>The ladder way compartment must be securely fenced from the haulage compartment.</w:t>
      </w:r>
    </w:p>
    <w:p w:rsidR="00AF2508" w:rsidRDefault="00AF2508">
      <w:pPr>
        <w:pStyle w:val="Amain"/>
      </w:pPr>
      <w:r>
        <w:tab/>
        <w:t>(8)</w:t>
      </w:r>
      <w:r>
        <w:tab/>
        <w:t>In addition to any mechanical means of ingress and egress, every shaft shall have at least 1 proper ladder or footway communicating from the surface to the workings.</w:t>
      </w:r>
    </w:p>
    <w:p w:rsidR="00AF2508" w:rsidRDefault="00AF2508">
      <w:pPr>
        <w:pStyle w:val="Amain"/>
        <w:keepLines/>
      </w:pPr>
      <w:r>
        <w:tab/>
        <w:t>(9)</w:t>
      </w:r>
      <w:r>
        <w:tab/>
        <w:t>A ladder permanently used in a shaft for the ascent and descent of persons shall not be fixed in a vertical or overhanging position, except in shafts used exclusively for pumping, and every such ladder shall be inclined at the most convenient angle that the space in which the ladder is fixed allows.</w:t>
      </w:r>
    </w:p>
    <w:p w:rsidR="00AF2508" w:rsidRDefault="00AF2508">
      <w:pPr>
        <w:pStyle w:val="Amain"/>
      </w:pPr>
      <w:r>
        <w:tab/>
        <w:t>(10)</w:t>
      </w:r>
      <w:r>
        <w:tab/>
        <w:t>Every ladder-shaft shall have substantial platforms fixed at intervals of not more than 20 feet.</w:t>
      </w:r>
    </w:p>
    <w:p w:rsidR="00AF2508" w:rsidRDefault="00AF2508">
      <w:pPr>
        <w:pStyle w:val="PageBreak"/>
      </w:pPr>
      <w:r>
        <w:br w:type="page"/>
      </w:r>
    </w:p>
    <w:p w:rsidR="00AF2508" w:rsidRDefault="00AF2508">
      <w:pPr>
        <w:pStyle w:val="AH2Part"/>
      </w:pPr>
      <w:bookmarkStart w:id="183" w:name="_Toc161636847"/>
      <w:r>
        <w:rPr>
          <w:rStyle w:val="CharPartNo"/>
        </w:rPr>
        <w:t>Part 8</w:t>
      </w:r>
      <w:r>
        <w:tab/>
      </w:r>
      <w:r>
        <w:rPr>
          <w:rStyle w:val="CharPartText"/>
        </w:rPr>
        <w:t>Safeguards and measures to be taken for securing the safety and health of persons engaged in compressed air work</w:t>
      </w:r>
      <w:bookmarkEnd w:id="183"/>
    </w:p>
    <w:p w:rsidR="00AF2508" w:rsidRDefault="00AF2508">
      <w:pPr>
        <w:pStyle w:val="AH3Div"/>
      </w:pPr>
      <w:bookmarkStart w:id="184" w:name="_Toc161636848"/>
      <w:r>
        <w:rPr>
          <w:rStyle w:val="CharDivNo"/>
        </w:rPr>
        <w:t>Division 8.1</w:t>
      </w:r>
      <w:r>
        <w:rPr>
          <w:rStyle w:val="CharDivNo"/>
        </w:rPr>
        <w:tab/>
      </w:r>
      <w:r>
        <w:rPr>
          <w:rStyle w:val="CharDivText"/>
        </w:rPr>
        <w:t>Diving</w:t>
      </w:r>
      <w:bookmarkEnd w:id="184"/>
    </w:p>
    <w:p w:rsidR="00AF2508" w:rsidRDefault="00AF2508">
      <w:pPr>
        <w:pStyle w:val="AH5Sec"/>
      </w:pPr>
      <w:bookmarkStart w:id="185" w:name="_Toc161636849"/>
      <w:r>
        <w:rPr>
          <w:rStyle w:val="CharSectNo"/>
        </w:rPr>
        <w:t>99</w:t>
      </w:r>
      <w:bookmarkEnd w:id="185"/>
      <w:r>
        <w:tab/>
        <w:t xml:space="preserve">  </w:t>
      </w:r>
    </w:p>
    <w:p w:rsidR="00AF2508" w:rsidRDefault="00AF2508">
      <w:pPr>
        <w:pStyle w:val="Assectheading"/>
        <w:rPr>
          <w:i w:val="0"/>
          <w:color w:val="000000"/>
        </w:rPr>
      </w:pPr>
      <w:r>
        <w:rPr>
          <w:rStyle w:val="charItals"/>
          <w:i/>
        </w:rPr>
        <w:t>Age limits</w:t>
      </w:r>
    </w:p>
    <w:p w:rsidR="00AF2508" w:rsidRDefault="00AF2508">
      <w:pPr>
        <w:pStyle w:val="Amain"/>
      </w:pPr>
      <w:r>
        <w:rPr>
          <w:color w:val="000000"/>
        </w:rPr>
        <w:tab/>
        <w:t>(1)</w:t>
      </w:r>
      <w:r>
        <w:rPr>
          <w:color w:val="000000"/>
        </w:rPr>
        <w:tab/>
        <w:t>No person under 20 years old or over 55 years old shall dive, and no person shall employ any such person to dive except that the upper age limit of 55 years old may be exceeded for divers with special qualifications who after special medical examination have been certified by a medical officer as being fit to continue to dive after having reached the upper age limit.</w:t>
      </w:r>
    </w:p>
    <w:p w:rsidR="00AF2508" w:rsidRDefault="00AF2508">
      <w:pPr>
        <w:pStyle w:val="Assectheading"/>
        <w:rPr>
          <w:i w:val="0"/>
          <w:color w:val="000000"/>
        </w:rPr>
      </w:pPr>
      <w:r>
        <w:rPr>
          <w:rStyle w:val="charItals"/>
          <w:i/>
        </w:rPr>
        <w:t>Instruction</w:t>
      </w:r>
    </w:p>
    <w:p w:rsidR="00AF2508" w:rsidRDefault="00AF2508">
      <w:pPr>
        <w:pStyle w:val="Amain"/>
      </w:pPr>
      <w:r>
        <w:rPr>
          <w:color w:val="000000"/>
        </w:rPr>
        <w:tab/>
        <w:t>(2)</w:t>
      </w:r>
      <w:r>
        <w:rPr>
          <w:color w:val="000000"/>
        </w:rPr>
        <w:tab/>
        <w:t>No diver and no attendant shall engage or be employed in a diving operation unless the person has received such instruction in the work that the person is capable of carrying out his or her duties safely.</w:t>
      </w:r>
    </w:p>
    <w:p w:rsidR="00AF2508" w:rsidRDefault="00AF2508">
      <w:pPr>
        <w:pStyle w:val="Amain"/>
      </w:pPr>
      <w:r>
        <w:tab/>
        <w:t>(3)</w:t>
      </w:r>
      <w:r>
        <w:tab/>
        <w:t>This instruction shall be such that it will impart a full working knowledge of the safe use of signals, compression and decompression tables, diving dress with its ancillary fittings and gear, of air pumps, pressure gauges and depth gauges.</w:t>
      </w:r>
    </w:p>
    <w:p w:rsidR="00AF2508" w:rsidRDefault="00AF2508">
      <w:pPr>
        <w:pStyle w:val="Assectheading"/>
        <w:rPr>
          <w:i w:val="0"/>
        </w:rPr>
      </w:pPr>
      <w:r>
        <w:rPr>
          <w:rStyle w:val="charItals"/>
          <w:i/>
        </w:rPr>
        <w:t>Appointment of medical officers</w:t>
      </w:r>
    </w:p>
    <w:p w:rsidR="00AF2508" w:rsidRDefault="00AF2508">
      <w:pPr>
        <w:pStyle w:val="Amain"/>
      </w:pPr>
      <w:r>
        <w:tab/>
        <w:t>(4)</w:t>
      </w:r>
      <w:r>
        <w:tab/>
        <w:t>A legally qualified doctor shall be appointed to carry out the duties prescribed by this section as being the duties of a medical officer.</w:t>
      </w:r>
    </w:p>
    <w:p w:rsidR="00AF2508" w:rsidRDefault="00AF2508">
      <w:pPr>
        <w:pStyle w:val="Amain"/>
      </w:pPr>
      <w:r>
        <w:tab/>
        <w:t>(5)</w:t>
      </w:r>
      <w:r>
        <w:tab/>
        <w:t>The chief inspector shall be notified in writing of the name and address of the medical officer so appointed.</w:t>
      </w:r>
    </w:p>
    <w:p w:rsidR="00AF2508" w:rsidRDefault="00AF2508">
      <w:pPr>
        <w:pStyle w:val="Assectheading"/>
        <w:rPr>
          <w:i w:val="0"/>
        </w:rPr>
      </w:pPr>
      <w:r>
        <w:rPr>
          <w:rStyle w:val="charItals"/>
          <w:i/>
        </w:rPr>
        <w:t>Preliminary medical examinations</w:t>
      </w:r>
    </w:p>
    <w:p w:rsidR="00AF2508" w:rsidRDefault="00AF2508">
      <w:pPr>
        <w:pStyle w:val="Amain"/>
      </w:pPr>
      <w:r>
        <w:tab/>
        <w:t>(6)</w:t>
      </w:r>
      <w:r>
        <w:tab/>
        <w:t>No person shall dive or be employed to dive unless on or after such date the person has been examined by an appointed medical officer, and has been certified by the medical officer as being fit to work in compressed air.</w:t>
      </w:r>
    </w:p>
    <w:p w:rsidR="00AF2508" w:rsidRDefault="00AF2508">
      <w:pPr>
        <w:pStyle w:val="Amain"/>
      </w:pPr>
      <w:r>
        <w:tab/>
        <w:t>(7)</w:t>
      </w:r>
      <w:r>
        <w:tab/>
        <w:t>The examination shall include an X-ray examination of the chest.</w:t>
      </w:r>
    </w:p>
    <w:p w:rsidR="00AF2508" w:rsidRDefault="00AF2508">
      <w:pPr>
        <w:pStyle w:val="Amain"/>
      </w:pPr>
      <w:r>
        <w:tab/>
        <w:t>(8)</w:t>
      </w:r>
      <w:r>
        <w:tab/>
        <w:t>The medical officer’s report shall be kept and produced to an inspector on demand.</w:t>
      </w:r>
    </w:p>
    <w:p w:rsidR="00AF2508" w:rsidRDefault="00AF2508">
      <w:pPr>
        <w:pStyle w:val="Assectheading"/>
        <w:rPr>
          <w:i w:val="0"/>
        </w:rPr>
      </w:pPr>
      <w:r>
        <w:rPr>
          <w:rStyle w:val="charItals"/>
          <w:i/>
        </w:rPr>
        <w:t>Supervision of health during diving work</w:t>
      </w:r>
    </w:p>
    <w:p w:rsidR="00AF2508" w:rsidRDefault="00AF2508">
      <w:pPr>
        <w:pStyle w:val="Amain"/>
      </w:pPr>
      <w:r>
        <w:tab/>
        <w:t>(9)</w:t>
      </w:r>
      <w:r>
        <w:tab/>
        <w:t>It shall be the duty of the medical officer to inform each diver at the time of a preliminary medical examination that any attack of ‘bends’ (pains in the joints and limbs or abdomen), giddiness, vomiting or difficulty in breathing, disease of the heart, lungs, kidneys, genital organs, a chill, or any other disease that may come on the person during or after work may have the most serious consequences to his or her health and the person shall be instructed that immediately on noticing any such indisposition the person must report it to the medical officer, or to a medical orderly, or failing either, to the contractor or a responsible representative of the contractor.</w:t>
      </w:r>
    </w:p>
    <w:p w:rsidR="00AF2508" w:rsidRDefault="00AF2508">
      <w:pPr>
        <w:pStyle w:val="Amain"/>
      </w:pPr>
      <w:r>
        <w:tab/>
        <w:t>(10)</w:t>
      </w:r>
      <w:r>
        <w:tab/>
        <w:t>The symptoms and treatment of compressed air illness as set out in schedule 9 shall be exhibited in a conspicuous position in the divers’ change room.</w:t>
      </w:r>
    </w:p>
    <w:p w:rsidR="00AF2508" w:rsidRDefault="00AF2508">
      <w:pPr>
        <w:pStyle w:val="Amain"/>
        <w:keepNext/>
      </w:pPr>
      <w:r>
        <w:tab/>
        <w:t>(11)</w:t>
      </w:r>
      <w:r>
        <w:tab/>
        <w:t>A contractor shall not allow any person—</w:t>
      </w:r>
    </w:p>
    <w:p w:rsidR="00AF2508" w:rsidRDefault="00AF2508">
      <w:pPr>
        <w:pStyle w:val="Apara"/>
      </w:pPr>
      <w:r>
        <w:tab/>
        <w:t>(a)</w:t>
      </w:r>
      <w:r>
        <w:tab/>
        <w:t>known to be suffering from bends, cold in the head, sore throat, or any other illness or disease; or</w:t>
      </w:r>
    </w:p>
    <w:p w:rsidR="00AF2508" w:rsidRDefault="00AF2508">
      <w:pPr>
        <w:pStyle w:val="Apara"/>
      </w:pPr>
      <w:r>
        <w:tab/>
        <w:t>(b)</w:t>
      </w:r>
      <w:r>
        <w:tab/>
        <w:t>under the influence of intoxicating liquor;</w:t>
      </w:r>
    </w:p>
    <w:p w:rsidR="00AF2508" w:rsidRDefault="00AF2508">
      <w:pPr>
        <w:pStyle w:val="Amainreturn"/>
      </w:pPr>
      <w:r>
        <w:t>to be employed under water as a diver.</w:t>
      </w:r>
    </w:p>
    <w:p w:rsidR="00AF2508" w:rsidRDefault="00AF2508">
      <w:pPr>
        <w:pStyle w:val="Amain"/>
      </w:pPr>
      <w:r>
        <w:tab/>
        <w:t>(12)</w:t>
      </w:r>
      <w:r>
        <w:tab/>
        <w:t>If divers are employed continuously in diving operations they shall be medically re-examined regularly at the following intervals:</w:t>
      </w:r>
    </w:p>
    <w:p w:rsidR="00AF2508" w:rsidRDefault="00AF2508">
      <w:pPr>
        <w:pStyle w:val="Apara"/>
      </w:pPr>
      <w:r>
        <w:rPr>
          <w:rFonts w:ascii="Symbol" w:hAnsi="Symbol"/>
          <w:sz w:val="20"/>
        </w:rPr>
        <w:tab/>
      </w:r>
      <w:r>
        <w:rPr>
          <w:rFonts w:ascii="Symbol" w:hAnsi="Symbol"/>
          <w:sz w:val="20"/>
        </w:rPr>
        <w:t></w:t>
      </w:r>
      <w:r>
        <w:t>a</w:t>
      </w:r>
      <w:r>
        <w:rPr>
          <w:rFonts w:ascii="Symbol" w:hAnsi="Symbol"/>
          <w:sz w:val="20"/>
        </w:rPr>
        <w:t></w:t>
      </w:r>
      <w:r>
        <w:rPr>
          <w:rFonts w:ascii="Symbol" w:hAnsi="Symbol"/>
          <w:sz w:val="20"/>
        </w:rPr>
        <w:tab/>
      </w:r>
      <w:r>
        <w:t>working at depths less than 60 feet—every 6 months;</w:t>
      </w:r>
    </w:p>
    <w:p w:rsidR="00AF2508" w:rsidRDefault="00AF2508">
      <w:pPr>
        <w:pStyle w:val="Apara"/>
      </w:pPr>
      <w:r>
        <w:rPr>
          <w:rFonts w:ascii="Symbol" w:hAnsi="Symbol"/>
          <w:sz w:val="20"/>
        </w:rPr>
        <w:tab/>
      </w:r>
      <w:r>
        <w:rPr>
          <w:rFonts w:ascii="Symbol" w:hAnsi="Symbol"/>
          <w:sz w:val="20"/>
        </w:rPr>
        <w:t></w:t>
      </w:r>
      <w:r>
        <w:t>b</w:t>
      </w:r>
      <w:r>
        <w:rPr>
          <w:rFonts w:ascii="Symbol" w:hAnsi="Symbol"/>
          <w:sz w:val="20"/>
        </w:rPr>
        <w:t></w:t>
      </w:r>
      <w:r>
        <w:rPr>
          <w:rFonts w:ascii="Symbol" w:hAnsi="Symbol"/>
          <w:sz w:val="20"/>
        </w:rPr>
        <w:tab/>
      </w:r>
      <w:r>
        <w:t>working at depths between 60 feet and 90 feet—every 3 months;</w:t>
      </w:r>
    </w:p>
    <w:p w:rsidR="00AF2508" w:rsidRDefault="00AF2508">
      <w:pPr>
        <w:pStyle w:val="Apara"/>
      </w:pPr>
      <w:r>
        <w:rPr>
          <w:rFonts w:ascii="Symbol" w:hAnsi="Symbol"/>
          <w:sz w:val="20"/>
        </w:rPr>
        <w:tab/>
      </w:r>
      <w:r>
        <w:rPr>
          <w:rFonts w:ascii="Symbol" w:hAnsi="Symbol"/>
          <w:sz w:val="20"/>
        </w:rPr>
        <w:t></w:t>
      </w:r>
      <w:r>
        <w:t>c</w:t>
      </w:r>
      <w:r>
        <w:rPr>
          <w:rFonts w:ascii="Symbol" w:hAnsi="Symbol"/>
          <w:sz w:val="20"/>
        </w:rPr>
        <w:t></w:t>
      </w:r>
      <w:r>
        <w:rPr>
          <w:rFonts w:ascii="Symbol" w:hAnsi="Symbol"/>
          <w:sz w:val="20"/>
        </w:rPr>
        <w:tab/>
      </w:r>
      <w:r>
        <w:t>working at depths in excess of 90 feet—every 4 weeks,</w:t>
      </w:r>
    </w:p>
    <w:p w:rsidR="00AF2508" w:rsidRDefault="00AF2508">
      <w:pPr>
        <w:pStyle w:val="Amainreturn"/>
      </w:pPr>
      <w:r>
        <w:t>and unless so re-examined and found fit as mentioned in this section no person shall dive or be employed to dive.</w:t>
      </w:r>
    </w:p>
    <w:p w:rsidR="00AF2508" w:rsidRDefault="00AF2508">
      <w:pPr>
        <w:pStyle w:val="Amain"/>
      </w:pPr>
      <w:r>
        <w:tab/>
        <w:t>(13)</w:t>
      </w:r>
      <w:r>
        <w:tab/>
        <w:t>A diver who has been absent from work due to illness of any kind for more than 7 days, or has been absent from work due to any other cause, except for recreation, for a period of more than 3 weeks shall not dive or be employed to dive without first producing a certificate of fitness from the medical officer.</w:t>
      </w:r>
    </w:p>
    <w:p w:rsidR="00AF2508" w:rsidRDefault="00AF2508">
      <w:pPr>
        <w:pStyle w:val="Amain"/>
      </w:pPr>
      <w:r>
        <w:tab/>
        <w:t>(14)</w:t>
      </w:r>
      <w:r>
        <w:tab/>
        <w:t>No person shall dive or be employed to dive after 12 months or any lesser period that the medical officer may determine, has elapsed from the date of the last X-ray examination of his or her chest.</w:t>
      </w:r>
    </w:p>
    <w:p w:rsidR="00AF2508" w:rsidRDefault="00AF2508">
      <w:pPr>
        <w:pStyle w:val="Assectheading"/>
        <w:rPr>
          <w:i w:val="0"/>
        </w:rPr>
      </w:pPr>
      <w:r>
        <w:rPr>
          <w:rStyle w:val="charItals"/>
          <w:i/>
        </w:rPr>
        <w:t>Compressed air workers’ badge</w:t>
      </w:r>
    </w:p>
    <w:p w:rsidR="00AF2508" w:rsidRDefault="00AF2508">
      <w:pPr>
        <w:pStyle w:val="Amain"/>
      </w:pPr>
      <w:r>
        <w:tab/>
        <w:t>(15)</w:t>
      </w:r>
      <w:r>
        <w:tab/>
        <w:t>It shall be the duty of a contractor to supply to every diver in the contractor’s employ a compressed air worker’s badge.</w:t>
      </w:r>
    </w:p>
    <w:p w:rsidR="00AF2508" w:rsidRDefault="00AF2508">
      <w:pPr>
        <w:pStyle w:val="Amain"/>
      </w:pPr>
      <w:r>
        <w:tab/>
        <w:t>(16)</w:t>
      </w:r>
      <w:r>
        <w:tab/>
        <w:t>It shall be the duty of every diver at all times to wear a compressed air worker’s badge.</w:t>
      </w:r>
    </w:p>
    <w:p w:rsidR="00AF2508" w:rsidRDefault="00AF2508">
      <w:pPr>
        <w:pStyle w:val="Amain"/>
      </w:pPr>
      <w:r>
        <w:tab/>
        <w:t>(17)</w:t>
      </w:r>
      <w:r>
        <w:tab/>
        <w:t>A compressed air worker’s badge shall be made of non-corrodible metal and shall be arranged to be worn either in a coat lapel or suspended by a chain or cord placed around the neck.</w:t>
      </w:r>
    </w:p>
    <w:p w:rsidR="00AF2508" w:rsidRDefault="00AF2508">
      <w:pPr>
        <w:pStyle w:val="Amain"/>
      </w:pPr>
      <w:r>
        <w:tab/>
        <w:t>(18)</w:t>
      </w:r>
      <w:r>
        <w:tab/>
        <w:t>The badge shall be in the form of a disc, 1</w:t>
      </w:r>
      <w:r>
        <w:rPr>
          <w:position w:val="6"/>
          <w:sz w:val="18"/>
        </w:rPr>
        <w:t>1</w:t>
      </w:r>
      <w:r>
        <w:t>/</w:t>
      </w:r>
      <w:r>
        <w:rPr>
          <w:sz w:val="18"/>
        </w:rPr>
        <w:t>4</w:t>
      </w:r>
      <w:r>
        <w:t xml:space="preserve"> inches in diameter and not less than </w:t>
      </w:r>
      <w:r>
        <w:rPr>
          <w:position w:val="6"/>
          <w:sz w:val="18"/>
        </w:rPr>
        <w:t>1</w:t>
      </w:r>
      <w:r>
        <w:t>/</w:t>
      </w:r>
      <w:r>
        <w:rPr>
          <w:sz w:val="18"/>
        </w:rPr>
        <w:t>16</w:t>
      </w:r>
      <w:r>
        <w:t xml:space="preserve"> of an inch in thickness.</w:t>
      </w:r>
    </w:p>
    <w:p w:rsidR="00AF2508" w:rsidRDefault="00AF2508">
      <w:pPr>
        <w:pStyle w:val="Amain"/>
      </w:pPr>
      <w:r>
        <w:tab/>
        <w:t>(19)</w:t>
      </w:r>
      <w:r>
        <w:tab/>
        <w:t>The face shall bear the following inscription, arranged in the following way:</w:t>
      </w:r>
    </w:p>
    <w:bookmarkStart w:id="186" w:name="_MON_1159698743"/>
    <w:bookmarkStart w:id="187" w:name="_MON_1235378791"/>
    <w:bookmarkEnd w:id="186"/>
    <w:bookmarkEnd w:id="187"/>
    <w:bookmarkStart w:id="188" w:name="_MON_1090065505"/>
    <w:bookmarkEnd w:id="188"/>
    <w:p w:rsidR="00AF2508" w:rsidRDefault="00AF2508">
      <w:pPr>
        <w:pStyle w:val="Formula"/>
      </w:pPr>
      <w:r>
        <w:object w:dxaOrig="1846" w:dyaOrig="1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4.5pt" o:ole="" fillcolor="window">
            <v:imagedata r:id="rId24" o:title=""/>
          </v:shape>
          <o:OLEObject Type="Embed" ProgID="Word.Picture.8" ShapeID="_x0000_i1025" DrawAspect="Content" ObjectID="_1595940250" r:id="rId25"/>
        </w:object>
      </w:r>
    </w:p>
    <w:p w:rsidR="00AF2508" w:rsidRDefault="00AF2508">
      <w:pPr>
        <w:pStyle w:val="Assectheading"/>
        <w:rPr>
          <w:i w:val="0"/>
        </w:rPr>
      </w:pPr>
      <w:r>
        <w:rPr>
          <w:rStyle w:val="charItals"/>
          <w:i/>
        </w:rPr>
        <w:t>Safe diving periods</w:t>
      </w:r>
    </w:p>
    <w:p w:rsidR="00AF2508" w:rsidRDefault="00AF2508">
      <w:pPr>
        <w:pStyle w:val="Amain"/>
      </w:pPr>
      <w:r>
        <w:tab/>
        <w:t>(20)</w:t>
      </w:r>
      <w:r>
        <w:tab/>
        <w:t>Except in case of emergency, no person shall dive or be employed to dive under water in any period of 24 hours for longer than the total times and periods corresponding to the depth of dive set out in table 99.1:</w:t>
      </w:r>
    </w:p>
    <w:p w:rsidR="00AF2508" w:rsidRDefault="00AF2508">
      <w:pPr>
        <w:pStyle w:val="TableHd"/>
      </w:pPr>
      <w:r>
        <w:t>Table 99.1</w:t>
      </w:r>
      <w:r>
        <w:tab/>
        <w:t>Safe diving periods for varying depths*</w:t>
      </w:r>
    </w:p>
    <w:tbl>
      <w:tblPr>
        <w:tblW w:w="0" w:type="auto"/>
        <w:tblInd w:w="80" w:type="dxa"/>
        <w:tblLayout w:type="fixed"/>
        <w:tblCellMar>
          <w:left w:w="80" w:type="dxa"/>
          <w:right w:w="80" w:type="dxa"/>
        </w:tblCellMar>
        <w:tblLook w:val="0000" w:firstRow="0" w:lastRow="0" w:firstColumn="0" w:lastColumn="0" w:noHBand="0" w:noVBand="0"/>
      </w:tblPr>
      <w:tblGrid>
        <w:gridCol w:w="1200"/>
        <w:gridCol w:w="1440"/>
        <w:gridCol w:w="860"/>
        <w:gridCol w:w="976"/>
        <w:gridCol w:w="3162"/>
      </w:tblGrid>
      <w:tr w:rsidR="00AF2508">
        <w:trPr>
          <w:cantSplit/>
          <w:tblHeader/>
        </w:trPr>
        <w:tc>
          <w:tcPr>
            <w:tcW w:w="1200" w:type="dxa"/>
            <w:tcBorders>
              <w:bottom w:val="single" w:sz="6" w:space="0" w:color="auto"/>
            </w:tcBorders>
          </w:tcPr>
          <w:p w:rsidR="00AF2508" w:rsidRDefault="00AF2508">
            <w:pPr>
              <w:pStyle w:val="TableColHd"/>
            </w:pPr>
            <w:r>
              <w:t>depth of dive</w:t>
            </w:r>
          </w:p>
          <w:p w:rsidR="00AF2508" w:rsidRDefault="00AF2508">
            <w:pPr>
              <w:pStyle w:val="TableColHd"/>
            </w:pPr>
            <w:r>
              <w:t>feet</w:t>
            </w:r>
          </w:p>
        </w:tc>
        <w:tc>
          <w:tcPr>
            <w:tcW w:w="1440" w:type="dxa"/>
            <w:tcBorders>
              <w:bottom w:val="single" w:sz="6" w:space="0" w:color="auto"/>
            </w:tcBorders>
          </w:tcPr>
          <w:p w:rsidR="00AF2508" w:rsidRDefault="00AF2508">
            <w:pPr>
              <w:pStyle w:val="TableColHd"/>
            </w:pPr>
            <w:r>
              <w:t>pressure lb. per sq. inch</w:t>
            </w:r>
          </w:p>
        </w:tc>
        <w:tc>
          <w:tcPr>
            <w:tcW w:w="1836" w:type="dxa"/>
            <w:gridSpan w:val="2"/>
            <w:tcBorders>
              <w:bottom w:val="single" w:sz="6" w:space="0" w:color="auto"/>
            </w:tcBorders>
          </w:tcPr>
          <w:p w:rsidR="00AF2508" w:rsidRDefault="00AF2508">
            <w:pPr>
              <w:pStyle w:val="TableColHd"/>
            </w:pPr>
            <w:r>
              <w:t>safe diving period*</w:t>
            </w:r>
          </w:p>
          <w:p w:rsidR="00AF2508" w:rsidRDefault="00AF2508">
            <w:pPr>
              <w:pStyle w:val="TableColHd"/>
              <w:rPr>
                <w:color w:val="000000"/>
              </w:rPr>
            </w:pPr>
            <w:r>
              <w:rPr>
                <w:color w:val="000000"/>
              </w:rPr>
              <w:t>hours</w:t>
            </w:r>
            <w:r>
              <w:rPr>
                <w:color w:val="000000"/>
              </w:rPr>
              <w:tab/>
              <w:t>minutes</w:t>
            </w:r>
          </w:p>
        </w:tc>
        <w:tc>
          <w:tcPr>
            <w:tcW w:w="3162" w:type="dxa"/>
            <w:tcBorders>
              <w:bottom w:val="single" w:sz="6" w:space="0" w:color="auto"/>
            </w:tcBorders>
          </w:tcPr>
          <w:p w:rsidR="00AF2508" w:rsidRDefault="00AF2508">
            <w:pPr>
              <w:pStyle w:val="TableColHd"/>
            </w:pPr>
          </w:p>
        </w:tc>
      </w:tr>
      <w:tr w:rsidR="00AF2508">
        <w:trPr>
          <w:cantSplit/>
        </w:trPr>
        <w:tc>
          <w:tcPr>
            <w:tcW w:w="1200" w:type="dxa"/>
          </w:tcPr>
          <w:p w:rsidR="00AF2508" w:rsidRDefault="00AF2508">
            <w:pPr>
              <w:spacing w:before="120"/>
            </w:pPr>
            <w:r>
              <w:t>0—42</w:t>
            </w:r>
          </w:p>
        </w:tc>
        <w:tc>
          <w:tcPr>
            <w:tcW w:w="1440" w:type="dxa"/>
          </w:tcPr>
          <w:p w:rsidR="00AF2508" w:rsidRDefault="00AF2508">
            <w:pPr>
              <w:spacing w:before="120"/>
            </w:pPr>
            <w:r>
              <w:t>0—18</w:t>
            </w:r>
            <w:r>
              <w:rPr>
                <w:position w:val="6"/>
                <w:sz w:val="18"/>
              </w:rPr>
              <w:t>1</w:t>
            </w:r>
            <w:r>
              <w:t>/</w:t>
            </w:r>
            <w:r>
              <w:rPr>
                <w:sz w:val="18"/>
              </w:rPr>
              <w:t>2</w:t>
            </w:r>
          </w:p>
        </w:tc>
        <w:tc>
          <w:tcPr>
            <w:tcW w:w="860" w:type="dxa"/>
          </w:tcPr>
          <w:p w:rsidR="00AF2508" w:rsidRDefault="00AF2508">
            <w:pPr>
              <w:spacing w:before="120"/>
            </w:pPr>
            <w:r>
              <w:t>6</w:t>
            </w:r>
          </w:p>
        </w:tc>
        <w:tc>
          <w:tcPr>
            <w:tcW w:w="976" w:type="dxa"/>
          </w:tcPr>
          <w:p w:rsidR="00AF2508" w:rsidRDefault="00AF2508">
            <w:pPr>
              <w:spacing w:before="120"/>
            </w:pPr>
            <w:r>
              <w:t>0</w:t>
            </w:r>
          </w:p>
        </w:tc>
        <w:tc>
          <w:tcPr>
            <w:tcW w:w="3162" w:type="dxa"/>
          </w:tcPr>
          <w:p w:rsidR="00AF2508" w:rsidRDefault="00AF2508">
            <w:pPr>
              <w:spacing w:before="120"/>
            </w:pPr>
            <w:r>
              <w:t>provided that the period of any dive shall not exceed 1</w:t>
            </w:r>
            <w:r>
              <w:rPr>
                <w:position w:val="6"/>
                <w:sz w:val="18"/>
              </w:rPr>
              <w:t>1</w:t>
            </w:r>
            <w:r>
              <w:t>/</w:t>
            </w:r>
            <w:r>
              <w:rPr>
                <w:sz w:val="18"/>
              </w:rPr>
              <w:t>2</w:t>
            </w:r>
            <w:r>
              <w:t xml:space="preserve"> hours duration, and that 15 minutes is allowed on the surface after each such period</w:t>
            </w:r>
          </w:p>
        </w:tc>
      </w:tr>
      <w:tr w:rsidR="00AF2508">
        <w:trPr>
          <w:cantSplit/>
        </w:trPr>
        <w:tc>
          <w:tcPr>
            <w:tcW w:w="1200" w:type="dxa"/>
          </w:tcPr>
          <w:p w:rsidR="00AF2508" w:rsidRDefault="00AF2508">
            <w:pPr>
              <w:spacing w:before="240"/>
            </w:pPr>
            <w:r>
              <w:t>42—60</w:t>
            </w:r>
          </w:p>
        </w:tc>
        <w:tc>
          <w:tcPr>
            <w:tcW w:w="1440" w:type="dxa"/>
          </w:tcPr>
          <w:p w:rsidR="00AF2508" w:rsidRDefault="00AF2508">
            <w:pPr>
              <w:spacing w:before="240"/>
            </w:pPr>
            <w:r>
              <w:t>18</w:t>
            </w:r>
            <w:r>
              <w:rPr>
                <w:position w:val="6"/>
                <w:sz w:val="18"/>
              </w:rPr>
              <w:t>1</w:t>
            </w:r>
            <w:r>
              <w:t>/</w:t>
            </w:r>
            <w:r>
              <w:rPr>
                <w:sz w:val="18"/>
              </w:rPr>
              <w:t>2</w:t>
            </w:r>
            <w:r>
              <w:t>—26</w:t>
            </w:r>
            <w:r>
              <w:rPr>
                <w:position w:val="6"/>
                <w:sz w:val="18"/>
              </w:rPr>
              <w:t>1</w:t>
            </w:r>
            <w:r>
              <w:t>/</w:t>
            </w:r>
            <w:r>
              <w:rPr>
                <w:sz w:val="18"/>
              </w:rPr>
              <w:t>2</w:t>
            </w:r>
          </w:p>
        </w:tc>
        <w:tc>
          <w:tcPr>
            <w:tcW w:w="860" w:type="dxa"/>
          </w:tcPr>
          <w:p w:rsidR="00AF2508" w:rsidRDefault="00AF2508">
            <w:pPr>
              <w:spacing w:before="240"/>
            </w:pPr>
            <w:r>
              <w:t>5</w:t>
            </w:r>
          </w:p>
        </w:tc>
        <w:tc>
          <w:tcPr>
            <w:tcW w:w="976" w:type="dxa"/>
          </w:tcPr>
          <w:p w:rsidR="00AF2508" w:rsidRDefault="00AF2508">
            <w:pPr>
              <w:spacing w:before="240"/>
            </w:pPr>
            <w:r>
              <w:t>0</w:t>
            </w:r>
          </w:p>
        </w:tc>
        <w:tc>
          <w:tcPr>
            <w:tcW w:w="3162" w:type="dxa"/>
          </w:tcPr>
          <w:p w:rsidR="00AF2508" w:rsidRDefault="00AF2508">
            <w:pPr>
              <w:spacing w:before="240"/>
            </w:pPr>
            <w:r>
              <w:t>provided that the period of any dive shall not exceed 1 hour duration, and that 15 minutes is allowed on the surface after each such period</w:t>
            </w:r>
          </w:p>
        </w:tc>
      </w:tr>
      <w:tr w:rsidR="00AF2508">
        <w:trPr>
          <w:cantSplit/>
        </w:trPr>
        <w:tc>
          <w:tcPr>
            <w:tcW w:w="1200" w:type="dxa"/>
          </w:tcPr>
          <w:p w:rsidR="00AF2508" w:rsidRDefault="00AF2508">
            <w:pPr>
              <w:spacing w:before="240"/>
            </w:pPr>
            <w:r>
              <w:t>60—66</w:t>
            </w:r>
          </w:p>
        </w:tc>
        <w:tc>
          <w:tcPr>
            <w:tcW w:w="1440" w:type="dxa"/>
          </w:tcPr>
          <w:p w:rsidR="00AF2508" w:rsidRDefault="00AF2508">
            <w:pPr>
              <w:spacing w:before="240"/>
            </w:pPr>
            <w:r>
              <w:t>26</w:t>
            </w:r>
            <w:r>
              <w:rPr>
                <w:position w:val="6"/>
                <w:sz w:val="18"/>
              </w:rPr>
              <w:t>1</w:t>
            </w:r>
            <w:r>
              <w:t>/</w:t>
            </w:r>
            <w:r>
              <w:rPr>
                <w:sz w:val="18"/>
              </w:rPr>
              <w:t>2</w:t>
            </w:r>
            <w:r>
              <w:t>—29</w:t>
            </w:r>
            <w:r>
              <w:rPr>
                <w:position w:val="6"/>
                <w:sz w:val="18"/>
              </w:rPr>
              <w:t>1</w:t>
            </w:r>
            <w:r>
              <w:t>/</w:t>
            </w:r>
            <w:r>
              <w:rPr>
                <w:sz w:val="18"/>
              </w:rPr>
              <w:t>2</w:t>
            </w:r>
          </w:p>
        </w:tc>
        <w:tc>
          <w:tcPr>
            <w:tcW w:w="860" w:type="dxa"/>
          </w:tcPr>
          <w:p w:rsidR="00AF2508" w:rsidRDefault="00AF2508">
            <w:pPr>
              <w:spacing w:before="240"/>
            </w:pPr>
            <w:r>
              <w:t>3</w:t>
            </w:r>
          </w:p>
        </w:tc>
        <w:tc>
          <w:tcPr>
            <w:tcW w:w="976" w:type="dxa"/>
          </w:tcPr>
          <w:p w:rsidR="00AF2508" w:rsidRDefault="00AF2508">
            <w:pPr>
              <w:spacing w:before="240"/>
            </w:pPr>
            <w:r>
              <w:t>0</w:t>
            </w:r>
          </w:p>
        </w:tc>
        <w:tc>
          <w:tcPr>
            <w:tcW w:w="3162" w:type="dxa"/>
          </w:tcPr>
          <w:p w:rsidR="00AF2508" w:rsidRDefault="00AF2508">
            <w:pPr>
              <w:spacing w:before="240"/>
            </w:pPr>
            <w:r>
              <w:t>provided that the period of any dive shall not exceed 1 hour duration, and that 15 minutes is allowed on the surface after each such period</w:t>
            </w:r>
          </w:p>
        </w:tc>
      </w:tr>
      <w:tr w:rsidR="00AF2508">
        <w:trPr>
          <w:cantSplit/>
        </w:trPr>
        <w:tc>
          <w:tcPr>
            <w:tcW w:w="1200" w:type="dxa"/>
          </w:tcPr>
          <w:p w:rsidR="00AF2508" w:rsidRDefault="00AF2508">
            <w:pPr>
              <w:spacing w:before="120"/>
            </w:pPr>
            <w:r>
              <w:t>66—72</w:t>
            </w:r>
          </w:p>
        </w:tc>
        <w:tc>
          <w:tcPr>
            <w:tcW w:w="1440" w:type="dxa"/>
          </w:tcPr>
          <w:p w:rsidR="00AF2508" w:rsidRDefault="00AF2508">
            <w:pPr>
              <w:spacing w:before="120"/>
            </w:pPr>
            <w:r>
              <w:t>29</w:t>
            </w:r>
            <w:r>
              <w:rPr>
                <w:position w:val="6"/>
                <w:sz w:val="18"/>
              </w:rPr>
              <w:t>1</w:t>
            </w:r>
            <w:r>
              <w:t>/</w:t>
            </w:r>
            <w:r>
              <w:rPr>
                <w:sz w:val="18"/>
              </w:rPr>
              <w:t>2</w:t>
            </w:r>
            <w:r>
              <w:t>—32</w:t>
            </w:r>
          </w:p>
        </w:tc>
        <w:tc>
          <w:tcPr>
            <w:tcW w:w="860" w:type="dxa"/>
          </w:tcPr>
          <w:p w:rsidR="00AF2508" w:rsidRDefault="00AF2508">
            <w:pPr>
              <w:spacing w:before="120"/>
            </w:pPr>
            <w:r>
              <w:t>2</w:t>
            </w:r>
          </w:p>
        </w:tc>
        <w:tc>
          <w:tcPr>
            <w:tcW w:w="976" w:type="dxa"/>
          </w:tcPr>
          <w:p w:rsidR="00AF2508" w:rsidRDefault="00AF2508">
            <w:pPr>
              <w:spacing w:before="120"/>
            </w:pPr>
            <w:r>
              <w:t>0</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72—78</w:t>
            </w:r>
          </w:p>
        </w:tc>
        <w:tc>
          <w:tcPr>
            <w:tcW w:w="1440" w:type="dxa"/>
          </w:tcPr>
          <w:p w:rsidR="00AF2508" w:rsidRDefault="00AF2508">
            <w:pPr>
              <w:spacing w:before="120"/>
            </w:pPr>
            <w:r>
              <w:t>32—34</w:t>
            </w:r>
            <w:r>
              <w:rPr>
                <w:position w:val="6"/>
                <w:sz w:val="18"/>
              </w:rPr>
              <w:t>1</w:t>
            </w:r>
            <w:r>
              <w:t>/</w:t>
            </w:r>
            <w:r>
              <w:rPr>
                <w:sz w:val="18"/>
              </w:rPr>
              <w:t>2</w:t>
            </w:r>
          </w:p>
        </w:tc>
        <w:tc>
          <w:tcPr>
            <w:tcW w:w="860" w:type="dxa"/>
          </w:tcPr>
          <w:p w:rsidR="00AF2508" w:rsidRDefault="00AF2508">
            <w:pPr>
              <w:spacing w:before="120"/>
            </w:pPr>
            <w:r>
              <w:t>1</w:t>
            </w:r>
          </w:p>
        </w:tc>
        <w:tc>
          <w:tcPr>
            <w:tcW w:w="976" w:type="dxa"/>
          </w:tcPr>
          <w:p w:rsidR="00AF2508" w:rsidRDefault="00AF2508">
            <w:pPr>
              <w:spacing w:before="120"/>
            </w:pPr>
            <w:r>
              <w:t>30</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78—84</w:t>
            </w:r>
          </w:p>
        </w:tc>
        <w:tc>
          <w:tcPr>
            <w:tcW w:w="1440" w:type="dxa"/>
          </w:tcPr>
          <w:p w:rsidR="00AF2508" w:rsidRDefault="00AF2508">
            <w:pPr>
              <w:spacing w:before="120"/>
            </w:pPr>
            <w:r>
              <w:t>34</w:t>
            </w:r>
            <w:r>
              <w:rPr>
                <w:position w:val="6"/>
                <w:sz w:val="18"/>
              </w:rPr>
              <w:t>1</w:t>
            </w:r>
            <w:r>
              <w:t>/</w:t>
            </w:r>
            <w:r>
              <w:rPr>
                <w:sz w:val="18"/>
              </w:rPr>
              <w:t>2</w:t>
            </w:r>
            <w:r>
              <w:t>—37</w:t>
            </w:r>
          </w:p>
        </w:tc>
        <w:tc>
          <w:tcPr>
            <w:tcW w:w="860" w:type="dxa"/>
          </w:tcPr>
          <w:p w:rsidR="00AF2508" w:rsidRDefault="00AF2508">
            <w:pPr>
              <w:spacing w:before="120"/>
            </w:pPr>
            <w:r>
              <w:t>1</w:t>
            </w:r>
          </w:p>
        </w:tc>
        <w:tc>
          <w:tcPr>
            <w:tcW w:w="976" w:type="dxa"/>
          </w:tcPr>
          <w:p w:rsidR="00AF2508" w:rsidRDefault="00AF2508">
            <w:pPr>
              <w:spacing w:before="120"/>
            </w:pPr>
            <w:r>
              <w:t>15</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84—90</w:t>
            </w:r>
          </w:p>
        </w:tc>
        <w:tc>
          <w:tcPr>
            <w:tcW w:w="1440" w:type="dxa"/>
          </w:tcPr>
          <w:p w:rsidR="00AF2508" w:rsidRDefault="00AF2508">
            <w:pPr>
              <w:spacing w:before="120"/>
            </w:pPr>
            <w:r>
              <w:t>37—40</w:t>
            </w:r>
          </w:p>
        </w:tc>
        <w:tc>
          <w:tcPr>
            <w:tcW w:w="860" w:type="dxa"/>
          </w:tcPr>
          <w:p w:rsidR="00AF2508" w:rsidRDefault="00AF2508">
            <w:pPr>
              <w:spacing w:before="120"/>
            </w:pPr>
            <w:r>
              <w:t>1</w:t>
            </w:r>
          </w:p>
        </w:tc>
        <w:tc>
          <w:tcPr>
            <w:tcW w:w="976" w:type="dxa"/>
          </w:tcPr>
          <w:p w:rsidR="00AF2508" w:rsidRDefault="00AF2508">
            <w:pPr>
              <w:spacing w:before="120"/>
            </w:pPr>
            <w:r>
              <w:t>0</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90—96</w:t>
            </w:r>
          </w:p>
        </w:tc>
        <w:tc>
          <w:tcPr>
            <w:tcW w:w="1440" w:type="dxa"/>
          </w:tcPr>
          <w:p w:rsidR="00AF2508" w:rsidRDefault="00AF2508">
            <w:pPr>
              <w:spacing w:before="120"/>
            </w:pPr>
            <w:r>
              <w:t>40—42</w:t>
            </w:r>
            <w:r>
              <w:rPr>
                <w:position w:val="6"/>
                <w:sz w:val="18"/>
              </w:rPr>
              <w:t>1</w:t>
            </w:r>
            <w:r>
              <w:t>/</w:t>
            </w:r>
            <w:r>
              <w:rPr>
                <w:sz w:val="18"/>
              </w:rPr>
              <w:t>2</w:t>
            </w:r>
          </w:p>
        </w:tc>
        <w:tc>
          <w:tcPr>
            <w:tcW w:w="860" w:type="dxa"/>
          </w:tcPr>
          <w:p w:rsidR="00AF2508" w:rsidRDefault="00AF2508">
            <w:pPr>
              <w:spacing w:before="120"/>
            </w:pPr>
            <w:r>
              <w:t>. .</w:t>
            </w:r>
          </w:p>
        </w:tc>
        <w:tc>
          <w:tcPr>
            <w:tcW w:w="976" w:type="dxa"/>
          </w:tcPr>
          <w:p w:rsidR="00AF2508" w:rsidRDefault="00AF2508">
            <w:pPr>
              <w:spacing w:before="120"/>
            </w:pPr>
            <w:r>
              <w:t>55</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96—108</w:t>
            </w:r>
          </w:p>
        </w:tc>
        <w:tc>
          <w:tcPr>
            <w:tcW w:w="1440" w:type="dxa"/>
          </w:tcPr>
          <w:p w:rsidR="00AF2508" w:rsidRDefault="00AF2508">
            <w:pPr>
              <w:spacing w:before="120"/>
            </w:pPr>
            <w:r>
              <w:t>42</w:t>
            </w:r>
            <w:r>
              <w:rPr>
                <w:position w:val="6"/>
                <w:sz w:val="18"/>
              </w:rPr>
              <w:t>1</w:t>
            </w:r>
            <w:r>
              <w:t>/</w:t>
            </w:r>
            <w:r>
              <w:rPr>
                <w:sz w:val="18"/>
              </w:rPr>
              <w:t>2</w:t>
            </w:r>
            <w:r>
              <w:t>—48</w:t>
            </w:r>
          </w:p>
        </w:tc>
        <w:tc>
          <w:tcPr>
            <w:tcW w:w="860" w:type="dxa"/>
          </w:tcPr>
          <w:p w:rsidR="00AF2508" w:rsidRDefault="00AF2508">
            <w:pPr>
              <w:spacing w:before="120"/>
            </w:pPr>
            <w:r>
              <w:t>. .</w:t>
            </w:r>
          </w:p>
        </w:tc>
        <w:tc>
          <w:tcPr>
            <w:tcW w:w="976" w:type="dxa"/>
          </w:tcPr>
          <w:p w:rsidR="00AF2508" w:rsidRDefault="00AF2508">
            <w:pPr>
              <w:spacing w:before="120"/>
            </w:pPr>
            <w:r>
              <w:t>40</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108—120</w:t>
            </w:r>
          </w:p>
        </w:tc>
        <w:tc>
          <w:tcPr>
            <w:tcW w:w="1440" w:type="dxa"/>
          </w:tcPr>
          <w:p w:rsidR="00AF2508" w:rsidRDefault="00AF2508">
            <w:pPr>
              <w:spacing w:before="120"/>
            </w:pPr>
            <w:r>
              <w:t>48—53</w:t>
            </w:r>
            <w:r>
              <w:rPr>
                <w:position w:val="6"/>
                <w:sz w:val="18"/>
              </w:rPr>
              <w:t>1</w:t>
            </w:r>
            <w:r>
              <w:t>/</w:t>
            </w:r>
            <w:r>
              <w:rPr>
                <w:sz w:val="18"/>
              </w:rPr>
              <w:t>2</w:t>
            </w:r>
          </w:p>
        </w:tc>
        <w:tc>
          <w:tcPr>
            <w:tcW w:w="860" w:type="dxa"/>
          </w:tcPr>
          <w:p w:rsidR="00AF2508" w:rsidRDefault="00AF2508">
            <w:pPr>
              <w:spacing w:before="120"/>
            </w:pPr>
            <w:r>
              <w:t>. .</w:t>
            </w:r>
          </w:p>
        </w:tc>
        <w:tc>
          <w:tcPr>
            <w:tcW w:w="976" w:type="dxa"/>
          </w:tcPr>
          <w:p w:rsidR="00AF2508" w:rsidRDefault="00AF2508">
            <w:pPr>
              <w:spacing w:before="120"/>
            </w:pPr>
            <w:r>
              <w:t>35</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120—132</w:t>
            </w:r>
          </w:p>
        </w:tc>
        <w:tc>
          <w:tcPr>
            <w:tcW w:w="1440" w:type="dxa"/>
          </w:tcPr>
          <w:p w:rsidR="00AF2508" w:rsidRDefault="00AF2508">
            <w:pPr>
              <w:spacing w:before="120"/>
            </w:pPr>
            <w:r>
              <w:t>53</w:t>
            </w:r>
            <w:r>
              <w:rPr>
                <w:position w:val="6"/>
                <w:sz w:val="18"/>
              </w:rPr>
              <w:t>1</w:t>
            </w:r>
            <w:r>
              <w:t>/</w:t>
            </w:r>
            <w:r>
              <w:rPr>
                <w:sz w:val="18"/>
              </w:rPr>
              <w:t>2</w:t>
            </w:r>
            <w:r>
              <w:t>—59</w:t>
            </w:r>
          </w:p>
        </w:tc>
        <w:tc>
          <w:tcPr>
            <w:tcW w:w="860" w:type="dxa"/>
          </w:tcPr>
          <w:p w:rsidR="00AF2508" w:rsidRDefault="00AF2508">
            <w:pPr>
              <w:spacing w:before="120"/>
            </w:pPr>
            <w:r>
              <w:t>. .</w:t>
            </w:r>
          </w:p>
        </w:tc>
        <w:tc>
          <w:tcPr>
            <w:tcW w:w="976" w:type="dxa"/>
          </w:tcPr>
          <w:p w:rsidR="00AF2508" w:rsidRDefault="00AF2508">
            <w:pPr>
              <w:spacing w:before="120"/>
            </w:pPr>
            <w:r>
              <w:t>30</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132—144</w:t>
            </w:r>
          </w:p>
        </w:tc>
        <w:tc>
          <w:tcPr>
            <w:tcW w:w="1440" w:type="dxa"/>
          </w:tcPr>
          <w:p w:rsidR="00AF2508" w:rsidRDefault="00AF2508">
            <w:pPr>
              <w:spacing w:before="120"/>
            </w:pPr>
            <w:r>
              <w:t>59—64</w:t>
            </w:r>
            <w:r>
              <w:rPr>
                <w:position w:val="6"/>
                <w:sz w:val="18"/>
              </w:rPr>
              <w:t>1</w:t>
            </w:r>
            <w:r>
              <w:t>/</w:t>
            </w:r>
            <w:r>
              <w:rPr>
                <w:sz w:val="18"/>
              </w:rPr>
              <w:t>2</w:t>
            </w:r>
          </w:p>
        </w:tc>
        <w:tc>
          <w:tcPr>
            <w:tcW w:w="860" w:type="dxa"/>
          </w:tcPr>
          <w:p w:rsidR="00AF2508" w:rsidRDefault="00AF2508">
            <w:pPr>
              <w:spacing w:before="120"/>
            </w:pPr>
            <w:r>
              <w:t>. .</w:t>
            </w:r>
          </w:p>
        </w:tc>
        <w:tc>
          <w:tcPr>
            <w:tcW w:w="976" w:type="dxa"/>
          </w:tcPr>
          <w:p w:rsidR="00AF2508" w:rsidRDefault="00AF2508">
            <w:pPr>
              <w:spacing w:before="120"/>
            </w:pPr>
            <w:r>
              <w:t>25</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144—156</w:t>
            </w:r>
          </w:p>
        </w:tc>
        <w:tc>
          <w:tcPr>
            <w:tcW w:w="1440" w:type="dxa"/>
          </w:tcPr>
          <w:p w:rsidR="00AF2508" w:rsidRDefault="00AF2508">
            <w:pPr>
              <w:spacing w:before="120"/>
            </w:pPr>
            <w:r>
              <w:t>64</w:t>
            </w:r>
            <w:r>
              <w:rPr>
                <w:position w:val="6"/>
                <w:sz w:val="18"/>
              </w:rPr>
              <w:t>1</w:t>
            </w:r>
            <w:r>
              <w:t>/</w:t>
            </w:r>
            <w:r>
              <w:rPr>
                <w:sz w:val="18"/>
              </w:rPr>
              <w:t>2</w:t>
            </w:r>
            <w:r>
              <w:t>—70</w:t>
            </w:r>
          </w:p>
        </w:tc>
        <w:tc>
          <w:tcPr>
            <w:tcW w:w="860" w:type="dxa"/>
          </w:tcPr>
          <w:p w:rsidR="00AF2508" w:rsidRDefault="00AF2508">
            <w:pPr>
              <w:spacing w:before="120"/>
            </w:pPr>
            <w:r>
              <w:t>. .</w:t>
            </w:r>
          </w:p>
        </w:tc>
        <w:tc>
          <w:tcPr>
            <w:tcW w:w="976" w:type="dxa"/>
          </w:tcPr>
          <w:p w:rsidR="00AF2508" w:rsidRDefault="00AF2508">
            <w:pPr>
              <w:spacing w:before="120"/>
            </w:pPr>
            <w:r>
              <w:t>20</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156—168</w:t>
            </w:r>
          </w:p>
        </w:tc>
        <w:tc>
          <w:tcPr>
            <w:tcW w:w="1440" w:type="dxa"/>
          </w:tcPr>
          <w:p w:rsidR="00AF2508" w:rsidRDefault="00AF2508">
            <w:pPr>
              <w:spacing w:before="120"/>
            </w:pPr>
            <w:r>
              <w:t>70—75</w:t>
            </w:r>
          </w:p>
        </w:tc>
        <w:tc>
          <w:tcPr>
            <w:tcW w:w="860" w:type="dxa"/>
          </w:tcPr>
          <w:p w:rsidR="00AF2508" w:rsidRDefault="00AF2508">
            <w:pPr>
              <w:spacing w:before="120"/>
            </w:pPr>
            <w:r>
              <w:t>. .</w:t>
            </w:r>
          </w:p>
        </w:tc>
        <w:tc>
          <w:tcPr>
            <w:tcW w:w="976" w:type="dxa"/>
          </w:tcPr>
          <w:p w:rsidR="00AF2508" w:rsidRDefault="00AF2508">
            <w:pPr>
              <w:spacing w:before="120"/>
            </w:pPr>
            <w:r>
              <w:t>16</w:t>
            </w:r>
          </w:p>
        </w:tc>
        <w:tc>
          <w:tcPr>
            <w:tcW w:w="3162" w:type="dxa"/>
          </w:tcPr>
          <w:p w:rsidR="00AF2508" w:rsidRDefault="00AF2508">
            <w:pPr>
              <w:spacing w:before="120"/>
            </w:pPr>
          </w:p>
        </w:tc>
      </w:tr>
      <w:tr w:rsidR="00AF2508">
        <w:trPr>
          <w:cantSplit/>
        </w:trPr>
        <w:tc>
          <w:tcPr>
            <w:tcW w:w="1200" w:type="dxa"/>
          </w:tcPr>
          <w:p w:rsidR="00AF2508" w:rsidRDefault="00AF2508">
            <w:pPr>
              <w:spacing w:before="120"/>
            </w:pPr>
            <w:r>
              <w:t>168—180</w:t>
            </w:r>
          </w:p>
        </w:tc>
        <w:tc>
          <w:tcPr>
            <w:tcW w:w="1440" w:type="dxa"/>
          </w:tcPr>
          <w:p w:rsidR="00AF2508" w:rsidRDefault="00AF2508">
            <w:pPr>
              <w:spacing w:before="120"/>
            </w:pPr>
            <w:r>
              <w:t>75—80</w:t>
            </w:r>
            <w:r>
              <w:rPr>
                <w:position w:val="6"/>
                <w:sz w:val="18"/>
              </w:rPr>
              <w:t>1</w:t>
            </w:r>
            <w:r>
              <w:t>/</w:t>
            </w:r>
            <w:r>
              <w:rPr>
                <w:sz w:val="18"/>
              </w:rPr>
              <w:t>2</w:t>
            </w:r>
          </w:p>
        </w:tc>
        <w:tc>
          <w:tcPr>
            <w:tcW w:w="860" w:type="dxa"/>
          </w:tcPr>
          <w:p w:rsidR="00AF2508" w:rsidRDefault="00AF2508">
            <w:pPr>
              <w:spacing w:before="120"/>
            </w:pPr>
            <w:r>
              <w:t>. .</w:t>
            </w:r>
          </w:p>
        </w:tc>
        <w:tc>
          <w:tcPr>
            <w:tcW w:w="976" w:type="dxa"/>
          </w:tcPr>
          <w:p w:rsidR="00AF2508" w:rsidRDefault="00AF2508">
            <w:pPr>
              <w:spacing w:before="120"/>
            </w:pPr>
            <w:r>
              <w:t>14</w:t>
            </w:r>
          </w:p>
        </w:tc>
        <w:tc>
          <w:tcPr>
            <w:tcW w:w="3162" w:type="dxa"/>
          </w:tcPr>
          <w:p w:rsidR="00AF2508" w:rsidRDefault="00AF2508">
            <w:pPr>
              <w:spacing w:before="120"/>
            </w:pPr>
          </w:p>
        </w:tc>
      </w:tr>
    </w:tbl>
    <w:p w:rsidR="00AF2508" w:rsidRDefault="00AF2508">
      <w:pPr>
        <w:spacing w:before="60"/>
        <w:ind w:left="399" w:hanging="399"/>
        <w:rPr>
          <w:sz w:val="20"/>
        </w:rPr>
      </w:pPr>
      <w:r>
        <w:rPr>
          <w:sz w:val="20"/>
        </w:rPr>
        <w:t>*</w:t>
      </w:r>
      <w:r>
        <w:rPr>
          <w:sz w:val="20"/>
        </w:rPr>
        <w:tab/>
      </w:r>
      <w:r>
        <w:rPr>
          <w:rStyle w:val="charItals"/>
          <w:b/>
          <w:sz w:val="20"/>
        </w:rPr>
        <w:t>Safe diving period</w:t>
      </w:r>
      <w:r>
        <w:rPr>
          <w:sz w:val="20"/>
        </w:rPr>
        <w:t xml:space="preserve"> means the time spent within any period of 24 hours from the beginning of the first descent to the beginning of the last ascent.</w:t>
      </w:r>
    </w:p>
    <w:p w:rsidR="00AF2508" w:rsidRDefault="00AF2508"/>
    <w:p w:rsidR="00AF2508" w:rsidRDefault="00AF2508">
      <w:pPr>
        <w:pStyle w:val="Amain"/>
      </w:pPr>
      <w:r>
        <w:tab/>
        <w:t>(21)</w:t>
      </w:r>
      <w:r>
        <w:tab/>
        <w:t>If, in the case of emergency, it is necessary for a diver to remain under water at a depth of 66 feet or over for a period of time exceeding the limits set out in table 99.1, the decompression of the diver shall be regulated in the way set out in schedule 7, table 7.1.</w:t>
      </w:r>
    </w:p>
    <w:p w:rsidR="00AF2508" w:rsidRDefault="00AF2508">
      <w:pPr>
        <w:pStyle w:val="Amain"/>
      </w:pPr>
      <w:r>
        <w:tab/>
        <w:t>(22)</w:t>
      </w:r>
      <w:r>
        <w:tab/>
        <w:t>When a diver is brought to the surface with stoppages in accordance with schedule 7, table 7.1, the diver shall not dive or be employed to dive again within 12 hours except in case of grave emergency.</w:t>
      </w:r>
    </w:p>
    <w:p w:rsidR="00AF2508" w:rsidRDefault="00AF2508">
      <w:pPr>
        <w:pStyle w:val="Amain"/>
      </w:pPr>
      <w:r>
        <w:tab/>
        <w:t>(23)</w:t>
      </w:r>
      <w:r>
        <w:tab/>
        <w:t>Should it be necessary for a diver to descend a 2nd time to a depth of 66 feet or over with an interval of less than 4 hours between the 2 descents, the following method of calculating the stoppages required shall be observed:</w:t>
      </w:r>
    </w:p>
    <w:p w:rsidR="00AF2508" w:rsidRDefault="00AF2508">
      <w:pPr>
        <w:pStyle w:val="Apara"/>
      </w:pPr>
      <w:r>
        <w:tab/>
        <w:t>(a)</w:t>
      </w:r>
      <w:r>
        <w:tab/>
        <w:t>read from schedule 7, table 7.2 the stoppages for the 2nd dive and from schedule 7, table 7.1, the stoppages required for a dive of duration equal to that of the 2 dives combined; and</w:t>
      </w:r>
    </w:p>
    <w:p w:rsidR="00AF2508" w:rsidRDefault="00AF2508">
      <w:pPr>
        <w:pStyle w:val="Apara"/>
      </w:pPr>
      <w:r>
        <w:tab/>
        <w:t>(b)</w:t>
      </w:r>
      <w:r>
        <w:tab/>
        <w:t>divide the number of stoppages by 2 for those at the greater depth check the diver for the periods shown for the 2nd dive, and for the remainder check the diver for the periods shown for the combined dive, and should there be an odd number of stoppages the greater number shall be used for the dive as combined.</w:t>
      </w:r>
    </w:p>
    <w:p w:rsidR="00AF2508" w:rsidRDefault="00AF2508">
      <w:pPr>
        <w:pStyle w:val="Amain"/>
      </w:pPr>
      <w:r>
        <w:tab/>
        <w:t>(24)</w:t>
      </w:r>
      <w:r>
        <w:tab/>
        <w:t>The tables shall be interpreted to give the diver the maximum time in the minimum depth of water.</w:t>
      </w:r>
    </w:p>
    <w:p w:rsidR="00AF2508" w:rsidRDefault="00AF2508">
      <w:pPr>
        <w:pStyle w:val="Amain"/>
      </w:pPr>
      <w:r>
        <w:tab/>
        <w:t>(25)</w:t>
      </w:r>
      <w:r>
        <w:tab/>
        <w:t>Stoppages at 20 feet and 10 feet are the most beneficial to the diver.</w:t>
      </w:r>
    </w:p>
    <w:p w:rsidR="00AF2508" w:rsidRDefault="00AF2508">
      <w:pPr>
        <w:pStyle w:val="Assectheading"/>
        <w:rPr>
          <w:i w:val="0"/>
        </w:rPr>
      </w:pPr>
      <w:r>
        <w:rPr>
          <w:rStyle w:val="charItals"/>
          <w:i/>
        </w:rPr>
        <w:t>Decompression</w:t>
      </w:r>
    </w:p>
    <w:p w:rsidR="00AF2508" w:rsidRDefault="00AF2508">
      <w:pPr>
        <w:pStyle w:val="Amain"/>
      </w:pPr>
      <w:r>
        <w:tab/>
        <w:t>(26)</w:t>
      </w:r>
      <w:r>
        <w:tab/>
        <w:t>When the prescribed limits of time under water have not been exceeded, the stoppages in ascending shall be as shown in schedule 7, table 7.2.</w:t>
      </w:r>
    </w:p>
    <w:p w:rsidR="00AF2508" w:rsidRDefault="00AF2508">
      <w:pPr>
        <w:pStyle w:val="Amain"/>
      </w:pPr>
      <w:r>
        <w:tab/>
        <w:t>(27)</w:t>
      </w:r>
      <w:r>
        <w:tab/>
        <w:t>The stoppage points shall be determined by the attendant who shall be guided by the depth gauge readings after making due allowance for gauge error.</w:t>
      </w:r>
    </w:p>
    <w:p w:rsidR="00AF2508" w:rsidRDefault="00AF2508">
      <w:pPr>
        <w:pStyle w:val="Amain"/>
      </w:pPr>
      <w:r>
        <w:tab/>
        <w:t>(28)</w:t>
      </w:r>
      <w:r>
        <w:tab/>
        <w:t>The diver shall not be brought up from the bottom to the first stopping place at a rate faster than 1 foot in 1 second, and his or her ascent shall be at once checked if this rate is exceeded.</w:t>
      </w:r>
    </w:p>
    <w:p w:rsidR="00AF2508" w:rsidRDefault="00AF2508">
      <w:pPr>
        <w:pStyle w:val="Amain"/>
      </w:pPr>
      <w:r>
        <w:tab/>
        <w:t>(29)</w:t>
      </w:r>
      <w:r>
        <w:tab/>
        <w:t>While the diver is ascending, the diver must undertake as much gymnastic exercise as possible, especially using those muscles that were in use on the bottom.</w:t>
      </w:r>
    </w:p>
    <w:p w:rsidR="00AF2508" w:rsidRDefault="00AF2508">
      <w:pPr>
        <w:pStyle w:val="Assectheading"/>
        <w:rPr>
          <w:i w:val="0"/>
        </w:rPr>
      </w:pPr>
      <w:r>
        <w:rPr>
          <w:rStyle w:val="charItals"/>
          <w:i/>
        </w:rPr>
        <w:t>Air supply</w:t>
      </w:r>
    </w:p>
    <w:p w:rsidR="00AF2508" w:rsidRDefault="00AF2508">
      <w:pPr>
        <w:pStyle w:val="Amain"/>
      </w:pPr>
      <w:r>
        <w:tab/>
        <w:t>(30)</w:t>
      </w:r>
      <w:r>
        <w:tab/>
        <w:t>The minimum quantity of air supplied to divers at various depths shall be as set out in table 99.2, except that during the descent the pump shall be operated at the maximum revolutions or the air supply shall be considerably increased:</w:t>
      </w:r>
    </w:p>
    <w:p w:rsidR="00AF2508" w:rsidRDefault="00AF2508">
      <w:pPr>
        <w:pStyle w:val="TableHd"/>
      </w:pPr>
      <w:r>
        <w:t>Table 99.2</w:t>
      </w:r>
      <w:r>
        <w:tab/>
        <w:t>Quantity of air required by a diver at various depths</w:t>
      </w:r>
    </w:p>
    <w:tbl>
      <w:tblPr>
        <w:tblW w:w="0" w:type="auto"/>
        <w:tblInd w:w="80" w:type="dxa"/>
        <w:tblLayout w:type="fixed"/>
        <w:tblCellMar>
          <w:left w:w="80" w:type="dxa"/>
          <w:right w:w="80" w:type="dxa"/>
        </w:tblCellMar>
        <w:tblLook w:val="0000" w:firstRow="0" w:lastRow="0" w:firstColumn="0" w:lastColumn="0" w:noHBand="0" w:noVBand="0"/>
      </w:tblPr>
      <w:tblGrid>
        <w:gridCol w:w="1160"/>
        <w:gridCol w:w="940"/>
        <w:gridCol w:w="20"/>
        <w:gridCol w:w="2212"/>
        <w:gridCol w:w="1539"/>
        <w:gridCol w:w="1710"/>
      </w:tblGrid>
      <w:tr w:rsidR="00AF2508">
        <w:trPr>
          <w:cantSplit/>
        </w:trPr>
        <w:tc>
          <w:tcPr>
            <w:tcW w:w="2100" w:type="dxa"/>
            <w:gridSpan w:val="2"/>
          </w:tcPr>
          <w:p w:rsidR="00AF2508" w:rsidRDefault="00AF2508">
            <w:pPr>
              <w:pStyle w:val="TableColHd"/>
            </w:pPr>
            <w:r>
              <w:t>depth</w:t>
            </w:r>
          </w:p>
        </w:tc>
        <w:tc>
          <w:tcPr>
            <w:tcW w:w="2232" w:type="dxa"/>
            <w:gridSpan w:val="2"/>
          </w:tcPr>
          <w:p w:rsidR="00AF2508" w:rsidRDefault="00AF2508">
            <w:pPr>
              <w:pStyle w:val="TableColHd"/>
            </w:pPr>
            <w:r>
              <w:t>quantity of air at atmospheric pressure required per minute</w:t>
            </w:r>
          </w:p>
        </w:tc>
        <w:tc>
          <w:tcPr>
            <w:tcW w:w="1539" w:type="dxa"/>
          </w:tcPr>
          <w:p w:rsidR="00AF2508" w:rsidRDefault="00AF2508">
            <w:pPr>
              <w:pStyle w:val="TableColHd"/>
            </w:pPr>
            <w:r>
              <w:t>*number of cylinders needed</w:t>
            </w:r>
          </w:p>
        </w:tc>
        <w:tc>
          <w:tcPr>
            <w:tcW w:w="1710" w:type="dxa"/>
          </w:tcPr>
          <w:p w:rsidR="00AF2508" w:rsidRDefault="00AF2508">
            <w:pPr>
              <w:pStyle w:val="TableColHd"/>
            </w:pPr>
            <w:r>
              <w:t>*revolutions of hand pump per Minute</w:t>
            </w:r>
          </w:p>
        </w:tc>
      </w:tr>
      <w:tr w:rsidR="00AF2508">
        <w:trPr>
          <w:cantSplit/>
        </w:trPr>
        <w:tc>
          <w:tcPr>
            <w:tcW w:w="1160" w:type="dxa"/>
            <w:tcBorders>
              <w:bottom w:val="single" w:sz="4" w:space="0" w:color="auto"/>
            </w:tcBorders>
          </w:tcPr>
          <w:p w:rsidR="00AF2508" w:rsidRDefault="00AF2508">
            <w:pPr>
              <w:pStyle w:val="TableColHd"/>
            </w:pPr>
            <w:r>
              <w:t>Fathoms</w:t>
            </w:r>
          </w:p>
        </w:tc>
        <w:tc>
          <w:tcPr>
            <w:tcW w:w="960" w:type="dxa"/>
            <w:gridSpan w:val="2"/>
            <w:tcBorders>
              <w:bottom w:val="single" w:sz="4" w:space="0" w:color="auto"/>
            </w:tcBorders>
          </w:tcPr>
          <w:p w:rsidR="00AF2508" w:rsidRDefault="00AF2508">
            <w:pPr>
              <w:pStyle w:val="TableColHd"/>
            </w:pPr>
            <w:r>
              <w:t>ft</w:t>
            </w:r>
          </w:p>
        </w:tc>
        <w:tc>
          <w:tcPr>
            <w:tcW w:w="2212" w:type="dxa"/>
            <w:tcBorders>
              <w:bottom w:val="single" w:sz="4" w:space="0" w:color="auto"/>
            </w:tcBorders>
          </w:tcPr>
          <w:p w:rsidR="00AF2508" w:rsidRDefault="00AF2508">
            <w:pPr>
              <w:pStyle w:val="TableColHd"/>
            </w:pPr>
            <w:r>
              <w:t>cu. ft</w:t>
            </w:r>
          </w:p>
        </w:tc>
        <w:tc>
          <w:tcPr>
            <w:tcW w:w="1539" w:type="dxa"/>
            <w:tcBorders>
              <w:bottom w:val="single" w:sz="4" w:space="0" w:color="auto"/>
            </w:tcBorders>
          </w:tcPr>
          <w:p w:rsidR="00AF2508" w:rsidRDefault="00AF2508">
            <w:pPr>
              <w:pStyle w:val="TableColHd"/>
            </w:pPr>
          </w:p>
        </w:tc>
        <w:tc>
          <w:tcPr>
            <w:tcW w:w="1710" w:type="dxa"/>
            <w:tcBorders>
              <w:bottom w:val="single" w:sz="4" w:space="0" w:color="auto"/>
            </w:tcBorders>
          </w:tcPr>
          <w:p w:rsidR="00AF2508" w:rsidRDefault="00AF2508">
            <w:pPr>
              <w:pStyle w:val="TableColHd"/>
            </w:pPr>
          </w:p>
        </w:tc>
      </w:tr>
      <w:tr w:rsidR="00AF2508">
        <w:trPr>
          <w:cantSplit/>
        </w:trPr>
        <w:tc>
          <w:tcPr>
            <w:tcW w:w="1160" w:type="dxa"/>
            <w:tcBorders>
              <w:top w:val="single" w:sz="4" w:space="0" w:color="auto"/>
            </w:tcBorders>
          </w:tcPr>
          <w:p w:rsidR="00AF2508" w:rsidRDefault="00AF2508">
            <w:pPr>
              <w:pStyle w:val="TableText"/>
            </w:pPr>
            <w:r>
              <w:t>0</w:t>
            </w:r>
          </w:p>
        </w:tc>
        <w:tc>
          <w:tcPr>
            <w:tcW w:w="960" w:type="dxa"/>
            <w:gridSpan w:val="2"/>
            <w:tcBorders>
              <w:top w:val="single" w:sz="4" w:space="0" w:color="auto"/>
            </w:tcBorders>
          </w:tcPr>
          <w:p w:rsidR="00AF2508" w:rsidRDefault="00AF2508">
            <w:pPr>
              <w:pStyle w:val="TableText"/>
            </w:pPr>
            <w:r>
              <w:t>0</w:t>
            </w:r>
          </w:p>
        </w:tc>
        <w:tc>
          <w:tcPr>
            <w:tcW w:w="2212" w:type="dxa"/>
            <w:tcBorders>
              <w:top w:val="single" w:sz="4" w:space="0" w:color="auto"/>
            </w:tcBorders>
          </w:tcPr>
          <w:p w:rsidR="00AF2508" w:rsidRDefault="00AF2508">
            <w:pPr>
              <w:pStyle w:val="TableText"/>
            </w:pPr>
            <w:r>
              <w:t>1.5</w:t>
            </w:r>
          </w:p>
        </w:tc>
        <w:tc>
          <w:tcPr>
            <w:tcW w:w="1539" w:type="dxa"/>
            <w:tcBorders>
              <w:top w:val="single" w:sz="4" w:space="0" w:color="auto"/>
            </w:tcBorders>
          </w:tcPr>
          <w:p w:rsidR="00AF2508" w:rsidRDefault="00AF2508">
            <w:pPr>
              <w:pStyle w:val="TableText"/>
            </w:pPr>
            <w:r>
              <w:t>1</w:t>
            </w:r>
          </w:p>
        </w:tc>
        <w:tc>
          <w:tcPr>
            <w:tcW w:w="1710" w:type="dxa"/>
            <w:tcBorders>
              <w:top w:val="single" w:sz="4" w:space="0" w:color="auto"/>
            </w:tcBorders>
          </w:tcPr>
          <w:p w:rsidR="00AF2508" w:rsidRDefault="00AF2508">
            <w:pPr>
              <w:pStyle w:val="TableText"/>
            </w:pPr>
            <w:r>
              <w:t>15</w:t>
            </w:r>
          </w:p>
        </w:tc>
      </w:tr>
      <w:tr w:rsidR="00AF2508">
        <w:trPr>
          <w:cantSplit/>
        </w:trPr>
        <w:tc>
          <w:tcPr>
            <w:tcW w:w="1160" w:type="dxa"/>
          </w:tcPr>
          <w:p w:rsidR="00AF2508" w:rsidRDefault="00AF2508">
            <w:pPr>
              <w:pStyle w:val="TableText"/>
            </w:pPr>
            <w:r>
              <w:t>2</w:t>
            </w:r>
            <w:r>
              <w:rPr>
                <w:position w:val="6"/>
                <w:sz w:val="18"/>
              </w:rPr>
              <w:t>3</w:t>
            </w:r>
            <w:r>
              <w:t>/</w:t>
            </w:r>
            <w:r>
              <w:rPr>
                <w:sz w:val="18"/>
              </w:rPr>
              <w:t>4</w:t>
            </w:r>
          </w:p>
        </w:tc>
        <w:tc>
          <w:tcPr>
            <w:tcW w:w="960" w:type="dxa"/>
            <w:gridSpan w:val="2"/>
          </w:tcPr>
          <w:p w:rsidR="00AF2508" w:rsidRDefault="00AF2508">
            <w:pPr>
              <w:pStyle w:val="TableText"/>
            </w:pPr>
            <w:r>
              <w:t>16</w:t>
            </w:r>
          </w:p>
        </w:tc>
        <w:tc>
          <w:tcPr>
            <w:tcW w:w="2212" w:type="dxa"/>
          </w:tcPr>
          <w:p w:rsidR="00AF2508" w:rsidRDefault="00AF2508">
            <w:pPr>
              <w:pStyle w:val="TableText"/>
            </w:pPr>
            <w:r>
              <w:t>2.2</w:t>
            </w:r>
          </w:p>
        </w:tc>
        <w:tc>
          <w:tcPr>
            <w:tcW w:w="1539" w:type="dxa"/>
          </w:tcPr>
          <w:p w:rsidR="00AF2508" w:rsidRDefault="00AF2508">
            <w:pPr>
              <w:pStyle w:val="TableText"/>
            </w:pPr>
            <w:r>
              <w:t>1</w:t>
            </w:r>
          </w:p>
        </w:tc>
        <w:tc>
          <w:tcPr>
            <w:tcW w:w="1710" w:type="dxa"/>
          </w:tcPr>
          <w:p w:rsidR="00AF2508" w:rsidRDefault="00AF2508">
            <w:pPr>
              <w:pStyle w:val="TableText"/>
            </w:pPr>
            <w:r>
              <w:t>22</w:t>
            </w:r>
          </w:p>
        </w:tc>
      </w:tr>
      <w:tr w:rsidR="00AF2508">
        <w:trPr>
          <w:cantSplit/>
        </w:trPr>
        <w:tc>
          <w:tcPr>
            <w:tcW w:w="1160" w:type="dxa"/>
          </w:tcPr>
          <w:p w:rsidR="00AF2508" w:rsidRDefault="00AF2508">
            <w:pPr>
              <w:pStyle w:val="TableText"/>
            </w:pPr>
            <w:r>
              <w:t>5</w:t>
            </w:r>
            <w:r>
              <w:rPr>
                <w:position w:val="6"/>
                <w:sz w:val="18"/>
              </w:rPr>
              <w:t>1</w:t>
            </w:r>
            <w:r>
              <w:t>/</w:t>
            </w:r>
            <w:r>
              <w:rPr>
                <w:sz w:val="18"/>
              </w:rPr>
              <w:t>2</w:t>
            </w:r>
          </w:p>
        </w:tc>
        <w:tc>
          <w:tcPr>
            <w:tcW w:w="960" w:type="dxa"/>
            <w:gridSpan w:val="2"/>
          </w:tcPr>
          <w:p w:rsidR="00AF2508" w:rsidRDefault="00AF2508">
            <w:pPr>
              <w:pStyle w:val="TableText"/>
            </w:pPr>
            <w:r>
              <w:t>33</w:t>
            </w:r>
          </w:p>
        </w:tc>
        <w:tc>
          <w:tcPr>
            <w:tcW w:w="2212" w:type="dxa"/>
          </w:tcPr>
          <w:p w:rsidR="00AF2508" w:rsidRDefault="00AF2508">
            <w:pPr>
              <w:pStyle w:val="TableText"/>
            </w:pPr>
            <w:r>
              <w:t>3.0</w:t>
            </w:r>
          </w:p>
        </w:tc>
        <w:tc>
          <w:tcPr>
            <w:tcW w:w="1539" w:type="dxa"/>
          </w:tcPr>
          <w:p w:rsidR="00AF2508" w:rsidRDefault="00AF2508">
            <w:pPr>
              <w:pStyle w:val="TableText"/>
            </w:pPr>
            <w:r>
              <w:t>1</w:t>
            </w:r>
          </w:p>
        </w:tc>
        <w:tc>
          <w:tcPr>
            <w:tcW w:w="1710" w:type="dxa"/>
          </w:tcPr>
          <w:p w:rsidR="00AF2508" w:rsidRDefault="00AF2508">
            <w:pPr>
              <w:pStyle w:val="TableText"/>
            </w:pPr>
            <w:r>
              <w:t>30</w:t>
            </w:r>
          </w:p>
        </w:tc>
      </w:tr>
      <w:tr w:rsidR="00AF2508">
        <w:trPr>
          <w:cantSplit/>
        </w:trPr>
        <w:tc>
          <w:tcPr>
            <w:tcW w:w="1160" w:type="dxa"/>
          </w:tcPr>
          <w:p w:rsidR="00AF2508" w:rsidRDefault="00AF2508">
            <w:pPr>
              <w:pStyle w:val="TableText"/>
            </w:pPr>
            <w:r>
              <w:t>11</w:t>
            </w:r>
          </w:p>
        </w:tc>
        <w:tc>
          <w:tcPr>
            <w:tcW w:w="960" w:type="dxa"/>
            <w:gridSpan w:val="2"/>
          </w:tcPr>
          <w:p w:rsidR="00AF2508" w:rsidRDefault="00AF2508">
            <w:pPr>
              <w:pStyle w:val="TableText"/>
            </w:pPr>
            <w:r>
              <w:t>66</w:t>
            </w:r>
          </w:p>
        </w:tc>
        <w:tc>
          <w:tcPr>
            <w:tcW w:w="2212" w:type="dxa"/>
          </w:tcPr>
          <w:p w:rsidR="00AF2508" w:rsidRDefault="00AF2508">
            <w:pPr>
              <w:pStyle w:val="TableText"/>
            </w:pPr>
            <w:r>
              <w:t>4.5</w:t>
            </w:r>
          </w:p>
        </w:tc>
        <w:tc>
          <w:tcPr>
            <w:tcW w:w="1539" w:type="dxa"/>
          </w:tcPr>
          <w:p w:rsidR="00AF2508" w:rsidRDefault="00AF2508">
            <w:pPr>
              <w:pStyle w:val="TableText"/>
            </w:pPr>
            <w:r>
              <w:t>2</w:t>
            </w:r>
          </w:p>
        </w:tc>
        <w:tc>
          <w:tcPr>
            <w:tcW w:w="1710" w:type="dxa"/>
          </w:tcPr>
          <w:p w:rsidR="00AF2508" w:rsidRDefault="00AF2508">
            <w:pPr>
              <w:pStyle w:val="TableText"/>
            </w:pPr>
            <w:r>
              <w:t>22</w:t>
            </w:r>
          </w:p>
        </w:tc>
      </w:tr>
      <w:tr w:rsidR="00AF2508">
        <w:trPr>
          <w:cantSplit/>
        </w:trPr>
        <w:tc>
          <w:tcPr>
            <w:tcW w:w="1160" w:type="dxa"/>
          </w:tcPr>
          <w:p w:rsidR="00AF2508" w:rsidRDefault="00AF2508">
            <w:pPr>
              <w:pStyle w:val="TableText"/>
            </w:pPr>
            <w:r>
              <w:t>16</w:t>
            </w:r>
            <w:r>
              <w:rPr>
                <w:position w:val="6"/>
                <w:sz w:val="18"/>
              </w:rPr>
              <w:t>1</w:t>
            </w:r>
            <w:r>
              <w:t>/</w:t>
            </w:r>
            <w:r>
              <w:rPr>
                <w:sz w:val="18"/>
              </w:rPr>
              <w:t>2</w:t>
            </w:r>
          </w:p>
        </w:tc>
        <w:tc>
          <w:tcPr>
            <w:tcW w:w="960" w:type="dxa"/>
            <w:gridSpan w:val="2"/>
          </w:tcPr>
          <w:p w:rsidR="00AF2508" w:rsidRDefault="00AF2508">
            <w:pPr>
              <w:pStyle w:val="TableText"/>
            </w:pPr>
            <w:r>
              <w:t>99</w:t>
            </w:r>
          </w:p>
        </w:tc>
        <w:tc>
          <w:tcPr>
            <w:tcW w:w="2212" w:type="dxa"/>
          </w:tcPr>
          <w:p w:rsidR="00AF2508" w:rsidRDefault="00AF2508">
            <w:pPr>
              <w:pStyle w:val="TableText"/>
            </w:pPr>
            <w:r>
              <w:t>6.0</w:t>
            </w:r>
          </w:p>
        </w:tc>
        <w:tc>
          <w:tcPr>
            <w:tcW w:w="1539" w:type="dxa"/>
          </w:tcPr>
          <w:p w:rsidR="00AF2508" w:rsidRDefault="00AF2508">
            <w:pPr>
              <w:pStyle w:val="TableText"/>
            </w:pPr>
            <w:r>
              <w:t>2</w:t>
            </w:r>
          </w:p>
        </w:tc>
        <w:tc>
          <w:tcPr>
            <w:tcW w:w="1710" w:type="dxa"/>
          </w:tcPr>
          <w:p w:rsidR="00AF2508" w:rsidRDefault="00AF2508">
            <w:pPr>
              <w:pStyle w:val="TableText"/>
            </w:pPr>
            <w:r>
              <w:t>30</w:t>
            </w:r>
          </w:p>
        </w:tc>
      </w:tr>
      <w:tr w:rsidR="00AF2508">
        <w:trPr>
          <w:cantSplit/>
        </w:trPr>
        <w:tc>
          <w:tcPr>
            <w:tcW w:w="1160" w:type="dxa"/>
          </w:tcPr>
          <w:p w:rsidR="00AF2508" w:rsidRDefault="00AF2508">
            <w:pPr>
              <w:pStyle w:val="TableText"/>
            </w:pPr>
            <w:r>
              <w:t>22</w:t>
            </w:r>
          </w:p>
        </w:tc>
        <w:tc>
          <w:tcPr>
            <w:tcW w:w="960" w:type="dxa"/>
            <w:gridSpan w:val="2"/>
          </w:tcPr>
          <w:p w:rsidR="00AF2508" w:rsidRDefault="00AF2508">
            <w:pPr>
              <w:pStyle w:val="TableText"/>
            </w:pPr>
            <w:r>
              <w:t>132</w:t>
            </w:r>
          </w:p>
        </w:tc>
        <w:tc>
          <w:tcPr>
            <w:tcW w:w="2212" w:type="dxa"/>
          </w:tcPr>
          <w:p w:rsidR="00AF2508" w:rsidRDefault="00AF2508">
            <w:pPr>
              <w:pStyle w:val="TableText"/>
            </w:pPr>
            <w:r>
              <w:t>7.5</w:t>
            </w:r>
          </w:p>
        </w:tc>
        <w:tc>
          <w:tcPr>
            <w:tcW w:w="1539" w:type="dxa"/>
          </w:tcPr>
          <w:p w:rsidR="00AF2508" w:rsidRDefault="00AF2508">
            <w:pPr>
              <w:pStyle w:val="TableText"/>
            </w:pPr>
            <w:r>
              <w:t>4</w:t>
            </w:r>
          </w:p>
        </w:tc>
        <w:tc>
          <w:tcPr>
            <w:tcW w:w="1710" w:type="dxa"/>
          </w:tcPr>
          <w:p w:rsidR="00AF2508" w:rsidRDefault="00AF2508">
            <w:pPr>
              <w:pStyle w:val="TableText"/>
            </w:pPr>
            <w:r>
              <w:t>21</w:t>
            </w:r>
          </w:p>
        </w:tc>
      </w:tr>
      <w:tr w:rsidR="00AF2508">
        <w:trPr>
          <w:cantSplit/>
        </w:trPr>
        <w:tc>
          <w:tcPr>
            <w:tcW w:w="1160" w:type="dxa"/>
          </w:tcPr>
          <w:p w:rsidR="00AF2508" w:rsidRDefault="00AF2508">
            <w:pPr>
              <w:pStyle w:val="TableText"/>
            </w:pPr>
            <w:r>
              <w:t>27</w:t>
            </w:r>
            <w:r>
              <w:rPr>
                <w:position w:val="6"/>
                <w:sz w:val="18"/>
              </w:rPr>
              <w:t>1</w:t>
            </w:r>
            <w:r>
              <w:t>/</w:t>
            </w:r>
            <w:r>
              <w:rPr>
                <w:sz w:val="18"/>
              </w:rPr>
              <w:t>2</w:t>
            </w:r>
          </w:p>
        </w:tc>
        <w:tc>
          <w:tcPr>
            <w:tcW w:w="960" w:type="dxa"/>
            <w:gridSpan w:val="2"/>
          </w:tcPr>
          <w:p w:rsidR="00AF2508" w:rsidRDefault="00AF2508">
            <w:pPr>
              <w:pStyle w:val="TableText"/>
            </w:pPr>
            <w:r>
              <w:t>165</w:t>
            </w:r>
          </w:p>
        </w:tc>
        <w:tc>
          <w:tcPr>
            <w:tcW w:w="2212" w:type="dxa"/>
          </w:tcPr>
          <w:p w:rsidR="00AF2508" w:rsidRDefault="00AF2508">
            <w:pPr>
              <w:pStyle w:val="TableText"/>
            </w:pPr>
            <w:r>
              <w:t>9.0</w:t>
            </w:r>
          </w:p>
        </w:tc>
        <w:tc>
          <w:tcPr>
            <w:tcW w:w="1539" w:type="dxa"/>
          </w:tcPr>
          <w:p w:rsidR="00AF2508" w:rsidRDefault="00AF2508">
            <w:pPr>
              <w:pStyle w:val="TableText"/>
            </w:pPr>
            <w:r>
              <w:t>4</w:t>
            </w:r>
          </w:p>
        </w:tc>
        <w:tc>
          <w:tcPr>
            <w:tcW w:w="1710" w:type="dxa"/>
          </w:tcPr>
          <w:p w:rsidR="00AF2508" w:rsidRDefault="00AF2508">
            <w:pPr>
              <w:pStyle w:val="TableText"/>
            </w:pPr>
            <w:r>
              <w:t>27</w:t>
            </w:r>
          </w:p>
        </w:tc>
      </w:tr>
      <w:tr w:rsidR="00AF2508">
        <w:trPr>
          <w:cantSplit/>
        </w:trPr>
        <w:tc>
          <w:tcPr>
            <w:tcW w:w="1160" w:type="dxa"/>
          </w:tcPr>
          <w:p w:rsidR="00AF2508" w:rsidRDefault="00AF2508">
            <w:pPr>
              <w:pStyle w:val="TableText"/>
            </w:pPr>
            <w:r>
              <w:t>33</w:t>
            </w:r>
          </w:p>
        </w:tc>
        <w:tc>
          <w:tcPr>
            <w:tcW w:w="960" w:type="dxa"/>
            <w:gridSpan w:val="2"/>
          </w:tcPr>
          <w:p w:rsidR="00AF2508" w:rsidRDefault="00AF2508">
            <w:pPr>
              <w:pStyle w:val="TableText"/>
            </w:pPr>
            <w:r>
              <w:t>198†</w:t>
            </w:r>
          </w:p>
        </w:tc>
        <w:tc>
          <w:tcPr>
            <w:tcW w:w="2212" w:type="dxa"/>
          </w:tcPr>
          <w:p w:rsidR="00AF2508" w:rsidRDefault="00AF2508">
            <w:pPr>
              <w:pStyle w:val="TableText"/>
            </w:pPr>
            <w:r>
              <w:t>10.5</w:t>
            </w:r>
          </w:p>
        </w:tc>
        <w:tc>
          <w:tcPr>
            <w:tcW w:w="1539" w:type="dxa"/>
          </w:tcPr>
          <w:p w:rsidR="00AF2508" w:rsidRDefault="00AF2508">
            <w:pPr>
              <w:pStyle w:val="TableText"/>
            </w:pPr>
            <w:r>
              <w:t>†</w:t>
            </w:r>
          </w:p>
        </w:tc>
        <w:tc>
          <w:tcPr>
            <w:tcW w:w="1710" w:type="dxa"/>
          </w:tcPr>
          <w:p w:rsidR="00AF2508" w:rsidRDefault="00AF2508">
            <w:pPr>
              <w:pStyle w:val="TableText"/>
            </w:pPr>
            <w:r>
              <w:t>†</w:t>
            </w:r>
          </w:p>
        </w:tc>
      </w:tr>
    </w:tbl>
    <w:p w:rsidR="00AF2508" w:rsidRDefault="00AF2508">
      <w:pPr>
        <w:spacing w:before="60"/>
        <w:ind w:left="456" w:hanging="399"/>
        <w:rPr>
          <w:sz w:val="20"/>
        </w:rPr>
      </w:pPr>
      <w:r>
        <w:rPr>
          <w:sz w:val="20"/>
        </w:rPr>
        <w:t>*</w:t>
      </w:r>
      <w:r>
        <w:rPr>
          <w:sz w:val="20"/>
        </w:rPr>
        <w:tab/>
        <w:t>These figures are based on a double-acting pump with cylinder diameter 4 inches, stroke 7</w:t>
      </w:r>
      <w:r>
        <w:rPr>
          <w:position w:val="4"/>
          <w:sz w:val="16"/>
        </w:rPr>
        <w:t>1</w:t>
      </w:r>
      <w:r>
        <w:rPr>
          <w:sz w:val="20"/>
        </w:rPr>
        <w:t>/</w:t>
      </w:r>
      <w:r>
        <w:rPr>
          <w:sz w:val="16"/>
        </w:rPr>
        <w:t>2</w:t>
      </w:r>
      <w:r>
        <w:rPr>
          <w:sz w:val="20"/>
        </w:rPr>
        <w:t xml:space="preserve"> inches, working at 80%, efficiency.</w:t>
      </w:r>
    </w:p>
    <w:p w:rsidR="00AF2508" w:rsidRDefault="00AF2508">
      <w:pPr>
        <w:spacing w:before="60"/>
        <w:ind w:left="456" w:hanging="399"/>
        <w:rPr>
          <w:sz w:val="20"/>
        </w:rPr>
      </w:pPr>
      <w:r>
        <w:rPr>
          <w:sz w:val="20"/>
        </w:rPr>
        <w:t>†</w:t>
      </w:r>
      <w:r>
        <w:rPr>
          <w:sz w:val="20"/>
        </w:rPr>
        <w:tab/>
        <w:t>Handworked pumps are unsuitable at a depth of 180 feet and over.</w:t>
      </w:r>
    </w:p>
    <w:p w:rsidR="00AF2508" w:rsidRDefault="00AF2508"/>
    <w:p w:rsidR="00AF2508" w:rsidRDefault="00AF2508">
      <w:pPr>
        <w:pStyle w:val="Amain"/>
      </w:pPr>
      <w:r>
        <w:tab/>
        <w:t>(31)</w:t>
      </w:r>
      <w:r>
        <w:tab/>
        <w:t>Not more than 1 diver shall be supplied from each air line.</w:t>
      </w:r>
    </w:p>
    <w:p w:rsidR="00AF2508" w:rsidRDefault="00AF2508">
      <w:pPr>
        <w:pStyle w:val="Assectheading"/>
        <w:rPr>
          <w:i w:val="0"/>
          <w:color w:val="000000"/>
        </w:rPr>
      </w:pPr>
      <w:r>
        <w:rPr>
          <w:rStyle w:val="charItals"/>
          <w:i/>
        </w:rPr>
        <w:t>Air Pipe</w:t>
      </w:r>
    </w:p>
    <w:p w:rsidR="00AF2508" w:rsidRDefault="00AF2508">
      <w:pPr>
        <w:pStyle w:val="Amain"/>
        <w:rPr>
          <w:color w:val="000000"/>
        </w:rPr>
      </w:pPr>
      <w:r>
        <w:rPr>
          <w:color w:val="000000"/>
        </w:rPr>
        <w:tab/>
        <w:t>(32)</w:t>
      </w:r>
      <w:r>
        <w:rPr>
          <w:color w:val="000000"/>
        </w:rPr>
        <w:tab/>
        <w:t>The air pipe shall be constructed of alternate layers of rubber and canvas and shall be reinforced with steel wire.</w:t>
      </w:r>
    </w:p>
    <w:p w:rsidR="00AF2508" w:rsidRDefault="00AF2508">
      <w:pPr>
        <w:pStyle w:val="Amain"/>
        <w:rPr>
          <w:color w:val="000000"/>
        </w:rPr>
      </w:pPr>
      <w:r>
        <w:rPr>
          <w:color w:val="000000"/>
        </w:rPr>
        <w:tab/>
        <w:t>(33)</w:t>
      </w:r>
      <w:r>
        <w:rPr>
          <w:color w:val="000000"/>
        </w:rPr>
        <w:tab/>
        <w:t>The piping shall have been tested by the manufacturer and shall withstand a test pressure of 200 pounds per square inch without showing any appreciable increase in diameter.</w:t>
      </w:r>
    </w:p>
    <w:p w:rsidR="00AF2508" w:rsidRDefault="00AF2508">
      <w:pPr>
        <w:pStyle w:val="Amain"/>
        <w:rPr>
          <w:color w:val="000000"/>
        </w:rPr>
      </w:pPr>
      <w:r>
        <w:rPr>
          <w:color w:val="000000"/>
        </w:rPr>
        <w:tab/>
        <w:t>(34)</w:t>
      </w:r>
      <w:r>
        <w:rPr>
          <w:color w:val="000000"/>
        </w:rPr>
        <w:tab/>
        <w:t>The manufacturer shall provide a certificate of test for each length of pipe manufactured.</w:t>
      </w:r>
    </w:p>
    <w:p w:rsidR="00AF2508" w:rsidRDefault="00AF2508">
      <w:pPr>
        <w:pStyle w:val="Amain"/>
      </w:pPr>
      <w:r>
        <w:rPr>
          <w:color w:val="000000"/>
        </w:rPr>
        <w:tab/>
        <w:t>(35)</w:t>
      </w:r>
      <w:r>
        <w:rPr>
          <w:color w:val="000000"/>
        </w:rPr>
        <w:tab/>
        <w:t>A length of about 50 feet of floating air hose may be attached to the diver’s helmet to keep weight off the diver.</w:t>
      </w:r>
    </w:p>
    <w:p w:rsidR="00AF2508" w:rsidRDefault="00AF2508">
      <w:pPr>
        <w:pStyle w:val="Amain"/>
      </w:pPr>
      <w:r>
        <w:rPr>
          <w:color w:val="000000"/>
        </w:rPr>
        <w:tab/>
        <w:t>(36)</w:t>
      </w:r>
      <w:r>
        <w:rPr>
          <w:color w:val="000000"/>
        </w:rPr>
        <w:tab/>
        <w:t>No person shall dive or be employed to dive under water unless—</w:t>
      </w:r>
    </w:p>
    <w:p w:rsidR="00AF2508" w:rsidRDefault="00AF2508">
      <w:pPr>
        <w:pStyle w:val="Apara"/>
      </w:pPr>
      <w:r>
        <w:tab/>
        <w:t>(a)</w:t>
      </w:r>
      <w:r>
        <w:tab/>
        <w:t>a sufficient number of suitable and competent persons are also employed in attendance on the diver, so as to ensure his or her safety; and</w:t>
      </w:r>
    </w:p>
    <w:p w:rsidR="00AF2508" w:rsidRDefault="00AF2508">
      <w:pPr>
        <w:pStyle w:val="Apara"/>
      </w:pPr>
      <w:r>
        <w:tab/>
        <w:t>(b)</w:t>
      </w:r>
      <w:r>
        <w:tab/>
        <w:t>there is provided and used suitable and sufficient diving equipment consisting of helmets, corselets, waterproof dresses to completely enclose a diver’s body, and warm clothing; and</w:t>
      </w:r>
    </w:p>
    <w:p w:rsidR="00AF2508" w:rsidRDefault="00AF2508">
      <w:pPr>
        <w:pStyle w:val="Apara"/>
      </w:pPr>
      <w:r>
        <w:tab/>
        <w:t>(c)</w:t>
      </w:r>
      <w:r>
        <w:tab/>
        <w:t>such equipment to include at least 1 diving helmet and dress with its necessary equipment and warm clothing in excess of the number of divers under water at any one time; and</w:t>
      </w:r>
    </w:p>
    <w:p w:rsidR="00AF2508" w:rsidRDefault="00AF2508">
      <w:pPr>
        <w:pStyle w:val="Apara"/>
      </w:pPr>
      <w:r>
        <w:tab/>
        <w:t>(d)</w:t>
      </w:r>
      <w:r>
        <w:tab/>
        <w:t>sufficient and suitable diving plant and equipment, including air pumps, pressure gauges and means of access to and from the water are provided and properly maintained.</w:t>
      </w:r>
    </w:p>
    <w:p w:rsidR="00AF2508" w:rsidRDefault="00AF2508">
      <w:pPr>
        <w:pStyle w:val="Assectheading"/>
        <w:rPr>
          <w:i w:val="0"/>
        </w:rPr>
      </w:pPr>
      <w:r>
        <w:rPr>
          <w:rStyle w:val="charItals"/>
          <w:i/>
        </w:rPr>
        <w:t>Care and testing of equipment—hand pumps</w:t>
      </w:r>
    </w:p>
    <w:p w:rsidR="00AF2508" w:rsidRDefault="00AF2508">
      <w:pPr>
        <w:pStyle w:val="Amain"/>
      </w:pPr>
      <w:r>
        <w:tab/>
        <w:t>(37)</w:t>
      </w:r>
      <w:r>
        <w:tab/>
        <w:t>Pumps shall be maintained in an efficient condition and shall be capable of delivering the necessary quantity of air against pressure for at least 2 divers.</w:t>
      </w:r>
    </w:p>
    <w:p w:rsidR="00AF2508" w:rsidRDefault="00AF2508">
      <w:pPr>
        <w:pStyle w:val="Amain"/>
      </w:pPr>
      <w:r>
        <w:tab/>
        <w:t>(38)</w:t>
      </w:r>
      <w:r>
        <w:tab/>
        <w:t>Particular care shall be given to the condition of the leather piston cups and piston rod glands to prevent leakage.</w:t>
      </w:r>
    </w:p>
    <w:p w:rsidR="00AF2508" w:rsidRDefault="00AF2508">
      <w:pPr>
        <w:pStyle w:val="Amain"/>
      </w:pPr>
      <w:r>
        <w:tab/>
        <w:t>(39)</w:t>
      </w:r>
      <w:r>
        <w:tab/>
        <w:t>Pump delivery shall be measured at least every 3 months and at shorter intervals if the pump has not been performing satisfactorily.</w:t>
      </w:r>
    </w:p>
    <w:p w:rsidR="00AF2508" w:rsidRDefault="00AF2508">
      <w:pPr>
        <w:pStyle w:val="Amain"/>
      </w:pPr>
      <w:r>
        <w:tab/>
        <w:t>(40)</w:t>
      </w:r>
      <w:r>
        <w:tab/>
        <w:t>The pump cylinder walls and pistons shall be lubricated only with olive oil or neatsfoot oil.</w:t>
      </w:r>
    </w:p>
    <w:p w:rsidR="00AF2508" w:rsidRDefault="00AF2508">
      <w:pPr>
        <w:pStyle w:val="Amain"/>
      </w:pPr>
      <w:r>
        <w:tab/>
        <w:t>(41)</w:t>
      </w:r>
      <w:r>
        <w:tab/>
        <w:t>Standby pumps where provided and when not in use shall be turned for a period of 5</w:t>
      </w:r>
      <w:r>
        <w:rPr>
          <w:b/>
        </w:rPr>
        <w:t xml:space="preserve"> </w:t>
      </w:r>
      <w:r>
        <w:t>minutes at least once in every week.</w:t>
      </w:r>
    </w:p>
    <w:p w:rsidR="00AF2508" w:rsidRDefault="00AF2508">
      <w:pPr>
        <w:pStyle w:val="Assectheading"/>
        <w:rPr>
          <w:i w:val="0"/>
        </w:rPr>
      </w:pPr>
      <w:r>
        <w:rPr>
          <w:rStyle w:val="charItals"/>
          <w:i/>
        </w:rPr>
        <w:t>Care and testing of equipment—gauges</w:t>
      </w:r>
    </w:p>
    <w:p w:rsidR="00AF2508" w:rsidRDefault="00AF2508">
      <w:pPr>
        <w:pStyle w:val="Amain"/>
      </w:pPr>
      <w:r>
        <w:tab/>
        <w:t>(42)</w:t>
      </w:r>
      <w:r>
        <w:tab/>
        <w:t>Gauges shall be calibrated by a method approved by the chief inspector at least every 3 months or at shorter intervals if error is suspected.</w:t>
      </w:r>
    </w:p>
    <w:p w:rsidR="00AF2508" w:rsidRDefault="00AF2508">
      <w:pPr>
        <w:pStyle w:val="Amain"/>
      </w:pPr>
      <w:r>
        <w:tab/>
        <w:t>(43)</w:t>
      </w:r>
      <w:r>
        <w:tab/>
        <w:t>The gauge error, as determined by test, shall be tabulated and a copy of the tabulation shall be displayed inside the pump lid.</w:t>
      </w:r>
    </w:p>
    <w:p w:rsidR="00AF2508" w:rsidRDefault="00AF2508">
      <w:pPr>
        <w:pStyle w:val="Assectheading"/>
        <w:rPr>
          <w:i w:val="0"/>
        </w:rPr>
      </w:pPr>
      <w:r>
        <w:rPr>
          <w:rStyle w:val="charItals"/>
          <w:i/>
        </w:rPr>
        <w:t>Care and testing of equipment—inlet valves</w:t>
      </w:r>
    </w:p>
    <w:p w:rsidR="00AF2508" w:rsidRDefault="00AF2508">
      <w:pPr>
        <w:pStyle w:val="Amain"/>
      </w:pPr>
      <w:r>
        <w:tab/>
        <w:t>(44)</w:t>
      </w:r>
      <w:r>
        <w:tab/>
        <w:t>Inlet valves of helmets in use shall be tested at least once in every 3 months at a pressure of not less than 15 pounds per square inch.</w:t>
      </w:r>
    </w:p>
    <w:p w:rsidR="00AF2508" w:rsidRDefault="00AF2508">
      <w:pPr>
        <w:pStyle w:val="Amain"/>
      </w:pPr>
      <w:r>
        <w:tab/>
        <w:t>(45)</w:t>
      </w:r>
      <w:r>
        <w:tab/>
        <w:t>The springs shall be examined on every occasion before use and at least once in every day while the helmets are in use.</w:t>
      </w:r>
    </w:p>
    <w:p w:rsidR="00AF2508" w:rsidRDefault="00AF2508">
      <w:pPr>
        <w:pStyle w:val="Assectheading"/>
        <w:rPr>
          <w:i w:val="0"/>
        </w:rPr>
      </w:pPr>
      <w:r>
        <w:rPr>
          <w:rStyle w:val="charItals"/>
          <w:i/>
        </w:rPr>
        <w:t>Care and testing of equipment—air pipes</w:t>
      </w:r>
    </w:p>
    <w:p w:rsidR="00AF2508" w:rsidRDefault="00AF2508">
      <w:pPr>
        <w:pStyle w:val="Amain"/>
      </w:pPr>
      <w:r>
        <w:tab/>
        <w:t>(46)</w:t>
      </w:r>
      <w:r>
        <w:tab/>
        <w:t>Air pipes shall be tested at least once a month and immediately before each descent to a pressure equivalent to 25% greater than that at the greatest depth at which a diver is likely to work.</w:t>
      </w:r>
    </w:p>
    <w:p w:rsidR="00AF2508" w:rsidRDefault="00AF2508">
      <w:pPr>
        <w:pStyle w:val="Amain"/>
      </w:pPr>
      <w:r>
        <w:tab/>
        <w:t>(47)</w:t>
      </w:r>
      <w:r>
        <w:tab/>
        <w:t>The air pipe shall be lashed to ring bolts on the pump chest to relieve the connection of the air pipe to the pump nozzle of any undue load from the weight of the air pipe.</w:t>
      </w:r>
    </w:p>
    <w:p w:rsidR="00AF2508" w:rsidRDefault="00AF2508">
      <w:pPr>
        <w:pStyle w:val="Amain"/>
      </w:pPr>
      <w:r>
        <w:tab/>
        <w:t>(48)</w:t>
      </w:r>
      <w:r>
        <w:tab/>
        <w:t>The connection shall be inspected at frequent intervals.</w:t>
      </w:r>
    </w:p>
    <w:p w:rsidR="00AF2508" w:rsidRDefault="00AF2508">
      <w:pPr>
        <w:pStyle w:val="Amain"/>
      </w:pPr>
      <w:r>
        <w:tab/>
        <w:t>(49)</w:t>
      </w:r>
      <w:r>
        <w:tab/>
        <w:t>All air pipe connections shall be effectively lashed to prevent inadvertent disconnection.</w:t>
      </w:r>
    </w:p>
    <w:p w:rsidR="00AF2508" w:rsidRDefault="00AF2508">
      <w:pPr>
        <w:pStyle w:val="Assectheading"/>
        <w:rPr>
          <w:rStyle w:val="charItals"/>
        </w:rPr>
      </w:pPr>
      <w:r>
        <w:rPr>
          <w:rStyle w:val="charItals"/>
          <w:i/>
        </w:rPr>
        <w:t>Care and testing of equipment—ropes and lines</w:t>
      </w:r>
    </w:p>
    <w:p w:rsidR="00AF2508" w:rsidRDefault="00AF2508">
      <w:pPr>
        <w:pStyle w:val="Amain"/>
      </w:pPr>
      <w:r>
        <w:tab/>
        <w:t>(50)</w:t>
      </w:r>
      <w:r>
        <w:tab/>
        <w:t>Breast ropes, shot ropes and distance lines shall be of tarred hemp or other approved material.</w:t>
      </w:r>
    </w:p>
    <w:p w:rsidR="00AF2508" w:rsidRDefault="00AF2508">
      <w:pPr>
        <w:pStyle w:val="Amain"/>
      </w:pPr>
      <w:r>
        <w:tab/>
        <w:t>(51)</w:t>
      </w:r>
      <w:r>
        <w:tab/>
        <w:t>Ropes shall be carefully handled and shall not be sharply bent.</w:t>
      </w:r>
    </w:p>
    <w:p w:rsidR="00AF2508" w:rsidRDefault="00AF2508">
      <w:pPr>
        <w:pStyle w:val="Assectheading"/>
        <w:rPr>
          <w:rStyle w:val="charItals"/>
        </w:rPr>
      </w:pPr>
      <w:r>
        <w:rPr>
          <w:rStyle w:val="charItals"/>
          <w:i/>
        </w:rPr>
        <w:t>Care and testing of equipment—dress and equipment</w:t>
      </w:r>
    </w:p>
    <w:p w:rsidR="00AF2508" w:rsidRDefault="00AF2508">
      <w:pPr>
        <w:pStyle w:val="Amain"/>
      </w:pPr>
      <w:r>
        <w:tab/>
        <w:t>(52)</w:t>
      </w:r>
      <w:r>
        <w:tab/>
        <w:t>All diving dress and equipment on the works shall be kept when not in use in a substantially constructed room or locker, and such room or locker shall not be used for the storage of any other gear, tools, or equipment used on the works.</w:t>
      </w:r>
    </w:p>
    <w:p w:rsidR="00AF2508" w:rsidRDefault="00AF2508">
      <w:pPr>
        <w:pStyle w:val="Assectheading"/>
        <w:rPr>
          <w:color w:val="000000"/>
        </w:rPr>
      </w:pPr>
      <w:r>
        <w:rPr>
          <w:rStyle w:val="charItals"/>
          <w:i/>
        </w:rPr>
        <w:t>Care and testing of equipment—general</w:t>
      </w:r>
    </w:p>
    <w:p w:rsidR="00AF2508" w:rsidRDefault="00AF2508">
      <w:pPr>
        <w:pStyle w:val="Amain"/>
      </w:pPr>
      <w:r>
        <w:tab/>
        <w:t>(53)</w:t>
      </w:r>
      <w:r>
        <w:tab/>
        <w:t>Air pipes, valves, cocks, corselets, helmets, diving dresses, gauges, ropes, lanyards, and all other apparatus shall be maintained in an efficient condition, cleaned with fresh water after use, drained and dried before being stored in the room or locker provided for the purpose.</w:t>
      </w:r>
    </w:p>
    <w:p w:rsidR="00AF2508" w:rsidRDefault="00AF2508">
      <w:pPr>
        <w:pStyle w:val="Amain"/>
      </w:pPr>
      <w:r>
        <w:tab/>
        <w:t>(54)</w:t>
      </w:r>
      <w:r>
        <w:tab/>
        <w:t>Particular care shall be taken to ensure that air pipes and diving dresses are kept free from condensed moisture and from contact with grease, oil or tar.</w:t>
      </w:r>
    </w:p>
    <w:p w:rsidR="00AF2508" w:rsidRDefault="00AF2508">
      <w:pPr>
        <w:pStyle w:val="Amain"/>
      </w:pPr>
      <w:r>
        <w:tab/>
        <w:t>(55)</w:t>
      </w:r>
      <w:r>
        <w:tab/>
        <w:t>Material for dress repairs shall be provided and made available on the site of the works.</w:t>
      </w:r>
    </w:p>
    <w:p w:rsidR="00AF2508" w:rsidRDefault="00AF2508">
      <w:pPr>
        <w:pStyle w:val="Assectheading"/>
        <w:rPr>
          <w:color w:val="000000"/>
        </w:rPr>
      </w:pPr>
      <w:r>
        <w:rPr>
          <w:rStyle w:val="charItals"/>
          <w:i/>
        </w:rPr>
        <w:t>Warm clothing</w:t>
      </w:r>
    </w:p>
    <w:p w:rsidR="00AF2508" w:rsidRDefault="00AF2508">
      <w:pPr>
        <w:pStyle w:val="Amain"/>
        <w:rPr>
          <w:color w:val="000000"/>
        </w:rPr>
      </w:pPr>
      <w:r>
        <w:rPr>
          <w:color w:val="000000"/>
        </w:rPr>
        <w:tab/>
        <w:t>(56)</w:t>
      </w:r>
      <w:r>
        <w:rPr>
          <w:color w:val="000000"/>
        </w:rPr>
        <w:tab/>
        <w:t>Separate sets of warm clothing, woollens or flannels, shall be provided for each diver.</w:t>
      </w:r>
    </w:p>
    <w:p w:rsidR="00AF2508" w:rsidRDefault="00AF2508">
      <w:pPr>
        <w:pStyle w:val="Amain"/>
        <w:rPr>
          <w:color w:val="000000"/>
        </w:rPr>
      </w:pPr>
      <w:r>
        <w:rPr>
          <w:color w:val="000000"/>
        </w:rPr>
        <w:tab/>
        <w:t>(57)</w:t>
      </w:r>
      <w:r>
        <w:rPr>
          <w:color w:val="000000"/>
        </w:rPr>
        <w:tab/>
        <w:t>A diver shall not be required to wear clothing previously worn by another diver unless the clothing has been first thoroughly washed and disinfected.</w:t>
      </w:r>
    </w:p>
    <w:p w:rsidR="00AF2508" w:rsidRDefault="00AF2508">
      <w:pPr>
        <w:pStyle w:val="Assectheading"/>
        <w:rPr>
          <w:color w:val="000000"/>
        </w:rPr>
      </w:pPr>
      <w:r>
        <w:rPr>
          <w:rStyle w:val="charItals"/>
          <w:i/>
        </w:rPr>
        <w:t>Diving dress previously worn</w:t>
      </w:r>
    </w:p>
    <w:p w:rsidR="00AF2508" w:rsidRDefault="00AF2508">
      <w:pPr>
        <w:pStyle w:val="Amain"/>
        <w:rPr>
          <w:color w:val="000000"/>
        </w:rPr>
      </w:pPr>
      <w:r>
        <w:rPr>
          <w:color w:val="000000"/>
        </w:rPr>
        <w:tab/>
        <w:t>(58)</w:t>
      </w:r>
      <w:r>
        <w:rPr>
          <w:color w:val="000000"/>
        </w:rPr>
        <w:tab/>
        <w:t>A diver shall not be required to wear a diving dress previously worn by another person unless the inner surfaces of the dress have been first thoroughly washed with hot water and soap and dried in the sun.</w:t>
      </w:r>
    </w:p>
    <w:p w:rsidR="00AF2508" w:rsidRDefault="00AF2508">
      <w:pPr>
        <w:pStyle w:val="Assectheading"/>
        <w:rPr>
          <w:color w:val="000000"/>
        </w:rPr>
      </w:pPr>
      <w:r>
        <w:rPr>
          <w:rStyle w:val="charItals"/>
          <w:i/>
        </w:rPr>
        <w:t>Distance line</w:t>
      </w:r>
    </w:p>
    <w:p w:rsidR="00AF2508" w:rsidRDefault="00AF2508">
      <w:pPr>
        <w:pStyle w:val="Amain"/>
        <w:rPr>
          <w:color w:val="000000"/>
        </w:rPr>
      </w:pPr>
      <w:r>
        <w:rPr>
          <w:color w:val="000000"/>
        </w:rPr>
        <w:tab/>
        <w:t>(59)</w:t>
      </w:r>
      <w:r>
        <w:rPr>
          <w:color w:val="000000"/>
        </w:rPr>
        <w:tab/>
        <w:t>A diver working on muddy or dangerous ground shall use a distance line firmly attached to the shot rope about 3 feet above the sinker.</w:t>
      </w:r>
    </w:p>
    <w:p w:rsidR="00AF2508" w:rsidRDefault="00AF2508">
      <w:pPr>
        <w:pStyle w:val="Assectheading"/>
        <w:rPr>
          <w:color w:val="000000"/>
        </w:rPr>
      </w:pPr>
      <w:r>
        <w:rPr>
          <w:rStyle w:val="charItals"/>
          <w:i/>
        </w:rPr>
        <w:t>Power driven compressor units—high pressure air supply</w:t>
      </w:r>
    </w:p>
    <w:p w:rsidR="00AF2508" w:rsidRDefault="00AF2508">
      <w:pPr>
        <w:pStyle w:val="Amain"/>
      </w:pPr>
      <w:r>
        <w:tab/>
        <w:t>(60)</w:t>
      </w:r>
      <w:r>
        <w:tab/>
        <w:t>A supply of air at high pressure may be drawn for the use of divers from either the works compressor or a compressor supplying divers equipment only.</w:t>
      </w:r>
    </w:p>
    <w:p w:rsidR="00AF2508" w:rsidRDefault="00AF2508">
      <w:pPr>
        <w:pStyle w:val="Assectheading"/>
        <w:rPr>
          <w:color w:val="000000"/>
        </w:rPr>
      </w:pPr>
      <w:r>
        <w:rPr>
          <w:rStyle w:val="charItals"/>
          <w:i/>
        </w:rPr>
        <w:t>Power driven compressor units—compressor</w:t>
      </w:r>
    </w:p>
    <w:p w:rsidR="00AF2508" w:rsidRDefault="00AF2508">
      <w:pPr>
        <w:pStyle w:val="Amain"/>
      </w:pPr>
      <w:r>
        <w:tab/>
        <w:t>(61)</w:t>
      </w:r>
      <w:r>
        <w:tab/>
        <w:t>The compressor shall be capable of delivering air at the required pressure and at a rate sufficient to meet the requirements of all divers, machines, tools and other compressed air equipment supplied from it.</w:t>
      </w:r>
    </w:p>
    <w:p w:rsidR="00AF2508" w:rsidRDefault="00AF2508">
      <w:pPr>
        <w:pStyle w:val="Amain"/>
      </w:pPr>
      <w:r>
        <w:tab/>
        <w:t>(62)</w:t>
      </w:r>
      <w:r>
        <w:tab/>
        <w:t>The compressor shall be of such construction that overheating does not take place, and the lubricant used shall be odourless and shall produce a minimum amount of noxious fumes if overheating should inadvertently take place.</w:t>
      </w:r>
    </w:p>
    <w:p w:rsidR="00AF2508" w:rsidRDefault="00AF2508">
      <w:pPr>
        <w:pStyle w:val="Amain"/>
      </w:pPr>
      <w:r>
        <w:tab/>
        <w:t>(63)</w:t>
      </w:r>
      <w:r>
        <w:tab/>
        <w:t>Provision shall be made at the compressor to prevent undue pressure building up if the delivery pipe from the compressor becomes blocked in any way.</w:t>
      </w:r>
    </w:p>
    <w:p w:rsidR="00AF2508" w:rsidRDefault="00AF2508">
      <w:pPr>
        <w:pStyle w:val="Amain"/>
      </w:pPr>
      <w:r>
        <w:tab/>
        <w:t>(64)</w:t>
      </w:r>
      <w:r>
        <w:tab/>
        <w:t>This provision shall take the form of a safety valve on the air chest of the compressor or on the delivery pipe as it leaves the compressor.</w:t>
      </w:r>
    </w:p>
    <w:p w:rsidR="00AF2508" w:rsidRDefault="00AF2508">
      <w:pPr>
        <w:pStyle w:val="Amain"/>
      </w:pPr>
      <w:r>
        <w:tab/>
        <w:t>(65)</w:t>
      </w:r>
      <w:r>
        <w:tab/>
        <w:t>If the air is supplied by a compressor of such construction, size, or arrangement that, in the event of a breakdown of the power unit, it cannot be instantly worked by hand, the following equipment connected in the order set down in this section shall be used in conjunction with the compressor.</w:t>
      </w:r>
    </w:p>
    <w:p w:rsidR="00AF2508" w:rsidRDefault="00AF2508">
      <w:pPr>
        <w:pStyle w:val="Amain"/>
      </w:pPr>
      <w:r>
        <w:tab/>
        <w:t>(66)</w:t>
      </w:r>
      <w:r>
        <w:tab/>
        <w:t>First, a main air receiver of sufficient capacity shall be connected to supply the maximum number of divers with sufficient air to bring them to the surface in reasonable time in the event of a breakdown of the compressor power unit.</w:t>
      </w:r>
    </w:p>
    <w:p w:rsidR="00AF2508" w:rsidRDefault="00AF2508">
      <w:pPr>
        <w:pStyle w:val="Amain"/>
      </w:pPr>
      <w:r>
        <w:tab/>
        <w:t>(67)</w:t>
      </w:r>
      <w:r>
        <w:tab/>
        <w:t>The pressure maintained in this receiver shall be much higher than that corresponding to the depths of water where the divers are working.</w:t>
      </w:r>
    </w:p>
    <w:p w:rsidR="00AF2508" w:rsidRDefault="00AF2508">
      <w:pPr>
        <w:pStyle w:val="Amain"/>
      </w:pPr>
      <w:r>
        <w:tab/>
        <w:t>(68)</w:t>
      </w:r>
      <w:r>
        <w:tab/>
        <w:t>Every such air receiver shall be designed and constructed in accordance with the Standards Australia, Boiler Code.</w:t>
      </w:r>
    </w:p>
    <w:p w:rsidR="00AF2508" w:rsidRDefault="00AF2508">
      <w:pPr>
        <w:pStyle w:val="Amain"/>
      </w:pPr>
      <w:r>
        <w:tab/>
        <w:t>(69)</w:t>
      </w:r>
      <w:r>
        <w:tab/>
        <w:t>Second, an efficient non-return inlet valve shall be connected on the receiver to prevent back flow of air for failure of the delivery pipe or its fittings.</w:t>
      </w:r>
    </w:p>
    <w:p w:rsidR="00AF2508" w:rsidRDefault="00AF2508">
      <w:pPr>
        <w:pStyle w:val="Amain"/>
      </w:pPr>
      <w:r>
        <w:tab/>
        <w:t>(70)</w:t>
      </w:r>
      <w:r>
        <w:tab/>
        <w:t>Third, a subsidiary air receiver fitted with a spring loaded type safety valve shall be connected.</w:t>
      </w:r>
    </w:p>
    <w:p w:rsidR="00AF2508" w:rsidRDefault="00AF2508">
      <w:pPr>
        <w:pStyle w:val="Amain"/>
      </w:pPr>
      <w:r>
        <w:tab/>
        <w:t>(71)</w:t>
      </w:r>
      <w:r>
        <w:tab/>
        <w:t>Forth, an approved type of pressure-reducing valve fitted in the pipe line between the main air receiver and the subsidiary air receiver shall be connected.</w:t>
      </w:r>
    </w:p>
    <w:p w:rsidR="00AF2508" w:rsidRDefault="00AF2508">
      <w:pPr>
        <w:pStyle w:val="Amain"/>
      </w:pPr>
      <w:r>
        <w:tab/>
        <w:t>(72)</w:t>
      </w:r>
      <w:r>
        <w:tab/>
        <w:t>Fifth, an air filter of approved type shall be connected in the pipe line between the subsidiary air receiver and the air control panel.</w:t>
      </w:r>
    </w:p>
    <w:p w:rsidR="00AF2508" w:rsidRDefault="00AF2508">
      <w:pPr>
        <w:pStyle w:val="Amain"/>
        <w:keepLines/>
      </w:pPr>
      <w:r>
        <w:tab/>
        <w:t>(73)</w:t>
      </w:r>
      <w:r>
        <w:tab/>
        <w:t>Sixth, an air control panel of robust construction equipped with an air-distributing arrangement of throttle valves, depth gauges and subsidiary receiver pressure gauge, controlling the air supply to the divers shall be connected.</w:t>
      </w:r>
    </w:p>
    <w:p w:rsidR="00AF2508" w:rsidRDefault="00AF2508">
      <w:pPr>
        <w:pStyle w:val="Amain"/>
      </w:pPr>
      <w:r>
        <w:tab/>
        <w:t>(74)</w:t>
      </w:r>
      <w:r>
        <w:tab/>
        <w:t>The throttle valves shall be of the slow acting needle valve type, fitted with graduated dial and pointer and only 1 diver shall be supplied from each such valve.</w:t>
      </w:r>
    </w:p>
    <w:p w:rsidR="00AF2508" w:rsidRDefault="00AF2508">
      <w:pPr>
        <w:pStyle w:val="Amain"/>
      </w:pPr>
      <w:r>
        <w:tab/>
        <w:t>(75)</w:t>
      </w:r>
      <w:r>
        <w:tab/>
        <w:t>The air control panel shall be connected to the air filters by suitable flexible hose and each such hose shall be so supported that undue strain is not imposed on the air filter or air control panel connectors.</w:t>
      </w:r>
    </w:p>
    <w:p w:rsidR="00AF2508" w:rsidRDefault="00AF2508">
      <w:pPr>
        <w:pStyle w:val="Amain"/>
      </w:pPr>
      <w:r>
        <w:tab/>
        <w:t>(76)</w:t>
      </w:r>
      <w:r>
        <w:tab/>
        <w:t>Seventh, emergency air connections and stop valves on the diver’s side of each throttle valve on the air control panel shall be connected.</w:t>
      </w:r>
    </w:p>
    <w:p w:rsidR="00AF2508" w:rsidRDefault="00AF2508">
      <w:pPr>
        <w:pStyle w:val="Amain"/>
      </w:pPr>
      <w:r>
        <w:tab/>
        <w:t>(77)</w:t>
      </w:r>
      <w:r>
        <w:tab/>
        <w:t>Eighth, a manual pump or other reliable source of air supply shall be connected and shall remain connected throughout diving operations.</w:t>
      </w:r>
    </w:p>
    <w:p w:rsidR="00AF2508" w:rsidRDefault="00AF2508">
      <w:pPr>
        <w:pStyle w:val="Amain"/>
      </w:pPr>
      <w:r>
        <w:tab/>
        <w:t>(78)</w:t>
      </w:r>
      <w:r>
        <w:tab/>
        <w:t>The fittings and equipment mentioned in subsections (66) to (77) shall be constructed, used and maintained in accordance with the Standards Australia Code for Work in Compressed Air, Part II—Diving, as at 1 July 1950.</w:t>
      </w:r>
    </w:p>
    <w:p w:rsidR="00AF2508" w:rsidRDefault="00AF2508">
      <w:pPr>
        <w:pStyle w:val="Amain"/>
      </w:pPr>
      <w:r>
        <w:tab/>
        <w:t>(79)</w:t>
      </w:r>
      <w:r>
        <w:tab/>
        <w:t>The control of the air supply shall be in charge of a competent attendant whose duties shall be restricted to the operation of the control panel and attendance on not more than 1 diver.</w:t>
      </w:r>
    </w:p>
    <w:p w:rsidR="00AF2508" w:rsidRDefault="00AF2508">
      <w:pPr>
        <w:pStyle w:val="Amain"/>
      </w:pPr>
      <w:r>
        <w:tab/>
        <w:t>(80)</w:t>
      </w:r>
      <w:r>
        <w:tab/>
        <w:t>When several divers are operating from the 1 air control panel, each diver shall have a separate attendant.</w:t>
      </w:r>
    </w:p>
    <w:p w:rsidR="00AF2508" w:rsidRDefault="00AF2508">
      <w:pPr>
        <w:pStyle w:val="Assectheading"/>
      </w:pPr>
      <w:r>
        <w:rPr>
          <w:rStyle w:val="charItals"/>
          <w:i/>
        </w:rPr>
        <w:t>Ladders</w:t>
      </w:r>
    </w:p>
    <w:p w:rsidR="00AF2508" w:rsidRDefault="00AF2508">
      <w:pPr>
        <w:pStyle w:val="Amain"/>
        <w:rPr>
          <w:color w:val="000000"/>
        </w:rPr>
      </w:pPr>
      <w:r>
        <w:rPr>
          <w:color w:val="000000"/>
        </w:rPr>
        <w:tab/>
        <w:t>(81)</w:t>
      </w:r>
      <w:r>
        <w:rPr>
          <w:color w:val="000000"/>
        </w:rPr>
        <w:tab/>
        <w:t>Ladders for divers shall be capable of supporting a safe working load of 4 hundredweights on any one rung.</w:t>
      </w:r>
    </w:p>
    <w:p w:rsidR="00AF2508" w:rsidRDefault="00AF2508">
      <w:pPr>
        <w:pStyle w:val="Assectheading"/>
      </w:pPr>
      <w:r>
        <w:rPr>
          <w:rStyle w:val="charItals"/>
          <w:i/>
        </w:rPr>
        <w:t>Signalling system</w:t>
      </w:r>
    </w:p>
    <w:p w:rsidR="00AF2508" w:rsidRDefault="00AF2508">
      <w:pPr>
        <w:pStyle w:val="Amain"/>
      </w:pPr>
      <w:r>
        <w:rPr>
          <w:color w:val="000000"/>
        </w:rPr>
        <w:tab/>
        <w:t>(82)</w:t>
      </w:r>
      <w:r>
        <w:rPr>
          <w:color w:val="000000"/>
        </w:rPr>
        <w:tab/>
        <w:t>No person shall dive or be employed to dive under water unless—</w:t>
      </w:r>
    </w:p>
    <w:p w:rsidR="00AF2508" w:rsidRDefault="00AF2508">
      <w:pPr>
        <w:pStyle w:val="Apara"/>
      </w:pPr>
      <w:r>
        <w:tab/>
        <w:t>(a)</w:t>
      </w:r>
      <w:r>
        <w:tab/>
        <w:t>arrangements are made for a suitable signalling system between the diver and persons on the surface; and</w:t>
      </w:r>
    </w:p>
    <w:p w:rsidR="00AF2508" w:rsidRDefault="00AF2508">
      <w:pPr>
        <w:pStyle w:val="Apara"/>
      </w:pPr>
      <w:r>
        <w:tab/>
        <w:t>(b)</w:t>
      </w:r>
      <w:r>
        <w:tab/>
        <w:t>the diver and all persons in attendance on the diver are conversant with the signalling system.</w:t>
      </w:r>
    </w:p>
    <w:p w:rsidR="00AF2508" w:rsidRDefault="00AF2508">
      <w:pPr>
        <w:pStyle w:val="Assectheading"/>
      </w:pPr>
      <w:r>
        <w:rPr>
          <w:rStyle w:val="charItals"/>
          <w:i/>
        </w:rPr>
        <w:t>Meals</w:t>
      </w:r>
    </w:p>
    <w:p w:rsidR="00AF2508" w:rsidRDefault="00AF2508">
      <w:pPr>
        <w:pStyle w:val="Amain"/>
      </w:pPr>
      <w:r>
        <w:rPr>
          <w:color w:val="000000"/>
        </w:rPr>
        <w:tab/>
        <w:t>(83)</w:t>
      </w:r>
      <w:r>
        <w:rPr>
          <w:color w:val="000000"/>
        </w:rPr>
        <w:tab/>
        <w:t xml:space="preserve">A diver who is to work under water at a depth of over 30 feet shall not have a meal within </w:t>
      </w:r>
      <w:r>
        <w:rPr>
          <w:color w:val="000000"/>
          <w:position w:val="6"/>
          <w:sz w:val="18"/>
        </w:rPr>
        <w:t>1</w:t>
      </w:r>
      <w:r>
        <w:rPr>
          <w:color w:val="000000"/>
        </w:rPr>
        <w:t>/</w:t>
      </w:r>
      <w:r>
        <w:rPr>
          <w:color w:val="000000"/>
          <w:sz w:val="18"/>
        </w:rPr>
        <w:t>2</w:t>
      </w:r>
      <w:r>
        <w:rPr>
          <w:color w:val="000000"/>
        </w:rPr>
        <w:t xml:space="preserve"> an hour of beginning to dive and the last meal before diving should only be a light one.</w:t>
      </w:r>
    </w:p>
    <w:p w:rsidR="00AF2508" w:rsidRDefault="00AF2508">
      <w:pPr>
        <w:pStyle w:val="Assectheading"/>
        <w:rPr>
          <w:i w:val="0"/>
        </w:rPr>
      </w:pPr>
      <w:r>
        <w:rPr>
          <w:rStyle w:val="charItals"/>
          <w:i/>
        </w:rPr>
        <w:t>Dressing and sending down diver</w:t>
      </w:r>
    </w:p>
    <w:p w:rsidR="00AF2508" w:rsidRDefault="00AF2508">
      <w:pPr>
        <w:pStyle w:val="Amain"/>
      </w:pPr>
      <w:r>
        <w:tab/>
        <w:t>(84)</w:t>
      </w:r>
      <w:r>
        <w:tab/>
        <w:t>The diver shall be dressed by the following routine method:</w:t>
      </w:r>
    </w:p>
    <w:p w:rsidR="00AF2508" w:rsidRDefault="00AF2508">
      <w:pPr>
        <w:pStyle w:val="Apara"/>
      </w:pPr>
      <w:r>
        <w:tab/>
        <w:t>(a)</w:t>
      </w:r>
      <w:r>
        <w:tab/>
        <w:t>air pipe and breast rope connected to helmet;</w:t>
      </w:r>
    </w:p>
    <w:p w:rsidR="00AF2508" w:rsidRDefault="00AF2508">
      <w:pPr>
        <w:pStyle w:val="Apara"/>
      </w:pPr>
      <w:r>
        <w:tab/>
        <w:t>(b)</w:t>
      </w:r>
      <w:r>
        <w:tab/>
        <w:t>telephone tested (if used);</w:t>
      </w:r>
    </w:p>
    <w:p w:rsidR="00AF2508" w:rsidRDefault="00AF2508">
      <w:pPr>
        <w:pStyle w:val="Apara"/>
      </w:pPr>
      <w:r>
        <w:tab/>
        <w:t>(c)</w:t>
      </w:r>
      <w:r>
        <w:tab/>
        <w:t>diver dressed in woollens;</w:t>
      </w:r>
    </w:p>
    <w:p w:rsidR="00AF2508" w:rsidRDefault="00AF2508">
      <w:pPr>
        <w:pStyle w:val="Apara"/>
      </w:pPr>
      <w:r>
        <w:tab/>
        <w:t>(d)</w:t>
      </w:r>
      <w:r>
        <w:tab/>
        <w:t>diving dress and shoulder pads put on;</w:t>
      </w:r>
    </w:p>
    <w:p w:rsidR="00AF2508" w:rsidRDefault="00AF2508">
      <w:pPr>
        <w:pStyle w:val="Apara"/>
      </w:pPr>
      <w:r>
        <w:tab/>
        <w:t>(e)</w:t>
      </w:r>
      <w:r>
        <w:tab/>
        <w:t>corselet placed on diver, care being taken to clear the inner collar of creases and with number marked on the corselet corresponding with the helmet number;</w:t>
      </w:r>
    </w:p>
    <w:p w:rsidR="00AF2508" w:rsidRDefault="00AF2508">
      <w:pPr>
        <w:pStyle w:val="Apara"/>
      </w:pPr>
      <w:r>
        <w:tab/>
        <w:t>(f)</w:t>
      </w:r>
      <w:r>
        <w:tab/>
        <w:t>jock strap, if used;</w:t>
      </w:r>
    </w:p>
    <w:p w:rsidR="00AF2508" w:rsidRDefault="00AF2508">
      <w:pPr>
        <w:pStyle w:val="Apara"/>
      </w:pPr>
      <w:r>
        <w:tab/>
        <w:t>(g)</w:t>
      </w:r>
      <w:r>
        <w:tab/>
        <w:t>boots, with buckles outward, drawn on, and lanyards if used, to be well secured above the boots around the suit;</w:t>
      </w:r>
    </w:p>
    <w:p w:rsidR="00AF2508" w:rsidRDefault="00AF2508">
      <w:pPr>
        <w:pStyle w:val="Apara"/>
      </w:pPr>
      <w:r>
        <w:tab/>
        <w:t>(h)</w:t>
      </w:r>
      <w:r>
        <w:tab/>
        <w:t>helmet, without front glass, to be secured in position;</w:t>
      </w:r>
    </w:p>
    <w:p w:rsidR="00AF2508" w:rsidRDefault="00AF2508">
      <w:pPr>
        <w:pStyle w:val="Apara"/>
      </w:pPr>
      <w:r>
        <w:tab/>
        <w:t>(i)</w:t>
      </w:r>
      <w:r>
        <w:tab/>
        <w:t>air pipe and breast rope to be secured respectively to the left and right side of the body;</w:t>
      </w:r>
    </w:p>
    <w:p w:rsidR="00AF2508" w:rsidRDefault="00AF2508">
      <w:pPr>
        <w:pStyle w:val="Apara"/>
      </w:pPr>
      <w:r>
        <w:tab/>
        <w:t>(j)</w:t>
      </w:r>
      <w:r>
        <w:tab/>
        <w:t>belt, with knife (if used) attached and hanging at left side, to be secured in position;</w:t>
      </w:r>
    </w:p>
    <w:p w:rsidR="00AF2508" w:rsidRDefault="00AF2508">
      <w:pPr>
        <w:pStyle w:val="Apara"/>
      </w:pPr>
      <w:r>
        <w:tab/>
        <w:t>(k)</w:t>
      </w:r>
      <w:r>
        <w:tab/>
        <w:t>pump to be turned to enable diver to check air pipe connections;</w:t>
      </w:r>
    </w:p>
    <w:p w:rsidR="00AF2508" w:rsidRDefault="00AF2508">
      <w:pPr>
        <w:pStyle w:val="Apara"/>
      </w:pPr>
      <w:r>
        <w:tab/>
        <w:t>(l)</w:t>
      </w:r>
      <w:r>
        <w:tab/>
        <w:t>diver to be placed on ladder and breast rope hitched to the ladder;</w:t>
      </w:r>
    </w:p>
    <w:p w:rsidR="00AF2508" w:rsidRDefault="00AF2508">
      <w:pPr>
        <w:pStyle w:val="Apara"/>
      </w:pPr>
      <w:r>
        <w:tab/>
        <w:t>(m)</w:t>
      </w:r>
      <w:r>
        <w:tab/>
        <w:t>weights to be placed in position, back one first;</w:t>
      </w:r>
    </w:p>
    <w:p w:rsidR="00AF2508" w:rsidRDefault="00AF2508">
      <w:pPr>
        <w:pStyle w:val="Apara"/>
      </w:pPr>
      <w:r>
        <w:tab/>
        <w:t>(n)</w:t>
      </w:r>
      <w:r>
        <w:tab/>
        <w:t>helmet front glass to be screwed in position, but before doing so care is to be taken that the diver clearly understands all instructions relating to the work the diver is to undertake.</w:t>
      </w:r>
    </w:p>
    <w:p w:rsidR="00AF2508" w:rsidRDefault="00AF2508">
      <w:pPr>
        <w:pStyle w:val="Amain"/>
      </w:pPr>
      <w:r>
        <w:tab/>
        <w:t>(85)</w:t>
      </w:r>
      <w:r>
        <w:tab/>
        <w:t>When the source of air supply is a power-driven compressor, the following precautions, additional to those mentioned in subsection (84), shall be taken:</w:t>
      </w:r>
    </w:p>
    <w:p w:rsidR="00AF2508" w:rsidRDefault="00AF2508">
      <w:pPr>
        <w:pStyle w:val="Apara"/>
      </w:pPr>
      <w:r>
        <w:tab/>
        <w:t>(a)</w:t>
      </w:r>
      <w:r>
        <w:tab/>
        <w:t>before the helmet is secured in position, the attendant shall test the air lines and valves through their full range;</w:t>
      </w:r>
    </w:p>
    <w:p w:rsidR="00AF2508" w:rsidRDefault="00AF2508">
      <w:pPr>
        <w:pStyle w:val="Apara"/>
      </w:pPr>
      <w:r>
        <w:tab/>
        <w:t>(b)</w:t>
      </w:r>
      <w:r>
        <w:tab/>
        <w:t>if the diver suspects the presence of fumes or other impurities in the air supply—the diver shall report the matter to the contractor or his or her representative.</w:t>
      </w:r>
    </w:p>
    <w:p w:rsidR="00AF2508" w:rsidRDefault="00AF2508">
      <w:pPr>
        <w:pStyle w:val="Assectheading"/>
        <w:rPr>
          <w:i w:val="0"/>
        </w:rPr>
      </w:pPr>
      <w:r>
        <w:rPr>
          <w:rStyle w:val="charItals"/>
          <w:i/>
        </w:rPr>
        <w:t>Undressing Diver</w:t>
      </w:r>
    </w:p>
    <w:p w:rsidR="00AF2508" w:rsidRDefault="00AF2508">
      <w:pPr>
        <w:pStyle w:val="Amain"/>
      </w:pPr>
      <w:r>
        <w:tab/>
        <w:t>(86)</w:t>
      </w:r>
      <w:r>
        <w:tab/>
        <w:t>A suitable room, shed, screen or cover shall be provided for the use of a diver when undressing.</w:t>
      </w:r>
    </w:p>
    <w:p w:rsidR="00AF2508" w:rsidRDefault="00AF2508">
      <w:pPr>
        <w:pStyle w:val="Amain"/>
      </w:pPr>
      <w:r>
        <w:tab/>
        <w:t>(87)</w:t>
      </w:r>
      <w:r>
        <w:tab/>
        <w:t>Procedure, the reverse of that required by subsections (84) and (85), shall be adopted in undressing a diver.</w:t>
      </w:r>
    </w:p>
    <w:p w:rsidR="00AF2508" w:rsidRDefault="00AF2508">
      <w:pPr>
        <w:pStyle w:val="Amain"/>
      </w:pPr>
      <w:r>
        <w:tab/>
        <w:t>(88)</w:t>
      </w:r>
      <w:r>
        <w:tab/>
        <w:t>Each diver should do further light exercise after undressing.</w:t>
      </w:r>
    </w:p>
    <w:p w:rsidR="00AF2508" w:rsidRDefault="00AF2508">
      <w:pPr>
        <w:pStyle w:val="Assectheading"/>
        <w:rPr>
          <w:i w:val="0"/>
        </w:rPr>
      </w:pPr>
      <w:r>
        <w:rPr>
          <w:rStyle w:val="charItals"/>
          <w:i/>
        </w:rPr>
        <w:t>Attendants</w:t>
      </w:r>
    </w:p>
    <w:p w:rsidR="00AF2508" w:rsidRDefault="00AF2508">
      <w:pPr>
        <w:pStyle w:val="Amain"/>
      </w:pPr>
      <w:r>
        <w:tab/>
        <w:t>(89)</w:t>
      </w:r>
      <w:r>
        <w:tab/>
        <w:t>Each diver, while under water, shall have an attendant to hold the breast rope and air pipe.</w:t>
      </w:r>
    </w:p>
    <w:p w:rsidR="00AF2508" w:rsidRDefault="00AF2508">
      <w:pPr>
        <w:pStyle w:val="Amain"/>
      </w:pPr>
      <w:r>
        <w:tab/>
        <w:t>(90)</w:t>
      </w:r>
      <w:r>
        <w:tab/>
        <w:t>A sufficient number of other workers, if warranted, shall be stationed to see that the breast rope and air pipe pay out clear and also to coil down the rope and pipe when required.</w:t>
      </w:r>
    </w:p>
    <w:p w:rsidR="00AF2508" w:rsidRDefault="00AF2508">
      <w:pPr>
        <w:pStyle w:val="Amain"/>
      </w:pPr>
      <w:r>
        <w:tab/>
        <w:t>(91)</w:t>
      </w:r>
      <w:r>
        <w:tab/>
        <w:t>When a diver is working at depths greater than 100 feet, an additional worker shall be available, if warranted, to watch the air pipe.</w:t>
      </w:r>
    </w:p>
    <w:p w:rsidR="00AF2508" w:rsidRDefault="00AF2508">
      <w:pPr>
        <w:pStyle w:val="Amain"/>
      </w:pPr>
      <w:r>
        <w:tab/>
        <w:t>(92)</w:t>
      </w:r>
      <w:r>
        <w:tab/>
        <w:t>Every breast rope and air pipe shall be held clear of the gunwale and shall be kept moderately taut but care shall be taken not to have them so taut as to inconvenience the diver.</w:t>
      </w:r>
    </w:p>
    <w:p w:rsidR="00AF2508" w:rsidRDefault="00AF2508">
      <w:pPr>
        <w:pStyle w:val="Amain"/>
      </w:pPr>
      <w:r>
        <w:tab/>
        <w:t>(93)</w:t>
      </w:r>
      <w:r>
        <w:tab/>
        <w:t>The attendant shall maintain such control of the breast rope as to prevent the diver accidentally falling from staging or from rocks.</w:t>
      </w:r>
    </w:p>
    <w:p w:rsidR="00AF2508" w:rsidRDefault="00AF2508">
      <w:pPr>
        <w:pStyle w:val="Amain"/>
      </w:pPr>
      <w:r>
        <w:tab/>
        <w:t>(94)</w:t>
      </w:r>
      <w:r>
        <w:tab/>
        <w:t>Each attendant shall give his or her whole attention to his or her charge from the time the diver steps onto the ladder until the diver returns to the surface.</w:t>
      </w:r>
    </w:p>
    <w:p w:rsidR="00AF2508" w:rsidRDefault="00AF2508">
      <w:pPr>
        <w:pStyle w:val="Amain"/>
      </w:pPr>
      <w:r>
        <w:tab/>
        <w:t>(95)</w:t>
      </w:r>
      <w:r>
        <w:tab/>
        <w:t>The diver shall keep a close watch on the depth gauge to note changes in depth.</w:t>
      </w:r>
    </w:p>
    <w:p w:rsidR="00AF2508" w:rsidRDefault="00AF2508">
      <w:pPr>
        <w:pStyle w:val="Assectheading"/>
        <w:rPr>
          <w:i w:val="0"/>
          <w:color w:val="000000"/>
        </w:rPr>
      </w:pPr>
      <w:r>
        <w:rPr>
          <w:rStyle w:val="charItals"/>
          <w:i/>
        </w:rPr>
        <w:t>Records</w:t>
      </w:r>
    </w:p>
    <w:p w:rsidR="00AF2508" w:rsidRDefault="00AF2508">
      <w:pPr>
        <w:pStyle w:val="Amain"/>
        <w:rPr>
          <w:color w:val="000000"/>
        </w:rPr>
      </w:pPr>
      <w:r>
        <w:rPr>
          <w:color w:val="000000"/>
        </w:rPr>
        <w:tab/>
        <w:t>(96)</w:t>
      </w:r>
      <w:r>
        <w:rPr>
          <w:color w:val="000000"/>
        </w:rPr>
        <w:tab/>
        <w:t>The times of a diver’s descent and ascent shall be taken by an accurate timepiece and recorded, as also shall be all changes of depth and gauge readings when a diver is working at depths greater than 16 fathoms.</w:t>
      </w:r>
    </w:p>
    <w:p w:rsidR="00AF2508" w:rsidRDefault="00AF2508">
      <w:pPr>
        <w:pStyle w:val="Amain"/>
      </w:pPr>
      <w:r>
        <w:rPr>
          <w:color w:val="000000"/>
        </w:rPr>
        <w:tab/>
        <w:t>(97)</w:t>
      </w:r>
      <w:r>
        <w:rPr>
          <w:color w:val="000000"/>
        </w:rPr>
        <w:tab/>
        <w:t>All records shall be carefully preserved and made available to an inspector as and when required by the inspector.</w:t>
      </w:r>
    </w:p>
    <w:p w:rsidR="00AF2508" w:rsidRDefault="00AF2508">
      <w:pPr>
        <w:pStyle w:val="Assectheading"/>
        <w:rPr>
          <w:i w:val="0"/>
        </w:rPr>
      </w:pPr>
      <w:r>
        <w:rPr>
          <w:rStyle w:val="charItals"/>
          <w:i/>
        </w:rPr>
        <w:t>General Precautions</w:t>
      </w:r>
    </w:p>
    <w:p w:rsidR="00AF2508" w:rsidRDefault="00AF2508">
      <w:pPr>
        <w:pStyle w:val="Amain"/>
      </w:pPr>
      <w:r>
        <w:tab/>
        <w:t>(98)</w:t>
      </w:r>
      <w:r>
        <w:tab/>
        <w:t>The symptoms and treatment of compressed air illness as set out in the schedule 9 shall be kept exhibited in a conspicuous position on the works.</w:t>
      </w:r>
    </w:p>
    <w:p w:rsidR="00AF2508" w:rsidRDefault="00AF2508">
      <w:pPr>
        <w:pStyle w:val="Amain"/>
      </w:pPr>
      <w:r>
        <w:tab/>
        <w:t>(99)</w:t>
      </w:r>
      <w:r>
        <w:tab/>
        <w:t>A diver who has been blown up shall be sent down again to the original depth, but care shall be exercised that the diver has a firm hold of the shot rope or that the attendants have taken in the slack of the breast rope and air pipe, before the valve is opened to allow the diver to descend.</w:t>
      </w:r>
    </w:p>
    <w:p w:rsidR="00AF2508" w:rsidRDefault="00AF2508">
      <w:pPr>
        <w:pStyle w:val="Amain"/>
      </w:pPr>
      <w:r>
        <w:tab/>
        <w:t>(100)</w:t>
      </w:r>
      <w:r>
        <w:tab/>
        <w:t>Special care shall be taken to prevent a diver, who is working under a large flat surface, being blown up.</w:t>
      </w:r>
    </w:p>
    <w:p w:rsidR="00AF2508" w:rsidRDefault="00AF2508">
      <w:pPr>
        <w:pStyle w:val="Amain"/>
      </w:pPr>
      <w:r>
        <w:tab/>
        <w:t>(101)</w:t>
      </w:r>
      <w:r>
        <w:tab/>
        <w:t>If the diver is inadvertently blown up, provision shall be made for the diver to be cleared without risk of injury.</w:t>
      </w:r>
    </w:p>
    <w:p w:rsidR="00AF2508" w:rsidRDefault="00AF2508">
      <w:pPr>
        <w:pStyle w:val="Amain"/>
      </w:pPr>
      <w:r>
        <w:tab/>
        <w:t>(102)</w:t>
      </w:r>
      <w:r>
        <w:tab/>
        <w:t>When an additional pump is to be connected by means of a four-way connection, the additional pump shall be operated against the shut cock until the gauge shows the same pressure as the other pump delivering air for the diver, before the cock may be opened.</w:t>
      </w:r>
    </w:p>
    <w:p w:rsidR="00AF2508" w:rsidRDefault="00AF2508">
      <w:pPr>
        <w:pStyle w:val="Amain"/>
      </w:pPr>
      <w:r>
        <w:tab/>
        <w:t>(103)</w:t>
      </w:r>
      <w:r>
        <w:tab/>
        <w:t>When a pump is to be disconnected with the diver down, the cock on that pump connection shall first be shut.</w:t>
      </w:r>
    </w:p>
    <w:p w:rsidR="00AF2508" w:rsidRDefault="00AF2508">
      <w:pPr>
        <w:pStyle w:val="Amain"/>
      </w:pPr>
      <w:r>
        <w:tab/>
        <w:t>(104)</w:t>
      </w:r>
      <w:r>
        <w:tab/>
        <w:t>The air pipes serving 2 divers shall on no account be joined up to the same junction.</w:t>
      </w:r>
    </w:p>
    <w:p w:rsidR="00AF2508" w:rsidRDefault="00AF2508">
      <w:pPr>
        <w:pStyle w:val="Amain"/>
      </w:pPr>
      <w:r>
        <w:tab/>
        <w:t>(105)</w:t>
      </w:r>
      <w:r>
        <w:tab/>
        <w:t>If 1 hand pump is used to serve 2 divers, each diver’s air supply shall be independently controlled by a suitable air-distributing valve.</w:t>
      </w:r>
    </w:p>
    <w:p w:rsidR="00AF2508" w:rsidRDefault="00AF2508">
      <w:pPr>
        <w:pStyle w:val="Amain"/>
      </w:pPr>
      <w:r>
        <w:rPr>
          <w:color w:val="000000"/>
        </w:rPr>
        <w:tab/>
        <w:t>(106)</w:t>
      </w:r>
      <w:r>
        <w:rPr>
          <w:color w:val="000000"/>
        </w:rPr>
        <w:tab/>
        <w:t>This section shall apply to any diving operation that is a compressed air work within the meaning of the Act.</w:t>
      </w:r>
    </w:p>
    <w:p w:rsidR="00AF2508" w:rsidRDefault="00AF2508">
      <w:pPr>
        <w:pStyle w:val="AH3Div"/>
      </w:pPr>
      <w:bookmarkStart w:id="189" w:name="_Toc161636850"/>
      <w:r>
        <w:rPr>
          <w:rStyle w:val="CharDivNo"/>
        </w:rPr>
        <w:t>Division 8.2</w:t>
      </w:r>
      <w:r>
        <w:rPr>
          <w:rStyle w:val="CharDivNo"/>
        </w:rPr>
        <w:tab/>
      </w:r>
      <w:r>
        <w:rPr>
          <w:rStyle w:val="CharDivText"/>
        </w:rPr>
        <w:t>Tunnelling</w:t>
      </w:r>
      <w:bookmarkEnd w:id="189"/>
    </w:p>
    <w:p w:rsidR="00AF2508" w:rsidRDefault="00AF2508">
      <w:pPr>
        <w:pStyle w:val="AH5Sec"/>
      </w:pPr>
      <w:bookmarkStart w:id="190" w:name="_Toc161636851"/>
      <w:r>
        <w:rPr>
          <w:rStyle w:val="CharSectNo"/>
        </w:rPr>
        <w:t>100</w:t>
      </w:r>
      <w:bookmarkEnd w:id="190"/>
      <w:r>
        <w:tab/>
        <w:t xml:space="preserve">  </w:t>
      </w:r>
    </w:p>
    <w:p w:rsidR="00AF2508" w:rsidRDefault="00AF2508">
      <w:pPr>
        <w:pStyle w:val="Amain"/>
      </w:pPr>
      <w:r>
        <w:tab/>
        <w:t>(1)</w:t>
      </w:r>
      <w:r>
        <w:tab/>
        <w:t>This section shall apply to any tunnelling operation that is a compressed air work within the meaning of the Act.</w:t>
      </w:r>
    </w:p>
    <w:p w:rsidR="00AF2508" w:rsidRDefault="00AF2508">
      <w:pPr>
        <w:pStyle w:val="Assectheading"/>
        <w:rPr>
          <w:i w:val="0"/>
          <w:color w:val="000000"/>
        </w:rPr>
      </w:pPr>
      <w:r>
        <w:rPr>
          <w:rStyle w:val="charItals"/>
          <w:i/>
        </w:rPr>
        <w:t>Age limits</w:t>
      </w:r>
    </w:p>
    <w:p w:rsidR="00AF2508" w:rsidRDefault="00AF2508">
      <w:pPr>
        <w:pStyle w:val="Amain"/>
      </w:pPr>
      <w:r>
        <w:rPr>
          <w:color w:val="000000"/>
        </w:rPr>
        <w:tab/>
        <w:t>(2)</w:t>
      </w:r>
      <w:r>
        <w:rPr>
          <w:color w:val="000000"/>
        </w:rPr>
        <w:tab/>
        <w:t>No person shall work or be employed in tunnelling—</w:t>
      </w:r>
    </w:p>
    <w:p w:rsidR="00AF2508" w:rsidRDefault="00AF2508">
      <w:pPr>
        <w:pStyle w:val="Apara"/>
      </w:pPr>
      <w:r>
        <w:tab/>
        <w:t>(a)</w:t>
      </w:r>
      <w:r>
        <w:tab/>
        <w:t>at pressures up to 30 pounds per square inch if the person is over 50 years old; or</w:t>
      </w:r>
    </w:p>
    <w:p w:rsidR="00AF2508" w:rsidRDefault="00AF2508">
      <w:pPr>
        <w:pStyle w:val="Apara"/>
      </w:pPr>
      <w:r>
        <w:tab/>
        <w:t>(b)</w:t>
      </w:r>
      <w:r>
        <w:tab/>
        <w:t>at pressures over 30 pounds per square inch if the person is over 45 years old.</w:t>
      </w:r>
    </w:p>
    <w:p w:rsidR="00AF2508" w:rsidRDefault="00AF2508">
      <w:pPr>
        <w:pStyle w:val="Amain"/>
      </w:pPr>
      <w:r>
        <w:tab/>
        <w:t>(3)</w:t>
      </w:r>
      <w:r>
        <w:tab/>
        <w:t>No person under 20 years old shall work or be employed in tunnelling work in compressed air.</w:t>
      </w:r>
    </w:p>
    <w:p w:rsidR="00AF2508" w:rsidRDefault="00AF2508">
      <w:pPr>
        <w:pStyle w:val="Amain"/>
      </w:pPr>
      <w:r>
        <w:tab/>
        <w:t>(4)</w:t>
      </w:r>
      <w:r>
        <w:tab/>
        <w:t>However, in exceptional circumstances the medical officer may set aside the age limits in individual cases.</w:t>
      </w:r>
    </w:p>
    <w:p w:rsidR="00AF2508" w:rsidRDefault="00AF2508">
      <w:pPr>
        <w:pStyle w:val="Assectheading"/>
        <w:rPr>
          <w:i w:val="0"/>
        </w:rPr>
      </w:pPr>
      <w:r>
        <w:rPr>
          <w:rStyle w:val="charItals"/>
          <w:i/>
        </w:rPr>
        <w:t>Appointment of medical officers</w:t>
      </w:r>
    </w:p>
    <w:p w:rsidR="00AF2508" w:rsidRDefault="00AF2508">
      <w:pPr>
        <w:pStyle w:val="Amain"/>
      </w:pPr>
      <w:r>
        <w:tab/>
        <w:t>(5)</w:t>
      </w:r>
      <w:r>
        <w:tab/>
        <w:t>A legally qualified doctor shall be appointed to carry out the duties that are prescribed by this section as being the duties of a medical officer.</w:t>
      </w:r>
    </w:p>
    <w:p w:rsidR="00AF2508" w:rsidRDefault="00AF2508">
      <w:pPr>
        <w:pStyle w:val="Amain"/>
      </w:pPr>
      <w:r>
        <w:tab/>
        <w:t>(6)</w:t>
      </w:r>
      <w:r>
        <w:tab/>
        <w:t>The chief inspector shall be notified in writing of the name and address of the medical officer immediately after he or she is appointed.</w:t>
      </w:r>
    </w:p>
    <w:p w:rsidR="00AF2508" w:rsidRDefault="00AF2508">
      <w:pPr>
        <w:pStyle w:val="Assectheading"/>
        <w:rPr>
          <w:i w:val="0"/>
        </w:rPr>
      </w:pPr>
      <w:r>
        <w:rPr>
          <w:rStyle w:val="charItals"/>
          <w:i/>
        </w:rPr>
        <w:t>Appointment of medical officers—medical orderly</w:t>
      </w:r>
    </w:p>
    <w:p w:rsidR="00AF2508" w:rsidRDefault="00AF2508">
      <w:pPr>
        <w:pStyle w:val="Amain"/>
        <w:rPr>
          <w:color w:val="000000"/>
        </w:rPr>
      </w:pPr>
      <w:r>
        <w:rPr>
          <w:color w:val="000000"/>
        </w:rPr>
        <w:tab/>
        <w:t>(7)</w:t>
      </w:r>
      <w:r>
        <w:rPr>
          <w:color w:val="000000"/>
        </w:rPr>
        <w:tab/>
        <w:t>When the working pressure exceeds 25 pounds per square inch an experienced medical orderly shall be constantly in attendance for the purpose of recompressing any person who shows symptoms of compressed air illness, and for the purpose of attending to minor injuries.</w:t>
      </w:r>
    </w:p>
    <w:p w:rsidR="00AF2508" w:rsidRDefault="00AF2508">
      <w:pPr>
        <w:pStyle w:val="Amain"/>
        <w:rPr>
          <w:color w:val="000000"/>
        </w:rPr>
      </w:pPr>
      <w:r>
        <w:rPr>
          <w:color w:val="000000"/>
        </w:rPr>
        <w:tab/>
        <w:t>(8)</w:t>
      </w:r>
      <w:r>
        <w:rPr>
          <w:color w:val="000000"/>
        </w:rPr>
        <w:tab/>
        <w:t>The medical orderly shall be a person approved by the medical officer and, preferably, shall be the holder of a St. John Ambulance certificate or equivalent qualification.</w:t>
      </w:r>
    </w:p>
    <w:p w:rsidR="00AF2508" w:rsidRDefault="00AF2508">
      <w:pPr>
        <w:pStyle w:val="Amain"/>
        <w:rPr>
          <w:color w:val="000000"/>
        </w:rPr>
      </w:pPr>
      <w:r>
        <w:rPr>
          <w:color w:val="000000"/>
        </w:rPr>
        <w:tab/>
        <w:t>(9)</w:t>
      </w:r>
      <w:r>
        <w:rPr>
          <w:color w:val="000000"/>
        </w:rPr>
        <w:tab/>
        <w:t>The medical orderly may work on other duties provided these are such that he or she will be readily available for medical orderly duties when required.</w:t>
      </w:r>
    </w:p>
    <w:p w:rsidR="00AF2508" w:rsidRDefault="00AF2508">
      <w:pPr>
        <w:pStyle w:val="Amain"/>
      </w:pPr>
      <w:r>
        <w:tab/>
        <w:t>(10)</w:t>
      </w:r>
      <w:r>
        <w:tab/>
        <w:t>No person shall work or be employed to work in compressed air unless on or after the date the person has been examined by an appointed medical officer, and has been certified by the officer as being fit to work in compressed air.</w:t>
      </w:r>
    </w:p>
    <w:p w:rsidR="00AF2508" w:rsidRDefault="00AF2508">
      <w:pPr>
        <w:pStyle w:val="Amain"/>
      </w:pPr>
      <w:r>
        <w:tab/>
        <w:t>(11)</w:t>
      </w:r>
      <w:r>
        <w:tab/>
        <w:t>The examination shall include an X-ray examination of the chest.</w:t>
      </w:r>
    </w:p>
    <w:p w:rsidR="00AF2508" w:rsidRDefault="00AF2508">
      <w:pPr>
        <w:pStyle w:val="Amain"/>
      </w:pPr>
      <w:r>
        <w:tab/>
        <w:t>(12)</w:t>
      </w:r>
      <w:r>
        <w:tab/>
        <w:t>The medical officer’s report shall be kept and produced to an inspector on demand.</w:t>
      </w:r>
    </w:p>
    <w:p w:rsidR="00AF2508" w:rsidRDefault="00AF2508">
      <w:pPr>
        <w:pStyle w:val="Assectheading"/>
        <w:rPr>
          <w:i w:val="0"/>
        </w:rPr>
      </w:pPr>
      <w:r>
        <w:rPr>
          <w:rStyle w:val="charItals"/>
          <w:i/>
        </w:rPr>
        <w:t>Supervision of health during work</w:t>
      </w:r>
    </w:p>
    <w:p w:rsidR="00AF2508" w:rsidRDefault="00AF2508">
      <w:pPr>
        <w:pStyle w:val="Amain"/>
      </w:pPr>
      <w:r>
        <w:tab/>
        <w:t>(13)</w:t>
      </w:r>
      <w:r>
        <w:tab/>
        <w:t>It shall be the duty of the medical officer to inform each person at the time of a preliminary medical examination that any attack of ‘bends’ (pains in the joints and limbs or abdomen), giddiness, vomiting or difficulty in breathing, disease of the heart, lungs, kidneys, genital organs, a chill, or any other disease that may come on the person during or after work may have the most serious consequences to his or her health and the person shall be instructed that immediately on noticing any such indisposition the person must report it to the medical officer, or to a medical orderly, or failing either, to the contractor or a responsible representative of the contractor.</w:t>
      </w:r>
    </w:p>
    <w:p w:rsidR="00AF2508" w:rsidRDefault="00AF2508">
      <w:pPr>
        <w:pStyle w:val="Amain"/>
      </w:pPr>
      <w:r>
        <w:tab/>
        <w:t>(14)</w:t>
      </w:r>
      <w:r>
        <w:tab/>
        <w:t>The symptoms and treatment of compressed air illness as mentioned in schedule 9 shall be exhibited in a conspicuous position in the workers’s change room.</w:t>
      </w:r>
    </w:p>
    <w:p w:rsidR="00AF2508" w:rsidRDefault="00AF2508">
      <w:pPr>
        <w:pStyle w:val="Amain"/>
      </w:pPr>
      <w:r>
        <w:tab/>
        <w:t>(15)</w:t>
      </w:r>
      <w:r>
        <w:tab/>
        <w:t>A contractor shall not allow any person—</w:t>
      </w:r>
    </w:p>
    <w:p w:rsidR="00AF2508" w:rsidRDefault="00AF2508">
      <w:pPr>
        <w:pStyle w:val="Apara"/>
      </w:pPr>
      <w:r>
        <w:tab/>
        <w:t>(a)</w:t>
      </w:r>
      <w:r>
        <w:tab/>
        <w:t>known to be suffering from bends, cold in the head, sore throat, or any other illness or disease, or</w:t>
      </w:r>
    </w:p>
    <w:p w:rsidR="00AF2508" w:rsidRDefault="00AF2508">
      <w:pPr>
        <w:pStyle w:val="Apara"/>
      </w:pPr>
      <w:r>
        <w:tab/>
        <w:t>(b)</w:t>
      </w:r>
      <w:r>
        <w:tab/>
        <w:t>under the influence of intoxicating liquor;</w:t>
      </w:r>
    </w:p>
    <w:p w:rsidR="00AF2508" w:rsidRDefault="00AF2508">
      <w:pPr>
        <w:pStyle w:val="Amainreturn"/>
      </w:pPr>
      <w:r>
        <w:t>to enter any compressed air chamber.</w:t>
      </w:r>
    </w:p>
    <w:p w:rsidR="00AF2508" w:rsidRDefault="00AF2508">
      <w:pPr>
        <w:pStyle w:val="Amain"/>
        <w:keepNext/>
      </w:pPr>
      <w:r>
        <w:tab/>
        <w:t>(16)</w:t>
      </w:r>
      <w:r>
        <w:tab/>
        <w:t>Persons employed continuously in compressed air shall be medically re-examined regularly at the following intervals:</w:t>
      </w:r>
    </w:p>
    <w:p w:rsidR="00AF2508" w:rsidRDefault="00AF2508">
      <w:pPr>
        <w:pStyle w:val="Apara"/>
      </w:pPr>
      <w:r>
        <w:tab/>
        <w:t>(a)</w:t>
      </w:r>
      <w:r>
        <w:tab/>
        <w:t>at pressures not exceeding 25 pounds per square inch—every 6 months;</w:t>
      </w:r>
    </w:p>
    <w:p w:rsidR="00AF2508" w:rsidRDefault="00AF2508">
      <w:pPr>
        <w:pStyle w:val="Apara"/>
      </w:pPr>
      <w:r>
        <w:tab/>
        <w:t>(b)</w:t>
      </w:r>
      <w:r>
        <w:tab/>
        <w:t>at pressures exceeding 25 pounds per square inch but not exceeding 35 pounds per square inch—every 3 months;</w:t>
      </w:r>
    </w:p>
    <w:p w:rsidR="00AF2508" w:rsidRDefault="00AF2508">
      <w:pPr>
        <w:pStyle w:val="Apara"/>
      </w:pPr>
      <w:r>
        <w:tab/>
        <w:t>(c)</w:t>
      </w:r>
      <w:r>
        <w:tab/>
        <w:t>at pressures exceeding 35 pounds per square inch but not exceeding 45 pounds per square inch—every 6 weeks;</w:t>
      </w:r>
    </w:p>
    <w:p w:rsidR="00AF2508" w:rsidRDefault="00AF2508">
      <w:pPr>
        <w:pStyle w:val="Apara"/>
      </w:pPr>
      <w:r>
        <w:tab/>
        <w:t>(d)</w:t>
      </w:r>
      <w:r>
        <w:tab/>
        <w:t>at pressures exceeding 45 pounds per square inch—every 4 weeks.</w:t>
      </w:r>
    </w:p>
    <w:p w:rsidR="00AF2508" w:rsidRDefault="00AF2508">
      <w:pPr>
        <w:pStyle w:val="Amain"/>
      </w:pPr>
      <w:r>
        <w:tab/>
        <w:t>(17)</w:t>
      </w:r>
      <w:r>
        <w:tab/>
        <w:t>Unless so re-examined and found fit as mentioned in this section no person shall work, or be employed to work in compressed air.</w:t>
      </w:r>
    </w:p>
    <w:p w:rsidR="00AF2508" w:rsidRDefault="00AF2508">
      <w:pPr>
        <w:pStyle w:val="Amain"/>
      </w:pPr>
      <w:r>
        <w:tab/>
        <w:t>(18)</w:t>
      </w:r>
      <w:r>
        <w:tab/>
        <w:t>Any employee who has been absent from work for more than 7 days owing to illness of any kind, or who has been absent from work due to any other cause, except for recreation, for a period of more than 3 weeks shall not work or be employed to work in compressed air without first producing a certificate of fitness from the medical officer.</w:t>
      </w:r>
    </w:p>
    <w:p w:rsidR="00AF2508" w:rsidRDefault="00AF2508">
      <w:pPr>
        <w:pStyle w:val="Amain"/>
      </w:pPr>
      <w:r>
        <w:tab/>
        <w:t>(19)</w:t>
      </w:r>
      <w:r>
        <w:tab/>
        <w:t>No person shall work or be employed to work in compressed air after 12 months, or any lesser period that the medical officer may determine, has elapsed.</w:t>
      </w:r>
    </w:p>
    <w:p w:rsidR="00AF2508" w:rsidRDefault="00AF2508">
      <w:pPr>
        <w:pStyle w:val="Amain"/>
      </w:pPr>
      <w:r>
        <w:tab/>
        <w:t>(20)</w:t>
      </w:r>
      <w:r>
        <w:tab/>
        <w:t>Every person not accustomed to work in compressed air shall be tested to the working pressure obtaining at his or her place of work by being subjected to the pressure in the medical or airlock.</w:t>
      </w:r>
    </w:p>
    <w:p w:rsidR="00AF2508" w:rsidRDefault="00AF2508">
      <w:pPr>
        <w:pStyle w:val="Amain"/>
      </w:pPr>
      <w:r>
        <w:tab/>
        <w:t>(21)</w:t>
      </w:r>
      <w:r>
        <w:tab/>
        <w:t>If the employee shows serious symptoms after test, or after the first 2 full working periods, the employee shall not work in compressed air.</w:t>
      </w:r>
    </w:p>
    <w:p w:rsidR="00AF2508" w:rsidRDefault="00AF2508">
      <w:pPr>
        <w:pStyle w:val="Assectheading"/>
        <w:rPr>
          <w:i w:val="0"/>
        </w:rPr>
      </w:pPr>
      <w:r>
        <w:rPr>
          <w:rStyle w:val="charItals"/>
          <w:i/>
        </w:rPr>
        <w:t>Compressed air workers’ badge</w:t>
      </w:r>
    </w:p>
    <w:p w:rsidR="00AF2508" w:rsidRDefault="00AF2508">
      <w:pPr>
        <w:pStyle w:val="Amain"/>
      </w:pPr>
      <w:r>
        <w:tab/>
        <w:t>(22)</w:t>
      </w:r>
      <w:r>
        <w:tab/>
        <w:t>It shall be the duty of a contractor employing persons to work in compressed air to supply to every such person a compressed air workers’ badge.</w:t>
      </w:r>
    </w:p>
    <w:p w:rsidR="00AF2508" w:rsidRDefault="00AF2508">
      <w:pPr>
        <w:pStyle w:val="Amain"/>
      </w:pPr>
      <w:r>
        <w:tab/>
        <w:t>(23)</w:t>
      </w:r>
      <w:r>
        <w:tab/>
        <w:t>It shall be the duty of every person employed or working in compressed air to, at all times, wear a compressed air workers’ badge.</w:t>
      </w:r>
    </w:p>
    <w:p w:rsidR="00AF2508" w:rsidRDefault="00AF2508">
      <w:pPr>
        <w:pStyle w:val="Amain"/>
      </w:pPr>
      <w:r>
        <w:tab/>
        <w:t>(24)</w:t>
      </w:r>
      <w:r>
        <w:tab/>
        <w:t>Every compressed air workers’ badge shall be manufactured and used in the way mentioned in section 99 (17) to (19).</w:t>
      </w:r>
    </w:p>
    <w:p w:rsidR="00AF2508" w:rsidRDefault="00AF2508">
      <w:pPr>
        <w:pStyle w:val="Assectheading"/>
        <w:rPr>
          <w:i w:val="0"/>
        </w:rPr>
      </w:pPr>
      <w:r>
        <w:rPr>
          <w:rStyle w:val="charItals"/>
          <w:i/>
        </w:rPr>
        <w:t>Safe working periods</w:t>
      </w:r>
      <w:r>
        <w:rPr>
          <w:i w:val="0"/>
          <w:color w:val="000000"/>
        </w:rPr>
        <w:t>—</w:t>
      </w:r>
      <w:r>
        <w:rPr>
          <w:rStyle w:val="charItals"/>
          <w:i/>
        </w:rPr>
        <w:t>general</w:t>
      </w:r>
    </w:p>
    <w:p w:rsidR="00AF2508" w:rsidRDefault="00AF2508">
      <w:pPr>
        <w:pStyle w:val="Amain"/>
        <w:keepLines/>
      </w:pPr>
      <w:r>
        <w:tab/>
        <w:t>(25)</w:t>
      </w:r>
      <w:r>
        <w:tab/>
        <w:t>Except in case of emergency, no person shall work or be employed to work in compressed air for longer in any period of 24 hours than the period corresponding to the pressure in which the work is carried out as set out in table 100:</w:t>
      </w:r>
    </w:p>
    <w:p w:rsidR="00AF2508" w:rsidRDefault="00AF2508">
      <w:pPr>
        <w:pStyle w:val="TableHd"/>
        <w:ind w:hanging="60"/>
      </w:pPr>
      <w:r>
        <w:t>Table 100</w:t>
      </w:r>
    </w:p>
    <w:tbl>
      <w:tblPr>
        <w:tblW w:w="0" w:type="auto"/>
        <w:tblInd w:w="1220" w:type="dxa"/>
        <w:tblLayout w:type="fixed"/>
        <w:tblCellMar>
          <w:left w:w="80" w:type="dxa"/>
          <w:right w:w="80" w:type="dxa"/>
        </w:tblCellMar>
        <w:tblLook w:val="0000" w:firstRow="0" w:lastRow="0" w:firstColumn="0" w:lastColumn="0" w:noHBand="0" w:noVBand="0"/>
      </w:tblPr>
      <w:tblGrid>
        <w:gridCol w:w="1680"/>
        <w:gridCol w:w="1560"/>
        <w:gridCol w:w="1640"/>
        <w:gridCol w:w="1620"/>
      </w:tblGrid>
      <w:tr w:rsidR="00AF2508">
        <w:trPr>
          <w:cantSplit/>
          <w:tblHeader/>
        </w:trPr>
        <w:tc>
          <w:tcPr>
            <w:tcW w:w="1680" w:type="dxa"/>
            <w:tcBorders>
              <w:bottom w:val="single" w:sz="6" w:space="0" w:color="auto"/>
            </w:tcBorders>
          </w:tcPr>
          <w:p w:rsidR="00AF2508" w:rsidRDefault="00AF2508">
            <w:pPr>
              <w:pStyle w:val="TableColHd"/>
            </w:pPr>
            <w:r>
              <w:t>gauge pressure</w:t>
            </w:r>
          </w:p>
          <w:p w:rsidR="00AF2508" w:rsidRDefault="00AF2508">
            <w:pPr>
              <w:pStyle w:val="TableColHd"/>
            </w:pPr>
            <w:r>
              <w:t>lb/in</w:t>
            </w:r>
            <w:r>
              <w:rPr>
                <w:vertAlign w:val="superscript"/>
              </w:rPr>
              <w:t>2</w:t>
            </w:r>
          </w:p>
        </w:tc>
        <w:tc>
          <w:tcPr>
            <w:tcW w:w="1560" w:type="dxa"/>
            <w:tcBorders>
              <w:bottom w:val="single" w:sz="6" w:space="0" w:color="auto"/>
            </w:tcBorders>
          </w:tcPr>
          <w:p w:rsidR="00AF2508" w:rsidRDefault="00AF2508">
            <w:pPr>
              <w:pStyle w:val="TableColHd"/>
            </w:pPr>
            <w:r>
              <w:t>working period</w:t>
            </w:r>
          </w:p>
        </w:tc>
        <w:tc>
          <w:tcPr>
            <w:tcW w:w="1640" w:type="dxa"/>
            <w:tcBorders>
              <w:bottom w:val="single" w:sz="6" w:space="0" w:color="auto"/>
            </w:tcBorders>
          </w:tcPr>
          <w:p w:rsidR="00AF2508" w:rsidRDefault="00AF2508">
            <w:pPr>
              <w:pStyle w:val="TableColHd"/>
            </w:pPr>
            <w:r>
              <w:t>gauge pressure</w:t>
            </w:r>
          </w:p>
          <w:p w:rsidR="00AF2508" w:rsidRDefault="00AF2508">
            <w:pPr>
              <w:pStyle w:val="TableColHd"/>
            </w:pPr>
            <w:r>
              <w:t>lb/in</w:t>
            </w:r>
            <w:r>
              <w:rPr>
                <w:vertAlign w:val="superscript"/>
              </w:rPr>
              <w:t>2</w:t>
            </w:r>
          </w:p>
        </w:tc>
        <w:tc>
          <w:tcPr>
            <w:tcW w:w="1620" w:type="dxa"/>
            <w:tcBorders>
              <w:bottom w:val="single" w:sz="6" w:space="0" w:color="auto"/>
            </w:tcBorders>
          </w:tcPr>
          <w:p w:rsidR="00AF2508" w:rsidRDefault="00AF2508">
            <w:pPr>
              <w:pStyle w:val="TableColHd"/>
            </w:pPr>
            <w:r>
              <w:t>working period</w:t>
            </w:r>
          </w:p>
        </w:tc>
      </w:tr>
      <w:tr w:rsidR="00AF2508">
        <w:trPr>
          <w:cantSplit/>
        </w:trPr>
        <w:tc>
          <w:tcPr>
            <w:tcW w:w="1680" w:type="dxa"/>
            <w:tcBorders>
              <w:top w:val="single" w:sz="6" w:space="0" w:color="auto"/>
            </w:tcBorders>
          </w:tcPr>
          <w:p w:rsidR="00AF2508" w:rsidRDefault="00AF2508">
            <w:pPr>
              <w:pStyle w:val="TableText"/>
            </w:pPr>
            <w:r>
              <w:t>0-15</w:t>
            </w:r>
          </w:p>
        </w:tc>
        <w:tc>
          <w:tcPr>
            <w:tcW w:w="1560" w:type="dxa"/>
            <w:tcBorders>
              <w:top w:val="single" w:sz="6" w:space="0" w:color="auto"/>
            </w:tcBorders>
          </w:tcPr>
          <w:p w:rsidR="00AF2508" w:rsidRDefault="00AF2508">
            <w:pPr>
              <w:pStyle w:val="TableText"/>
            </w:pPr>
            <w:r>
              <w:t>8 hours</w:t>
            </w:r>
          </w:p>
        </w:tc>
        <w:tc>
          <w:tcPr>
            <w:tcW w:w="1640" w:type="dxa"/>
            <w:tcBorders>
              <w:top w:val="single" w:sz="6" w:space="0" w:color="auto"/>
            </w:tcBorders>
          </w:tcPr>
          <w:p w:rsidR="00AF2508" w:rsidRDefault="00AF2508">
            <w:pPr>
              <w:pStyle w:val="TableText"/>
            </w:pPr>
            <w:r>
              <w:t>40-50</w:t>
            </w:r>
          </w:p>
        </w:tc>
        <w:tc>
          <w:tcPr>
            <w:tcW w:w="1620" w:type="dxa"/>
            <w:tcBorders>
              <w:top w:val="single" w:sz="6" w:space="0" w:color="auto"/>
            </w:tcBorders>
          </w:tcPr>
          <w:p w:rsidR="00AF2508" w:rsidRDefault="00AF2508">
            <w:pPr>
              <w:pStyle w:val="TableText"/>
            </w:pPr>
            <w:r>
              <w:t>3 hours</w:t>
            </w:r>
          </w:p>
        </w:tc>
      </w:tr>
      <w:tr w:rsidR="00AF2508">
        <w:trPr>
          <w:cantSplit/>
        </w:trPr>
        <w:tc>
          <w:tcPr>
            <w:tcW w:w="1680" w:type="dxa"/>
          </w:tcPr>
          <w:p w:rsidR="00AF2508" w:rsidRDefault="00AF2508">
            <w:pPr>
              <w:pStyle w:val="TableText"/>
            </w:pPr>
            <w:r>
              <w:t>15-25</w:t>
            </w:r>
          </w:p>
        </w:tc>
        <w:tc>
          <w:tcPr>
            <w:tcW w:w="1560" w:type="dxa"/>
          </w:tcPr>
          <w:p w:rsidR="00AF2508" w:rsidRDefault="00AF2508">
            <w:pPr>
              <w:pStyle w:val="TableText"/>
            </w:pPr>
            <w:r>
              <w:t>6 hours</w:t>
            </w:r>
          </w:p>
        </w:tc>
        <w:tc>
          <w:tcPr>
            <w:tcW w:w="1640" w:type="dxa"/>
          </w:tcPr>
          <w:p w:rsidR="00AF2508" w:rsidRDefault="00AF2508">
            <w:pPr>
              <w:pStyle w:val="TableText"/>
            </w:pPr>
            <w:r>
              <w:t>50-55</w:t>
            </w:r>
          </w:p>
        </w:tc>
        <w:tc>
          <w:tcPr>
            <w:tcW w:w="1620" w:type="dxa"/>
          </w:tcPr>
          <w:p w:rsidR="00AF2508" w:rsidRDefault="00AF2508">
            <w:pPr>
              <w:pStyle w:val="TableText"/>
            </w:pPr>
            <w:r>
              <w:t>2 hours</w:t>
            </w:r>
          </w:p>
        </w:tc>
      </w:tr>
      <w:tr w:rsidR="00AF2508">
        <w:trPr>
          <w:cantSplit/>
        </w:trPr>
        <w:tc>
          <w:tcPr>
            <w:tcW w:w="1680" w:type="dxa"/>
          </w:tcPr>
          <w:p w:rsidR="00AF2508" w:rsidRDefault="00AF2508">
            <w:pPr>
              <w:pStyle w:val="TableText"/>
            </w:pPr>
            <w:r>
              <w:t>25-40</w:t>
            </w:r>
          </w:p>
        </w:tc>
        <w:tc>
          <w:tcPr>
            <w:tcW w:w="1560" w:type="dxa"/>
          </w:tcPr>
          <w:p w:rsidR="00AF2508" w:rsidRDefault="00AF2508">
            <w:pPr>
              <w:pStyle w:val="TableText"/>
            </w:pPr>
            <w:r>
              <w:t>4 hours</w:t>
            </w:r>
          </w:p>
        </w:tc>
        <w:tc>
          <w:tcPr>
            <w:tcW w:w="1640" w:type="dxa"/>
          </w:tcPr>
          <w:p w:rsidR="00AF2508" w:rsidRDefault="00AF2508">
            <w:pPr>
              <w:pStyle w:val="TableText"/>
            </w:pPr>
            <w:r>
              <w:t>55-60</w:t>
            </w:r>
          </w:p>
        </w:tc>
        <w:tc>
          <w:tcPr>
            <w:tcW w:w="1620" w:type="dxa"/>
          </w:tcPr>
          <w:p w:rsidR="00AF2508" w:rsidRDefault="00AF2508">
            <w:pPr>
              <w:pStyle w:val="TableText"/>
            </w:pPr>
            <w:r>
              <w:t>1</w:t>
            </w:r>
            <w:r>
              <w:rPr>
                <w:position w:val="6"/>
                <w:sz w:val="18"/>
              </w:rPr>
              <w:t>1</w:t>
            </w:r>
            <w:r>
              <w:t>/</w:t>
            </w:r>
            <w:r>
              <w:rPr>
                <w:sz w:val="18"/>
              </w:rPr>
              <w:t xml:space="preserve">2 </w:t>
            </w:r>
            <w:r>
              <w:t>hours</w:t>
            </w:r>
          </w:p>
        </w:tc>
      </w:tr>
    </w:tbl>
    <w:p w:rsidR="00AF2508" w:rsidRDefault="00AF2508"/>
    <w:p w:rsidR="00AF2508" w:rsidRDefault="00AF2508">
      <w:pPr>
        <w:pStyle w:val="Amain"/>
      </w:pPr>
      <w:r>
        <w:tab/>
        <w:t>(26)</w:t>
      </w:r>
      <w:r>
        <w:tab/>
        <w:t>Provided that—</w:t>
      </w:r>
    </w:p>
    <w:p w:rsidR="00AF2508" w:rsidRDefault="00AF2508">
      <w:pPr>
        <w:pStyle w:val="Apara"/>
      </w:pPr>
      <w:r>
        <w:tab/>
        <w:t>(a)</w:t>
      </w:r>
      <w:r>
        <w:tab/>
        <w:t xml:space="preserve">the 8 hour and 6 hour working periods each include a meal break of </w:t>
      </w:r>
      <w:r>
        <w:rPr>
          <w:position w:val="6"/>
          <w:sz w:val="18"/>
        </w:rPr>
        <w:t>1</w:t>
      </w:r>
      <w:r>
        <w:t>/</w:t>
      </w:r>
      <w:r>
        <w:rPr>
          <w:sz w:val="18"/>
        </w:rPr>
        <w:t>2</w:t>
      </w:r>
      <w:r>
        <w:t xml:space="preserve"> an hour; and</w:t>
      </w:r>
    </w:p>
    <w:p w:rsidR="00AF2508" w:rsidRDefault="00AF2508">
      <w:pPr>
        <w:pStyle w:val="Apara"/>
      </w:pPr>
      <w:r>
        <w:tab/>
        <w:t>(b)</w:t>
      </w:r>
      <w:r>
        <w:tab/>
        <w:t>the 8 hour working period includes times required for compression and decompression, but the other working periods shown in the table do not include times for those purposes nor time occupied in changing shifts.</w:t>
      </w:r>
    </w:p>
    <w:p w:rsidR="00AF2508" w:rsidRDefault="00AF2508">
      <w:pPr>
        <w:pStyle w:val="Assectheading"/>
        <w:rPr>
          <w:i w:val="0"/>
        </w:rPr>
      </w:pPr>
      <w:r>
        <w:rPr>
          <w:rStyle w:val="charItals"/>
          <w:i/>
        </w:rPr>
        <w:t>Safe working periods</w:t>
      </w:r>
      <w:r>
        <w:rPr>
          <w:i w:val="0"/>
          <w:color w:val="000000"/>
        </w:rPr>
        <w:t>—</w:t>
      </w:r>
      <w:r>
        <w:rPr>
          <w:rStyle w:val="charItals"/>
          <w:i/>
        </w:rPr>
        <w:t>observation period</w:t>
      </w:r>
    </w:p>
    <w:p w:rsidR="00AF2508" w:rsidRDefault="00AF2508">
      <w:pPr>
        <w:pStyle w:val="Amain"/>
      </w:pPr>
      <w:r>
        <w:tab/>
        <w:t>(27)</w:t>
      </w:r>
      <w:r>
        <w:tab/>
        <w:t>After decompression from pressures between 25 and 40 pounds per square inch, all persons shall be detained for observation for 45 minutes before leaving the site of the work.</w:t>
      </w:r>
    </w:p>
    <w:p w:rsidR="00AF2508" w:rsidRDefault="00AF2508">
      <w:pPr>
        <w:pStyle w:val="Amain"/>
      </w:pPr>
      <w:r>
        <w:tab/>
        <w:t>(28)</w:t>
      </w:r>
      <w:r>
        <w:tab/>
        <w:t>This period of detention shall be increased to 1 hour after decompression from pressures between 40 and 60 pounds per square inch.</w:t>
      </w:r>
    </w:p>
    <w:p w:rsidR="00AF2508" w:rsidRDefault="00AF2508">
      <w:pPr>
        <w:pStyle w:val="Assectheading"/>
        <w:rPr>
          <w:i w:val="0"/>
          <w:color w:val="000000"/>
        </w:rPr>
      </w:pPr>
      <w:r>
        <w:rPr>
          <w:rStyle w:val="charItals"/>
          <w:i/>
        </w:rPr>
        <w:t>Compression</w:t>
      </w:r>
    </w:p>
    <w:p w:rsidR="00AF2508" w:rsidRDefault="00AF2508">
      <w:pPr>
        <w:pStyle w:val="Amain"/>
        <w:rPr>
          <w:color w:val="000000"/>
        </w:rPr>
      </w:pPr>
      <w:r>
        <w:rPr>
          <w:color w:val="000000"/>
        </w:rPr>
        <w:tab/>
        <w:t>(29)</w:t>
      </w:r>
      <w:r>
        <w:rPr>
          <w:color w:val="000000"/>
        </w:rPr>
        <w:tab/>
        <w:t>During compression, the pressure shall be increased gradually and uniformly to ensure that no person is distressed.</w:t>
      </w:r>
    </w:p>
    <w:p w:rsidR="00AF2508" w:rsidRDefault="00AF2508">
      <w:pPr>
        <w:pStyle w:val="Amain"/>
      </w:pPr>
      <w:r>
        <w:rPr>
          <w:color w:val="000000"/>
        </w:rPr>
        <w:tab/>
        <w:t>(30)</w:t>
      </w:r>
      <w:r>
        <w:rPr>
          <w:color w:val="000000"/>
        </w:rPr>
        <w:tab/>
        <w:t>The rate of compression shall not exceed 5 pounds per square inch per minute.</w:t>
      </w:r>
    </w:p>
    <w:p w:rsidR="00AF2508" w:rsidRDefault="00AF2508">
      <w:pPr>
        <w:pStyle w:val="Assectheading"/>
        <w:rPr>
          <w:i w:val="0"/>
          <w:color w:val="000000"/>
        </w:rPr>
      </w:pPr>
      <w:r>
        <w:rPr>
          <w:rStyle w:val="charItals"/>
          <w:i/>
        </w:rPr>
        <w:t>Decompression</w:t>
      </w:r>
    </w:p>
    <w:p w:rsidR="00AF2508" w:rsidRDefault="00AF2508">
      <w:pPr>
        <w:pStyle w:val="Amain"/>
      </w:pPr>
      <w:r>
        <w:rPr>
          <w:color w:val="000000"/>
        </w:rPr>
        <w:tab/>
        <w:t>(31)</w:t>
      </w:r>
      <w:r>
        <w:rPr>
          <w:color w:val="000000"/>
        </w:rPr>
        <w:tab/>
        <w:t>Decompression shall be carried out in accordance with the provisions of schedule 7, table 7.3.</w:t>
      </w:r>
    </w:p>
    <w:p w:rsidR="00AF2508" w:rsidRDefault="00AF2508">
      <w:pPr>
        <w:pStyle w:val="Amain"/>
      </w:pPr>
      <w:r>
        <w:tab/>
        <w:t>(32)</w:t>
      </w:r>
      <w:r>
        <w:tab/>
        <w:t>However, at pressures lower than 18 pounds per square inch, decompression shall be conducted at a rate that will not inconvenience any person, but shall not be completed in less than 5 minutes.</w:t>
      </w:r>
    </w:p>
    <w:p w:rsidR="00AF2508" w:rsidRDefault="00AF2508">
      <w:pPr>
        <w:pStyle w:val="Amain"/>
      </w:pPr>
      <w:r>
        <w:tab/>
        <w:t>(33)</w:t>
      </w:r>
      <w:r>
        <w:tab/>
        <w:t>A copy of schedule 7, table 7.3 shall be posted in the man-lock.</w:t>
      </w:r>
    </w:p>
    <w:p w:rsidR="00AF2508" w:rsidRDefault="00AF2508">
      <w:pPr>
        <w:pStyle w:val="Assectheading"/>
        <w:rPr>
          <w:i w:val="0"/>
          <w:color w:val="000000"/>
        </w:rPr>
      </w:pPr>
      <w:r>
        <w:rPr>
          <w:rStyle w:val="charItals"/>
          <w:i/>
        </w:rPr>
        <w:t>Airlock attendants</w:t>
      </w:r>
    </w:p>
    <w:p w:rsidR="00AF2508" w:rsidRDefault="00AF2508">
      <w:pPr>
        <w:pStyle w:val="Amain"/>
      </w:pPr>
      <w:r>
        <w:rPr>
          <w:color w:val="000000"/>
        </w:rPr>
        <w:tab/>
        <w:t>(34)</w:t>
      </w:r>
      <w:r>
        <w:rPr>
          <w:color w:val="000000"/>
        </w:rPr>
        <w:tab/>
        <w:t>Every airlock shall be serviced only by a reliable, and specially trained and selected person.</w:t>
      </w:r>
    </w:p>
    <w:p w:rsidR="00AF2508" w:rsidRDefault="00AF2508">
      <w:pPr>
        <w:pStyle w:val="Amain"/>
      </w:pPr>
      <w:r>
        <w:tab/>
        <w:t>(35)</w:t>
      </w:r>
      <w:r>
        <w:tab/>
        <w:t>The airlock attendant, if without previous experience of either working in or controlling airlocks, shall be specially trained.</w:t>
      </w:r>
    </w:p>
    <w:p w:rsidR="00AF2508" w:rsidRDefault="00AF2508">
      <w:pPr>
        <w:pStyle w:val="Amain"/>
      </w:pPr>
      <w:r>
        <w:tab/>
        <w:t>(36)</w:t>
      </w:r>
      <w:r>
        <w:tab/>
        <w:t>The airlock attendant shall at no time operate more than 1 man</w:t>
      </w:r>
      <w:r>
        <w:noBreakHyphen/>
        <w:t>lock.</w:t>
      </w:r>
    </w:p>
    <w:p w:rsidR="00AF2508" w:rsidRDefault="00AF2508">
      <w:pPr>
        <w:pStyle w:val="Amain"/>
      </w:pPr>
      <w:r>
        <w:tab/>
        <w:t>(37)</w:t>
      </w:r>
      <w:r>
        <w:tab/>
        <w:t>The airlock attendant shall remain outside the lock near the entrance, and shall not be employed for more than 8 hours in any 24 hours.</w:t>
      </w:r>
    </w:p>
    <w:p w:rsidR="00AF2508" w:rsidRDefault="00AF2508">
      <w:pPr>
        <w:pStyle w:val="Amain"/>
      </w:pPr>
      <w:r>
        <w:tab/>
        <w:t>(38)</w:t>
      </w:r>
      <w:r>
        <w:tab/>
        <w:t>Written instructions about the gauge pressure in the working chamber and compression and decompression times shall be given to each airlock attendant.</w:t>
      </w:r>
    </w:p>
    <w:p w:rsidR="00AF2508" w:rsidRDefault="00AF2508">
      <w:pPr>
        <w:pStyle w:val="Amain"/>
      </w:pPr>
      <w:r>
        <w:tab/>
        <w:t>(39)</w:t>
      </w:r>
      <w:r>
        <w:tab/>
        <w:t>A copy of the instructions shall be suitably exhibited in a conspicuous position near the man-lock.</w:t>
      </w:r>
    </w:p>
    <w:p w:rsidR="00AF2508" w:rsidRDefault="00AF2508">
      <w:pPr>
        <w:pStyle w:val="Assectheading"/>
        <w:rPr>
          <w:i w:val="0"/>
          <w:color w:val="000000"/>
        </w:rPr>
      </w:pPr>
      <w:r>
        <w:rPr>
          <w:rStyle w:val="charItals"/>
          <w:i/>
        </w:rPr>
        <w:t>Airlock records</w:t>
      </w:r>
    </w:p>
    <w:p w:rsidR="00AF2508" w:rsidRDefault="00AF2508">
      <w:pPr>
        <w:pStyle w:val="Amain"/>
        <w:keepNext/>
        <w:rPr>
          <w:color w:val="000000"/>
        </w:rPr>
      </w:pPr>
      <w:r>
        <w:rPr>
          <w:color w:val="000000"/>
        </w:rPr>
        <w:tab/>
        <w:t>(40)</w:t>
      </w:r>
      <w:r>
        <w:rPr>
          <w:color w:val="000000"/>
        </w:rPr>
        <w:tab/>
        <w:t>A record of workers employed in compressed air shall be kept.</w:t>
      </w:r>
    </w:p>
    <w:p w:rsidR="00AF2508" w:rsidRDefault="00AF2508">
      <w:pPr>
        <w:pStyle w:val="Amain"/>
      </w:pPr>
      <w:r>
        <w:rPr>
          <w:color w:val="000000"/>
        </w:rPr>
        <w:tab/>
        <w:t>(41)</w:t>
      </w:r>
      <w:r>
        <w:rPr>
          <w:color w:val="000000"/>
        </w:rPr>
        <w:tab/>
        <w:t>This record shall show for each employee the period of stay in the working chamber, the gauge pressure and the time taken for decompression.</w:t>
      </w:r>
    </w:p>
    <w:p w:rsidR="00AF2508" w:rsidRDefault="00AF2508">
      <w:pPr>
        <w:pStyle w:val="Amain"/>
      </w:pPr>
      <w:r>
        <w:tab/>
        <w:t>(42)</w:t>
      </w:r>
      <w:r>
        <w:tab/>
        <w:t>When the working pressure exceeds 20 pounds per square inch, automatic recording instruments shall be installed to record the pressure in the working chamber and in the man-locks, and these records shall be carefully kept.</w:t>
      </w:r>
    </w:p>
    <w:p w:rsidR="00AF2508" w:rsidRDefault="00AF2508">
      <w:pPr>
        <w:pStyle w:val="Amain"/>
      </w:pPr>
      <w:r>
        <w:tab/>
        <w:t>(43)</w:t>
      </w:r>
      <w:r>
        <w:tab/>
        <w:t>All the records shall be made available to an inspector on demand at all reasonable times.</w:t>
      </w:r>
    </w:p>
    <w:p w:rsidR="00AF2508" w:rsidRDefault="00AF2508">
      <w:pPr>
        <w:pStyle w:val="Assectheading"/>
        <w:rPr>
          <w:i w:val="0"/>
        </w:rPr>
      </w:pPr>
      <w:r>
        <w:rPr>
          <w:rStyle w:val="charItals"/>
          <w:i/>
        </w:rPr>
        <w:t>Man-lock</w:t>
      </w:r>
      <w:r>
        <w:rPr>
          <w:i w:val="0"/>
          <w:color w:val="000000"/>
        </w:rPr>
        <w:t>—</w:t>
      </w:r>
      <w:r>
        <w:rPr>
          <w:rStyle w:val="charItals"/>
          <w:i/>
        </w:rPr>
        <w:t>size</w:t>
      </w:r>
    </w:p>
    <w:p w:rsidR="00AF2508" w:rsidRDefault="00AF2508">
      <w:pPr>
        <w:pStyle w:val="Amain"/>
      </w:pPr>
      <w:r>
        <w:tab/>
        <w:t>(44)</w:t>
      </w:r>
      <w:r>
        <w:tab/>
        <w:t>Each bulkhead shall be provided with 1 operating man-lock and 1 emergency man-lock, each of sufficient size to hold at any one time the entire force of workers engaged in any 2 successive shifts, with a minimum of 3 square feet of floor space per worker.</w:t>
      </w:r>
    </w:p>
    <w:p w:rsidR="00AF2508" w:rsidRDefault="00AF2508">
      <w:pPr>
        <w:pStyle w:val="Assectheading"/>
        <w:rPr>
          <w:i w:val="0"/>
        </w:rPr>
      </w:pPr>
      <w:r>
        <w:rPr>
          <w:rStyle w:val="charItals"/>
          <w:i/>
        </w:rPr>
        <w:t>Man-lock</w:t>
      </w:r>
      <w:r>
        <w:rPr>
          <w:i w:val="0"/>
          <w:color w:val="000000"/>
        </w:rPr>
        <w:t>—</w:t>
      </w:r>
      <w:r>
        <w:rPr>
          <w:rStyle w:val="charItals"/>
          <w:i/>
        </w:rPr>
        <w:t>access</w:t>
      </w:r>
    </w:p>
    <w:p w:rsidR="00AF2508" w:rsidRDefault="00AF2508">
      <w:pPr>
        <w:pStyle w:val="Amain"/>
      </w:pPr>
      <w:r>
        <w:tab/>
        <w:t>(45)</w:t>
      </w:r>
      <w:r>
        <w:tab/>
        <w:t>The door between the man-lock and the working chamber shall remain open except during compression and decompression and during the procedure of passing material through the lock.</w:t>
      </w:r>
    </w:p>
    <w:p w:rsidR="00AF2508" w:rsidRDefault="00AF2508">
      <w:pPr>
        <w:pStyle w:val="Amain"/>
      </w:pPr>
      <w:r>
        <w:tab/>
        <w:t>(46)</w:t>
      </w:r>
      <w:r>
        <w:tab/>
        <w:t>In tunnels of large diameter the emergency man-lock shall be near the roof and within the protection of the safety curtain, with proper access to it from both inside and outside.</w:t>
      </w:r>
    </w:p>
    <w:p w:rsidR="00AF2508" w:rsidRDefault="00AF2508">
      <w:pPr>
        <w:pStyle w:val="Amain"/>
      </w:pPr>
      <w:r>
        <w:tab/>
        <w:t>(47)</w:t>
      </w:r>
      <w:r>
        <w:tab/>
        <w:t>In tunnels of small diameter if it is not practicable to provide an emergency man-lock near the roof, the emergency chamber with safety door shall be at the end of the operating man-lock nearer the working face, and shall be of the same size as the operating man</w:t>
      </w:r>
      <w:r>
        <w:noBreakHyphen/>
        <w:t>lock.</w:t>
      </w:r>
    </w:p>
    <w:p w:rsidR="00AF2508" w:rsidRDefault="00AF2508">
      <w:pPr>
        <w:pStyle w:val="Amain"/>
      </w:pPr>
      <w:r>
        <w:tab/>
        <w:t>(48)</w:t>
      </w:r>
      <w:r>
        <w:tab/>
        <w:t>The safety door shall never be closed while there is any person in the working chamber.</w:t>
      </w:r>
    </w:p>
    <w:p w:rsidR="00AF2508" w:rsidRDefault="00AF2508">
      <w:pPr>
        <w:pStyle w:val="Amain"/>
      </w:pPr>
      <w:r>
        <w:tab/>
        <w:t>(49)</w:t>
      </w:r>
      <w:r>
        <w:tab/>
        <w:t>Except in an emergency, the workers shall be prohibited from emerging through the material locks, or, when the material lock and the man-lock are one and the same, the material lock valves shall not be used when workers are in the lock.</w:t>
      </w:r>
    </w:p>
    <w:p w:rsidR="00AF2508" w:rsidRDefault="00AF2508">
      <w:pPr>
        <w:pStyle w:val="Assectheading"/>
        <w:rPr>
          <w:i w:val="0"/>
        </w:rPr>
      </w:pPr>
      <w:r>
        <w:rPr>
          <w:rStyle w:val="charItals"/>
          <w:i/>
        </w:rPr>
        <w:t>Man-lock</w:t>
      </w:r>
      <w:r>
        <w:rPr>
          <w:i w:val="0"/>
          <w:color w:val="000000"/>
        </w:rPr>
        <w:t>—</w:t>
      </w:r>
      <w:r>
        <w:rPr>
          <w:rStyle w:val="charItals"/>
          <w:i/>
        </w:rPr>
        <w:t>fittings</w:t>
      </w:r>
    </w:p>
    <w:p w:rsidR="00AF2508" w:rsidRDefault="00AF2508">
      <w:pPr>
        <w:pStyle w:val="Amain"/>
      </w:pPr>
      <w:r>
        <w:tab/>
        <w:t>(50)</w:t>
      </w:r>
      <w:r>
        <w:tab/>
        <w:t>Every lock in which persons are compressed or are decompressed shall be fitted with a suitable instrument panel on which shall be mounted the necessary pressure gauges in duplicate, an accurate timepiece and a copy of schedule 7, table 7.3.</w:t>
      </w:r>
    </w:p>
    <w:p w:rsidR="00AF2508" w:rsidRDefault="00AF2508">
      <w:pPr>
        <w:pStyle w:val="Amain"/>
      </w:pPr>
      <w:r>
        <w:tab/>
        <w:t>(51)</w:t>
      </w:r>
      <w:r>
        <w:tab/>
        <w:t>The instrument panel shall be adequately illuminated.</w:t>
      </w:r>
    </w:p>
    <w:p w:rsidR="00AF2508" w:rsidRDefault="00AF2508">
      <w:pPr>
        <w:pStyle w:val="Amain"/>
      </w:pPr>
      <w:r>
        <w:tab/>
        <w:t>(52)</w:t>
      </w:r>
      <w:r>
        <w:tab/>
        <w:t>The man-lock shall have valves both inside and outside the lock.</w:t>
      </w:r>
    </w:p>
    <w:p w:rsidR="00AF2508" w:rsidRDefault="00AF2508">
      <w:pPr>
        <w:pStyle w:val="Amain"/>
      </w:pPr>
      <w:r>
        <w:tab/>
        <w:t>(53)</w:t>
      </w:r>
      <w:r>
        <w:tab/>
        <w:t>The valves to which the airlock attendant has not access shall be covered with a case, the door of which is locked and has a glass panel that may be broken in case of emergency so as to permit the valves to be operated.</w:t>
      </w:r>
    </w:p>
    <w:p w:rsidR="00AF2508" w:rsidRDefault="00AF2508">
      <w:pPr>
        <w:pStyle w:val="Amain"/>
      </w:pPr>
      <w:r>
        <w:tab/>
        <w:t>(54)</w:t>
      </w:r>
      <w:r>
        <w:tab/>
        <w:t>Except in case of emergency, valves shall only be operated by the airlock attendant.</w:t>
      </w:r>
    </w:p>
    <w:p w:rsidR="00AF2508" w:rsidRDefault="00AF2508">
      <w:pPr>
        <w:pStyle w:val="Assectheading"/>
        <w:rPr>
          <w:i w:val="0"/>
        </w:rPr>
      </w:pPr>
      <w:r>
        <w:rPr>
          <w:rStyle w:val="charItals"/>
          <w:i/>
        </w:rPr>
        <w:t>Medical lock</w:t>
      </w:r>
    </w:p>
    <w:p w:rsidR="00AF2508" w:rsidRDefault="00AF2508">
      <w:pPr>
        <w:pStyle w:val="Amain"/>
        <w:rPr>
          <w:color w:val="000000"/>
        </w:rPr>
      </w:pPr>
      <w:r>
        <w:rPr>
          <w:color w:val="000000"/>
        </w:rPr>
        <w:tab/>
        <w:t>(55)</w:t>
      </w:r>
      <w:r>
        <w:rPr>
          <w:color w:val="000000"/>
        </w:rPr>
        <w:tab/>
        <w:t>A medical lock at least 5 feet in diameter shall be provided when work is being carried out at a pressure of 25 pounds per square inch or over.</w:t>
      </w:r>
    </w:p>
    <w:p w:rsidR="00AF2508" w:rsidRDefault="00AF2508">
      <w:pPr>
        <w:pStyle w:val="Amain"/>
      </w:pPr>
      <w:r>
        <w:rPr>
          <w:color w:val="000000"/>
        </w:rPr>
        <w:tab/>
        <w:t>(56)</w:t>
      </w:r>
      <w:r>
        <w:rPr>
          <w:color w:val="000000"/>
        </w:rPr>
        <w:tab/>
        <w:t>Should any case of compressed air illness occur when the working pressure is less than 25 pounds per square inch, it may be dealt with in the man-lock.</w:t>
      </w:r>
    </w:p>
    <w:p w:rsidR="00AF2508" w:rsidRDefault="00AF2508">
      <w:pPr>
        <w:pStyle w:val="Amain"/>
      </w:pPr>
      <w:r>
        <w:tab/>
        <w:t>(57)</w:t>
      </w:r>
      <w:r>
        <w:tab/>
        <w:t>The medical lock shall have 2 compartments, so that entry may be obtained to the inner chamber while it is under pressure.</w:t>
      </w:r>
    </w:p>
    <w:p w:rsidR="00AF2508" w:rsidRDefault="00AF2508">
      <w:pPr>
        <w:pStyle w:val="Amain"/>
      </w:pPr>
      <w:r>
        <w:tab/>
        <w:t>(58)</w:t>
      </w:r>
      <w:r>
        <w:tab/>
        <w:t>The lock shall be adequately ventilated, protected from the direct rays of the sun or adequately heated if required, and shall be adequately lighted.</w:t>
      </w:r>
    </w:p>
    <w:p w:rsidR="00AF2508" w:rsidRDefault="00AF2508">
      <w:pPr>
        <w:pStyle w:val="Amain"/>
      </w:pPr>
      <w:r>
        <w:tab/>
        <w:t>(59)</w:t>
      </w:r>
      <w:r>
        <w:tab/>
        <w:t>The lock and its equipment shall be kept in a clean state.</w:t>
      </w:r>
    </w:p>
    <w:p w:rsidR="00AF2508" w:rsidRDefault="00AF2508">
      <w:pPr>
        <w:pStyle w:val="Amain"/>
      </w:pPr>
      <w:r>
        <w:tab/>
        <w:t>(60)</w:t>
      </w:r>
      <w:r>
        <w:tab/>
        <w:t>The lock shall be provided with suitable equipment including a couch not less than 6 feet in length, clean blankets, dry woollen garments, a food lock and a telephone.</w:t>
      </w:r>
    </w:p>
    <w:p w:rsidR="00AF2508" w:rsidRDefault="00AF2508">
      <w:pPr>
        <w:pStyle w:val="Amain"/>
      </w:pPr>
      <w:r>
        <w:tab/>
        <w:t>(61)</w:t>
      </w:r>
      <w:r>
        <w:tab/>
        <w:t>The medical lock shall be located within the immediate vicinity of the works and arrangements shall be made to ensure that the lock is ready for operation during the 12 hours after the end of any shift.</w:t>
      </w:r>
    </w:p>
    <w:p w:rsidR="00AF2508" w:rsidRDefault="00AF2508">
      <w:pPr>
        <w:pStyle w:val="Amain"/>
      </w:pPr>
      <w:r>
        <w:tab/>
        <w:t>(62)</w:t>
      </w:r>
      <w:r>
        <w:tab/>
        <w:t>The medical lock shall be equipped with a small, glazed aperture so that a patient under treatment in the lock can be kept under observation by the attendant from outside the lock.</w:t>
      </w:r>
    </w:p>
    <w:p w:rsidR="00AF2508" w:rsidRDefault="00AF2508">
      <w:pPr>
        <w:pStyle w:val="Amain"/>
      </w:pPr>
      <w:r>
        <w:tab/>
        <w:t>(63)</w:t>
      </w:r>
      <w:r>
        <w:tab/>
        <w:t>It shall be provided with a pressure gauge and an accurate timepiece for each compartment.</w:t>
      </w:r>
    </w:p>
    <w:p w:rsidR="00AF2508" w:rsidRDefault="00AF2508">
      <w:pPr>
        <w:pStyle w:val="Amain"/>
      </w:pPr>
      <w:r>
        <w:tab/>
        <w:t>(64)</w:t>
      </w:r>
      <w:r>
        <w:tab/>
        <w:t>The timepiece and the pressure gauge for the main compartment shall be in a position that they can be readily seen by the attendant whether the attendant is inside or outside the lock.</w:t>
      </w:r>
    </w:p>
    <w:p w:rsidR="00AF2508" w:rsidRDefault="00AF2508">
      <w:pPr>
        <w:pStyle w:val="Assectheading"/>
        <w:rPr>
          <w:i w:val="0"/>
        </w:rPr>
      </w:pPr>
      <w:r>
        <w:rPr>
          <w:rStyle w:val="charItals"/>
          <w:i/>
        </w:rPr>
        <w:t>Additional bulkhead</w:t>
      </w:r>
    </w:p>
    <w:p w:rsidR="00AF2508" w:rsidRDefault="00AF2508">
      <w:pPr>
        <w:pStyle w:val="Amain"/>
        <w:rPr>
          <w:color w:val="000000"/>
        </w:rPr>
      </w:pPr>
      <w:r>
        <w:rPr>
          <w:color w:val="000000"/>
        </w:rPr>
        <w:tab/>
        <w:t>(65)</w:t>
      </w:r>
      <w:r>
        <w:rPr>
          <w:color w:val="000000"/>
        </w:rPr>
        <w:tab/>
        <w:t>Wherever the gauge pressure in the working chamber exceeds 30 pounds per square inch, a 2nd bulkhead with airlocks shall be provided after the tunnel has been constructed for a reasonable distance.</w:t>
      </w:r>
    </w:p>
    <w:p w:rsidR="00AF2508" w:rsidRDefault="00AF2508">
      <w:pPr>
        <w:pStyle w:val="Amain"/>
        <w:rPr>
          <w:color w:val="000000"/>
        </w:rPr>
      </w:pPr>
      <w:r>
        <w:rPr>
          <w:color w:val="000000"/>
        </w:rPr>
        <w:tab/>
        <w:t>(66)</w:t>
      </w:r>
      <w:r>
        <w:rPr>
          <w:color w:val="000000"/>
        </w:rPr>
        <w:tab/>
        <w:t xml:space="preserve">The working pressure in the outer section shall be maintained at approximately </w:t>
      </w:r>
      <w:r>
        <w:rPr>
          <w:color w:val="000000"/>
          <w:position w:val="6"/>
          <w:sz w:val="18"/>
        </w:rPr>
        <w:t>1</w:t>
      </w:r>
      <w:r>
        <w:rPr>
          <w:color w:val="000000"/>
        </w:rPr>
        <w:t>/</w:t>
      </w:r>
      <w:r>
        <w:rPr>
          <w:color w:val="000000"/>
          <w:sz w:val="18"/>
        </w:rPr>
        <w:t>2</w:t>
      </w:r>
      <w:r>
        <w:rPr>
          <w:color w:val="000000"/>
        </w:rPr>
        <w:t xml:space="preserve"> of the absolute pressure in the working chamber.</w:t>
      </w:r>
    </w:p>
    <w:p w:rsidR="00AF2508" w:rsidRDefault="00AF2508">
      <w:pPr>
        <w:pStyle w:val="Assectheading"/>
        <w:rPr>
          <w:i w:val="0"/>
        </w:rPr>
      </w:pPr>
      <w:r>
        <w:rPr>
          <w:rStyle w:val="charItals"/>
          <w:i/>
        </w:rPr>
        <w:t>Communication</w:t>
      </w:r>
    </w:p>
    <w:p w:rsidR="00AF2508" w:rsidRDefault="00AF2508">
      <w:pPr>
        <w:pStyle w:val="Amain"/>
        <w:rPr>
          <w:color w:val="000000"/>
        </w:rPr>
      </w:pPr>
      <w:r>
        <w:rPr>
          <w:color w:val="000000"/>
        </w:rPr>
        <w:tab/>
        <w:t>(67)</w:t>
      </w:r>
      <w:r>
        <w:rPr>
          <w:color w:val="000000"/>
        </w:rPr>
        <w:tab/>
        <w:t>The working chamber and the airlock shall be in telephonic communication at all times with the airlock attendant, who shall also be provided with telephonic or other satisfactory means of communicating with the contractor or his or her representative on the works.</w:t>
      </w:r>
    </w:p>
    <w:p w:rsidR="00AF2508" w:rsidRDefault="00AF2508">
      <w:pPr>
        <w:pStyle w:val="Amain"/>
      </w:pPr>
      <w:r>
        <w:rPr>
          <w:color w:val="000000"/>
        </w:rPr>
        <w:tab/>
        <w:t>(68)</w:t>
      </w:r>
      <w:r>
        <w:rPr>
          <w:color w:val="000000"/>
        </w:rPr>
        <w:tab/>
        <w:t>The contractor shall depute a representative to be at all times available for communication with the airlock attendant.</w:t>
      </w:r>
    </w:p>
    <w:p w:rsidR="00AF2508" w:rsidRDefault="00AF2508">
      <w:pPr>
        <w:pStyle w:val="Amain"/>
      </w:pPr>
      <w:r>
        <w:tab/>
        <w:t>(69)</w:t>
      </w:r>
      <w:r>
        <w:tab/>
        <w:t>In the event of telephone failure, signals shall be transmitted by tapping.</w:t>
      </w:r>
    </w:p>
    <w:p w:rsidR="00AF2508" w:rsidRDefault="00AF2508">
      <w:pPr>
        <w:pStyle w:val="Amain"/>
      </w:pPr>
      <w:r>
        <w:tab/>
        <w:t>(70)</w:t>
      </w:r>
      <w:r>
        <w:tab/>
        <w:t>A suitable code of signals shall be formulated on the job and a copy of this code shall be posted inside and outside the man-lock.</w:t>
      </w:r>
    </w:p>
    <w:p w:rsidR="00AF2508" w:rsidRDefault="00AF2508">
      <w:pPr>
        <w:pStyle w:val="Assectheading"/>
        <w:rPr>
          <w:i w:val="0"/>
        </w:rPr>
      </w:pPr>
      <w:r>
        <w:rPr>
          <w:rStyle w:val="charItals"/>
          <w:i/>
        </w:rPr>
        <w:t>Overhead gangway</w:t>
      </w:r>
    </w:p>
    <w:p w:rsidR="00AF2508" w:rsidRDefault="00AF2508">
      <w:pPr>
        <w:pStyle w:val="Amain"/>
        <w:rPr>
          <w:color w:val="000000"/>
        </w:rPr>
      </w:pPr>
      <w:r>
        <w:rPr>
          <w:color w:val="000000"/>
        </w:rPr>
        <w:tab/>
        <w:t>(71)</w:t>
      </w:r>
      <w:r>
        <w:rPr>
          <w:color w:val="000000"/>
        </w:rPr>
        <w:tab/>
        <w:t>In all tunnels 16 feet and over in diameter or height, an overhead gangway shall be provided from the working face to the nearest airlock.</w:t>
      </w:r>
    </w:p>
    <w:p w:rsidR="00AF2508" w:rsidRDefault="00AF2508">
      <w:pPr>
        <w:pStyle w:val="Amain"/>
        <w:rPr>
          <w:color w:val="000000"/>
        </w:rPr>
      </w:pPr>
      <w:r>
        <w:rPr>
          <w:color w:val="000000"/>
        </w:rPr>
        <w:tab/>
        <w:t>(72)</w:t>
      </w:r>
      <w:r>
        <w:rPr>
          <w:color w:val="000000"/>
        </w:rPr>
        <w:tab/>
        <w:t>An overhead clearance of 6 feet shall be maintained unless otherwise approved.</w:t>
      </w:r>
    </w:p>
    <w:p w:rsidR="00AF2508" w:rsidRDefault="00AF2508">
      <w:pPr>
        <w:pStyle w:val="Assectheading"/>
        <w:rPr>
          <w:i w:val="0"/>
        </w:rPr>
      </w:pPr>
      <w:r>
        <w:rPr>
          <w:rStyle w:val="charItals"/>
          <w:i/>
        </w:rPr>
        <w:t>Safety curtains</w:t>
      </w:r>
    </w:p>
    <w:p w:rsidR="00AF2508" w:rsidRDefault="00AF2508">
      <w:pPr>
        <w:pStyle w:val="Amain"/>
        <w:rPr>
          <w:color w:val="000000"/>
        </w:rPr>
      </w:pPr>
      <w:r>
        <w:rPr>
          <w:color w:val="000000"/>
        </w:rPr>
        <w:tab/>
        <w:t>(73)</w:t>
      </w:r>
      <w:r>
        <w:rPr>
          <w:color w:val="000000"/>
        </w:rPr>
        <w:tab/>
        <w:t>Safety curtains shall be provided in all tunnels if there is the possibility of a ‘blow’ causing an inrush of water or material being excavated.</w:t>
      </w:r>
    </w:p>
    <w:p w:rsidR="00AF2508" w:rsidRDefault="00AF2508">
      <w:pPr>
        <w:pStyle w:val="Amain"/>
        <w:rPr>
          <w:color w:val="000000"/>
        </w:rPr>
      </w:pPr>
      <w:r>
        <w:rPr>
          <w:color w:val="000000"/>
        </w:rPr>
        <w:tab/>
        <w:t>(74)</w:t>
      </w:r>
      <w:r>
        <w:rPr>
          <w:color w:val="000000"/>
        </w:rPr>
        <w:tab/>
        <w:t>The safety curtain shall at no time be distant more than 200 feet from the working face.</w:t>
      </w:r>
    </w:p>
    <w:p w:rsidR="00AF2508" w:rsidRDefault="00AF2508">
      <w:pPr>
        <w:pStyle w:val="Assectheading"/>
        <w:rPr>
          <w:i w:val="0"/>
        </w:rPr>
      </w:pPr>
      <w:r>
        <w:rPr>
          <w:rStyle w:val="charItals"/>
          <w:i/>
        </w:rPr>
        <w:t>Fire precautions</w:t>
      </w:r>
    </w:p>
    <w:p w:rsidR="00AF2508" w:rsidRDefault="00AF2508">
      <w:pPr>
        <w:pStyle w:val="Amain"/>
        <w:rPr>
          <w:color w:val="000000"/>
        </w:rPr>
      </w:pPr>
      <w:r>
        <w:rPr>
          <w:color w:val="000000"/>
        </w:rPr>
        <w:tab/>
        <w:t>(75)</w:t>
      </w:r>
      <w:r>
        <w:rPr>
          <w:color w:val="000000"/>
        </w:rPr>
        <w:tab/>
        <w:t>If danger of fire exists, a fire hose at least 50 feet in length with a suitable nozzle connected, shall be provided on both sides of the tunnel bulkhead.</w:t>
      </w:r>
    </w:p>
    <w:p w:rsidR="00AF2508" w:rsidRDefault="00AF2508">
      <w:pPr>
        <w:pStyle w:val="Amain"/>
        <w:rPr>
          <w:color w:val="000000"/>
        </w:rPr>
      </w:pPr>
      <w:r>
        <w:rPr>
          <w:color w:val="000000"/>
        </w:rPr>
        <w:tab/>
        <w:t>(76)</w:t>
      </w:r>
      <w:r>
        <w:rPr>
          <w:color w:val="000000"/>
        </w:rPr>
        <w:tab/>
        <w:t>Water lines shall extend into the tunnel with a hose connection every 200 feet, and this system shall be maintained ready for use at all times.</w:t>
      </w:r>
    </w:p>
    <w:p w:rsidR="00AF2508" w:rsidRDefault="00AF2508">
      <w:pPr>
        <w:pStyle w:val="Assectheading"/>
        <w:rPr>
          <w:i w:val="0"/>
        </w:rPr>
      </w:pPr>
      <w:r>
        <w:rPr>
          <w:rStyle w:val="charItals"/>
          <w:i/>
        </w:rPr>
        <w:t>Lighting</w:t>
      </w:r>
    </w:p>
    <w:p w:rsidR="00AF2508" w:rsidRDefault="00AF2508">
      <w:pPr>
        <w:pStyle w:val="Amain"/>
      </w:pPr>
      <w:r>
        <w:rPr>
          <w:color w:val="000000"/>
        </w:rPr>
        <w:tab/>
        <w:t>(77)</w:t>
      </w:r>
      <w:r>
        <w:rPr>
          <w:color w:val="000000"/>
        </w:rPr>
        <w:tab/>
        <w:t>All lighting in compressed air chambers shall be by electricity only, except in cases of emergency.</w:t>
      </w:r>
    </w:p>
    <w:p w:rsidR="00AF2508" w:rsidRDefault="00AF2508">
      <w:pPr>
        <w:pStyle w:val="Amain"/>
      </w:pPr>
      <w:r>
        <w:tab/>
        <w:t>(78)</w:t>
      </w:r>
      <w:r>
        <w:tab/>
        <w:t>One worker in the airlock shall be provided with an electric pocket lamp, and candles and damp-proof matches shall be provided in the working chamber and in each man-lock.</w:t>
      </w:r>
    </w:p>
    <w:p w:rsidR="00AF2508" w:rsidRDefault="00AF2508">
      <w:pPr>
        <w:pStyle w:val="Amain"/>
      </w:pPr>
      <w:r>
        <w:tab/>
        <w:t>(79)</w:t>
      </w:r>
      <w:r>
        <w:tab/>
        <w:t>All portable incandescent lamps shall be guarded by a wire cage large enough to enclose both lamp and socket.</w:t>
      </w:r>
    </w:p>
    <w:p w:rsidR="00AF2508" w:rsidRDefault="00AF2508">
      <w:pPr>
        <w:pStyle w:val="Amain"/>
      </w:pPr>
      <w:r>
        <w:tab/>
        <w:t>(80)</w:t>
      </w:r>
      <w:r>
        <w:tab/>
        <w:t>The lamps shall be constructed in accordance with the Standards Australia, Approval and Test Specification No C. 118, Electric Hand Lamps.</w:t>
      </w:r>
    </w:p>
    <w:p w:rsidR="00AF2508" w:rsidRDefault="00AF2508">
      <w:pPr>
        <w:pStyle w:val="Assectheading"/>
        <w:rPr>
          <w:i w:val="0"/>
        </w:rPr>
      </w:pPr>
      <w:r>
        <w:rPr>
          <w:rStyle w:val="charItals"/>
          <w:i/>
        </w:rPr>
        <w:t>Electric installation—voltage</w:t>
      </w:r>
    </w:p>
    <w:p w:rsidR="00AF2508" w:rsidRDefault="00AF2508">
      <w:pPr>
        <w:pStyle w:val="Amain"/>
      </w:pPr>
      <w:r>
        <w:tab/>
        <w:t>(81)</w:t>
      </w:r>
      <w:r>
        <w:tab/>
        <w:t>The voltage used for electric lighting circuits between the last bulkhead and the working face shall not exceed 32V for alternating current and 50V for direct current.</w:t>
      </w:r>
    </w:p>
    <w:p w:rsidR="00AF2508" w:rsidRDefault="00AF2508">
      <w:pPr>
        <w:pStyle w:val="Assectheading"/>
        <w:rPr>
          <w:i w:val="0"/>
        </w:rPr>
      </w:pPr>
      <w:r>
        <w:rPr>
          <w:rStyle w:val="charItals"/>
          <w:i/>
        </w:rPr>
        <w:t>Electric installation—wiring</w:t>
      </w:r>
    </w:p>
    <w:p w:rsidR="00AF2508" w:rsidRDefault="00AF2508">
      <w:pPr>
        <w:pStyle w:val="Amain"/>
      </w:pPr>
      <w:r>
        <w:tab/>
        <w:t>(82)</w:t>
      </w:r>
      <w:r>
        <w:tab/>
        <w:t>Except as otherwise provided in this regulation, all wiring for light and power circuits shall comply with the requirements of the S.A.A. Wiring Rules, for damp or hazardous locations.</w:t>
      </w:r>
    </w:p>
    <w:p w:rsidR="00AF2508" w:rsidRDefault="00AF2508">
      <w:pPr>
        <w:pStyle w:val="Assectheading"/>
        <w:rPr>
          <w:i w:val="0"/>
        </w:rPr>
      </w:pPr>
      <w:r>
        <w:rPr>
          <w:rStyle w:val="charItals"/>
          <w:i/>
        </w:rPr>
        <w:t>Air supply</w:t>
      </w:r>
    </w:p>
    <w:p w:rsidR="00AF2508" w:rsidRDefault="00AF2508">
      <w:pPr>
        <w:pStyle w:val="Amain"/>
      </w:pPr>
      <w:r>
        <w:rPr>
          <w:color w:val="000000"/>
        </w:rPr>
        <w:tab/>
        <w:t>(83)</w:t>
      </w:r>
      <w:r>
        <w:rPr>
          <w:color w:val="000000"/>
        </w:rPr>
        <w:tab/>
        <w:t>A minimum of 25 cubic feet of clean, fresh air shall be supplied each minute to each worker in the working chamber, and a minimum of 10 cubic feet per minute to each worker in the man</w:t>
      </w:r>
      <w:r>
        <w:rPr>
          <w:color w:val="000000"/>
        </w:rPr>
        <w:noBreakHyphen/>
        <w:t>lock.</w:t>
      </w:r>
    </w:p>
    <w:p w:rsidR="00AF2508" w:rsidRDefault="00AF2508">
      <w:pPr>
        <w:pStyle w:val="Amain"/>
      </w:pPr>
      <w:r>
        <w:tab/>
        <w:t>(84)</w:t>
      </w:r>
      <w:r>
        <w:tab/>
        <w:t>In the event of any reduction of the air pressure below a point to be specified from time to time by the engineer in charge of the work, the airlock attendant shall notify the workers in the working chamber, and preparations shall be made immediately for their withdrawal from the working chamber.</w:t>
      </w:r>
    </w:p>
    <w:p w:rsidR="00AF2508" w:rsidRDefault="00AF2508">
      <w:pPr>
        <w:pStyle w:val="Assectheading"/>
        <w:rPr>
          <w:i w:val="0"/>
        </w:rPr>
      </w:pPr>
      <w:r>
        <w:rPr>
          <w:rStyle w:val="charItals"/>
          <w:i/>
        </w:rPr>
        <w:t>Free air intake</w:t>
      </w:r>
    </w:p>
    <w:p w:rsidR="00AF2508" w:rsidRDefault="00AF2508">
      <w:pPr>
        <w:pStyle w:val="Amain"/>
        <w:rPr>
          <w:color w:val="000000"/>
        </w:rPr>
      </w:pPr>
      <w:r>
        <w:rPr>
          <w:color w:val="000000"/>
        </w:rPr>
        <w:tab/>
        <w:t>(85)</w:t>
      </w:r>
      <w:r>
        <w:rPr>
          <w:color w:val="000000"/>
        </w:rPr>
        <w:tab/>
        <w:t>The free air intake shall be so situatedd as to ensure an ample supply of clean, fresh air.</w:t>
      </w:r>
    </w:p>
    <w:p w:rsidR="00AF2508" w:rsidRDefault="00AF2508">
      <w:pPr>
        <w:pStyle w:val="Amain"/>
        <w:rPr>
          <w:color w:val="000000"/>
        </w:rPr>
      </w:pPr>
      <w:r>
        <w:rPr>
          <w:color w:val="000000"/>
        </w:rPr>
        <w:tab/>
        <w:t>(86)</w:t>
      </w:r>
      <w:r>
        <w:rPr>
          <w:color w:val="000000"/>
        </w:rPr>
        <w:tab/>
        <w:t>The utmost care shall be taken to avoid contamination of the air by fumes from the exhausts of compression ignition or internal</w:t>
      </w:r>
      <w:r>
        <w:rPr>
          <w:color w:val="000000"/>
        </w:rPr>
        <w:noBreakHyphen/>
        <w:t>combustion engines and from all other sources.</w:t>
      </w:r>
    </w:p>
    <w:p w:rsidR="00AF2508" w:rsidRDefault="00AF2508">
      <w:pPr>
        <w:pStyle w:val="Assectheading"/>
        <w:rPr>
          <w:i w:val="0"/>
        </w:rPr>
      </w:pPr>
      <w:r>
        <w:rPr>
          <w:rStyle w:val="charItals"/>
          <w:i/>
        </w:rPr>
        <w:t>Purification and refrigeration of compressed air</w:t>
      </w:r>
    </w:p>
    <w:p w:rsidR="00AF2508" w:rsidRDefault="00AF2508">
      <w:pPr>
        <w:pStyle w:val="Amain"/>
      </w:pPr>
      <w:r>
        <w:rPr>
          <w:color w:val="000000"/>
        </w:rPr>
        <w:tab/>
        <w:t>(87)</w:t>
      </w:r>
      <w:r>
        <w:rPr>
          <w:color w:val="000000"/>
        </w:rPr>
        <w:tab/>
        <w:t>An approved oil separator shall be used between the compressor and the air receiver and an air filter of approved type shall be installed between the air receiver and the working chamber.</w:t>
      </w:r>
    </w:p>
    <w:p w:rsidR="00AF2508" w:rsidRDefault="00AF2508">
      <w:pPr>
        <w:pStyle w:val="Amain"/>
      </w:pPr>
      <w:r>
        <w:tab/>
        <w:t>(88)</w:t>
      </w:r>
      <w:r>
        <w:tab/>
        <w:t>The air shall be cooled after compression, if necessary, so that the temperature in the working chamber does not exceed 80° Fahrenheit when measured with a dry bulb thermometer.</w:t>
      </w:r>
    </w:p>
    <w:p w:rsidR="00AF2508" w:rsidRDefault="00AF2508">
      <w:pPr>
        <w:pStyle w:val="Assectheading"/>
        <w:rPr>
          <w:i w:val="0"/>
        </w:rPr>
      </w:pPr>
      <w:r>
        <w:rPr>
          <w:rStyle w:val="charItals"/>
          <w:i/>
        </w:rPr>
        <w:t>Compressed air plant</w:t>
      </w:r>
    </w:p>
    <w:p w:rsidR="00AF2508" w:rsidRDefault="00AF2508">
      <w:pPr>
        <w:pStyle w:val="Amain"/>
        <w:rPr>
          <w:color w:val="000000"/>
        </w:rPr>
      </w:pPr>
      <w:r>
        <w:rPr>
          <w:color w:val="000000"/>
        </w:rPr>
        <w:tab/>
        <w:t>(89)</w:t>
      </w:r>
      <w:r>
        <w:rPr>
          <w:color w:val="000000"/>
        </w:rPr>
        <w:tab/>
        <w:t>If the air compressor, used for supplying air under pressure for the purposes of compressed air work in tunnelling is driven by electric power, stand-by compressor plant shall be provided and shall be of such capacity that, in the event of failure of the electrically-driven units, at least 50% of the air supply may be maintained.</w:t>
      </w:r>
    </w:p>
    <w:p w:rsidR="00AF2508" w:rsidRDefault="00AF2508">
      <w:pPr>
        <w:pStyle w:val="Amain"/>
        <w:rPr>
          <w:color w:val="000000"/>
        </w:rPr>
      </w:pPr>
      <w:r>
        <w:rPr>
          <w:color w:val="000000"/>
        </w:rPr>
        <w:tab/>
        <w:t>(90)</w:t>
      </w:r>
      <w:r>
        <w:rPr>
          <w:color w:val="000000"/>
        </w:rPr>
        <w:tab/>
        <w:t>With other than electrically-powered compressors not more than 50% of the compressor units shall be driven from any 1 power unit and, if practicable, the power units shall be interchangeable.</w:t>
      </w:r>
    </w:p>
    <w:p w:rsidR="00AF2508" w:rsidRDefault="00AF2508">
      <w:pPr>
        <w:pStyle w:val="Assectheading"/>
        <w:rPr>
          <w:i w:val="0"/>
        </w:rPr>
      </w:pPr>
      <w:r>
        <w:rPr>
          <w:rStyle w:val="charItals"/>
          <w:i/>
        </w:rPr>
        <w:t>Air lines and fittings</w:t>
      </w:r>
    </w:p>
    <w:p w:rsidR="00AF2508" w:rsidRDefault="00AF2508">
      <w:pPr>
        <w:pStyle w:val="Amain"/>
        <w:keepNext/>
      </w:pPr>
      <w:r>
        <w:rPr>
          <w:color w:val="000000"/>
        </w:rPr>
        <w:tab/>
        <w:t>(91)</w:t>
      </w:r>
      <w:r>
        <w:rPr>
          <w:color w:val="000000"/>
        </w:rPr>
        <w:tab/>
        <w:t>Each air line shall be equipped with the following fittings connected in the order shown:</w:t>
      </w:r>
    </w:p>
    <w:p w:rsidR="00AF2508" w:rsidRDefault="00AF2508">
      <w:pPr>
        <w:pStyle w:val="Apara"/>
      </w:pPr>
      <w:r>
        <w:tab/>
        <w:t>(a)</w:t>
      </w:r>
      <w:r>
        <w:tab/>
        <w:t>an air receiver of such capacity as to be capable of delivering at least 2 000 cubic feet of air to the working chamber at normal working pressure, for the purpose of reserve storage in the event of failure of the compressor plant;</w:t>
      </w:r>
    </w:p>
    <w:p w:rsidR="00AF2508" w:rsidRDefault="00AF2508">
      <w:pPr>
        <w:pStyle w:val="Apara"/>
      </w:pPr>
      <w:r>
        <w:tab/>
        <w:t>(b)</w:t>
      </w:r>
      <w:r>
        <w:tab/>
        <w:t>a stop valve;</w:t>
      </w:r>
    </w:p>
    <w:p w:rsidR="00AF2508" w:rsidRDefault="00AF2508">
      <w:pPr>
        <w:pStyle w:val="Apara"/>
      </w:pPr>
      <w:r>
        <w:tab/>
        <w:t>(c)</w:t>
      </w:r>
      <w:r>
        <w:tab/>
        <w:t>a pressure-reducing valve located close to the man-lock;</w:t>
      </w:r>
    </w:p>
    <w:p w:rsidR="00AF2508" w:rsidRDefault="00AF2508">
      <w:pPr>
        <w:pStyle w:val="Apara"/>
      </w:pPr>
      <w:r>
        <w:tab/>
        <w:t>(d)</w:t>
      </w:r>
      <w:r>
        <w:tab/>
        <w:t>a non-return valve located close to the man-lock.</w:t>
      </w:r>
    </w:p>
    <w:p w:rsidR="00AF2508" w:rsidRDefault="00AF2508">
      <w:pPr>
        <w:pStyle w:val="Amain"/>
      </w:pPr>
      <w:r>
        <w:tab/>
        <w:t>(92)</w:t>
      </w:r>
      <w:r>
        <w:tab/>
        <w:t>The air supply shall be through duplicate air lines between the air receiver and the working chamber.</w:t>
      </w:r>
    </w:p>
    <w:p w:rsidR="00AF2508" w:rsidRDefault="00AF2508">
      <w:pPr>
        <w:pStyle w:val="Amain"/>
      </w:pPr>
      <w:r>
        <w:tab/>
        <w:t>(93)</w:t>
      </w:r>
      <w:r>
        <w:tab/>
        <w:t>An adjustable safety valve shall be fitted on the outside of the bulkhead to a separate pipe leading from the working chamber through the bulkhead to the outside air.</w:t>
      </w:r>
    </w:p>
    <w:p w:rsidR="00AF2508" w:rsidRDefault="00AF2508">
      <w:pPr>
        <w:pStyle w:val="Assectheading"/>
        <w:rPr>
          <w:i w:val="0"/>
        </w:rPr>
      </w:pPr>
      <w:r>
        <w:rPr>
          <w:rStyle w:val="charItals"/>
          <w:i/>
        </w:rPr>
        <w:t>Testing of equipment</w:t>
      </w:r>
    </w:p>
    <w:p w:rsidR="00AF2508" w:rsidRDefault="00AF2508">
      <w:pPr>
        <w:pStyle w:val="Amain"/>
      </w:pPr>
      <w:r>
        <w:rPr>
          <w:color w:val="000000"/>
        </w:rPr>
        <w:tab/>
        <w:t>(94)</w:t>
      </w:r>
      <w:r>
        <w:rPr>
          <w:color w:val="000000"/>
        </w:rPr>
        <w:tab/>
        <w:t>All locks and air receivers shall be subjected to test and inspection in accordance with the provisions of the Australian Standard Rules for the Design, Construction, Inspection and Operation of Boilers and Unfired Pressure Vessels and their Appurtenances published by Standards Australia, as revised in May, 1942.</w:t>
      </w:r>
    </w:p>
    <w:p w:rsidR="00AF2508" w:rsidRDefault="00AF2508">
      <w:pPr>
        <w:pStyle w:val="Amain"/>
      </w:pPr>
      <w:r>
        <w:tab/>
        <w:t>(95)</w:t>
      </w:r>
      <w:r>
        <w:tab/>
        <w:t>Pressure gauges shall be installed and tested in accordance with the relevant provisions of the rules mentioned in subsection (94).</w:t>
      </w:r>
    </w:p>
    <w:p w:rsidR="00AF2508" w:rsidRDefault="00AF2508">
      <w:pPr>
        <w:pStyle w:val="Assectheading"/>
        <w:rPr>
          <w:i w:val="0"/>
        </w:rPr>
      </w:pPr>
      <w:r>
        <w:rPr>
          <w:rStyle w:val="charItals"/>
          <w:i/>
        </w:rPr>
        <w:t>Change rooms</w:t>
      </w:r>
    </w:p>
    <w:p w:rsidR="00AF2508" w:rsidRDefault="00AF2508">
      <w:pPr>
        <w:pStyle w:val="Amain"/>
      </w:pPr>
      <w:r>
        <w:rPr>
          <w:color w:val="000000"/>
        </w:rPr>
        <w:tab/>
        <w:t>(96)</w:t>
      </w:r>
      <w:r>
        <w:rPr>
          <w:color w:val="000000"/>
        </w:rPr>
        <w:tab/>
        <w:t xml:space="preserve">Without prejudice to the requirements of part 10 (which </w:t>
      </w:r>
      <w:r>
        <w:rPr>
          <w:rStyle w:val="charItals"/>
          <w:i w:val="0"/>
        </w:rPr>
        <w:t>among other things</w:t>
      </w:r>
      <w:r>
        <w:rPr>
          <w:color w:val="000000"/>
        </w:rPr>
        <w:t xml:space="preserve"> relates to the provision of certain accommodation for the health of persons), there shall be provided and maintained for the use of persons employed in compressed air work in tunnelling—</w:t>
      </w:r>
    </w:p>
    <w:p w:rsidR="00AF2508" w:rsidRDefault="00AF2508">
      <w:pPr>
        <w:pStyle w:val="Apara"/>
      </w:pPr>
      <w:r>
        <w:tab/>
        <w:t>(a)</w:t>
      </w:r>
      <w:r>
        <w:tab/>
        <w:t>properly heated, lighted and ventilated change rooms and drying rooms; and</w:t>
      </w:r>
    </w:p>
    <w:p w:rsidR="00AF2508" w:rsidRDefault="00AF2508">
      <w:pPr>
        <w:pStyle w:val="Apara"/>
      </w:pPr>
      <w:r>
        <w:tab/>
        <w:t>(b)</w:t>
      </w:r>
      <w:r>
        <w:tab/>
        <w:t>bathing accommodation, namely, 1 shower equipped with running hot and cold water for every 8 men employed on the same shift and 1 for every 8 women employed on the same shift, and 1 for any number less than 8 such men or women, as the case requires; and</w:t>
      </w:r>
    </w:p>
    <w:p w:rsidR="00AF2508" w:rsidRDefault="00AF2508">
      <w:pPr>
        <w:pStyle w:val="Apara"/>
      </w:pPr>
      <w:r>
        <w:tab/>
        <w:t>(c)</w:t>
      </w:r>
      <w:r>
        <w:tab/>
        <w:t>suitable and adequate earth or water closets at the rate of 1 closet for every 10 men employed on the same shift and 1 for every 10 women employed on the same shift, and 1 for any number less than 10 such men or women, as the case requires.</w:t>
      </w:r>
    </w:p>
    <w:p w:rsidR="00AF2508" w:rsidRDefault="00AF2508">
      <w:pPr>
        <w:pStyle w:val="Assectheading"/>
        <w:rPr>
          <w:i w:val="0"/>
        </w:rPr>
      </w:pPr>
      <w:r>
        <w:rPr>
          <w:rStyle w:val="charItals"/>
          <w:i/>
        </w:rPr>
        <w:t>Information to be posted in change room</w:t>
      </w:r>
    </w:p>
    <w:p w:rsidR="00AF2508" w:rsidRDefault="00AF2508">
      <w:pPr>
        <w:pStyle w:val="Amain"/>
      </w:pPr>
      <w:r>
        <w:rPr>
          <w:color w:val="000000"/>
        </w:rPr>
        <w:tab/>
        <w:t>(97)</w:t>
      </w:r>
      <w:r>
        <w:rPr>
          <w:color w:val="000000"/>
        </w:rPr>
        <w:tab/>
        <w:t>A copy of the following information shall be posted in the change room for the information and instruction of persons employed in compressed air work in tunnelling:</w:t>
      </w:r>
    </w:p>
    <w:p w:rsidR="00AF2508" w:rsidRDefault="00AF2508">
      <w:pPr>
        <w:pStyle w:val="Apara"/>
      </w:pPr>
      <w:r>
        <w:tab/>
        <w:t>(a)</w:t>
      </w:r>
      <w:r>
        <w:tab/>
        <w:t>subsections (13) to (21) and (98) to (100); and</w:t>
      </w:r>
    </w:p>
    <w:p w:rsidR="00AF2508" w:rsidRDefault="00AF2508">
      <w:pPr>
        <w:pStyle w:val="Apara"/>
      </w:pPr>
      <w:r>
        <w:tab/>
        <w:t>(b)</w:t>
      </w:r>
      <w:r>
        <w:tab/>
        <w:t>schedule 9; and</w:t>
      </w:r>
    </w:p>
    <w:p w:rsidR="00AF2508" w:rsidRDefault="00AF2508">
      <w:pPr>
        <w:pStyle w:val="Apara"/>
      </w:pPr>
      <w:r>
        <w:tab/>
        <w:t>(c)</w:t>
      </w:r>
      <w:r>
        <w:tab/>
        <w:t>the name, address, and telephone number of the medical officer.</w:t>
      </w:r>
    </w:p>
    <w:p w:rsidR="00AF2508" w:rsidRDefault="00AF2508">
      <w:pPr>
        <w:pStyle w:val="Assectheading"/>
        <w:rPr>
          <w:i w:val="0"/>
        </w:rPr>
      </w:pPr>
      <w:r>
        <w:rPr>
          <w:rStyle w:val="charItals"/>
          <w:i/>
        </w:rPr>
        <w:t>Prohibition of smoking and intoxicating liquor</w:t>
      </w:r>
    </w:p>
    <w:p w:rsidR="00AF2508" w:rsidRDefault="00AF2508">
      <w:pPr>
        <w:pStyle w:val="Amain"/>
        <w:rPr>
          <w:color w:val="000000"/>
        </w:rPr>
      </w:pPr>
      <w:r>
        <w:rPr>
          <w:color w:val="000000"/>
        </w:rPr>
        <w:tab/>
        <w:t>(98)</w:t>
      </w:r>
      <w:r>
        <w:rPr>
          <w:color w:val="000000"/>
        </w:rPr>
        <w:tab/>
        <w:t>No person shall smoke in the man-lock or in the working chamber.</w:t>
      </w:r>
    </w:p>
    <w:p w:rsidR="00AF2508" w:rsidRDefault="00AF2508">
      <w:pPr>
        <w:pStyle w:val="Amain"/>
      </w:pPr>
      <w:r>
        <w:rPr>
          <w:color w:val="000000"/>
        </w:rPr>
        <w:tab/>
        <w:t>(99)</w:t>
      </w:r>
      <w:r>
        <w:rPr>
          <w:color w:val="000000"/>
        </w:rPr>
        <w:tab/>
        <w:t>No person shall carry on his or her person any smoking materials while in the man-lock or in the working chamber but shall leave all such materials in the change room.</w:t>
      </w:r>
    </w:p>
    <w:p w:rsidR="00AF2508" w:rsidRDefault="00AF2508">
      <w:pPr>
        <w:pStyle w:val="Amain"/>
      </w:pPr>
      <w:r>
        <w:tab/>
        <w:t>(100)</w:t>
      </w:r>
      <w:r>
        <w:tab/>
        <w:t>No intoxicating liquor shall be brought into the vicinity of the working chamber, provided that the carrying of alcoholic spirits or other stimulants into such places for medical purposes may be approved by the medical officer.</w:t>
      </w:r>
    </w:p>
    <w:p w:rsidR="00AF2508" w:rsidRDefault="00AF2508">
      <w:pPr>
        <w:pStyle w:val="Assectheading"/>
        <w:rPr>
          <w:i w:val="0"/>
        </w:rPr>
      </w:pPr>
      <w:r>
        <w:rPr>
          <w:rStyle w:val="charItals"/>
          <w:i/>
        </w:rPr>
        <w:t>Copy of pt 8 to be available</w:t>
      </w:r>
    </w:p>
    <w:p w:rsidR="00AF2508" w:rsidRDefault="00AF2508">
      <w:pPr>
        <w:pStyle w:val="Amain"/>
      </w:pPr>
      <w:r>
        <w:rPr>
          <w:color w:val="000000"/>
        </w:rPr>
        <w:tab/>
        <w:t>(101)</w:t>
      </w:r>
      <w:r>
        <w:rPr>
          <w:color w:val="000000"/>
        </w:rPr>
        <w:tab/>
        <w:t>A copy of this part shall be kept at the works office and shall be available to every person on the works who is engaged in the compressed air work.</w:t>
      </w:r>
    </w:p>
    <w:p w:rsidR="00AF2508" w:rsidRDefault="00AF2508">
      <w:pPr>
        <w:pStyle w:val="AH3Div"/>
      </w:pPr>
      <w:bookmarkStart w:id="191" w:name="_Toc161636852"/>
      <w:r>
        <w:rPr>
          <w:rStyle w:val="CharDivNo"/>
        </w:rPr>
        <w:t>Division 8.3</w:t>
      </w:r>
      <w:r>
        <w:rPr>
          <w:rStyle w:val="CharDivNo"/>
        </w:rPr>
        <w:tab/>
      </w:r>
      <w:r>
        <w:rPr>
          <w:rStyle w:val="CharDivText"/>
        </w:rPr>
        <w:t>Caissons</w:t>
      </w:r>
      <w:bookmarkEnd w:id="191"/>
    </w:p>
    <w:p w:rsidR="00AF2508" w:rsidRDefault="00AF2508">
      <w:pPr>
        <w:pStyle w:val="AH5Sec"/>
      </w:pPr>
      <w:bookmarkStart w:id="192" w:name="_Toc161636853"/>
      <w:r>
        <w:rPr>
          <w:rStyle w:val="CharSectNo"/>
        </w:rPr>
        <w:t>101</w:t>
      </w:r>
      <w:bookmarkEnd w:id="192"/>
      <w:r>
        <w:tab/>
        <w:t xml:space="preserve">  </w:t>
      </w:r>
    </w:p>
    <w:p w:rsidR="00AF2508" w:rsidRDefault="00AF2508">
      <w:pPr>
        <w:pStyle w:val="Assectheading"/>
        <w:rPr>
          <w:i w:val="0"/>
          <w:color w:val="000000"/>
        </w:rPr>
      </w:pPr>
      <w:r>
        <w:rPr>
          <w:rStyle w:val="charItals"/>
          <w:i/>
        </w:rPr>
        <w:t>Age limits</w:t>
      </w:r>
    </w:p>
    <w:p w:rsidR="00AF2508" w:rsidRDefault="00AF2508">
      <w:pPr>
        <w:pStyle w:val="Amain"/>
      </w:pPr>
      <w:r>
        <w:rPr>
          <w:color w:val="000000"/>
        </w:rPr>
        <w:tab/>
        <w:t>(1)</w:t>
      </w:r>
      <w:r>
        <w:rPr>
          <w:color w:val="000000"/>
        </w:rPr>
        <w:tab/>
        <w:t>No person shall work or be employed in compressed air work in caissons—</w:t>
      </w:r>
    </w:p>
    <w:p w:rsidR="00AF2508" w:rsidRDefault="00AF2508">
      <w:pPr>
        <w:pStyle w:val="Apara"/>
      </w:pPr>
      <w:r>
        <w:tab/>
        <w:t>(a)</w:t>
      </w:r>
      <w:r>
        <w:tab/>
        <w:t>at pressures up to 30 pounds per square inch if the person is over 50 years old; or</w:t>
      </w:r>
    </w:p>
    <w:p w:rsidR="00AF2508" w:rsidRDefault="00AF2508">
      <w:pPr>
        <w:pStyle w:val="Apara"/>
      </w:pPr>
      <w:r>
        <w:tab/>
        <w:t>(b)</w:t>
      </w:r>
      <w:r>
        <w:tab/>
        <w:t>at pressures over 30 pounds per square inch if the person is over 45 years old.</w:t>
      </w:r>
    </w:p>
    <w:p w:rsidR="00AF2508" w:rsidRDefault="00AF2508">
      <w:pPr>
        <w:pStyle w:val="Amain"/>
      </w:pPr>
      <w:r>
        <w:tab/>
        <w:t>(2)</w:t>
      </w:r>
      <w:r>
        <w:tab/>
        <w:t>No person under 20 years old shall work or be employed in compressed air work in caissons.</w:t>
      </w:r>
    </w:p>
    <w:p w:rsidR="00AF2508" w:rsidRDefault="00AF2508">
      <w:pPr>
        <w:pStyle w:val="Amain"/>
      </w:pPr>
      <w:r>
        <w:tab/>
        <w:t>(3)</w:t>
      </w:r>
      <w:r>
        <w:tab/>
        <w:t>However, in exceptional circumstances the medical officer may set aside the age limits in individual cases.</w:t>
      </w:r>
    </w:p>
    <w:p w:rsidR="00AF2508" w:rsidRDefault="00AF2508">
      <w:pPr>
        <w:pStyle w:val="Assectheading"/>
        <w:rPr>
          <w:i w:val="0"/>
        </w:rPr>
      </w:pPr>
      <w:r>
        <w:rPr>
          <w:rStyle w:val="charItals"/>
          <w:i/>
        </w:rPr>
        <w:t>Appointment of medical officers</w:t>
      </w:r>
    </w:p>
    <w:p w:rsidR="00AF2508" w:rsidRDefault="00AF2508">
      <w:pPr>
        <w:pStyle w:val="Amain"/>
      </w:pPr>
      <w:r>
        <w:tab/>
        <w:t>(4)</w:t>
      </w:r>
      <w:r>
        <w:tab/>
        <w:t>A legally qualified doctor shall be appointed to carry out the duties prescribed by this regulation as the duties of a medical officer.</w:t>
      </w:r>
    </w:p>
    <w:p w:rsidR="00AF2508" w:rsidRDefault="00AF2508">
      <w:pPr>
        <w:pStyle w:val="Amain"/>
      </w:pPr>
      <w:r>
        <w:tab/>
        <w:t>(5)</w:t>
      </w:r>
      <w:r>
        <w:tab/>
        <w:t>The chief inspector shall be notified in writing of the name and address of the medical officer so appointed.</w:t>
      </w:r>
    </w:p>
    <w:p w:rsidR="00AF2508" w:rsidRDefault="00AF2508">
      <w:pPr>
        <w:pStyle w:val="Assectheading"/>
        <w:rPr>
          <w:i w:val="0"/>
          <w:color w:val="000000"/>
        </w:rPr>
      </w:pPr>
      <w:r>
        <w:rPr>
          <w:color w:val="000000"/>
        </w:rPr>
        <w:t>M</w:t>
      </w:r>
      <w:r>
        <w:rPr>
          <w:rStyle w:val="charItals"/>
          <w:i/>
        </w:rPr>
        <w:t>edical orderly</w:t>
      </w:r>
    </w:p>
    <w:p w:rsidR="00AF2508" w:rsidRDefault="00AF2508">
      <w:pPr>
        <w:pStyle w:val="Amain"/>
        <w:keepLines/>
        <w:rPr>
          <w:color w:val="000000"/>
        </w:rPr>
      </w:pPr>
      <w:r>
        <w:rPr>
          <w:color w:val="000000"/>
        </w:rPr>
        <w:tab/>
        <w:t>(6)</w:t>
      </w:r>
      <w:r>
        <w:rPr>
          <w:color w:val="000000"/>
        </w:rPr>
        <w:tab/>
        <w:t>When the working pressure exceeds 25 pounds per square inch, an experienced medical orderly shall be constantly in attendance for the purpose of recompressing any worker who shows symptoms of compressed air illness and for attending to minor injuries.</w:t>
      </w:r>
    </w:p>
    <w:p w:rsidR="00AF2508" w:rsidRDefault="00AF2508">
      <w:pPr>
        <w:pStyle w:val="Amain"/>
        <w:rPr>
          <w:color w:val="000000"/>
        </w:rPr>
      </w:pPr>
      <w:r>
        <w:rPr>
          <w:color w:val="000000"/>
        </w:rPr>
        <w:tab/>
        <w:t>(7)</w:t>
      </w:r>
      <w:r>
        <w:rPr>
          <w:color w:val="000000"/>
        </w:rPr>
        <w:tab/>
        <w:t>The medical orderly shall be a person approved by the medical officer and the orderly shall be the holder of a St. John Ambulance certificate or equivalent qualifications.</w:t>
      </w:r>
    </w:p>
    <w:p w:rsidR="00AF2508" w:rsidRDefault="00AF2508">
      <w:pPr>
        <w:pStyle w:val="Amain"/>
      </w:pPr>
      <w:r>
        <w:rPr>
          <w:color w:val="000000"/>
        </w:rPr>
        <w:tab/>
        <w:t>(8)</w:t>
      </w:r>
      <w:r>
        <w:rPr>
          <w:color w:val="000000"/>
        </w:rPr>
        <w:tab/>
        <w:t>The medical orderly may work on other duties provided these are such that the medical orderly will be readily available for medical orderly duties when required.</w:t>
      </w:r>
    </w:p>
    <w:p w:rsidR="00AF2508" w:rsidRDefault="00AF2508">
      <w:pPr>
        <w:pStyle w:val="Assectheading"/>
        <w:rPr>
          <w:i w:val="0"/>
        </w:rPr>
      </w:pPr>
      <w:r>
        <w:rPr>
          <w:rStyle w:val="charItals"/>
          <w:i/>
        </w:rPr>
        <w:t>Preliminary medical examination</w:t>
      </w:r>
    </w:p>
    <w:p w:rsidR="00AF2508" w:rsidRDefault="00AF2508">
      <w:pPr>
        <w:pStyle w:val="Amain"/>
      </w:pPr>
      <w:r>
        <w:tab/>
        <w:t>(9)</w:t>
      </w:r>
      <w:r>
        <w:tab/>
        <w:t>No person shall work or be employed to work in compressed air unless on or after such date the person has been examined by an appointed medical officer, and has been certified by the officer as being fit to work in compressed air.</w:t>
      </w:r>
    </w:p>
    <w:p w:rsidR="00AF2508" w:rsidRDefault="00AF2508">
      <w:pPr>
        <w:pStyle w:val="Amain"/>
      </w:pPr>
      <w:r>
        <w:tab/>
        <w:t>(10)</w:t>
      </w:r>
      <w:r>
        <w:tab/>
        <w:t>The examination shall include an X-ray examination of the chest.</w:t>
      </w:r>
    </w:p>
    <w:p w:rsidR="00AF2508" w:rsidRDefault="00AF2508">
      <w:pPr>
        <w:pStyle w:val="Amain"/>
      </w:pPr>
      <w:r>
        <w:tab/>
        <w:t>(11)</w:t>
      </w:r>
      <w:r>
        <w:tab/>
        <w:t>The medical officer’s report shall be kept and produced to an inspector on demand.</w:t>
      </w:r>
    </w:p>
    <w:p w:rsidR="00AF2508" w:rsidRDefault="00AF2508">
      <w:pPr>
        <w:pStyle w:val="Assectheading"/>
        <w:rPr>
          <w:i w:val="0"/>
        </w:rPr>
      </w:pPr>
      <w:r>
        <w:rPr>
          <w:rStyle w:val="charItals"/>
          <w:i/>
        </w:rPr>
        <w:t>Supervision of health during compressed air work in caissons</w:t>
      </w:r>
      <w:r>
        <w:rPr>
          <w:i w:val="0"/>
          <w:color w:val="000000"/>
        </w:rPr>
        <w:t>—</w:t>
      </w:r>
      <w:r>
        <w:rPr>
          <w:rStyle w:val="charItals"/>
          <w:i/>
        </w:rPr>
        <w:t>advice to employees</w:t>
      </w:r>
    </w:p>
    <w:p w:rsidR="00AF2508" w:rsidRDefault="00AF2508">
      <w:pPr>
        <w:pStyle w:val="Amain"/>
      </w:pPr>
      <w:r>
        <w:tab/>
        <w:t>(12)</w:t>
      </w:r>
      <w:r>
        <w:tab/>
        <w:t>It shall be the duty of the medical officer to inform each person at the time of a preliminary medical examination that any attack of ‘bends’ (pains in the joints and limbs or abdomen), giddiness, vomiting or difficulty in breathing, disease of the heart, lungs, kidneys, genital organs, a chill, or any other malady that may come on the person during or after work in a caisson, may have the most serious consequences to his or her health, and the person shall be instructed that immediately on noticing any such indisposition the person must report it to the medical officer, or to a medical orderly, or failing either, to the contractor or to a responsible representative of the contractor.</w:t>
      </w:r>
    </w:p>
    <w:p w:rsidR="00AF2508" w:rsidRDefault="00AF2508">
      <w:pPr>
        <w:pStyle w:val="Amain"/>
      </w:pPr>
      <w:r>
        <w:tab/>
        <w:t>(13)</w:t>
      </w:r>
      <w:r>
        <w:tab/>
        <w:t>The symptoms and treatment of compressed air illness as set out in schedule 9 shall be exhibited in a conspicuous position in the workers’s change room.</w:t>
      </w:r>
    </w:p>
    <w:p w:rsidR="00AF2508" w:rsidRDefault="00AF2508">
      <w:pPr>
        <w:pStyle w:val="Assectheading"/>
        <w:rPr>
          <w:i w:val="0"/>
        </w:rPr>
      </w:pPr>
      <w:r>
        <w:rPr>
          <w:rStyle w:val="charItals"/>
          <w:i/>
        </w:rPr>
        <w:t>Supervision of health during compressed air work in caissons</w:t>
      </w:r>
      <w:r>
        <w:rPr>
          <w:i w:val="0"/>
          <w:color w:val="000000"/>
        </w:rPr>
        <w:t>—</w:t>
      </w:r>
      <w:r>
        <w:rPr>
          <w:rStyle w:val="charItals"/>
          <w:i/>
        </w:rPr>
        <w:t>entry prohibited</w:t>
      </w:r>
    </w:p>
    <w:p w:rsidR="00AF2508" w:rsidRDefault="00AF2508">
      <w:pPr>
        <w:pStyle w:val="Amain"/>
      </w:pPr>
      <w:r>
        <w:tab/>
        <w:t>(14)</w:t>
      </w:r>
      <w:r>
        <w:tab/>
        <w:t>A contractor shall not allow any person—</w:t>
      </w:r>
    </w:p>
    <w:p w:rsidR="00AF2508" w:rsidRDefault="00AF2508">
      <w:pPr>
        <w:pStyle w:val="Apara"/>
      </w:pPr>
      <w:r>
        <w:tab/>
        <w:t>(a)</w:t>
      </w:r>
      <w:r>
        <w:tab/>
        <w:t>known to be suffering from bends, cold in the head, sore throat, or any other illness or disease, or</w:t>
      </w:r>
    </w:p>
    <w:p w:rsidR="00AF2508" w:rsidRDefault="00AF2508">
      <w:pPr>
        <w:pStyle w:val="Apara"/>
      </w:pPr>
      <w:r>
        <w:tab/>
        <w:t>(b)</w:t>
      </w:r>
      <w:r>
        <w:tab/>
        <w:t>under the influence of intoxicating liquor,</w:t>
      </w:r>
    </w:p>
    <w:p w:rsidR="00AF2508" w:rsidRDefault="00AF2508">
      <w:pPr>
        <w:pStyle w:val="Amainreturn"/>
      </w:pPr>
      <w:r>
        <w:t>to be employed in compressed air work in a caisson.</w:t>
      </w:r>
    </w:p>
    <w:p w:rsidR="00AF2508" w:rsidRDefault="00AF2508">
      <w:pPr>
        <w:pStyle w:val="Assectheading"/>
        <w:rPr>
          <w:i w:val="0"/>
        </w:rPr>
      </w:pPr>
      <w:r>
        <w:rPr>
          <w:rStyle w:val="charItals"/>
          <w:i/>
        </w:rPr>
        <w:t>Supervision of health during compressed air work in caissons</w:t>
      </w:r>
      <w:r>
        <w:rPr>
          <w:i w:val="0"/>
          <w:color w:val="000000"/>
        </w:rPr>
        <w:t>—</w:t>
      </w:r>
      <w:r>
        <w:rPr>
          <w:rStyle w:val="charItals"/>
          <w:i/>
        </w:rPr>
        <w:t>periodical medical examination</w:t>
      </w:r>
    </w:p>
    <w:p w:rsidR="00AF2508" w:rsidRDefault="00AF2508">
      <w:pPr>
        <w:pStyle w:val="Amain"/>
      </w:pPr>
      <w:r>
        <w:tab/>
        <w:t>(15)</w:t>
      </w:r>
      <w:r>
        <w:tab/>
        <w:t>If persons work continuously in compressed air in caissons they shall be re-examined regularly at the following intervals:</w:t>
      </w:r>
    </w:p>
    <w:p w:rsidR="00AF2508" w:rsidRDefault="00AF2508">
      <w:pPr>
        <w:pStyle w:val="Apara"/>
      </w:pPr>
      <w:r>
        <w:tab/>
        <w:t>(a)</w:t>
      </w:r>
      <w:r>
        <w:tab/>
        <w:t>for pressures not exceeding 25 pounds per square inch—every 6 months;</w:t>
      </w:r>
    </w:p>
    <w:p w:rsidR="00AF2508" w:rsidRDefault="00AF2508">
      <w:pPr>
        <w:pStyle w:val="Apara"/>
      </w:pPr>
      <w:r>
        <w:tab/>
        <w:t>(b)</w:t>
      </w:r>
      <w:r>
        <w:tab/>
        <w:t>for pressures above 25 pounds and not exceeding 35 pounds per square inch—every 3 months;</w:t>
      </w:r>
    </w:p>
    <w:p w:rsidR="00AF2508" w:rsidRDefault="00AF2508">
      <w:pPr>
        <w:pStyle w:val="Apara"/>
      </w:pPr>
      <w:r>
        <w:tab/>
        <w:t>(c)</w:t>
      </w:r>
      <w:r>
        <w:tab/>
        <w:t>for pressures above 35 pounds and not exceeding 45 pounds per square inch—every 6 weeks;</w:t>
      </w:r>
    </w:p>
    <w:p w:rsidR="00AF2508" w:rsidRDefault="00AF2508">
      <w:pPr>
        <w:pStyle w:val="Apara"/>
      </w:pPr>
      <w:r>
        <w:tab/>
        <w:t>(d)</w:t>
      </w:r>
      <w:r>
        <w:tab/>
        <w:t>for pressures above 45 pounds per square inch—every 4 weeks.</w:t>
      </w:r>
    </w:p>
    <w:p w:rsidR="00AF2508" w:rsidRDefault="00AF2508">
      <w:pPr>
        <w:pStyle w:val="Amain"/>
      </w:pPr>
      <w:r>
        <w:tab/>
        <w:t>(16)</w:t>
      </w:r>
      <w:r>
        <w:tab/>
        <w:t>Unless so re-examined and found fit as mentioned in this section, no person shall work or be employed to work in compressed air.</w:t>
      </w:r>
    </w:p>
    <w:p w:rsidR="00AF2508" w:rsidRDefault="00AF2508">
      <w:pPr>
        <w:pStyle w:val="Assectheading"/>
        <w:rPr>
          <w:i w:val="0"/>
        </w:rPr>
      </w:pPr>
      <w:r>
        <w:rPr>
          <w:rStyle w:val="charItals"/>
          <w:i/>
        </w:rPr>
        <w:t>Examination after absence</w:t>
      </w:r>
    </w:p>
    <w:p w:rsidR="00AF2508" w:rsidRDefault="00AF2508">
      <w:pPr>
        <w:pStyle w:val="Amain"/>
      </w:pPr>
      <w:r>
        <w:tab/>
        <w:t>(17)</w:t>
      </w:r>
      <w:r>
        <w:tab/>
        <w:t>An employee who has been absent from work in compressed air in caissons, due to illness of any kind for a period of more than 7 days, or who has been absent from such work due to any other cause, except for recreation, for a period of more than 3 weeks shall not work or be employed to work in compressed air without first producing a certificate of fitness from the medical officer.</w:t>
      </w:r>
    </w:p>
    <w:p w:rsidR="00AF2508" w:rsidRDefault="00AF2508">
      <w:pPr>
        <w:pStyle w:val="Assectheading"/>
        <w:rPr>
          <w:i w:val="0"/>
        </w:rPr>
      </w:pPr>
      <w:r>
        <w:rPr>
          <w:rStyle w:val="charItals"/>
          <w:i/>
        </w:rPr>
        <w:t>New employees</w:t>
      </w:r>
    </w:p>
    <w:p w:rsidR="00AF2508" w:rsidRDefault="00AF2508">
      <w:pPr>
        <w:pStyle w:val="Amain"/>
      </w:pPr>
      <w:r>
        <w:tab/>
        <w:t>(18)</w:t>
      </w:r>
      <w:r>
        <w:tab/>
        <w:t>Every person who is not accustomed to work in compressed air shall be tested to the working pressure in the medical or airlock.</w:t>
      </w:r>
    </w:p>
    <w:p w:rsidR="00AF2508" w:rsidRDefault="00AF2508">
      <w:pPr>
        <w:pStyle w:val="Amain"/>
      </w:pPr>
      <w:r>
        <w:tab/>
        <w:t>(19)</w:t>
      </w:r>
      <w:r>
        <w:tab/>
        <w:t>If any person shows serious symptoms after test, or after the first 2 full working periods, the person shall not work in compressed air.</w:t>
      </w:r>
    </w:p>
    <w:p w:rsidR="00AF2508" w:rsidRDefault="00AF2508">
      <w:pPr>
        <w:pStyle w:val="Assectheading"/>
        <w:rPr>
          <w:i w:val="0"/>
        </w:rPr>
      </w:pPr>
      <w:r>
        <w:rPr>
          <w:rStyle w:val="charItals"/>
          <w:i/>
        </w:rPr>
        <w:t>X</w:t>
      </w:r>
      <w:r>
        <w:rPr>
          <w:rStyle w:val="charItals"/>
          <w:i/>
        </w:rPr>
        <w:noBreakHyphen/>
        <w:t>ray examination</w:t>
      </w:r>
    </w:p>
    <w:p w:rsidR="00AF2508" w:rsidRDefault="00AF2508">
      <w:pPr>
        <w:pStyle w:val="Amain"/>
      </w:pPr>
      <w:r>
        <w:tab/>
        <w:t>(20)</w:t>
      </w:r>
      <w:r>
        <w:tab/>
        <w:t>No person shall work or be employed to work in compressed air after 12 months, or any less a period that the medical officer may determine, has elapsed from the date of the last X-ray examination of his or her chest.</w:t>
      </w:r>
    </w:p>
    <w:p w:rsidR="00AF2508" w:rsidRDefault="00AF2508">
      <w:pPr>
        <w:pStyle w:val="Assectheading"/>
        <w:rPr>
          <w:i w:val="0"/>
        </w:rPr>
      </w:pPr>
      <w:r>
        <w:rPr>
          <w:rStyle w:val="charItals"/>
          <w:i/>
        </w:rPr>
        <w:t>Compressed air worker’s badge</w:t>
      </w:r>
    </w:p>
    <w:p w:rsidR="00AF2508" w:rsidRDefault="00AF2508">
      <w:pPr>
        <w:pStyle w:val="Amain"/>
      </w:pPr>
      <w:r>
        <w:tab/>
        <w:t>(21)</w:t>
      </w:r>
      <w:r>
        <w:tab/>
        <w:t>It shall be the duty of a contractor to supply to every person engaged in compressed air work in caissons in his or her employ a compressed air worker’s badge.</w:t>
      </w:r>
    </w:p>
    <w:p w:rsidR="00AF2508" w:rsidRDefault="00AF2508">
      <w:pPr>
        <w:pStyle w:val="Amain"/>
      </w:pPr>
      <w:r>
        <w:tab/>
        <w:t>(22)</w:t>
      </w:r>
      <w:r>
        <w:tab/>
        <w:t>It shall be the duty of every person engaged in compressed air work in caissons at all times to wear a compressed air worker’s badge.</w:t>
      </w:r>
    </w:p>
    <w:p w:rsidR="00AF2508" w:rsidRDefault="00AF2508">
      <w:pPr>
        <w:pStyle w:val="Amain"/>
      </w:pPr>
      <w:r>
        <w:tab/>
        <w:t>(23)</w:t>
      </w:r>
      <w:r>
        <w:tab/>
        <w:t>A compressed air worker’s badge shall be made of non-corrodible metal and shall be arranged to be worn either in a coat lapel or suspended by a chain or cord placed round the neck.</w:t>
      </w:r>
    </w:p>
    <w:p w:rsidR="00AF2508" w:rsidRDefault="00AF2508">
      <w:pPr>
        <w:pStyle w:val="Amain"/>
      </w:pPr>
      <w:r>
        <w:tab/>
        <w:t>(24)</w:t>
      </w:r>
      <w:r>
        <w:tab/>
        <w:t>Every badge shall be manufactured in accordance with the provisions of section 99 (18) and (19)</w:t>
      </w:r>
    </w:p>
    <w:p w:rsidR="00AF2508" w:rsidRDefault="00AF2508">
      <w:pPr>
        <w:pStyle w:val="Assectheading"/>
        <w:rPr>
          <w:i w:val="0"/>
        </w:rPr>
      </w:pPr>
      <w:r>
        <w:rPr>
          <w:rStyle w:val="charItals"/>
          <w:i/>
        </w:rPr>
        <w:t>Working periods</w:t>
      </w:r>
      <w:r>
        <w:rPr>
          <w:i w:val="0"/>
          <w:color w:val="000000"/>
        </w:rPr>
        <w:t>—</w:t>
      </w:r>
      <w:r>
        <w:rPr>
          <w:rStyle w:val="charItals"/>
          <w:i/>
        </w:rPr>
        <w:t>general</w:t>
      </w:r>
    </w:p>
    <w:p w:rsidR="00AF2508" w:rsidRDefault="00AF2508">
      <w:pPr>
        <w:pStyle w:val="Amain"/>
      </w:pPr>
      <w:r>
        <w:tab/>
        <w:t>(25)</w:t>
      </w:r>
      <w:r>
        <w:tab/>
        <w:t>Except in case of emergency, no person shall work or be employed to work in compressed air for longer in any period of 24 hours, than the period corresponding to the pressure in which the work is carried out as set out in table 101.</w:t>
      </w:r>
    </w:p>
    <w:p w:rsidR="00AF2508" w:rsidRDefault="00AF2508">
      <w:pPr>
        <w:pStyle w:val="TableHd"/>
        <w:ind w:hanging="117"/>
      </w:pPr>
      <w:r>
        <w:t>Table 101</w:t>
      </w:r>
    </w:p>
    <w:tbl>
      <w:tblPr>
        <w:tblW w:w="0" w:type="auto"/>
        <w:tblInd w:w="1163" w:type="dxa"/>
        <w:tblLayout w:type="fixed"/>
        <w:tblCellMar>
          <w:left w:w="80" w:type="dxa"/>
          <w:right w:w="80" w:type="dxa"/>
        </w:tblCellMar>
        <w:tblLook w:val="0000" w:firstRow="0" w:lastRow="0" w:firstColumn="0" w:lastColumn="0" w:noHBand="0" w:noVBand="0"/>
      </w:tblPr>
      <w:tblGrid>
        <w:gridCol w:w="1640"/>
        <w:gridCol w:w="1540"/>
        <w:gridCol w:w="1620"/>
        <w:gridCol w:w="1680"/>
      </w:tblGrid>
      <w:tr w:rsidR="00AF2508">
        <w:trPr>
          <w:cantSplit/>
          <w:tblHeader/>
        </w:trPr>
        <w:tc>
          <w:tcPr>
            <w:tcW w:w="1640" w:type="dxa"/>
            <w:tcBorders>
              <w:bottom w:val="single" w:sz="6" w:space="0" w:color="auto"/>
            </w:tcBorders>
          </w:tcPr>
          <w:p w:rsidR="00AF2508" w:rsidRDefault="00AF2508">
            <w:pPr>
              <w:pStyle w:val="TableColHd"/>
            </w:pPr>
            <w:r>
              <w:t>gauge pressure</w:t>
            </w:r>
          </w:p>
          <w:p w:rsidR="00AF2508" w:rsidRDefault="00AF2508">
            <w:pPr>
              <w:pStyle w:val="TableColHd"/>
            </w:pPr>
            <w:r>
              <w:t>lb/in</w:t>
            </w:r>
            <w:r>
              <w:rPr>
                <w:vertAlign w:val="superscript"/>
              </w:rPr>
              <w:t>2</w:t>
            </w:r>
          </w:p>
        </w:tc>
        <w:tc>
          <w:tcPr>
            <w:tcW w:w="1540" w:type="dxa"/>
            <w:tcBorders>
              <w:bottom w:val="single" w:sz="6" w:space="0" w:color="auto"/>
            </w:tcBorders>
          </w:tcPr>
          <w:p w:rsidR="00AF2508" w:rsidRDefault="00AF2508">
            <w:pPr>
              <w:pStyle w:val="TableColHd"/>
            </w:pPr>
            <w:r>
              <w:t>working period</w:t>
            </w:r>
          </w:p>
        </w:tc>
        <w:tc>
          <w:tcPr>
            <w:tcW w:w="1620" w:type="dxa"/>
            <w:tcBorders>
              <w:bottom w:val="single" w:sz="6" w:space="0" w:color="auto"/>
            </w:tcBorders>
          </w:tcPr>
          <w:p w:rsidR="00AF2508" w:rsidRDefault="00AF2508">
            <w:pPr>
              <w:pStyle w:val="TableColHd"/>
            </w:pPr>
            <w:r>
              <w:t>gauge pressure</w:t>
            </w:r>
          </w:p>
          <w:p w:rsidR="00AF2508" w:rsidRDefault="00AF2508">
            <w:pPr>
              <w:pStyle w:val="TableColHd"/>
            </w:pPr>
            <w:r>
              <w:t>lb/in</w:t>
            </w:r>
            <w:r>
              <w:rPr>
                <w:vertAlign w:val="superscript"/>
              </w:rPr>
              <w:t>2</w:t>
            </w:r>
          </w:p>
        </w:tc>
        <w:tc>
          <w:tcPr>
            <w:tcW w:w="1680" w:type="dxa"/>
            <w:tcBorders>
              <w:bottom w:val="single" w:sz="6" w:space="0" w:color="auto"/>
            </w:tcBorders>
          </w:tcPr>
          <w:p w:rsidR="00AF2508" w:rsidRDefault="00AF2508">
            <w:pPr>
              <w:pStyle w:val="TableColHd"/>
            </w:pPr>
            <w:r>
              <w:t>working period</w:t>
            </w:r>
          </w:p>
        </w:tc>
      </w:tr>
      <w:tr w:rsidR="00AF2508">
        <w:trPr>
          <w:cantSplit/>
        </w:trPr>
        <w:tc>
          <w:tcPr>
            <w:tcW w:w="1640" w:type="dxa"/>
            <w:tcBorders>
              <w:top w:val="single" w:sz="6" w:space="0" w:color="auto"/>
            </w:tcBorders>
          </w:tcPr>
          <w:p w:rsidR="00AF2508" w:rsidRDefault="00AF2508">
            <w:pPr>
              <w:pStyle w:val="TableText"/>
            </w:pPr>
            <w:r>
              <w:t>0-15</w:t>
            </w:r>
          </w:p>
        </w:tc>
        <w:tc>
          <w:tcPr>
            <w:tcW w:w="1540" w:type="dxa"/>
            <w:tcBorders>
              <w:top w:val="single" w:sz="6" w:space="0" w:color="auto"/>
            </w:tcBorders>
          </w:tcPr>
          <w:p w:rsidR="00AF2508" w:rsidRDefault="00AF2508">
            <w:pPr>
              <w:pStyle w:val="TableText"/>
            </w:pPr>
            <w:r>
              <w:t>8 hours</w:t>
            </w:r>
          </w:p>
        </w:tc>
        <w:tc>
          <w:tcPr>
            <w:tcW w:w="1620" w:type="dxa"/>
            <w:tcBorders>
              <w:top w:val="single" w:sz="6" w:space="0" w:color="auto"/>
            </w:tcBorders>
          </w:tcPr>
          <w:p w:rsidR="00AF2508" w:rsidRDefault="00AF2508">
            <w:pPr>
              <w:pStyle w:val="TableText"/>
            </w:pPr>
            <w:r>
              <w:t>40-50</w:t>
            </w:r>
          </w:p>
        </w:tc>
        <w:tc>
          <w:tcPr>
            <w:tcW w:w="1680" w:type="dxa"/>
            <w:tcBorders>
              <w:top w:val="single" w:sz="6" w:space="0" w:color="auto"/>
            </w:tcBorders>
          </w:tcPr>
          <w:p w:rsidR="00AF2508" w:rsidRDefault="00AF2508">
            <w:pPr>
              <w:pStyle w:val="TableText"/>
            </w:pPr>
            <w:r>
              <w:t>3 hours</w:t>
            </w:r>
          </w:p>
        </w:tc>
      </w:tr>
      <w:tr w:rsidR="00AF2508">
        <w:trPr>
          <w:cantSplit/>
        </w:trPr>
        <w:tc>
          <w:tcPr>
            <w:tcW w:w="1640" w:type="dxa"/>
          </w:tcPr>
          <w:p w:rsidR="00AF2508" w:rsidRDefault="00AF2508">
            <w:pPr>
              <w:pStyle w:val="TableText"/>
            </w:pPr>
            <w:r>
              <w:t>15-25</w:t>
            </w:r>
          </w:p>
        </w:tc>
        <w:tc>
          <w:tcPr>
            <w:tcW w:w="1540" w:type="dxa"/>
          </w:tcPr>
          <w:p w:rsidR="00AF2508" w:rsidRDefault="00AF2508">
            <w:pPr>
              <w:pStyle w:val="TableText"/>
            </w:pPr>
            <w:r>
              <w:t>6 hours</w:t>
            </w:r>
          </w:p>
        </w:tc>
        <w:tc>
          <w:tcPr>
            <w:tcW w:w="1620" w:type="dxa"/>
          </w:tcPr>
          <w:p w:rsidR="00AF2508" w:rsidRDefault="00AF2508">
            <w:pPr>
              <w:pStyle w:val="TableText"/>
            </w:pPr>
            <w:r>
              <w:t>50-55</w:t>
            </w:r>
          </w:p>
        </w:tc>
        <w:tc>
          <w:tcPr>
            <w:tcW w:w="1680" w:type="dxa"/>
          </w:tcPr>
          <w:p w:rsidR="00AF2508" w:rsidRDefault="00AF2508">
            <w:pPr>
              <w:pStyle w:val="TableText"/>
            </w:pPr>
            <w:r>
              <w:t>2 hours</w:t>
            </w:r>
          </w:p>
        </w:tc>
      </w:tr>
      <w:tr w:rsidR="00AF2508">
        <w:trPr>
          <w:cantSplit/>
        </w:trPr>
        <w:tc>
          <w:tcPr>
            <w:tcW w:w="1640" w:type="dxa"/>
          </w:tcPr>
          <w:p w:rsidR="00AF2508" w:rsidRDefault="00AF2508">
            <w:pPr>
              <w:pStyle w:val="TableText"/>
            </w:pPr>
            <w:r>
              <w:t>25-40</w:t>
            </w:r>
          </w:p>
        </w:tc>
        <w:tc>
          <w:tcPr>
            <w:tcW w:w="1540" w:type="dxa"/>
          </w:tcPr>
          <w:p w:rsidR="00AF2508" w:rsidRDefault="00AF2508">
            <w:pPr>
              <w:pStyle w:val="TableText"/>
            </w:pPr>
            <w:r>
              <w:t>4 hours</w:t>
            </w:r>
          </w:p>
        </w:tc>
        <w:tc>
          <w:tcPr>
            <w:tcW w:w="1620" w:type="dxa"/>
          </w:tcPr>
          <w:p w:rsidR="00AF2508" w:rsidRDefault="00AF2508">
            <w:pPr>
              <w:pStyle w:val="TableText"/>
            </w:pPr>
            <w:r>
              <w:t>55-60</w:t>
            </w:r>
          </w:p>
        </w:tc>
        <w:tc>
          <w:tcPr>
            <w:tcW w:w="1680" w:type="dxa"/>
          </w:tcPr>
          <w:p w:rsidR="00AF2508" w:rsidRDefault="00AF2508">
            <w:pPr>
              <w:pStyle w:val="TableText"/>
            </w:pPr>
            <w:r>
              <w:t>1</w:t>
            </w:r>
            <w:r>
              <w:rPr>
                <w:position w:val="6"/>
                <w:sz w:val="18"/>
              </w:rPr>
              <w:t>1</w:t>
            </w:r>
            <w:r>
              <w:t>/</w:t>
            </w:r>
            <w:r>
              <w:rPr>
                <w:sz w:val="18"/>
              </w:rPr>
              <w:t>2</w:t>
            </w:r>
            <w:r>
              <w:t xml:space="preserve"> hours</w:t>
            </w:r>
          </w:p>
        </w:tc>
      </w:tr>
    </w:tbl>
    <w:p w:rsidR="00AF2508" w:rsidRDefault="00AF2508"/>
    <w:p w:rsidR="00AF2508" w:rsidRDefault="00AF2508">
      <w:pPr>
        <w:pStyle w:val="Amain"/>
        <w:keepNext/>
      </w:pPr>
      <w:r>
        <w:tab/>
        <w:t>(26)</w:t>
      </w:r>
      <w:r>
        <w:tab/>
        <w:t>Provided that—</w:t>
      </w:r>
    </w:p>
    <w:p w:rsidR="00AF2508" w:rsidRDefault="00AF2508">
      <w:pPr>
        <w:pStyle w:val="Apara"/>
      </w:pPr>
      <w:r>
        <w:tab/>
        <w:t>(a)</w:t>
      </w:r>
      <w:r>
        <w:tab/>
        <w:t xml:space="preserve">the 8 hour and 6 hour working periods each include a meal break of </w:t>
      </w:r>
      <w:r>
        <w:rPr>
          <w:position w:val="6"/>
          <w:sz w:val="18"/>
        </w:rPr>
        <w:t>1</w:t>
      </w:r>
      <w:r>
        <w:t>/</w:t>
      </w:r>
      <w:r>
        <w:rPr>
          <w:sz w:val="18"/>
        </w:rPr>
        <w:t>2</w:t>
      </w:r>
      <w:r>
        <w:t xml:space="preserve"> an hour; and</w:t>
      </w:r>
    </w:p>
    <w:p w:rsidR="00AF2508" w:rsidRDefault="00AF2508">
      <w:pPr>
        <w:pStyle w:val="Apara"/>
      </w:pPr>
      <w:r>
        <w:tab/>
        <w:t>(b)</w:t>
      </w:r>
      <w:r>
        <w:tab/>
        <w:t>the 8 hour working period includes times required for compression and decompression, but the other working periods shown in table 101 do not include times for those purposes nor time occupied in changing shifts.</w:t>
      </w:r>
    </w:p>
    <w:p w:rsidR="00AF2508" w:rsidRDefault="00AF2508">
      <w:pPr>
        <w:pStyle w:val="Assectheading"/>
        <w:rPr>
          <w:i w:val="0"/>
        </w:rPr>
      </w:pPr>
      <w:r>
        <w:rPr>
          <w:rStyle w:val="charItals"/>
          <w:i/>
        </w:rPr>
        <w:t>Observation period</w:t>
      </w:r>
    </w:p>
    <w:p w:rsidR="00AF2508" w:rsidRDefault="00AF2508">
      <w:pPr>
        <w:pStyle w:val="Amain"/>
      </w:pPr>
      <w:r>
        <w:tab/>
        <w:t>(27)</w:t>
      </w:r>
      <w:r>
        <w:tab/>
        <w:t>After decompression from pressures between 25 and 40 pounds per square inch, all persons shall be kept for observation for 45 minutes before leaving the site of the work.</w:t>
      </w:r>
    </w:p>
    <w:p w:rsidR="00AF2508" w:rsidRDefault="00AF2508">
      <w:pPr>
        <w:pStyle w:val="Amain"/>
      </w:pPr>
      <w:r>
        <w:tab/>
        <w:t>(28)</w:t>
      </w:r>
      <w:r>
        <w:tab/>
        <w:t>This period of detention shall be increased to 1 hour after decompression from pressures between 40 and 60 pounds per square inch.</w:t>
      </w:r>
    </w:p>
    <w:p w:rsidR="00AF2508" w:rsidRDefault="00AF2508">
      <w:pPr>
        <w:pStyle w:val="Assectheading"/>
        <w:rPr>
          <w:i w:val="0"/>
          <w:color w:val="000000"/>
        </w:rPr>
      </w:pPr>
      <w:r>
        <w:rPr>
          <w:rStyle w:val="charItals"/>
          <w:i/>
        </w:rPr>
        <w:t>Compression</w:t>
      </w:r>
    </w:p>
    <w:p w:rsidR="00AF2508" w:rsidRDefault="00AF2508">
      <w:pPr>
        <w:pStyle w:val="Amain"/>
        <w:rPr>
          <w:color w:val="000000"/>
        </w:rPr>
      </w:pPr>
      <w:r>
        <w:rPr>
          <w:color w:val="000000"/>
        </w:rPr>
        <w:tab/>
        <w:t>(29)</w:t>
      </w:r>
      <w:r>
        <w:rPr>
          <w:color w:val="000000"/>
        </w:rPr>
        <w:tab/>
        <w:t>During compression the pressure shall be increased gradually and uniformly to ensure that no person is distressed.</w:t>
      </w:r>
    </w:p>
    <w:p w:rsidR="00AF2508" w:rsidRDefault="00AF2508">
      <w:pPr>
        <w:pStyle w:val="Amain"/>
      </w:pPr>
      <w:r>
        <w:tab/>
        <w:t>(30)</w:t>
      </w:r>
      <w:r>
        <w:tab/>
        <w:t>The rate of compression shall not exceed 5 pounds per square inch per minute.</w:t>
      </w:r>
    </w:p>
    <w:p w:rsidR="00AF2508" w:rsidRDefault="00AF2508">
      <w:pPr>
        <w:pStyle w:val="Assectheading"/>
        <w:rPr>
          <w:i w:val="0"/>
          <w:color w:val="000000"/>
        </w:rPr>
      </w:pPr>
      <w:r>
        <w:rPr>
          <w:rStyle w:val="charItals"/>
          <w:i/>
        </w:rPr>
        <w:t>Decompression</w:t>
      </w:r>
    </w:p>
    <w:p w:rsidR="00AF2508" w:rsidRDefault="00AF2508">
      <w:pPr>
        <w:pStyle w:val="Amain"/>
      </w:pPr>
      <w:r>
        <w:rPr>
          <w:color w:val="000000"/>
        </w:rPr>
        <w:tab/>
        <w:t>(31)</w:t>
      </w:r>
      <w:r>
        <w:rPr>
          <w:color w:val="000000"/>
        </w:rPr>
        <w:tab/>
        <w:t>Decompression shall be carried out in accordance with the provisions of schedule 7, table 7.3, provided that at pressures lower than 18 pounds per square inch decompression shall be conducted at a rate that will not inconvenience any person, but shall not be completed in less than 5 minutes.</w:t>
      </w:r>
    </w:p>
    <w:p w:rsidR="00AF2508" w:rsidRDefault="00AF2508">
      <w:pPr>
        <w:pStyle w:val="Amain"/>
      </w:pPr>
      <w:r>
        <w:tab/>
        <w:t>(32)</w:t>
      </w:r>
      <w:r>
        <w:tab/>
        <w:t>A copy of schedule 7, table 7.3, shall be posted in the man-lock.</w:t>
      </w:r>
    </w:p>
    <w:p w:rsidR="00AF2508" w:rsidRDefault="00AF2508">
      <w:pPr>
        <w:pStyle w:val="Assectheading"/>
        <w:rPr>
          <w:i w:val="0"/>
          <w:color w:val="000000"/>
        </w:rPr>
      </w:pPr>
      <w:r>
        <w:rPr>
          <w:rStyle w:val="charItals"/>
          <w:i/>
        </w:rPr>
        <w:t>Airlock Attendants</w:t>
      </w:r>
    </w:p>
    <w:p w:rsidR="00AF2508" w:rsidRDefault="00AF2508">
      <w:pPr>
        <w:pStyle w:val="Amain"/>
      </w:pPr>
      <w:r>
        <w:rPr>
          <w:color w:val="000000"/>
        </w:rPr>
        <w:tab/>
        <w:t>(33)</w:t>
      </w:r>
      <w:r>
        <w:rPr>
          <w:color w:val="000000"/>
        </w:rPr>
        <w:tab/>
        <w:t>Every airlock shall be served only by a reliable, and specially trained and selected person.</w:t>
      </w:r>
    </w:p>
    <w:p w:rsidR="00AF2508" w:rsidRDefault="00AF2508">
      <w:pPr>
        <w:pStyle w:val="Amain"/>
      </w:pPr>
      <w:r>
        <w:tab/>
        <w:t>(34)</w:t>
      </w:r>
      <w:r>
        <w:tab/>
        <w:t>The airlock attendant, if without previous experience of either working in or controlling airlocks, shall be specially trained.</w:t>
      </w:r>
    </w:p>
    <w:p w:rsidR="00AF2508" w:rsidRDefault="00AF2508">
      <w:pPr>
        <w:pStyle w:val="Amain"/>
      </w:pPr>
      <w:r>
        <w:tab/>
        <w:t>(35)</w:t>
      </w:r>
      <w:r>
        <w:tab/>
        <w:t>The airlock attendant shall at no time operate more than 1 man</w:t>
      </w:r>
      <w:r>
        <w:noBreakHyphen/>
        <w:t>lock.</w:t>
      </w:r>
    </w:p>
    <w:p w:rsidR="00AF2508" w:rsidRDefault="00AF2508">
      <w:pPr>
        <w:pStyle w:val="Amain"/>
      </w:pPr>
      <w:r>
        <w:tab/>
        <w:t>(36)</w:t>
      </w:r>
      <w:r>
        <w:tab/>
        <w:t>The airlock attendant shall remain outside the lock near the entrance, and shall not be employed for more than 8 hours in any 24 hours.</w:t>
      </w:r>
    </w:p>
    <w:p w:rsidR="00AF2508" w:rsidRDefault="00AF2508">
      <w:pPr>
        <w:pStyle w:val="Assectheading"/>
        <w:rPr>
          <w:i w:val="0"/>
        </w:rPr>
      </w:pPr>
      <w:r>
        <w:rPr>
          <w:rStyle w:val="charItals"/>
          <w:i/>
        </w:rPr>
        <w:t>Airlock records</w:t>
      </w:r>
    </w:p>
    <w:p w:rsidR="00AF2508" w:rsidRDefault="00AF2508">
      <w:pPr>
        <w:pStyle w:val="Amain"/>
      </w:pPr>
      <w:r>
        <w:tab/>
        <w:t>(37)</w:t>
      </w:r>
      <w:r>
        <w:tab/>
        <w:t>A record of workers employed in compressed air shall be kept.</w:t>
      </w:r>
    </w:p>
    <w:p w:rsidR="00AF2508" w:rsidRDefault="00AF2508">
      <w:pPr>
        <w:pStyle w:val="Amain"/>
      </w:pPr>
      <w:r>
        <w:tab/>
        <w:t>(38)</w:t>
      </w:r>
      <w:r>
        <w:tab/>
        <w:t>This record shall show for each employee the period of stay in the working chamber, the gauge pressure and the time taken for decompression.</w:t>
      </w:r>
    </w:p>
    <w:p w:rsidR="00AF2508" w:rsidRDefault="00AF2508">
      <w:pPr>
        <w:pStyle w:val="Assectheading"/>
        <w:rPr>
          <w:i w:val="0"/>
        </w:rPr>
      </w:pPr>
      <w:r>
        <w:rPr>
          <w:rStyle w:val="charItals"/>
          <w:i/>
        </w:rPr>
        <w:t>Man-lock—size</w:t>
      </w:r>
    </w:p>
    <w:p w:rsidR="00AF2508" w:rsidRDefault="00AF2508">
      <w:pPr>
        <w:pStyle w:val="Amain"/>
        <w:keepLines/>
      </w:pPr>
      <w:r>
        <w:tab/>
        <w:t>(39)</w:t>
      </w:r>
      <w:r>
        <w:tab/>
        <w:t>The chambers serving for compression and decompression shall be of such dimensions that the space available to each person using the chambers at any time shall be at least equal to 16 cubic feet with a minimum floor space of 3 square feet per person.</w:t>
      </w:r>
    </w:p>
    <w:p w:rsidR="00AF2508" w:rsidRDefault="00AF2508">
      <w:pPr>
        <w:pStyle w:val="Assectheading"/>
        <w:rPr>
          <w:i w:val="0"/>
        </w:rPr>
      </w:pPr>
      <w:r>
        <w:rPr>
          <w:rStyle w:val="charItals"/>
          <w:i/>
        </w:rPr>
        <w:t>Man-lock—access</w:t>
      </w:r>
    </w:p>
    <w:p w:rsidR="00AF2508" w:rsidRDefault="00AF2508">
      <w:pPr>
        <w:pStyle w:val="Amain"/>
      </w:pPr>
      <w:r>
        <w:tab/>
        <w:t>(40)</w:t>
      </w:r>
      <w:r>
        <w:tab/>
        <w:t>The door between the man-lock and the working chamber shall remain open except during compression and decompression and during the procedure of passing material through the lock.</w:t>
      </w:r>
    </w:p>
    <w:p w:rsidR="00AF2508" w:rsidRDefault="00AF2508">
      <w:pPr>
        <w:pStyle w:val="Amain"/>
      </w:pPr>
      <w:r>
        <w:tab/>
        <w:t>(41)</w:t>
      </w:r>
      <w:r>
        <w:tab/>
        <w:t>A ladder conforming to the requirements of this regulation shall be available for access to and from the working chambers.</w:t>
      </w:r>
    </w:p>
    <w:p w:rsidR="00AF2508" w:rsidRDefault="00AF2508">
      <w:pPr>
        <w:pStyle w:val="Assectheading"/>
        <w:rPr>
          <w:i w:val="0"/>
        </w:rPr>
      </w:pPr>
      <w:r>
        <w:rPr>
          <w:rStyle w:val="charItals"/>
          <w:i/>
        </w:rPr>
        <w:t>Man-lock—fittings</w:t>
      </w:r>
    </w:p>
    <w:p w:rsidR="00AF2508" w:rsidRDefault="00AF2508">
      <w:pPr>
        <w:pStyle w:val="Amain"/>
      </w:pPr>
      <w:r>
        <w:tab/>
        <w:t>(42)</w:t>
      </w:r>
      <w:r>
        <w:tab/>
        <w:t>Every lock in which persons are compressed or decompressed shall be fitted with a suitable instrument panel on which shall be mounted the necessary pressure gauges in duplicate, an accurate timepiece, and decompression tables or charts.</w:t>
      </w:r>
    </w:p>
    <w:p w:rsidR="00AF2508" w:rsidRDefault="00AF2508">
      <w:pPr>
        <w:pStyle w:val="Amain"/>
      </w:pPr>
      <w:r>
        <w:tab/>
        <w:t>(43)</w:t>
      </w:r>
      <w:r>
        <w:tab/>
        <w:t>The instrument panel shall be adequately lighted.</w:t>
      </w:r>
    </w:p>
    <w:p w:rsidR="00AF2508" w:rsidRDefault="00AF2508">
      <w:pPr>
        <w:pStyle w:val="Amain"/>
      </w:pPr>
      <w:r>
        <w:tab/>
        <w:t>(44)</w:t>
      </w:r>
      <w:r>
        <w:tab/>
        <w:t>The man-lock shall be fitted with valves both inside and outside the lock.</w:t>
      </w:r>
    </w:p>
    <w:p w:rsidR="00AF2508" w:rsidRDefault="00AF2508">
      <w:pPr>
        <w:pStyle w:val="Amain"/>
      </w:pPr>
      <w:r>
        <w:tab/>
        <w:t>(45)</w:t>
      </w:r>
      <w:r>
        <w:tab/>
        <w:t>The valves to which the airlock attendant has no access shall be sealed in a box provided with a glass panel that can be broken to permit the use of the valves in case of emergency.</w:t>
      </w:r>
    </w:p>
    <w:p w:rsidR="00AF2508" w:rsidRDefault="00AF2508">
      <w:pPr>
        <w:pStyle w:val="Amain"/>
      </w:pPr>
      <w:r>
        <w:tab/>
        <w:t>(46)</w:t>
      </w:r>
      <w:r>
        <w:tab/>
        <w:t>Except in cases of emergency valves shall be operated only by the airlock attendant.</w:t>
      </w:r>
    </w:p>
    <w:p w:rsidR="00AF2508" w:rsidRDefault="00AF2508">
      <w:pPr>
        <w:pStyle w:val="Assectheading"/>
        <w:rPr>
          <w:i w:val="0"/>
        </w:rPr>
      </w:pPr>
      <w:r>
        <w:rPr>
          <w:rStyle w:val="charItals"/>
          <w:i/>
        </w:rPr>
        <w:t>Regulation of temperature in airlock</w:t>
      </w:r>
    </w:p>
    <w:p w:rsidR="00AF2508" w:rsidRDefault="00AF2508">
      <w:pPr>
        <w:pStyle w:val="Amain"/>
        <w:keepLines/>
      </w:pPr>
      <w:r>
        <w:tab/>
        <w:t>(47)</w:t>
      </w:r>
      <w:r>
        <w:tab/>
        <w:t>The temperature in every airlock shall be regulated as required by heating or by protection against loss of heat, or by protection against the direct rays of the sun by means of a covering that can be sprayed with water.</w:t>
      </w:r>
    </w:p>
    <w:p w:rsidR="00AF2508" w:rsidRDefault="00AF2508">
      <w:pPr>
        <w:pStyle w:val="Assectheading"/>
        <w:rPr>
          <w:i w:val="0"/>
        </w:rPr>
      </w:pPr>
      <w:r>
        <w:rPr>
          <w:rStyle w:val="charItals"/>
          <w:i/>
        </w:rPr>
        <w:t>Communication</w:t>
      </w:r>
    </w:p>
    <w:p w:rsidR="00AF2508" w:rsidRDefault="00AF2508">
      <w:pPr>
        <w:pStyle w:val="Amain"/>
      </w:pPr>
      <w:r>
        <w:tab/>
        <w:t>(48)</w:t>
      </w:r>
      <w:r>
        <w:tab/>
        <w:t>The working chamber and the airlock shall be in telephonic communication at all times with the airlock attendant, who shall also be provided with telephonic or other satisfactory means of communicating with the contractor or his or her representative on the works.</w:t>
      </w:r>
    </w:p>
    <w:p w:rsidR="00AF2508" w:rsidRDefault="00AF2508">
      <w:pPr>
        <w:pStyle w:val="Amain"/>
      </w:pPr>
      <w:r>
        <w:tab/>
        <w:t>(49)</w:t>
      </w:r>
      <w:r>
        <w:tab/>
        <w:t>The contractor shall depute a representative to be at all times available for communication with the airlock attendant.</w:t>
      </w:r>
    </w:p>
    <w:p w:rsidR="00AF2508" w:rsidRDefault="00AF2508">
      <w:pPr>
        <w:pStyle w:val="Amain"/>
      </w:pPr>
      <w:r>
        <w:tab/>
        <w:t>(50)</w:t>
      </w:r>
      <w:r>
        <w:tab/>
        <w:t>In the event of telephone failure, signals shall be transmitted by tapping.</w:t>
      </w:r>
    </w:p>
    <w:p w:rsidR="00AF2508" w:rsidRDefault="00AF2508">
      <w:pPr>
        <w:pStyle w:val="Amain"/>
      </w:pPr>
      <w:r>
        <w:tab/>
        <w:t>(51)</w:t>
      </w:r>
      <w:r>
        <w:tab/>
        <w:t>A suitable code of signals shall be formulated on the job and a copy of this code shall be posted inside and outside the man-lock.</w:t>
      </w:r>
    </w:p>
    <w:p w:rsidR="00AF2508" w:rsidRDefault="00AF2508">
      <w:pPr>
        <w:pStyle w:val="Assectheading"/>
        <w:rPr>
          <w:i w:val="0"/>
        </w:rPr>
      </w:pPr>
      <w:r>
        <w:rPr>
          <w:rStyle w:val="charItals"/>
          <w:i/>
        </w:rPr>
        <w:t>Height of working chamber</w:t>
      </w:r>
    </w:p>
    <w:p w:rsidR="00AF2508" w:rsidRDefault="00AF2508">
      <w:pPr>
        <w:pStyle w:val="Amain"/>
      </w:pPr>
      <w:r>
        <w:tab/>
        <w:t>(52)</w:t>
      </w:r>
      <w:r>
        <w:tab/>
        <w:t>The height of the working chamber, measured between the roof and the lower cutting edge, shall be at least 8 feet.</w:t>
      </w:r>
    </w:p>
    <w:p w:rsidR="00AF2508" w:rsidRDefault="00AF2508">
      <w:pPr>
        <w:pStyle w:val="Assectheading"/>
        <w:rPr>
          <w:i w:val="0"/>
        </w:rPr>
      </w:pPr>
      <w:r>
        <w:rPr>
          <w:rStyle w:val="charItals"/>
          <w:i/>
        </w:rPr>
        <w:t>Medical lock</w:t>
      </w:r>
    </w:p>
    <w:p w:rsidR="00AF2508" w:rsidRDefault="00AF2508">
      <w:pPr>
        <w:pStyle w:val="Amain"/>
      </w:pPr>
      <w:r>
        <w:tab/>
        <w:t>(53)</w:t>
      </w:r>
      <w:r>
        <w:tab/>
        <w:t>A medical lock at least 5 feet in diameter shall be provided when work is being carried out at a pressure of 25 pounds per square inch or over.</w:t>
      </w:r>
    </w:p>
    <w:p w:rsidR="00AF2508" w:rsidRDefault="00AF2508">
      <w:pPr>
        <w:pStyle w:val="Amain"/>
      </w:pPr>
      <w:r>
        <w:tab/>
        <w:t>(54)</w:t>
      </w:r>
      <w:r>
        <w:tab/>
        <w:t>Should any case of compressed air illness occur when the working pressure is less than 25 pounds per square inch it may be dealt with in the man-lock.</w:t>
      </w:r>
    </w:p>
    <w:p w:rsidR="00AF2508" w:rsidRDefault="00AF2508">
      <w:pPr>
        <w:pStyle w:val="Amain"/>
      </w:pPr>
      <w:r>
        <w:tab/>
        <w:t>(55)</w:t>
      </w:r>
      <w:r>
        <w:tab/>
        <w:t>The medical lock shall have 2 compartments, so that entry may be obtained to the inner chamber while it is under pressure.</w:t>
      </w:r>
    </w:p>
    <w:p w:rsidR="00AF2508" w:rsidRDefault="00AF2508">
      <w:pPr>
        <w:pStyle w:val="Amain"/>
      </w:pPr>
      <w:r>
        <w:tab/>
        <w:t>(56)</w:t>
      </w:r>
      <w:r>
        <w:tab/>
        <w:t>The medical lock shall be adequately ventilated, protected from the direct rays of the sun or adequately heated if required, and it shall be adequately lighted.</w:t>
      </w:r>
    </w:p>
    <w:p w:rsidR="00AF2508" w:rsidRDefault="00AF2508">
      <w:pPr>
        <w:pStyle w:val="Amain"/>
      </w:pPr>
      <w:r>
        <w:tab/>
        <w:t>(57)</w:t>
      </w:r>
      <w:r>
        <w:tab/>
        <w:t>The lock and its equipment shall be kept in a clean state.</w:t>
      </w:r>
    </w:p>
    <w:p w:rsidR="00AF2508" w:rsidRDefault="00AF2508">
      <w:pPr>
        <w:pStyle w:val="Amain"/>
      </w:pPr>
      <w:r>
        <w:tab/>
        <w:t>(58)</w:t>
      </w:r>
      <w:r>
        <w:tab/>
        <w:t>The medical lock shall be provided with suitable equipment, including a couch not less than 6 feet in length, clean blankets, dry woollen garments, a food lock and a telephone.</w:t>
      </w:r>
    </w:p>
    <w:p w:rsidR="00AF2508" w:rsidRDefault="00AF2508">
      <w:pPr>
        <w:pStyle w:val="Amain"/>
      </w:pPr>
      <w:r>
        <w:tab/>
        <w:t>(59)</w:t>
      </w:r>
      <w:r>
        <w:tab/>
        <w:t>The medical lock shall be located within the immediate vicinity of the works and arrangements shall be made to ensure that the lock is ready for operation during the 12 hours after the end of any shift.</w:t>
      </w:r>
    </w:p>
    <w:p w:rsidR="00AF2508" w:rsidRDefault="00AF2508">
      <w:pPr>
        <w:pStyle w:val="Amain"/>
      </w:pPr>
      <w:r>
        <w:tab/>
        <w:t>(60)</w:t>
      </w:r>
      <w:r>
        <w:tab/>
        <w:t>The medical lock shall be equipped with a small glazed aperture so that a patient under treatment in the lock can be kept under observation by the attendant from outside the lock.</w:t>
      </w:r>
    </w:p>
    <w:p w:rsidR="00AF2508" w:rsidRDefault="00AF2508">
      <w:pPr>
        <w:pStyle w:val="Amain"/>
      </w:pPr>
      <w:r>
        <w:tab/>
        <w:t>(61)</w:t>
      </w:r>
      <w:r>
        <w:tab/>
        <w:t>It shall be provided with a pressure gauge and an accurate timepiece for each compartment.</w:t>
      </w:r>
    </w:p>
    <w:p w:rsidR="00AF2508" w:rsidRDefault="00AF2508">
      <w:pPr>
        <w:pStyle w:val="Amain"/>
      </w:pPr>
      <w:r>
        <w:tab/>
        <w:t>(62)</w:t>
      </w:r>
      <w:r>
        <w:tab/>
        <w:t>The timepiece and pressure gauge for the main compartment shall be in such a position that they can be readily seen by the attendant whether the attendant is inside or outside the lock.</w:t>
      </w:r>
    </w:p>
    <w:p w:rsidR="00AF2508" w:rsidRDefault="00AF2508">
      <w:pPr>
        <w:pStyle w:val="Assectheading"/>
        <w:rPr>
          <w:i w:val="0"/>
        </w:rPr>
      </w:pPr>
      <w:r>
        <w:rPr>
          <w:rStyle w:val="charItals"/>
          <w:i/>
        </w:rPr>
        <w:t>Lighting</w:t>
      </w:r>
    </w:p>
    <w:p w:rsidR="00AF2508" w:rsidRDefault="00AF2508">
      <w:pPr>
        <w:pStyle w:val="Amain"/>
      </w:pPr>
      <w:r>
        <w:tab/>
        <w:t>(63)</w:t>
      </w:r>
      <w:r>
        <w:tab/>
        <w:t>All lighting in compressed air chambers shall be by electricity only, except in case of emergency.</w:t>
      </w:r>
    </w:p>
    <w:p w:rsidR="00AF2508" w:rsidRDefault="00AF2508">
      <w:pPr>
        <w:pStyle w:val="Amain"/>
      </w:pPr>
      <w:r>
        <w:tab/>
        <w:t>(64)</w:t>
      </w:r>
      <w:r>
        <w:tab/>
        <w:t>One man in an airlock shall be provided with an electric pocket lamp, and candles and damp-proof matches shall be provided in the working chamber and in each airlock.</w:t>
      </w:r>
    </w:p>
    <w:p w:rsidR="00AF2508" w:rsidRDefault="00AF2508">
      <w:pPr>
        <w:pStyle w:val="Amain"/>
      </w:pPr>
      <w:r>
        <w:tab/>
        <w:t>(65)</w:t>
      </w:r>
      <w:r>
        <w:tab/>
        <w:t>All portable incandescent lamps shall be guarded by a wire cage large enough to enclose both lamp and socket.</w:t>
      </w:r>
    </w:p>
    <w:p w:rsidR="00AF2508" w:rsidRDefault="00AF2508">
      <w:pPr>
        <w:pStyle w:val="Amain"/>
      </w:pPr>
      <w:r>
        <w:tab/>
        <w:t>(66)</w:t>
      </w:r>
      <w:r>
        <w:tab/>
        <w:t>The lamps shall be constructed in accordance with the provisions of Standards Australia, Approval and Test Specification No C. 118, entitled Electric Hand-Lamps.</w:t>
      </w:r>
    </w:p>
    <w:p w:rsidR="00AF2508" w:rsidRDefault="00AF2508">
      <w:pPr>
        <w:pStyle w:val="Assectheading"/>
        <w:rPr>
          <w:i w:val="0"/>
        </w:rPr>
      </w:pPr>
      <w:r>
        <w:rPr>
          <w:rStyle w:val="charItals"/>
          <w:i/>
        </w:rPr>
        <w:t>Electric installation</w:t>
      </w:r>
      <w:r>
        <w:rPr>
          <w:i w:val="0"/>
        </w:rPr>
        <w:t>—</w:t>
      </w:r>
      <w:r>
        <w:rPr>
          <w:rStyle w:val="charItals"/>
          <w:i/>
        </w:rPr>
        <w:t>voltage</w:t>
      </w:r>
    </w:p>
    <w:p w:rsidR="00AF2508" w:rsidRDefault="00AF2508">
      <w:pPr>
        <w:pStyle w:val="Amain"/>
      </w:pPr>
      <w:r>
        <w:tab/>
        <w:t>(67)</w:t>
      </w:r>
      <w:r>
        <w:tab/>
        <w:t>The voltage used for electrical apparatus and lights in compressed air chambers shall not exceed 32V for alternating current supply and 50V for direct current supply.</w:t>
      </w:r>
    </w:p>
    <w:p w:rsidR="00AF2508" w:rsidRDefault="00AF2508">
      <w:pPr>
        <w:pStyle w:val="Assectheading"/>
        <w:rPr>
          <w:i w:val="0"/>
        </w:rPr>
      </w:pPr>
      <w:r>
        <w:rPr>
          <w:rStyle w:val="charItals"/>
          <w:i/>
        </w:rPr>
        <w:t>Electric installation</w:t>
      </w:r>
      <w:r>
        <w:rPr>
          <w:i w:val="0"/>
        </w:rPr>
        <w:t>—</w:t>
      </w:r>
      <w:r>
        <w:rPr>
          <w:rStyle w:val="charItals"/>
          <w:i/>
        </w:rPr>
        <w:t>wiring</w:t>
      </w:r>
    </w:p>
    <w:p w:rsidR="00AF2508" w:rsidRDefault="00AF2508">
      <w:pPr>
        <w:pStyle w:val="Amain"/>
      </w:pPr>
      <w:r>
        <w:tab/>
        <w:t>(68)</w:t>
      </w:r>
      <w:r>
        <w:tab/>
        <w:t>Except as otherwise provided in this regulation, all wiring for light and power circuits shall comply with the requirements of the Standards Australia Wiring Rules for damp or hazardous locations.</w:t>
      </w:r>
    </w:p>
    <w:p w:rsidR="00AF2508" w:rsidRDefault="00AF2508">
      <w:pPr>
        <w:pStyle w:val="Assectheading"/>
        <w:rPr>
          <w:i w:val="0"/>
        </w:rPr>
      </w:pPr>
      <w:r>
        <w:rPr>
          <w:rStyle w:val="charItals"/>
          <w:i/>
        </w:rPr>
        <w:t>Air supply</w:t>
      </w:r>
    </w:p>
    <w:p w:rsidR="00AF2508" w:rsidRDefault="00AF2508">
      <w:pPr>
        <w:pStyle w:val="Amain"/>
      </w:pPr>
      <w:r>
        <w:tab/>
        <w:t>(69)</w:t>
      </w:r>
      <w:r>
        <w:tab/>
        <w:t>A minimum of 25 cubic feet of clean fresh air shall be supplied per minute to each worker in the working chamber, and a minimum of 10 cubic feet per minute to each worker in the man-lock.</w:t>
      </w:r>
    </w:p>
    <w:p w:rsidR="00AF2508" w:rsidRDefault="00AF2508">
      <w:pPr>
        <w:pStyle w:val="Amain"/>
      </w:pPr>
      <w:r>
        <w:tab/>
        <w:t>(70)</w:t>
      </w:r>
      <w:r>
        <w:tab/>
        <w:t>In the event of a failure of the air supply exceeding 5 minutes in duration, all workers shall be withdrawn from the working chamber.</w:t>
      </w:r>
    </w:p>
    <w:p w:rsidR="00AF2508" w:rsidRDefault="00AF2508">
      <w:pPr>
        <w:pStyle w:val="Assectheading"/>
        <w:rPr>
          <w:i w:val="0"/>
        </w:rPr>
      </w:pPr>
      <w:r>
        <w:rPr>
          <w:rStyle w:val="charItals"/>
          <w:i/>
        </w:rPr>
        <w:t>Free air intake</w:t>
      </w:r>
    </w:p>
    <w:p w:rsidR="00AF2508" w:rsidRDefault="00AF2508">
      <w:pPr>
        <w:pStyle w:val="Amain"/>
      </w:pPr>
      <w:r>
        <w:tab/>
        <w:t>(71)</w:t>
      </w:r>
      <w:r>
        <w:tab/>
        <w:t>The free air intake shall be so situatedd as to ensure an ample supply of clean, fresh air.</w:t>
      </w:r>
    </w:p>
    <w:p w:rsidR="00AF2508" w:rsidRDefault="00AF2508">
      <w:pPr>
        <w:pStyle w:val="Amain"/>
      </w:pPr>
      <w:r>
        <w:tab/>
        <w:t>(72)</w:t>
      </w:r>
      <w:r>
        <w:tab/>
        <w:t>Care shall be taken to avoid contamination of the air by fumes from the exhausts of compression ignition and internal-combustion engines and from all other sources.</w:t>
      </w:r>
    </w:p>
    <w:p w:rsidR="00AF2508" w:rsidRDefault="00AF2508">
      <w:pPr>
        <w:pStyle w:val="Assectheading"/>
        <w:rPr>
          <w:i w:val="0"/>
        </w:rPr>
      </w:pPr>
      <w:r>
        <w:rPr>
          <w:rStyle w:val="charItals"/>
          <w:i/>
        </w:rPr>
        <w:t>Purification and refrigeration of compressed air</w:t>
      </w:r>
    </w:p>
    <w:p w:rsidR="00AF2508" w:rsidRDefault="00AF2508">
      <w:pPr>
        <w:pStyle w:val="Amain"/>
      </w:pPr>
      <w:r>
        <w:tab/>
        <w:t>(73)</w:t>
      </w:r>
      <w:r>
        <w:tab/>
        <w:t>An approved oil separator shall be used between the compressor and the air receiver and an approved air filter shall be placed between the air receiver and the working chamber.</w:t>
      </w:r>
    </w:p>
    <w:p w:rsidR="00AF2508" w:rsidRDefault="00AF2508">
      <w:pPr>
        <w:pStyle w:val="Amain"/>
      </w:pPr>
      <w:r>
        <w:tab/>
        <w:t>(74)</w:t>
      </w:r>
      <w:r>
        <w:tab/>
        <w:t>The air shall be cooled after compression, if necessary, to ensure that the temperature in the working chamber does not exceed 80</w:t>
      </w:r>
      <w:r>
        <w:rPr>
          <w:rFonts w:ascii="Helvetica" w:hAnsi="Helvetica"/>
        </w:rPr>
        <w:t>°</w:t>
      </w:r>
      <w:r>
        <w:t xml:space="preserve"> Fahrenheit when measured with a dry bulb thermometer.</w:t>
      </w:r>
    </w:p>
    <w:p w:rsidR="00AF2508" w:rsidRDefault="00AF2508">
      <w:pPr>
        <w:pStyle w:val="Assectheading"/>
        <w:rPr>
          <w:i w:val="0"/>
        </w:rPr>
      </w:pPr>
      <w:r>
        <w:rPr>
          <w:rStyle w:val="charItals"/>
          <w:i/>
        </w:rPr>
        <w:t>Compressed air plant</w:t>
      </w:r>
    </w:p>
    <w:p w:rsidR="00AF2508" w:rsidRDefault="00AF2508">
      <w:pPr>
        <w:pStyle w:val="Amain"/>
      </w:pPr>
      <w:r>
        <w:tab/>
        <w:t>(75)</w:t>
      </w:r>
      <w:r>
        <w:tab/>
        <w:t>If the air compressor, used for supplying air under pressure for the purposes of compressed air work in caissons is driven by electric power, stand-by compressor plant shall be provided and shall be of the capacity that in the event of failure of the electrically-driven units at least 50% of the air supply may be maintained.</w:t>
      </w:r>
    </w:p>
    <w:p w:rsidR="00AF2508" w:rsidRDefault="00AF2508">
      <w:pPr>
        <w:pStyle w:val="Amain"/>
      </w:pPr>
      <w:r>
        <w:tab/>
        <w:t>(76)</w:t>
      </w:r>
      <w:r>
        <w:tab/>
        <w:t>With other than electrically-powered compressors not more than 50% of the compressor units shall be driven from any 1 power unit and, if practicable, the power units shall be interchangeable.</w:t>
      </w:r>
    </w:p>
    <w:p w:rsidR="00AF2508" w:rsidRDefault="00AF2508">
      <w:pPr>
        <w:pStyle w:val="Assectheading"/>
        <w:rPr>
          <w:i w:val="0"/>
        </w:rPr>
      </w:pPr>
      <w:r>
        <w:rPr>
          <w:rStyle w:val="charItals"/>
          <w:i/>
        </w:rPr>
        <w:t>Air lines and fittings</w:t>
      </w:r>
    </w:p>
    <w:p w:rsidR="00AF2508" w:rsidRDefault="00AF2508">
      <w:pPr>
        <w:pStyle w:val="Amain"/>
      </w:pPr>
      <w:r>
        <w:tab/>
        <w:t>(77)</w:t>
      </w:r>
      <w:r>
        <w:tab/>
        <w:t>Each air line shall be equipped with the following fittings connected in the following order:</w:t>
      </w:r>
    </w:p>
    <w:p w:rsidR="00AF2508" w:rsidRDefault="00AF2508">
      <w:pPr>
        <w:pStyle w:val="Apara"/>
      </w:pPr>
      <w:r>
        <w:tab/>
        <w:t>(a)</w:t>
      </w:r>
      <w:r>
        <w:tab/>
        <w:t>an air receiver of such capacity as to be capable of delivering at least 50 cubic feet of air to the working chamber at normal working pressure, for the purpose of reserve storage in the event of failure of the compressor plant;</w:t>
      </w:r>
    </w:p>
    <w:p w:rsidR="00AF2508" w:rsidRDefault="00AF2508">
      <w:pPr>
        <w:pStyle w:val="Apara"/>
      </w:pPr>
      <w:r>
        <w:tab/>
        <w:t>(b)</w:t>
      </w:r>
      <w:r>
        <w:tab/>
        <w:t>a stop valve;</w:t>
      </w:r>
    </w:p>
    <w:p w:rsidR="00AF2508" w:rsidRDefault="00AF2508">
      <w:pPr>
        <w:pStyle w:val="Apara"/>
      </w:pPr>
      <w:r>
        <w:tab/>
        <w:t>(c)</w:t>
      </w:r>
      <w:r>
        <w:tab/>
        <w:t>a pressure-reducing valve located close to the man-lock;</w:t>
      </w:r>
    </w:p>
    <w:p w:rsidR="00AF2508" w:rsidRDefault="00AF2508">
      <w:pPr>
        <w:pStyle w:val="Apara"/>
      </w:pPr>
      <w:r>
        <w:tab/>
        <w:t>(d)</w:t>
      </w:r>
      <w:r>
        <w:tab/>
        <w:t>a non-return valve located close to the man-lock.</w:t>
      </w:r>
    </w:p>
    <w:p w:rsidR="00AF2508" w:rsidRDefault="00AF2508">
      <w:pPr>
        <w:pStyle w:val="Amain"/>
      </w:pPr>
      <w:r>
        <w:tab/>
        <w:t>(78)</w:t>
      </w:r>
      <w:r>
        <w:tab/>
        <w:t>The air supply shall be through duplicate air lines between the air receiver and the working chamber.</w:t>
      </w:r>
    </w:p>
    <w:p w:rsidR="00AF2508" w:rsidRDefault="00AF2508">
      <w:pPr>
        <w:pStyle w:val="Amain"/>
      </w:pPr>
      <w:r>
        <w:tab/>
        <w:t>(79)</w:t>
      </w:r>
      <w:r>
        <w:tab/>
        <w:t>An adjustable safety valve shall be fitted on the outside of the airlock, exhausting to the outside air.</w:t>
      </w:r>
    </w:p>
    <w:p w:rsidR="00AF2508" w:rsidRDefault="00AF2508">
      <w:pPr>
        <w:pStyle w:val="Assectheading"/>
        <w:rPr>
          <w:i w:val="0"/>
        </w:rPr>
      </w:pPr>
      <w:r>
        <w:rPr>
          <w:rStyle w:val="charItals"/>
          <w:i/>
        </w:rPr>
        <w:t>Testing of equipment</w:t>
      </w:r>
      <w:r>
        <w:rPr>
          <w:i w:val="0"/>
        </w:rPr>
        <w:t>—</w:t>
      </w:r>
      <w:r>
        <w:rPr>
          <w:rStyle w:val="charItals"/>
          <w:i/>
        </w:rPr>
        <w:t>general</w:t>
      </w:r>
    </w:p>
    <w:p w:rsidR="00AF2508" w:rsidRDefault="00AF2508">
      <w:pPr>
        <w:pStyle w:val="Amain"/>
      </w:pPr>
      <w:r>
        <w:tab/>
        <w:t>(80)</w:t>
      </w:r>
      <w:r>
        <w:tab/>
        <w:t>All airlocks, shafts and air receivers shall be subjected to test in accordance with the provisions of the Australian Standard Rules recommended for the Design, Construction, Inspection and Operation of Boilers and Unfired Pressure Vessels and their Appurtenances published by Standards Australia as revised in May, 1942.</w:t>
      </w:r>
    </w:p>
    <w:p w:rsidR="00AF2508" w:rsidRDefault="00AF2508">
      <w:pPr>
        <w:pStyle w:val="Assectheading"/>
        <w:rPr>
          <w:i w:val="0"/>
        </w:rPr>
      </w:pPr>
      <w:r>
        <w:rPr>
          <w:rStyle w:val="charItals"/>
          <w:i/>
        </w:rPr>
        <w:t>Testing of equipment</w:t>
      </w:r>
      <w:r>
        <w:rPr>
          <w:i w:val="0"/>
        </w:rPr>
        <w:t>—</w:t>
      </w:r>
      <w:r>
        <w:rPr>
          <w:rStyle w:val="charItals"/>
          <w:i/>
        </w:rPr>
        <w:t>pressure gauges</w:t>
      </w:r>
    </w:p>
    <w:p w:rsidR="00AF2508" w:rsidRDefault="00AF2508">
      <w:pPr>
        <w:pStyle w:val="Amain"/>
      </w:pPr>
      <w:r>
        <w:tab/>
        <w:t>(81)</w:t>
      </w:r>
      <w:r>
        <w:tab/>
        <w:t>Pressure gauges shall be installed and tested in accordance with the relevant provisions of the rules mentioned in subsection (80).</w:t>
      </w:r>
    </w:p>
    <w:p w:rsidR="00AF2508" w:rsidRDefault="00AF2508">
      <w:pPr>
        <w:pStyle w:val="Assectheading"/>
        <w:rPr>
          <w:i w:val="0"/>
        </w:rPr>
      </w:pPr>
      <w:r>
        <w:rPr>
          <w:rStyle w:val="charItals"/>
          <w:i/>
        </w:rPr>
        <w:t>Change rooms</w:t>
      </w:r>
    </w:p>
    <w:p w:rsidR="00AF2508" w:rsidRDefault="00AF2508">
      <w:pPr>
        <w:pStyle w:val="Amain"/>
      </w:pPr>
      <w:r>
        <w:tab/>
        <w:t>(82)</w:t>
      </w:r>
      <w:r>
        <w:tab/>
        <w:t xml:space="preserve">Without prejudice to the requirements of part 10 (which </w:t>
      </w:r>
      <w:r>
        <w:rPr>
          <w:rStyle w:val="charItals"/>
          <w:i w:val="0"/>
        </w:rPr>
        <w:t>among other things</w:t>
      </w:r>
      <w:r>
        <w:t xml:space="preserve"> relates to the provision of certain accommodation for the health of persons) there shall be provided and maintained for the use of persons employed in compressed air work in caissons—</w:t>
      </w:r>
    </w:p>
    <w:p w:rsidR="00AF2508" w:rsidRDefault="00AF2508">
      <w:pPr>
        <w:pStyle w:val="Apara"/>
      </w:pPr>
      <w:r>
        <w:tab/>
        <w:t>(a)</w:t>
      </w:r>
      <w:r>
        <w:tab/>
        <w:t>properly heated, lighted and ventilated change rooms and drying rooms; and</w:t>
      </w:r>
    </w:p>
    <w:p w:rsidR="00AF2508" w:rsidRDefault="00AF2508">
      <w:pPr>
        <w:pStyle w:val="Apara"/>
      </w:pPr>
      <w:r>
        <w:tab/>
        <w:t>(b)</w:t>
      </w:r>
      <w:r>
        <w:tab/>
        <w:t>bathing accommodation, namely 1 shower equipped with running hot and cold water for every 8 men employed on the same shift and 1 for every 8 women employed on the same shift, and 1 for any number less than 8 such men or women, as the case requires; and</w:t>
      </w:r>
    </w:p>
    <w:p w:rsidR="00AF2508" w:rsidRDefault="00AF2508">
      <w:pPr>
        <w:pStyle w:val="Apara"/>
        <w:keepLines/>
      </w:pPr>
      <w:r>
        <w:tab/>
        <w:t>(c)</w:t>
      </w:r>
      <w:r>
        <w:tab/>
        <w:t>suitable and adequate earth or water closets at the rate of 1 closet for every 10 men employed on the same shift and 1 for every 10 women employed on the same shift, and 1 for any number less than 10 such men or women, as the case requires.</w:t>
      </w:r>
    </w:p>
    <w:p w:rsidR="00AF2508" w:rsidRDefault="00AF2508">
      <w:pPr>
        <w:pStyle w:val="Assectheading"/>
        <w:rPr>
          <w:i w:val="0"/>
        </w:rPr>
      </w:pPr>
      <w:r>
        <w:rPr>
          <w:rStyle w:val="charItals"/>
          <w:i/>
        </w:rPr>
        <w:t>Information to be posted in change room</w:t>
      </w:r>
    </w:p>
    <w:p w:rsidR="00AF2508" w:rsidRDefault="00AF2508">
      <w:pPr>
        <w:pStyle w:val="Amain"/>
      </w:pPr>
      <w:r>
        <w:tab/>
        <w:t>(83)</w:t>
      </w:r>
      <w:r>
        <w:tab/>
        <w:t>A copy of the following information shall be posted in the change room for the information and instruction of persons engaged in compressed air work in caissons:</w:t>
      </w:r>
    </w:p>
    <w:p w:rsidR="00AF2508" w:rsidRDefault="00AF2508">
      <w:pPr>
        <w:pStyle w:val="Apara"/>
      </w:pPr>
      <w:r>
        <w:tab/>
        <w:t>(a)</w:t>
      </w:r>
      <w:r>
        <w:tab/>
        <w:t>schedule 9, concerning the Symptoms and Treatment of Compressed Air Illness;</w:t>
      </w:r>
    </w:p>
    <w:p w:rsidR="00AF2508" w:rsidRDefault="00AF2508">
      <w:pPr>
        <w:pStyle w:val="Apara"/>
      </w:pPr>
      <w:r>
        <w:tab/>
        <w:t>(b)</w:t>
      </w:r>
      <w:r>
        <w:tab/>
        <w:t>section 101 (12) to (17);</w:t>
      </w:r>
    </w:p>
    <w:p w:rsidR="00AF2508" w:rsidRDefault="00AF2508">
      <w:pPr>
        <w:pStyle w:val="Apara"/>
      </w:pPr>
      <w:r>
        <w:tab/>
        <w:t>(c)</w:t>
      </w:r>
      <w:r>
        <w:tab/>
        <w:t>the name, address and telephone number of the medical officer.</w:t>
      </w:r>
    </w:p>
    <w:p w:rsidR="00AF2508" w:rsidRDefault="00AF2508">
      <w:pPr>
        <w:pStyle w:val="Assectheading"/>
        <w:rPr>
          <w:i w:val="0"/>
        </w:rPr>
      </w:pPr>
      <w:r>
        <w:rPr>
          <w:rStyle w:val="charItals"/>
          <w:i/>
        </w:rPr>
        <w:t>Prohibition of smoking and intoxicating liquor</w:t>
      </w:r>
    </w:p>
    <w:p w:rsidR="00AF2508" w:rsidRDefault="00AF2508">
      <w:pPr>
        <w:pStyle w:val="Amain"/>
      </w:pPr>
      <w:r>
        <w:tab/>
        <w:t>(84)</w:t>
      </w:r>
      <w:r>
        <w:tab/>
        <w:t>No person shall smoke in a man-lock or working chamber.</w:t>
      </w:r>
    </w:p>
    <w:p w:rsidR="00AF2508" w:rsidRDefault="00AF2508">
      <w:pPr>
        <w:pStyle w:val="Amain"/>
      </w:pPr>
      <w:r>
        <w:tab/>
        <w:t>(85)</w:t>
      </w:r>
      <w:r>
        <w:tab/>
        <w:t>No person shall carry smoking materials into a man-lock or into a working chamber.</w:t>
      </w:r>
    </w:p>
    <w:p w:rsidR="00AF2508" w:rsidRDefault="00AF2508">
      <w:pPr>
        <w:pStyle w:val="Amain"/>
      </w:pPr>
      <w:r>
        <w:tab/>
        <w:t>(86)</w:t>
      </w:r>
      <w:r>
        <w:tab/>
        <w:t>All such smoking materials shall be left in the change room.</w:t>
      </w:r>
    </w:p>
    <w:p w:rsidR="00AF2508" w:rsidRDefault="00AF2508">
      <w:pPr>
        <w:pStyle w:val="Amain"/>
      </w:pPr>
      <w:r>
        <w:tab/>
        <w:t>(87)</w:t>
      </w:r>
      <w:r>
        <w:tab/>
        <w:t>No person shall bring any intoxicating liquor into the vicinity of the working chamber, provided that the carrying of alcoholic spirits or other stimulants into such places for medical purposes may be approved by the medical officer.</w:t>
      </w:r>
    </w:p>
    <w:p w:rsidR="00AF2508" w:rsidRDefault="00AF2508">
      <w:pPr>
        <w:pStyle w:val="Assectheading"/>
        <w:rPr>
          <w:i w:val="0"/>
        </w:rPr>
      </w:pPr>
      <w:r>
        <w:t>Regulation</w:t>
      </w:r>
      <w:r>
        <w:rPr>
          <w:rStyle w:val="charItals"/>
          <w:i/>
        </w:rPr>
        <w:t xml:space="preserve"> to be available</w:t>
      </w:r>
    </w:p>
    <w:p w:rsidR="00AF2508" w:rsidRDefault="00AF2508">
      <w:pPr>
        <w:pStyle w:val="Amain"/>
      </w:pPr>
      <w:r>
        <w:tab/>
        <w:t>(88)</w:t>
      </w:r>
      <w:r>
        <w:tab/>
        <w:t>A copy of this section shall be kept on the works so as to be easily accessible to all persons who are responsible for giving effect to its provisions.</w:t>
      </w:r>
    </w:p>
    <w:p w:rsidR="00AF2508" w:rsidRDefault="00AF2508">
      <w:pPr>
        <w:pStyle w:val="Amain"/>
      </w:pPr>
      <w:r>
        <w:tab/>
        <w:t>(89)</w:t>
      </w:r>
      <w:r>
        <w:tab/>
        <w:t>This section shall apply to compressed air work in caissons, being a compressed air work within the meaning of the Act.</w:t>
      </w:r>
    </w:p>
    <w:p w:rsidR="00AF2508" w:rsidRDefault="00AF2508">
      <w:pPr>
        <w:pStyle w:val="02Text"/>
        <w:sectPr w:rsidR="00AF2508">
          <w:headerReference w:type="even" r:id="rId26"/>
          <w:headerReference w:type="default" r:id="rId27"/>
          <w:footerReference w:type="even" r:id="rId28"/>
          <w:footerReference w:type="default" r:id="rId29"/>
          <w:footerReference w:type="first" r:id="rId30"/>
          <w:pgSz w:w="11907" w:h="16839" w:code="9"/>
          <w:pgMar w:top="3000" w:right="1900" w:bottom="2500" w:left="2300" w:header="2480" w:footer="2100" w:gutter="0"/>
          <w:cols w:space="720"/>
          <w:docGrid w:linePitch="254"/>
        </w:sectPr>
      </w:pPr>
    </w:p>
    <w:p w:rsidR="00AF2508" w:rsidRDefault="00AF2508">
      <w:pPr>
        <w:pStyle w:val="AH2Part"/>
      </w:pPr>
      <w:bookmarkStart w:id="193" w:name="_Toc161636854"/>
      <w:r>
        <w:rPr>
          <w:rStyle w:val="CharPartNo"/>
        </w:rPr>
        <w:t>Part 9A</w:t>
      </w:r>
      <w:r>
        <w:tab/>
      </w:r>
      <w:r>
        <w:rPr>
          <w:rStyle w:val="CharPartText"/>
        </w:rPr>
        <w:t>Explosive-powered tools—safety measures</w:t>
      </w:r>
      <w:bookmarkEnd w:id="193"/>
    </w:p>
    <w:p w:rsidR="00AF2508" w:rsidRDefault="00AF2508">
      <w:pPr>
        <w:pStyle w:val="Placeholder"/>
      </w:pPr>
      <w:r>
        <w:rPr>
          <w:rStyle w:val="CharDivNo"/>
        </w:rPr>
        <w:t xml:space="preserve">  </w:t>
      </w:r>
      <w:r>
        <w:rPr>
          <w:rStyle w:val="CharDivText"/>
        </w:rPr>
        <w:t xml:space="preserve">  </w:t>
      </w:r>
    </w:p>
    <w:p w:rsidR="00AF2508" w:rsidRDefault="00AF2508">
      <w:pPr>
        <w:pStyle w:val="AH4SubDiv"/>
      </w:pPr>
      <w:bookmarkStart w:id="194" w:name="_Toc161636855"/>
      <w:r>
        <w:t>Application and interpretation</w:t>
      </w:r>
      <w:bookmarkEnd w:id="194"/>
    </w:p>
    <w:p w:rsidR="00AF2508" w:rsidRDefault="00AF2508">
      <w:pPr>
        <w:pStyle w:val="AH5Sec"/>
      </w:pPr>
      <w:bookmarkStart w:id="195" w:name="_Toc161636856"/>
      <w:r>
        <w:rPr>
          <w:rStyle w:val="CharSectNo"/>
        </w:rPr>
        <w:t>118A</w:t>
      </w:r>
      <w:bookmarkEnd w:id="195"/>
      <w:r>
        <w:tab/>
        <w:t xml:space="preserve">  </w:t>
      </w:r>
    </w:p>
    <w:p w:rsidR="00AF2508" w:rsidRDefault="00AF2508">
      <w:pPr>
        <w:pStyle w:val="Amain"/>
      </w:pPr>
      <w:r>
        <w:tab/>
        <w:t>(1)</w:t>
      </w:r>
      <w:r>
        <w:tab/>
        <w:t>This part shall apply to and in relation to the use of explosive</w:t>
      </w:r>
      <w:r>
        <w:noBreakHyphen/>
        <w:t>powered tools in building work, excavation work and compressed air work.</w:t>
      </w:r>
    </w:p>
    <w:p w:rsidR="00AF2508" w:rsidRDefault="00AF2508">
      <w:pPr>
        <w:pStyle w:val="Amain"/>
      </w:pPr>
      <w:r>
        <w:tab/>
        <w:t>(2)</w:t>
      </w:r>
      <w:r>
        <w:tab/>
        <w:t>In this part:</w:t>
      </w:r>
    </w:p>
    <w:p w:rsidR="00AF2508" w:rsidRDefault="00AF2508">
      <w:pPr>
        <w:pStyle w:val="aDef"/>
      </w:pPr>
      <w:r>
        <w:rPr>
          <w:b/>
          <w:i/>
        </w:rPr>
        <w:t>explosive-powered tool</w:t>
      </w:r>
      <w:r>
        <w:t xml:space="preserve"> means a tool by which a projectile may be driven against, into or through any substance by means of an explosive, and includes every attachment to and accessory of the tool and every device used or adopted or intended to be used with it.</w:t>
      </w:r>
    </w:p>
    <w:p w:rsidR="00AF2508" w:rsidRDefault="00AF2508">
      <w:pPr>
        <w:pStyle w:val="aDef"/>
      </w:pPr>
      <w:r>
        <w:rPr>
          <w:b/>
          <w:i/>
        </w:rPr>
        <w:t>projectile</w:t>
      </w:r>
      <w:r>
        <w:t xml:space="preserve"> means stud, pin, dowel screw, rivet, spike or other object driven against, into or through any substance by means of an explosive-powered tool, or adapted or intended to be so driven.</w:t>
      </w:r>
    </w:p>
    <w:p w:rsidR="00AF2508" w:rsidRDefault="00AF2508">
      <w:pPr>
        <w:pStyle w:val="aDef"/>
      </w:pPr>
      <w:r>
        <w:rPr>
          <w:b/>
          <w:i/>
        </w:rPr>
        <w:t>qualified operator</w:t>
      </w:r>
      <w:r>
        <w:t xml:space="preserve"> means a person who—</w:t>
      </w:r>
    </w:p>
    <w:p w:rsidR="00AF2508" w:rsidRDefault="00AF2508">
      <w:pPr>
        <w:pStyle w:val="aDefpara"/>
      </w:pPr>
      <w:r>
        <w:tab/>
        <w:t>(a)</w:t>
      </w:r>
      <w:r>
        <w:tab/>
        <w:t>is over 18 years old; and</w:t>
      </w:r>
    </w:p>
    <w:p w:rsidR="00AF2508" w:rsidRDefault="00AF2508">
      <w:pPr>
        <w:pStyle w:val="aDefpara"/>
      </w:pPr>
      <w:r>
        <w:tab/>
        <w:t>(b)</w:t>
      </w:r>
      <w:r>
        <w:tab/>
        <w:t>has been thoroughly trained in the correct use, adjustment, assembly and taking apart of explosive-powered tools; and</w:t>
      </w:r>
    </w:p>
    <w:p w:rsidR="00AF2508" w:rsidRDefault="00AF2508">
      <w:pPr>
        <w:pStyle w:val="aDefpara"/>
      </w:pPr>
      <w:r>
        <w:tab/>
        <w:t>(c)</w:t>
      </w:r>
      <w:r>
        <w:tab/>
        <w:t>has been fully instructed about the dangers associated with explosive-powered tools and the precautions to be taken in relation to them; and</w:t>
      </w:r>
    </w:p>
    <w:p w:rsidR="00AF2508" w:rsidRDefault="00AF2508">
      <w:pPr>
        <w:pStyle w:val="aDefpara"/>
      </w:pPr>
      <w:r>
        <w:tab/>
        <w:t>(d)</w:t>
      </w:r>
      <w:r>
        <w:tab/>
        <w:t>has a thorough knowledge of this part.</w:t>
      </w:r>
    </w:p>
    <w:p w:rsidR="00AF2508" w:rsidRDefault="00AF2508">
      <w:pPr>
        <w:pStyle w:val="aDef"/>
      </w:pPr>
      <w:r>
        <w:rPr>
          <w:b/>
          <w:i/>
        </w:rPr>
        <w:t>tool</w:t>
      </w:r>
      <w:r>
        <w:t xml:space="preserve"> means explosive-powered tool.</w:t>
      </w:r>
    </w:p>
    <w:p w:rsidR="00AF2508" w:rsidRDefault="00AF2508">
      <w:pPr>
        <w:pStyle w:val="aDef"/>
      </w:pPr>
      <w:r>
        <w:rPr>
          <w:b/>
          <w:i/>
        </w:rPr>
        <w:t>work</w:t>
      </w:r>
      <w:r>
        <w:t xml:space="preserve"> means building work, excavation work or compressed air work.</w:t>
      </w:r>
    </w:p>
    <w:p w:rsidR="00AF2508" w:rsidRDefault="00AF2508">
      <w:pPr>
        <w:pStyle w:val="Amain"/>
      </w:pPr>
      <w:r>
        <w:tab/>
        <w:t>(3)</w:t>
      </w:r>
      <w:r>
        <w:tab/>
        <w:t>For this part, a person shall be deemed to use an explosive-powered tool if the person loads, unloads or fires, or attempts to load, unload or fire, the tool.</w:t>
      </w:r>
    </w:p>
    <w:p w:rsidR="00AF2508" w:rsidRDefault="00AF2508">
      <w:pPr>
        <w:pStyle w:val="AH4SubDiv"/>
      </w:pPr>
      <w:bookmarkStart w:id="196" w:name="_Toc161636857"/>
      <w:r>
        <w:t>Operators of explosive-powered tools</w:t>
      </w:r>
      <w:bookmarkEnd w:id="196"/>
    </w:p>
    <w:p w:rsidR="00AF2508" w:rsidRDefault="00AF2508">
      <w:pPr>
        <w:pStyle w:val="AH5Sec"/>
      </w:pPr>
      <w:bookmarkStart w:id="197" w:name="_Toc161636858"/>
      <w:r>
        <w:rPr>
          <w:rStyle w:val="CharSectNo"/>
        </w:rPr>
        <w:t>118B</w:t>
      </w:r>
      <w:bookmarkEnd w:id="197"/>
      <w:r>
        <w:t xml:space="preserve">  </w:t>
      </w:r>
    </w:p>
    <w:p w:rsidR="00AF2508" w:rsidRDefault="00AF2508">
      <w:pPr>
        <w:pStyle w:val="Assectheading"/>
        <w:rPr>
          <w:rStyle w:val="CharSectNo"/>
        </w:rPr>
      </w:pPr>
      <w:r>
        <w:rPr>
          <w:rStyle w:val="CharSectNo"/>
        </w:rPr>
        <w:t>Operators to be qualified</w:t>
      </w:r>
    </w:p>
    <w:p w:rsidR="00AF2508" w:rsidRDefault="00AF2508">
      <w:pPr>
        <w:pStyle w:val="Amain"/>
      </w:pPr>
      <w:r>
        <w:tab/>
        <w:t>(1)</w:t>
      </w:r>
      <w:r>
        <w:tab/>
        <w:t>No person who is not a qualified operator shall use a tool in any work.</w:t>
      </w:r>
    </w:p>
    <w:p w:rsidR="00AF2508" w:rsidRDefault="00AF2508">
      <w:pPr>
        <w:pStyle w:val="Amain"/>
      </w:pPr>
      <w:r>
        <w:tab/>
        <w:t>(2)</w:t>
      </w:r>
      <w:r>
        <w:tab/>
        <w:t>No person shall employ, instruct or allow any person to use a tool in any work without first ensuring by proper inquiry that the person is a qualified operator and is not because of any infirmity, disability or incapacity unfit to use the tool.</w:t>
      </w:r>
    </w:p>
    <w:p w:rsidR="00AF2508" w:rsidRDefault="00AF2508">
      <w:pPr>
        <w:pStyle w:val="Assectheading"/>
        <w:rPr>
          <w:i w:val="0"/>
        </w:rPr>
      </w:pPr>
      <w:r>
        <w:rPr>
          <w:rStyle w:val="charItals"/>
          <w:i/>
        </w:rPr>
        <w:t>Training of operators</w:t>
      </w:r>
    </w:p>
    <w:p w:rsidR="00AF2508" w:rsidRDefault="00AF2508">
      <w:pPr>
        <w:pStyle w:val="Amain"/>
      </w:pPr>
      <w:r>
        <w:tab/>
        <w:t>(3)</w:t>
      </w:r>
      <w:r>
        <w:tab/>
        <w:t>Nothing in subsection (1) or (2) shall apply to the use of any explosive-powered tool by a person who, under the immediate supervision and control of a qualified operator, is being trained to be a qualified operator.</w:t>
      </w:r>
    </w:p>
    <w:p w:rsidR="00AF2508" w:rsidRDefault="00AF2508">
      <w:pPr>
        <w:pStyle w:val="AH4SubDiv"/>
        <w:tabs>
          <w:tab w:val="clear" w:pos="2600"/>
          <w:tab w:val="left" w:pos="0"/>
        </w:tabs>
        <w:ind w:left="0" w:firstLine="0"/>
      </w:pPr>
      <w:bookmarkStart w:id="198" w:name="_Toc161636859"/>
      <w:r>
        <w:t>General requirements for explosive-powered tools and projectiles</w:t>
      </w:r>
      <w:bookmarkEnd w:id="198"/>
    </w:p>
    <w:p w:rsidR="00AF2508" w:rsidRDefault="00AF2508">
      <w:pPr>
        <w:pStyle w:val="AH5Sec"/>
      </w:pPr>
      <w:bookmarkStart w:id="199" w:name="_Toc161636860"/>
      <w:r>
        <w:rPr>
          <w:rStyle w:val="CharSectNo"/>
        </w:rPr>
        <w:t>118C</w:t>
      </w:r>
      <w:bookmarkEnd w:id="199"/>
      <w:r>
        <w:t xml:space="preserve">  </w:t>
      </w:r>
    </w:p>
    <w:p w:rsidR="00AF2508" w:rsidRDefault="00AF2508">
      <w:pPr>
        <w:pStyle w:val="Amain"/>
      </w:pPr>
      <w:r>
        <w:tab/>
        <w:t>(1)</w:t>
      </w:r>
      <w:r>
        <w:tab/>
        <w:t>No person who directly or by his or her servants or agents carries out any work shall directly or by his or her servants or agents—</w:t>
      </w:r>
    </w:p>
    <w:p w:rsidR="00AF2508" w:rsidRDefault="00AF2508">
      <w:pPr>
        <w:pStyle w:val="Apara"/>
      </w:pPr>
      <w:r>
        <w:tab/>
        <w:t>(a)</w:t>
      </w:r>
      <w:r>
        <w:tab/>
        <w:t>use in that work any tool unless—</w:t>
      </w:r>
    </w:p>
    <w:p w:rsidR="00AF2508" w:rsidRDefault="00AF2508">
      <w:pPr>
        <w:pStyle w:val="Asubpara"/>
      </w:pPr>
      <w:r>
        <w:tab/>
        <w:t>(i)</w:t>
      </w:r>
      <w:r>
        <w:tab/>
        <w:t>the tool has been approved; and</w:t>
      </w:r>
    </w:p>
    <w:p w:rsidR="00AF2508" w:rsidRDefault="00AF2508">
      <w:pPr>
        <w:pStyle w:val="Asubpara"/>
      </w:pPr>
      <w:r>
        <w:tab/>
        <w:t>(ii)</w:t>
      </w:r>
      <w:r>
        <w:tab/>
        <w:t>there is permanently engraved or embossed on the metal of the tool a clearly legible notice as follows: ‘</w:t>
      </w:r>
      <w:r>
        <w:rPr>
          <w:caps/>
        </w:rPr>
        <w:t>Do Not Remove Tool From Work Surface For At Least 10 Seconds If Tool Fails To Fire</w:t>
      </w:r>
      <w:r>
        <w:t>’; and</w:t>
      </w:r>
    </w:p>
    <w:p w:rsidR="00AF2508" w:rsidRDefault="00AF2508">
      <w:pPr>
        <w:pStyle w:val="Asubpara"/>
      </w:pPr>
      <w:r>
        <w:tab/>
        <w:t>(iii)</w:t>
      </w:r>
      <w:r>
        <w:tab/>
        <w:t>there is permanently engraved or embossed on the metal of the tool a clearly legible serial number by which it can be readily identified; and</w:t>
      </w:r>
    </w:p>
    <w:p w:rsidR="00AF2508" w:rsidRDefault="00AF2508">
      <w:pPr>
        <w:pStyle w:val="Asubpara"/>
      </w:pPr>
      <w:r>
        <w:tab/>
        <w:t>(iv)</w:t>
      </w:r>
      <w:r>
        <w:tab/>
        <w:t>there is permanently attached to the tool at its muzzle end a protective shield or device designed to arrest the ricochet of projectiles and the free flight of other objects and particles liberated by the firing of the tool; and</w:t>
      </w:r>
    </w:p>
    <w:p w:rsidR="00AF2508" w:rsidRDefault="00AF2508">
      <w:pPr>
        <w:pStyle w:val="Apara"/>
      </w:pPr>
      <w:r>
        <w:tab/>
        <w:t>(b)</w:t>
      </w:r>
      <w:r>
        <w:tab/>
        <w:t>use in that work, in a tool, any projectile that is not capable of undergoing the following test without cracking or breaking:</w:t>
      </w:r>
    </w:p>
    <w:p w:rsidR="00AF2508" w:rsidRDefault="00AF2508">
      <w:pPr>
        <w:pStyle w:val="Asubpara"/>
      </w:pPr>
      <w:r>
        <w:tab/>
        <w:t>(i)</w:t>
      </w:r>
      <w:r>
        <w:tab/>
        <w:t>smooth shanked projectiles shall be bent through an angle of 60</w:t>
      </w:r>
      <w:r>
        <w:rPr>
          <w:rFonts w:ascii="Helvetica" w:hAnsi="Helvetica"/>
        </w:rPr>
        <w:t>°;</w:t>
      </w:r>
    </w:p>
    <w:p w:rsidR="00AF2508" w:rsidRDefault="00AF2508">
      <w:pPr>
        <w:pStyle w:val="Asubpara"/>
      </w:pPr>
      <w:r>
        <w:tab/>
        <w:t>(ii)</w:t>
      </w:r>
      <w:r>
        <w:tab/>
        <w:t>knurled shanked projectiles shall be bent through an angle of 30</w:t>
      </w:r>
      <w:r>
        <w:rPr>
          <w:rFonts w:ascii="Helvetica" w:hAnsi="Helvetica"/>
        </w:rPr>
        <w:t>°</w:t>
      </w:r>
      <w:r>
        <w:t>.</w:t>
      </w:r>
    </w:p>
    <w:p w:rsidR="00AF2508" w:rsidRDefault="00AF2508">
      <w:pPr>
        <w:pStyle w:val="Amain"/>
      </w:pPr>
      <w:r>
        <w:tab/>
        <w:t>(2)</w:t>
      </w:r>
      <w:r>
        <w:tab/>
        <w:t>The test shall be carried out by bending the shank of the projectile about a pin of a diameter equal to that of the shank of the projectile under test.</w:t>
      </w:r>
    </w:p>
    <w:p w:rsidR="00AF2508" w:rsidRDefault="00AF2508">
      <w:pPr>
        <w:pStyle w:val="Amain"/>
      </w:pPr>
      <w:r>
        <w:tab/>
        <w:t>(3)</w:t>
      </w:r>
      <w:r>
        <w:tab/>
        <w:t>The test shall be made by applying a continuous steady load to the projectile until the required deformation has been reached.</w:t>
      </w:r>
    </w:p>
    <w:p w:rsidR="00AF2508" w:rsidRDefault="00AF2508">
      <w:pPr>
        <w:pStyle w:val="AH4SubDiv"/>
      </w:pPr>
      <w:bookmarkStart w:id="200" w:name="_Toc161636861"/>
      <w:r>
        <w:t>Inspection and repair of explosive-powered tools</w:t>
      </w:r>
      <w:bookmarkEnd w:id="200"/>
    </w:p>
    <w:p w:rsidR="00AF2508" w:rsidRDefault="00AF2508">
      <w:pPr>
        <w:pStyle w:val="AH5Sec"/>
      </w:pPr>
      <w:bookmarkStart w:id="201" w:name="_Toc161636862"/>
      <w:r>
        <w:rPr>
          <w:rStyle w:val="CharSectNo"/>
        </w:rPr>
        <w:t>118D</w:t>
      </w:r>
      <w:bookmarkEnd w:id="201"/>
      <w:r>
        <w:t xml:space="preserve">  </w:t>
      </w:r>
    </w:p>
    <w:p w:rsidR="00AF2508" w:rsidRDefault="00AF2508">
      <w:pPr>
        <w:pStyle w:val="Assectheading"/>
      </w:pPr>
      <w:r>
        <w:t>Interpretation</w:t>
      </w:r>
    </w:p>
    <w:p w:rsidR="00AF2508" w:rsidRDefault="00AF2508">
      <w:pPr>
        <w:pStyle w:val="Amain"/>
      </w:pPr>
      <w:r>
        <w:tab/>
        <w:t>(1)</w:t>
      </w:r>
      <w:r>
        <w:tab/>
        <w:t>In this section:</w:t>
      </w:r>
    </w:p>
    <w:p w:rsidR="00AF2508" w:rsidRDefault="00AF2508">
      <w:pPr>
        <w:pStyle w:val="Amainreturn"/>
      </w:pPr>
      <w:r>
        <w:rPr>
          <w:rStyle w:val="charBoldItals"/>
        </w:rPr>
        <w:t>authorised person</w:t>
      </w:r>
      <w:r>
        <w:t xml:space="preserve"> means—</w:t>
      </w:r>
    </w:p>
    <w:p w:rsidR="00AF2508" w:rsidRDefault="00AF2508">
      <w:pPr>
        <w:pStyle w:val="Asubpara"/>
      </w:pPr>
      <w:r>
        <w:tab/>
        <w:t>(a)</w:t>
      </w:r>
      <w:r>
        <w:tab/>
        <w:t>a maker of tools or a person authorised by the maker to repair tools; or</w:t>
      </w:r>
    </w:p>
    <w:p w:rsidR="00AF2508" w:rsidRDefault="00AF2508">
      <w:pPr>
        <w:pStyle w:val="Asubpara"/>
      </w:pPr>
      <w:r>
        <w:tab/>
        <w:t>(b)</w:t>
      </w:r>
      <w:r>
        <w:tab/>
        <w:t>a gunsmith; or</w:t>
      </w:r>
    </w:p>
    <w:p w:rsidR="00AF2508" w:rsidRDefault="00AF2508">
      <w:pPr>
        <w:pStyle w:val="Asubpara"/>
      </w:pPr>
      <w:r>
        <w:tab/>
        <w:t>(c)</w:t>
      </w:r>
      <w:r>
        <w:tab/>
        <w:t>a competent person in the employment of a person referred to in paragraph (a) or (b).</w:t>
      </w:r>
    </w:p>
    <w:p w:rsidR="00AF2508" w:rsidRDefault="00AF2508">
      <w:pPr>
        <w:pStyle w:val="aDef"/>
      </w:pPr>
      <w:r>
        <w:rPr>
          <w:b/>
          <w:i/>
        </w:rPr>
        <w:t>defect</w:t>
      </w:r>
      <w:r>
        <w:t xml:space="preserve"> means any defect that might impair or affect the safe and normal operation of a tool.</w:t>
      </w:r>
    </w:p>
    <w:p w:rsidR="00AF2508" w:rsidRDefault="00AF2508">
      <w:pPr>
        <w:pStyle w:val="aDef"/>
      </w:pPr>
      <w:r>
        <w:rPr>
          <w:b/>
          <w:i/>
        </w:rPr>
        <w:t>repair</w:t>
      </w:r>
      <w:r>
        <w:t xml:space="preserve"> means repair, modify, alter or adjust or attempt to repair, modify, alter or adjust; but a qualified operator or a person who under the immediate supervision and control of a qualified operator is being trained to be a qualified operator shall not be deemed to repair a tool only because of his or her making or attempting to make any minor adjustments to it that are incidental to its ordinary operation.</w:t>
      </w:r>
    </w:p>
    <w:p w:rsidR="00AF2508" w:rsidRDefault="00AF2508">
      <w:pPr>
        <w:pStyle w:val="Assectheading"/>
        <w:rPr>
          <w:i w:val="0"/>
        </w:rPr>
      </w:pPr>
      <w:r>
        <w:rPr>
          <w:rStyle w:val="charItals"/>
          <w:i/>
        </w:rPr>
        <w:t>Inspection</w:t>
      </w:r>
    </w:p>
    <w:p w:rsidR="00AF2508" w:rsidRDefault="00AF2508">
      <w:pPr>
        <w:pStyle w:val="Amain"/>
      </w:pPr>
      <w:r>
        <w:tab/>
        <w:t>(2)</w:t>
      </w:r>
      <w:r>
        <w:tab/>
        <w:t>The person who directly or by his or her servants or agents carries out any building work—</w:t>
      </w:r>
    </w:p>
    <w:p w:rsidR="00AF2508" w:rsidRDefault="00AF2508">
      <w:pPr>
        <w:pStyle w:val="Apara"/>
      </w:pPr>
      <w:r>
        <w:tab/>
        <w:t>(a)</w:t>
      </w:r>
      <w:r>
        <w:tab/>
        <w:t>shall cause each tool used in the work—</w:t>
      </w:r>
    </w:p>
    <w:p w:rsidR="00AF2508" w:rsidRDefault="00AF2508">
      <w:pPr>
        <w:pStyle w:val="Asubpara"/>
      </w:pPr>
      <w:r>
        <w:tab/>
        <w:t>(i)</w:t>
      </w:r>
      <w:r>
        <w:tab/>
        <w:t>to be carefully inspected for defects on each day when it is so used, before it is so used; and</w:t>
      </w:r>
    </w:p>
    <w:p w:rsidR="00AF2508" w:rsidRDefault="00AF2508">
      <w:pPr>
        <w:pStyle w:val="Asubpara"/>
      </w:pPr>
      <w:r>
        <w:tab/>
        <w:t>(ii)</w:t>
      </w:r>
      <w:r>
        <w:tab/>
        <w:t>after each 7 days use and before it is again used in any work, to be dismantled and thoroughly examined for defects; and</w:t>
      </w:r>
    </w:p>
    <w:p w:rsidR="00AF2508" w:rsidRDefault="00AF2508">
      <w:pPr>
        <w:pStyle w:val="Apara"/>
      </w:pPr>
      <w:r>
        <w:tab/>
        <w:t>(b)</w:t>
      </w:r>
      <w:r>
        <w:tab/>
        <w:t>shall not directly or by his or her servants or agents use in the work a tool that—</w:t>
      </w:r>
    </w:p>
    <w:p w:rsidR="00AF2508" w:rsidRDefault="00AF2508">
      <w:pPr>
        <w:pStyle w:val="Asubpara"/>
      </w:pPr>
      <w:r>
        <w:tab/>
        <w:t>(i)</w:t>
      </w:r>
      <w:r>
        <w:tab/>
        <w:t>has not been inspected and examined as prescribed by paragraph (a); or</w:t>
      </w:r>
    </w:p>
    <w:p w:rsidR="00AF2508" w:rsidRDefault="00AF2508">
      <w:pPr>
        <w:pStyle w:val="Asubpara"/>
      </w:pPr>
      <w:r>
        <w:tab/>
        <w:t>(ii)</w:t>
      </w:r>
      <w:r>
        <w:tab/>
        <w:t>has any defect that has been or should have been revealed on the inspection or examination.</w:t>
      </w:r>
    </w:p>
    <w:p w:rsidR="00AF2508" w:rsidRDefault="00AF2508">
      <w:pPr>
        <w:pStyle w:val="Amain"/>
      </w:pPr>
      <w:r>
        <w:tab/>
        <w:t>(3)</w:t>
      </w:r>
      <w:r>
        <w:tab/>
        <w:t>No person shall, knowing that a tool has any defect, use the tool in any work.</w:t>
      </w:r>
    </w:p>
    <w:p w:rsidR="00AF2508" w:rsidRDefault="00AF2508">
      <w:pPr>
        <w:pStyle w:val="Assectheading"/>
        <w:rPr>
          <w:i w:val="0"/>
        </w:rPr>
      </w:pPr>
      <w:r>
        <w:rPr>
          <w:rStyle w:val="charItals"/>
          <w:i/>
        </w:rPr>
        <w:t>Repair</w:t>
      </w:r>
    </w:p>
    <w:p w:rsidR="00AF2508" w:rsidRDefault="00AF2508">
      <w:pPr>
        <w:pStyle w:val="Amain"/>
      </w:pPr>
      <w:r>
        <w:tab/>
        <w:t>(4)</w:t>
      </w:r>
      <w:r>
        <w:tab/>
        <w:t>No person other than an authorised person shall, knowing that a tool is being used or is intended to be used in work, repair the tool.</w:t>
      </w:r>
    </w:p>
    <w:p w:rsidR="00AF2508" w:rsidRDefault="00AF2508">
      <w:pPr>
        <w:pStyle w:val="Amain"/>
      </w:pPr>
      <w:r>
        <w:tab/>
        <w:t>(5)</w:t>
      </w:r>
      <w:r>
        <w:tab/>
        <w:t>No person shall—</w:t>
      </w:r>
    </w:p>
    <w:p w:rsidR="00AF2508" w:rsidRDefault="00AF2508">
      <w:pPr>
        <w:pStyle w:val="Apara"/>
      </w:pPr>
      <w:r>
        <w:tab/>
        <w:t>(a)</w:t>
      </w:r>
      <w:r>
        <w:tab/>
        <w:t>knowing that a tool is being used or is intended to be used in work, employ, instruct or allow any person other than an authorised person to repair the tool; or</w:t>
      </w:r>
    </w:p>
    <w:p w:rsidR="00AF2508" w:rsidRDefault="00AF2508">
      <w:pPr>
        <w:pStyle w:val="Apara"/>
      </w:pPr>
      <w:r>
        <w:tab/>
        <w:t>(b)</w:t>
      </w:r>
      <w:r>
        <w:tab/>
        <w:t>knowing that a tool has been repaired by a person other than an authorised person, use the tool in any work or employ, instruct or allow any person to use the tool in any work, unless it has since been overhauled by an authorised person.</w:t>
      </w:r>
    </w:p>
    <w:p w:rsidR="00AF2508" w:rsidRDefault="00AF2508">
      <w:pPr>
        <w:pStyle w:val="AH4SubDiv"/>
      </w:pPr>
      <w:bookmarkStart w:id="202" w:name="_Toc161636863"/>
      <w:r>
        <w:t>Use of explosive-powered tools</w:t>
      </w:r>
      <w:bookmarkEnd w:id="202"/>
    </w:p>
    <w:p w:rsidR="00AF2508" w:rsidRDefault="00AF2508">
      <w:pPr>
        <w:pStyle w:val="AH5Sec"/>
      </w:pPr>
      <w:bookmarkStart w:id="203" w:name="_Toc161636864"/>
      <w:r>
        <w:rPr>
          <w:rStyle w:val="CharSectNo"/>
        </w:rPr>
        <w:t>118E</w:t>
      </w:r>
      <w:bookmarkEnd w:id="203"/>
      <w:r>
        <w:t xml:space="preserve">  </w:t>
      </w:r>
    </w:p>
    <w:p w:rsidR="00AF2508" w:rsidRDefault="00AF2508">
      <w:pPr>
        <w:pStyle w:val="Assectheading"/>
      </w:pPr>
      <w:r>
        <w:t>General</w:t>
      </w:r>
    </w:p>
    <w:p w:rsidR="00AF2508" w:rsidRDefault="00AF2508">
      <w:pPr>
        <w:pStyle w:val="Amain"/>
      </w:pPr>
      <w:r>
        <w:tab/>
        <w:t>(1)</w:t>
      </w:r>
      <w:r>
        <w:tab/>
        <w:t>No person shall use in any work, or employ, instruct or allow any person to use in any work, any tool or other substance or thing contrary to this section, or without the measures and precautions prescribed by this section being taken.</w:t>
      </w:r>
    </w:p>
    <w:p w:rsidR="00AF2508" w:rsidRDefault="00AF2508">
      <w:pPr>
        <w:pStyle w:val="Assectheading"/>
        <w:rPr>
          <w:i w:val="0"/>
        </w:rPr>
      </w:pPr>
      <w:r>
        <w:rPr>
          <w:rStyle w:val="charItals"/>
          <w:i/>
        </w:rPr>
        <w:t>Limitation of use</w:t>
      </w:r>
      <w:r>
        <w:rPr>
          <w:i w:val="0"/>
        </w:rPr>
        <w:t>—</w:t>
      </w:r>
      <w:r>
        <w:rPr>
          <w:rStyle w:val="charItals"/>
          <w:i/>
        </w:rPr>
        <w:t>hard substances</w:t>
      </w:r>
    </w:p>
    <w:p w:rsidR="00AF2508" w:rsidRDefault="00AF2508">
      <w:pPr>
        <w:pStyle w:val="Amain"/>
      </w:pPr>
      <w:r>
        <w:tab/>
        <w:t>(2)</w:t>
      </w:r>
      <w:r>
        <w:tab/>
        <w:t>No tool shall be used on high tensile steel, steel hardened by heat treatment, cast iron or other unusually hard or unyielding substance.</w:t>
      </w:r>
    </w:p>
    <w:p w:rsidR="00AF2508" w:rsidRDefault="00AF2508">
      <w:pPr>
        <w:pStyle w:val="Amain"/>
      </w:pPr>
      <w:r>
        <w:tab/>
        <w:t>(3)</w:t>
      </w:r>
      <w:r>
        <w:tab/>
        <w:t>In subsection (2):</w:t>
      </w:r>
    </w:p>
    <w:p w:rsidR="00AF2508" w:rsidRDefault="00AF2508">
      <w:pPr>
        <w:pStyle w:val="aDef"/>
      </w:pPr>
      <w:r>
        <w:rPr>
          <w:b/>
          <w:i/>
        </w:rPr>
        <w:t>high tensile steel</w:t>
      </w:r>
      <w:r>
        <w:t xml:space="preserve"> means steel the nominal ultimate tensile value of which exceeds 45 tons per square inch.</w:t>
      </w:r>
    </w:p>
    <w:p w:rsidR="00AF2508" w:rsidRDefault="00AF2508">
      <w:pPr>
        <w:pStyle w:val="Assectheading"/>
        <w:rPr>
          <w:i w:val="0"/>
        </w:rPr>
      </w:pPr>
      <w:r>
        <w:rPr>
          <w:rStyle w:val="charItals"/>
          <w:i/>
        </w:rPr>
        <w:t>Readily shattered substances</w:t>
      </w:r>
    </w:p>
    <w:p w:rsidR="00AF2508" w:rsidRDefault="00AF2508">
      <w:pPr>
        <w:pStyle w:val="Amain"/>
      </w:pPr>
      <w:r>
        <w:tab/>
        <w:t>(4)</w:t>
      </w:r>
      <w:r>
        <w:tab/>
        <w:t>No tool shall be used on hard tile, hard terracotta, glazed brick, glass, marble, granite, thin slate or other readily shattered substance.</w:t>
      </w:r>
    </w:p>
    <w:p w:rsidR="00AF2508" w:rsidRDefault="00AF2508">
      <w:pPr>
        <w:pStyle w:val="Assectheading"/>
        <w:rPr>
          <w:i w:val="0"/>
        </w:rPr>
      </w:pPr>
      <w:r>
        <w:rPr>
          <w:rStyle w:val="charItals"/>
          <w:i/>
        </w:rPr>
        <w:t>Use near edges and holes</w:t>
      </w:r>
    </w:p>
    <w:p w:rsidR="00AF2508" w:rsidRDefault="00AF2508">
      <w:pPr>
        <w:pStyle w:val="Amain"/>
      </w:pPr>
      <w:r>
        <w:tab/>
        <w:t>(5)</w:t>
      </w:r>
      <w:r>
        <w:tab/>
        <w:t>No tool shall be used to drive a projectile into any substance—</w:t>
      </w:r>
    </w:p>
    <w:p w:rsidR="00AF2508" w:rsidRDefault="00AF2508">
      <w:pPr>
        <w:pStyle w:val="Apara"/>
      </w:pPr>
      <w:r>
        <w:tab/>
        <w:t>(a)</w:t>
      </w:r>
      <w:r>
        <w:tab/>
        <w:t>at a point so close to an edge of the substance or to any hole in it that, because of the nature of the substance, the size and shape of the projectile or the strength of the charge to be used, there is any appreciable risk that the substance might crack or break or the projectile fly from it; or</w:t>
      </w:r>
    </w:p>
    <w:p w:rsidR="00AF2508" w:rsidRDefault="00AF2508">
      <w:pPr>
        <w:pStyle w:val="Apara"/>
      </w:pPr>
      <w:r>
        <w:tab/>
        <w:t>(b)</w:t>
      </w:r>
      <w:r>
        <w:tab/>
        <w:t xml:space="preserve">if the substance is steel—within </w:t>
      </w:r>
      <w:r>
        <w:rPr>
          <w:position w:val="6"/>
          <w:sz w:val="18"/>
        </w:rPr>
        <w:t>1</w:t>
      </w:r>
      <w:r>
        <w:t>/</w:t>
      </w:r>
      <w:r>
        <w:rPr>
          <w:sz w:val="18"/>
        </w:rPr>
        <w:t>2</w:t>
      </w:r>
      <w:r>
        <w:t xml:space="preserve"> an inch of an edge of it; or</w:t>
      </w:r>
    </w:p>
    <w:p w:rsidR="00AF2508" w:rsidRDefault="00AF2508">
      <w:pPr>
        <w:pStyle w:val="Apara"/>
      </w:pPr>
      <w:r>
        <w:tab/>
        <w:t>(c)</w:t>
      </w:r>
      <w:r>
        <w:tab/>
        <w:t>if the substance is brick, concrete or the like—within 3 inches of an edge of it.</w:t>
      </w:r>
    </w:p>
    <w:p w:rsidR="00AF2508" w:rsidRDefault="00AF2508">
      <w:pPr>
        <w:pStyle w:val="Assectheading"/>
        <w:rPr>
          <w:i w:val="0"/>
        </w:rPr>
      </w:pPr>
      <w:r>
        <w:rPr>
          <w:rStyle w:val="charItals"/>
          <w:i/>
        </w:rPr>
        <w:t>Explosive or dangerous atmosphere</w:t>
      </w:r>
    </w:p>
    <w:p w:rsidR="00AF2508" w:rsidRDefault="00AF2508">
      <w:pPr>
        <w:pStyle w:val="Amain"/>
      </w:pPr>
      <w:r>
        <w:tab/>
        <w:t>(6)</w:t>
      </w:r>
      <w:r>
        <w:tab/>
        <w:t>No tool shall be used in the presence of an explosive or inflammable gas, dust or vapour, or in compressed air, or in any place where the explosive charge might be exploded or rendered dangerous by heat.</w:t>
      </w:r>
    </w:p>
    <w:p w:rsidR="00AF2508" w:rsidRDefault="00AF2508">
      <w:pPr>
        <w:pStyle w:val="Assectheading"/>
        <w:rPr>
          <w:i w:val="0"/>
        </w:rPr>
      </w:pPr>
      <w:r>
        <w:rPr>
          <w:rStyle w:val="charItals"/>
          <w:i/>
        </w:rPr>
        <w:t>Strength of explosive charges</w:t>
      </w:r>
    </w:p>
    <w:p w:rsidR="00AF2508" w:rsidRDefault="00AF2508">
      <w:pPr>
        <w:pStyle w:val="Amain"/>
      </w:pPr>
      <w:r>
        <w:tab/>
        <w:t>(7)</w:t>
      </w:r>
      <w:r>
        <w:tab/>
        <w:t>Every reasonable precaution, including if advisable the making of suitable tests, shall be taken to ensure that the explosive charge used in a tool—</w:t>
      </w:r>
    </w:p>
    <w:p w:rsidR="00AF2508" w:rsidRDefault="00AF2508">
      <w:pPr>
        <w:pStyle w:val="Apara"/>
      </w:pPr>
      <w:r>
        <w:tab/>
        <w:t>(a)</w:t>
      </w:r>
      <w:r>
        <w:tab/>
        <w:t>is of no greater strength than is necessary for the purpose for which the tool is being used; and</w:t>
      </w:r>
    </w:p>
    <w:p w:rsidR="00AF2508" w:rsidRDefault="00AF2508">
      <w:pPr>
        <w:pStyle w:val="Apara"/>
      </w:pPr>
      <w:r>
        <w:tab/>
        <w:t>(b)</w:t>
      </w:r>
      <w:r>
        <w:tab/>
        <w:t>is not of such strength that the whole of the projectile might pass through the substance on which the tool is being used, unless the substance is backed by protective material capable of fully absorbing the energy of the projectile.</w:t>
      </w:r>
    </w:p>
    <w:p w:rsidR="00AF2508" w:rsidRDefault="00AF2508">
      <w:pPr>
        <w:pStyle w:val="Assectheading"/>
        <w:rPr>
          <w:i w:val="0"/>
        </w:rPr>
      </w:pPr>
      <w:r>
        <w:rPr>
          <w:rStyle w:val="charItals"/>
          <w:i/>
        </w:rPr>
        <w:t>Use of barrel extensions</w:t>
      </w:r>
    </w:p>
    <w:p w:rsidR="00AF2508" w:rsidRDefault="00AF2508">
      <w:pPr>
        <w:pStyle w:val="Amain"/>
      </w:pPr>
      <w:r>
        <w:tab/>
        <w:t>(8)</w:t>
      </w:r>
      <w:r>
        <w:tab/>
        <w:t>If the muzzle end of the barrel of a tool cannot be brought into contact with any surface at the point where the projectile driven from the tool is to strike or penetrate the surface, an effective barrel extension shall be used to extend the barrel into contact with the surface at that point.</w:t>
      </w:r>
    </w:p>
    <w:p w:rsidR="00AF2508" w:rsidRDefault="00AF2508">
      <w:pPr>
        <w:pStyle w:val="Amain"/>
      </w:pPr>
      <w:r>
        <w:tab/>
        <w:t>(9)</w:t>
      </w:r>
      <w:r>
        <w:tab/>
        <w:t>The length of the barrel extension shall not exceed by more than </w:t>
      </w:r>
      <w:r>
        <w:rPr>
          <w:position w:val="6"/>
          <w:sz w:val="18"/>
        </w:rPr>
        <w:t>1</w:t>
      </w:r>
      <w:r>
        <w:t>/</w:t>
      </w:r>
      <w:r>
        <w:rPr>
          <w:sz w:val="18"/>
        </w:rPr>
        <w:t>2 </w:t>
      </w:r>
      <w:r>
        <w:t>an inch the maximum length that is required to clear the obstruction that renders the use of the barrel extension necessary.</w:t>
      </w:r>
    </w:p>
    <w:p w:rsidR="00AF2508" w:rsidRDefault="00AF2508">
      <w:pPr>
        <w:pStyle w:val="Assectheading"/>
        <w:rPr>
          <w:i w:val="0"/>
        </w:rPr>
      </w:pPr>
      <w:r>
        <w:rPr>
          <w:rStyle w:val="charItals"/>
          <w:i/>
        </w:rPr>
        <w:t>Care in handling of tools</w:t>
      </w:r>
    </w:p>
    <w:p w:rsidR="00AF2508" w:rsidRDefault="00AF2508">
      <w:pPr>
        <w:pStyle w:val="Amain"/>
      </w:pPr>
      <w:r>
        <w:tab/>
        <w:t>(10)</w:t>
      </w:r>
      <w:r>
        <w:tab/>
        <w:t>Every person while using a tool or carrying or handling a loaded tool shall at all times—</w:t>
      </w:r>
    </w:p>
    <w:p w:rsidR="00AF2508" w:rsidRDefault="00AF2508">
      <w:pPr>
        <w:pStyle w:val="Apara"/>
      </w:pPr>
      <w:r>
        <w:tab/>
        <w:t>(a)</w:t>
      </w:r>
      <w:r>
        <w:tab/>
        <w:t>keep all parts of his or her body clear of the open end of the barrel of the tool and keep the end pointed away from himself or herself and all other persons; and</w:t>
      </w:r>
    </w:p>
    <w:p w:rsidR="00AF2508" w:rsidRDefault="00AF2508">
      <w:pPr>
        <w:pStyle w:val="Apara"/>
      </w:pPr>
      <w:r>
        <w:tab/>
        <w:t>(b)</w:t>
      </w:r>
      <w:r>
        <w:tab/>
        <w:t>exercise the utmost care to avoid injury to himself or herself and others.</w:t>
      </w:r>
    </w:p>
    <w:p w:rsidR="00AF2508" w:rsidRDefault="00AF2508">
      <w:pPr>
        <w:pStyle w:val="Assectheading"/>
        <w:rPr>
          <w:i w:val="0"/>
        </w:rPr>
      </w:pPr>
      <w:r>
        <w:rPr>
          <w:rStyle w:val="charItals"/>
          <w:i/>
        </w:rPr>
        <w:t>Firing of tools</w:t>
      </w:r>
    </w:p>
    <w:p w:rsidR="00AF2508" w:rsidRDefault="00AF2508">
      <w:pPr>
        <w:pStyle w:val="Amain"/>
      </w:pPr>
      <w:r>
        <w:tab/>
        <w:t>(11)</w:t>
      </w:r>
      <w:r>
        <w:tab/>
        <w:t>No person shall fire a tool unless—</w:t>
      </w:r>
    </w:p>
    <w:p w:rsidR="00AF2508" w:rsidRDefault="00AF2508">
      <w:pPr>
        <w:pStyle w:val="Apara"/>
      </w:pPr>
      <w:r>
        <w:tab/>
        <w:t>(a)</w:t>
      </w:r>
      <w:r>
        <w:tab/>
        <w:t>the person is in a safe, well-balanced position so that inadvertent tilting or misalignment of the tool at the time of firing will not occur; and</w:t>
      </w:r>
    </w:p>
    <w:p w:rsidR="00AF2508" w:rsidRDefault="00AF2508">
      <w:pPr>
        <w:pStyle w:val="Apara"/>
      </w:pPr>
      <w:r>
        <w:tab/>
        <w:t>(b)</w:t>
      </w:r>
      <w:r>
        <w:tab/>
        <w:t>the person is holding the tool perpendicular to the surface on which the person is using the tool and so that the muzzle end of its barrel or barrel extension is in contact with that surface.</w:t>
      </w:r>
    </w:p>
    <w:p w:rsidR="00AF2508" w:rsidRDefault="00AF2508">
      <w:pPr>
        <w:pStyle w:val="Assectheading"/>
        <w:rPr>
          <w:i w:val="0"/>
        </w:rPr>
      </w:pPr>
      <w:r>
        <w:rPr>
          <w:rStyle w:val="charItals"/>
          <w:i/>
        </w:rPr>
        <w:t>Mechanical failure</w:t>
      </w:r>
    </w:p>
    <w:p w:rsidR="00AF2508" w:rsidRDefault="00AF2508">
      <w:pPr>
        <w:pStyle w:val="Amain"/>
      </w:pPr>
      <w:r>
        <w:tab/>
        <w:t>(12)</w:t>
      </w:r>
      <w:r>
        <w:tab/>
        <w:t>If when any person attempts to use a tool on any surface the tool fails to fire, the person shall continue to hold it perpendicular to and in contact with the surface for at least 10 seconds, and if the tool has not then fired the person shall unload it or place it in such a position that it will do no harm if it fires.</w:t>
      </w:r>
    </w:p>
    <w:p w:rsidR="00AF2508" w:rsidRDefault="00AF2508">
      <w:pPr>
        <w:pStyle w:val="Assectheading"/>
        <w:rPr>
          <w:i w:val="0"/>
        </w:rPr>
      </w:pPr>
      <w:r>
        <w:rPr>
          <w:rStyle w:val="charItals"/>
          <w:i/>
        </w:rPr>
        <w:t>Removing foreign matter</w:t>
      </w:r>
    </w:p>
    <w:p w:rsidR="00AF2508" w:rsidRDefault="00AF2508">
      <w:pPr>
        <w:pStyle w:val="Amain"/>
      </w:pPr>
      <w:r>
        <w:tab/>
        <w:t>(13)</w:t>
      </w:r>
      <w:r>
        <w:tab/>
        <w:t>A person using a tool shall, after each firing, carefully examine it and remove from it all pieces of projectile or cartridge and other foreign matter that may be present.</w:t>
      </w:r>
    </w:p>
    <w:p w:rsidR="00AF2508" w:rsidRDefault="00AF2508">
      <w:pPr>
        <w:pStyle w:val="Assectheading"/>
        <w:rPr>
          <w:i w:val="0"/>
        </w:rPr>
      </w:pPr>
      <w:r>
        <w:rPr>
          <w:rStyle w:val="charItals"/>
          <w:i/>
        </w:rPr>
        <w:t>Flying projectiles</w:t>
      </w:r>
    </w:p>
    <w:p w:rsidR="00AF2508" w:rsidRDefault="00AF2508">
      <w:pPr>
        <w:pStyle w:val="Amain"/>
      </w:pPr>
      <w:r>
        <w:tab/>
        <w:t>(14)</w:t>
      </w:r>
      <w:r>
        <w:tab/>
        <w:t>No person shall intentionally fire a tool in such a way as to cause the projectile to fly free.</w:t>
      </w:r>
    </w:p>
    <w:p w:rsidR="00AF2508" w:rsidRDefault="00AF2508">
      <w:pPr>
        <w:pStyle w:val="Assectheading"/>
        <w:rPr>
          <w:i w:val="0"/>
        </w:rPr>
      </w:pPr>
      <w:r>
        <w:rPr>
          <w:rStyle w:val="charItals"/>
          <w:i/>
        </w:rPr>
        <w:t>Use of suitable equipment</w:t>
      </w:r>
    </w:p>
    <w:p w:rsidR="00AF2508" w:rsidRDefault="00AF2508">
      <w:pPr>
        <w:pStyle w:val="Amain"/>
      </w:pPr>
      <w:r>
        <w:tab/>
        <w:t>(15)</w:t>
      </w:r>
      <w:r>
        <w:tab/>
        <w:t>There shall not be used in or with any tool any projectile, explosive charge, breech plug, barrel extension or adaptor that is not of a type correctly suited to the particular tool and to the purpose for which the tool is being used.</w:t>
      </w:r>
    </w:p>
    <w:p w:rsidR="00AF2508" w:rsidRDefault="00AF2508">
      <w:pPr>
        <w:pStyle w:val="Amain"/>
      </w:pPr>
      <w:r>
        <w:tab/>
        <w:t>(16)</w:t>
      </w:r>
      <w:r>
        <w:tab/>
        <w:t>No tool shall be used for a purpose for which it is not properly adapted.</w:t>
      </w:r>
    </w:p>
    <w:p w:rsidR="00AF2508" w:rsidRDefault="00AF2508">
      <w:pPr>
        <w:pStyle w:val="Assectheading"/>
        <w:rPr>
          <w:i w:val="0"/>
        </w:rPr>
      </w:pPr>
      <w:r>
        <w:rPr>
          <w:rStyle w:val="charItals"/>
          <w:i/>
        </w:rPr>
        <w:t>Manufacturer’s recommendations</w:t>
      </w:r>
    </w:p>
    <w:p w:rsidR="00AF2508" w:rsidRDefault="00AF2508">
      <w:pPr>
        <w:pStyle w:val="Amain"/>
      </w:pPr>
      <w:r>
        <w:tab/>
        <w:t>(17)</w:t>
      </w:r>
      <w:r>
        <w:tab/>
        <w:t>If there appears on the container of any tool or in any printed matter supplied with any tool any instruction, advice or recommendation, not inconsistent with this regulation, about the safe use of the tool or the use with it, for reasons of safety, of any substance or thing, the tool, substance or thing shall be used in accordance with the instruction, advice or recommendation.</w:t>
      </w:r>
    </w:p>
    <w:p w:rsidR="00AF2508" w:rsidRDefault="00AF2508">
      <w:pPr>
        <w:pStyle w:val="Amain"/>
      </w:pPr>
      <w:r>
        <w:tab/>
        <w:t>(18)</w:t>
      </w:r>
      <w:r>
        <w:tab/>
        <w:t>Subsection (17) does not require the use of any particular brand or make of any substance or thing.</w:t>
      </w:r>
    </w:p>
    <w:p w:rsidR="00AF2508" w:rsidRDefault="00AF2508">
      <w:pPr>
        <w:pStyle w:val="AH4SubDiv"/>
        <w:tabs>
          <w:tab w:val="clear" w:pos="2600"/>
          <w:tab w:val="left" w:pos="0"/>
        </w:tabs>
        <w:ind w:left="0" w:firstLine="0"/>
      </w:pPr>
      <w:bookmarkStart w:id="204" w:name="_Toc161636865"/>
      <w:r>
        <w:t>Care and storage of explosive-powered tools and cartridges</w:t>
      </w:r>
      <w:bookmarkEnd w:id="204"/>
    </w:p>
    <w:p w:rsidR="00AF2508" w:rsidRDefault="00AF2508">
      <w:pPr>
        <w:pStyle w:val="AH5Sec"/>
      </w:pPr>
      <w:bookmarkStart w:id="205" w:name="_Toc161636866"/>
      <w:r>
        <w:rPr>
          <w:rStyle w:val="CharSectNo"/>
        </w:rPr>
        <w:t>118F</w:t>
      </w:r>
      <w:bookmarkEnd w:id="205"/>
      <w:r>
        <w:t xml:space="preserve">  </w:t>
      </w:r>
    </w:p>
    <w:p w:rsidR="00AF2508" w:rsidRDefault="00AF2508">
      <w:pPr>
        <w:pStyle w:val="Assectheading"/>
        <w:rPr>
          <w:rStyle w:val="CharSectNo"/>
        </w:rPr>
      </w:pPr>
      <w:r>
        <w:rPr>
          <w:rStyle w:val="CharSectNo"/>
        </w:rPr>
        <w:t>Container for tools</w:t>
      </w:r>
    </w:p>
    <w:p w:rsidR="00AF2508" w:rsidRDefault="00AF2508">
      <w:pPr>
        <w:pStyle w:val="Amain"/>
      </w:pPr>
      <w:r>
        <w:tab/>
        <w:t>(1)</w:t>
      </w:r>
      <w:r>
        <w:tab/>
        <w:t>The person who directly or by his or her servants or agents carries out any work in which any explosive-powered tool is used shall keep or cause to be kept each such tool, at all times when it is not required to be removed for use, inspection, repair or other necessary purpose, in the container supplied by the maker of the tool or in an equally suitable container.</w:t>
      </w:r>
    </w:p>
    <w:p w:rsidR="00AF2508" w:rsidRDefault="00AF2508">
      <w:pPr>
        <w:pStyle w:val="Amain"/>
      </w:pPr>
      <w:r>
        <w:tab/>
        <w:t>(2)</w:t>
      </w:r>
      <w:r>
        <w:tab/>
        <w:t>No person shall take or keep any explosive-powered tool out of its container unless the tool is for the time being required for use, inspection, repair or other necessary purpose.</w:t>
      </w:r>
    </w:p>
    <w:p w:rsidR="00AF2508" w:rsidRDefault="00AF2508">
      <w:pPr>
        <w:pStyle w:val="Assectheading"/>
        <w:rPr>
          <w:i w:val="0"/>
        </w:rPr>
      </w:pPr>
      <w:r>
        <w:rPr>
          <w:rStyle w:val="charItals"/>
          <w:i/>
        </w:rPr>
        <w:t>Safekeeping of tools</w:t>
      </w:r>
    </w:p>
    <w:p w:rsidR="00AF2508" w:rsidRDefault="00AF2508">
      <w:pPr>
        <w:pStyle w:val="Amain"/>
      </w:pPr>
      <w:r>
        <w:tab/>
        <w:t>(3)</w:t>
      </w:r>
      <w:r>
        <w:tab/>
        <w:t>No person shall leave unattended on the site of any work, or any cartridge intended for use in a tool, unless effective precautions are taken to ensure that it will not be taken away, handled or used by unauthorised persons.</w:t>
      </w:r>
    </w:p>
    <w:p w:rsidR="00AF2508" w:rsidRDefault="00AF2508">
      <w:pPr>
        <w:pStyle w:val="Assectheading"/>
        <w:rPr>
          <w:i w:val="0"/>
        </w:rPr>
      </w:pPr>
      <w:r>
        <w:rPr>
          <w:rStyle w:val="charItals"/>
          <w:i/>
        </w:rPr>
        <w:t>Loaded tools</w:t>
      </w:r>
    </w:p>
    <w:p w:rsidR="00AF2508" w:rsidRDefault="00AF2508">
      <w:pPr>
        <w:pStyle w:val="Amain"/>
      </w:pPr>
      <w:r>
        <w:tab/>
        <w:t>(4)</w:t>
      </w:r>
      <w:r>
        <w:tab/>
        <w:t>No person shall, elsewhere than at the place where the tool is to be used, load any tool for use in any work.</w:t>
      </w:r>
    </w:p>
    <w:p w:rsidR="00AF2508" w:rsidRDefault="00AF2508">
      <w:pPr>
        <w:pStyle w:val="Amain"/>
      </w:pPr>
      <w:r>
        <w:tab/>
        <w:t>(5)</w:t>
      </w:r>
      <w:r>
        <w:tab/>
        <w:t>No person shall in the course of any work carry or transport a loaded tool from place to place, unless because of mechanical failure the tool cannot be unloaded.</w:t>
      </w:r>
    </w:p>
    <w:p w:rsidR="00AF2508" w:rsidRDefault="00AF2508">
      <w:pPr>
        <w:pStyle w:val="Assectheading"/>
        <w:rPr>
          <w:i w:val="0"/>
        </w:rPr>
      </w:pPr>
      <w:r>
        <w:rPr>
          <w:rStyle w:val="charItals"/>
          <w:i/>
        </w:rPr>
        <w:t>Cartridges</w:t>
      </w:r>
    </w:p>
    <w:p w:rsidR="00AF2508" w:rsidRDefault="00AF2508">
      <w:pPr>
        <w:pStyle w:val="Amain"/>
      </w:pPr>
      <w:r>
        <w:tab/>
        <w:t>(6)</w:t>
      </w:r>
      <w:r>
        <w:tab/>
        <w:t>The person who directly or by his or her servants or agents carries out any work in which a tool is used shall ensure that the cartridges for all such tools are kept in a metal container or metal containers, and shall ensure that each such container—</w:t>
      </w:r>
    </w:p>
    <w:p w:rsidR="00AF2508" w:rsidRDefault="00AF2508">
      <w:pPr>
        <w:pStyle w:val="Apara"/>
      </w:pPr>
      <w:r>
        <w:tab/>
        <w:t>(a)</w:t>
      </w:r>
      <w:r>
        <w:tab/>
        <w:t>is kept clearly marked with the word ‘</w:t>
      </w:r>
      <w:r>
        <w:rPr>
          <w:caps/>
        </w:rPr>
        <w:t>Explosive</w:t>
      </w:r>
      <w:r>
        <w:t>’; and</w:t>
      </w:r>
    </w:p>
    <w:p w:rsidR="00AF2508" w:rsidRDefault="00AF2508">
      <w:pPr>
        <w:pStyle w:val="Apara"/>
      </w:pPr>
      <w:r>
        <w:tab/>
        <w:t>(b)</w:t>
      </w:r>
      <w:r>
        <w:tab/>
        <w:t>is kept locked at all times except when cartridges are being placed in it or removed from it; and</w:t>
      </w:r>
    </w:p>
    <w:p w:rsidR="00AF2508" w:rsidRDefault="00AF2508">
      <w:pPr>
        <w:pStyle w:val="Apara"/>
      </w:pPr>
      <w:r>
        <w:tab/>
        <w:t>(c)</w:t>
      </w:r>
      <w:r>
        <w:tab/>
        <w:t>is not, while it is on the site of the work, opened except by a person using a tool or assisting in the use of a tool; and</w:t>
      </w:r>
    </w:p>
    <w:p w:rsidR="00AF2508" w:rsidRDefault="00AF2508">
      <w:pPr>
        <w:pStyle w:val="Apara"/>
      </w:pPr>
      <w:r>
        <w:tab/>
        <w:t>(d)</w:t>
      </w:r>
      <w:r>
        <w:tab/>
        <w:t>contains nothing except cartridges.</w:t>
      </w:r>
    </w:p>
    <w:p w:rsidR="00AF2508" w:rsidRDefault="00AF2508">
      <w:pPr>
        <w:pStyle w:val="AH4SubDiv"/>
      </w:pPr>
      <w:bookmarkStart w:id="206" w:name="_Toc161636867"/>
      <w:r>
        <w:t>Protective devices</w:t>
      </w:r>
      <w:bookmarkEnd w:id="206"/>
    </w:p>
    <w:p w:rsidR="00AF2508" w:rsidRDefault="00AF2508">
      <w:pPr>
        <w:pStyle w:val="AH5Sec"/>
      </w:pPr>
      <w:bookmarkStart w:id="207" w:name="_Toc161636868"/>
      <w:r>
        <w:rPr>
          <w:rStyle w:val="CharSectNo"/>
        </w:rPr>
        <w:t>118G</w:t>
      </w:r>
      <w:bookmarkEnd w:id="207"/>
      <w:r>
        <w:t xml:space="preserve">  </w:t>
      </w:r>
    </w:p>
    <w:p w:rsidR="00AF2508" w:rsidRDefault="00AF2508">
      <w:pPr>
        <w:pStyle w:val="Amain"/>
      </w:pPr>
      <w:r>
        <w:tab/>
        <w:t>(1)</w:t>
      </w:r>
      <w:r>
        <w:tab/>
        <w:t>The contractor shall provide, for the use of each person employed by the contractor in any work who in the work uses or assists in the use of an explosive-powered tool, an effective device of an approved type for the protection of the eyes of the person from missiles and flying particles.</w:t>
      </w:r>
    </w:p>
    <w:p w:rsidR="00AF2508" w:rsidRDefault="00AF2508">
      <w:pPr>
        <w:pStyle w:val="Amain"/>
      </w:pPr>
      <w:r>
        <w:tab/>
        <w:t>(2)</w:t>
      </w:r>
      <w:r>
        <w:tab/>
        <w:t>The device so provided for the use of any person shall not be one that has been used by any other person, unless it is of metal, plastic or other non-absorbent material and has been thoroughly cleaned.</w:t>
      </w:r>
    </w:p>
    <w:p w:rsidR="00AF2508" w:rsidRDefault="00AF2508">
      <w:pPr>
        <w:pStyle w:val="Amain"/>
      </w:pPr>
      <w:r>
        <w:tab/>
        <w:t>(3)</w:t>
      </w:r>
      <w:r>
        <w:tab/>
        <w:t>No person for whose use such a device has been provided in accordance with this section shall in the work use or assist in the use of any tool unless the person is using that device.</w:t>
      </w:r>
    </w:p>
    <w:p w:rsidR="00AF2508" w:rsidRDefault="00AF2508">
      <w:pPr>
        <w:pStyle w:val="AH4SubDiv"/>
      </w:pPr>
      <w:bookmarkStart w:id="208" w:name="_Toc161636869"/>
      <w:r>
        <w:t>Warning notices</w:t>
      </w:r>
      <w:bookmarkEnd w:id="208"/>
    </w:p>
    <w:p w:rsidR="00AF2508" w:rsidRDefault="00AF2508">
      <w:pPr>
        <w:pStyle w:val="AH5Sec"/>
      </w:pPr>
      <w:bookmarkStart w:id="209" w:name="_Toc161636870"/>
      <w:r>
        <w:rPr>
          <w:rStyle w:val="CharSectNo"/>
        </w:rPr>
        <w:t>118H</w:t>
      </w:r>
      <w:bookmarkEnd w:id="209"/>
      <w:r>
        <w:t xml:space="preserve">  </w:t>
      </w:r>
    </w:p>
    <w:p w:rsidR="00AF2508" w:rsidRDefault="00AF2508">
      <w:pPr>
        <w:pStyle w:val="Amainreturn"/>
        <w:rPr>
          <w:rStyle w:val="CharSectNo"/>
        </w:rPr>
      </w:pPr>
      <w:r>
        <w:rPr>
          <w:rStyle w:val="CharSectNo"/>
        </w:rPr>
        <w:t>At all times when an explosive-powered tool is being used in any work, the person who directly or by his or her servants or agents is carrying out that work shall cause to be displayed on the site of the work, so as to be clearly legible by all persons who are at or near the place where the tool is being used, a notice or notices as follows:</w:t>
      </w:r>
    </w:p>
    <w:p w:rsidR="00AF2508" w:rsidRDefault="00AF2508">
      <w:pPr>
        <w:pStyle w:val="Amainreturn"/>
        <w:rPr>
          <w:rStyle w:val="CharSectNo"/>
        </w:rPr>
      </w:pPr>
      <w:r>
        <w:rPr>
          <w:rStyle w:val="CharSectNo"/>
        </w:rPr>
        <w:t>‘Warning—Explosive-Powered Tool In Use’.</w:t>
      </w:r>
    </w:p>
    <w:p w:rsidR="00AF2508" w:rsidRDefault="00AF2508">
      <w:pPr>
        <w:pStyle w:val="02Text"/>
        <w:rPr>
          <w:rStyle w:val="CharSectNo"/>
        </w:rPr>
        <w:sectPr w:rsidR="00AF2508">
          <w:headerReference w:type="even" r:id="rId31"/>
          <w:headerReference w:type="default" r:id="rId32"/>
          <w:footerReference w:type="even" r:id="rId33"/>
          <w:footerReference w:type="default" r:id="rId34"/>
          <w:footerReference w:type="first" r:id="rId35"/>
          <w:pgSz w:w="11907" w:h="16839" w:code="9"/>
          <w:pgMar w:top="3000" w:right="1900" w:bottom="2500" w:left="2300" w:header="2480" w:footer="2100" w:gutter="0"/>
          <w:cols w:space="720"/>
          <w:docGrid w:linePitch="254"/>
        </w:sectPr>
      </w:pPr>
    </w:p>
    <w:p w:rsidR="00AF2508" w:rsidRDefault="00AF2508">
      <w:pPr>
        <w:pStyle w:val="AH2Part"/>
      </w:pPr>
      <w:bookmarkStart w:id="210" w:name="_Toc161636871"/>
      <w:r>
        <w:rPr>
          <w:rStyle w:val="CharPartNo"/>
        </w:rPr>
        <w:t>Part 10</w:t>
      </w:r>
      <w:r>
        <w:tab/>
      </w:r>
      <w:r>
        <w:rPr>
          <w:rStyle w:val="CharPartText"/>
        </w:rPr>
        <w:t>Measures to be taken for securing the health of persons in building work, excavation work and compressed air work by provision of first-aid equipment, shelter, change and dining accommodation, sanitary conveniences and washing facilities</w:t>
      </w:r>
      <w:bookmarkEnd w:id="210"/>
    </w:p>
    <w:p w:rsidR="00AF2508" w:rsidRDefault="00AF2508">
      <w:pPr>
        <w:pStyle w:val="AH3Div"/>
      </w:pPr>
      <w:bookmarkStart w:id="211" w:name="_Toc161636872"/>
      <w:r>
        <w:rPr>
          <w:rStyle w:val="CharDivNo"/>
        </w:rPr>
        <w:t>Division 10.1</w:t>
      </w:r>
      <w:r>
        <w:rPr>
          <w:rStyle w:val="CharDivNo"/>
        </w:rPr>
        <w:tab/>
      </w:r>
      <w:r>
        <w:rPr>
          <w:rStyle w:val="CharDivText"/>
        </w:rPr>
        <w:t>First-aid equipment</w:t>
      </w:r>
      <w:bookmarkEnd w:id="211"/>
    </w:p>
    <w:p w:rsidR="00AF2508" w:rsidRDefault="00AF2508">
      <w:pPr>
        <w:pStyle w:val="AH5Sec"/>
      </w:pPr>
      <w:bookmarkStart w:id="212" w:name="_Toc161636873"/>
      <w:r>
        <w:rPr>
          <w:rStyle w:val="CharSectNo"/>
        </w:rPr>
        <w:t>119</w:t>
      </w:r>
      <w:bookmarkEnd w:id="212"/>
      <w:r>
        <w:tab/>
        <w:t xml:space="preserve">  </w:t>
      </w:r>
    </w:p>
    <w:p w:rsidR="00AF2508" w:rsidRDefault="00AF2508">
      <w:pPr>
        <w:pStyle w:val="Amain"/>
      </w:pPr>
      <w:r>
        <w:tab/>
        <w:t>(1)</w:t>
      </w:r>
      <w:r>
        <w:tab/>
        <w:t>On every building work, excavation work or compressed air work where not more than 25 persons are employed, there shall be provided a first-aid chest that shall be equipped and maintained to contain at least the following requisites and appliances, unless otherwise approved:</w:t>
      </w:r>
    </w:p>
    <w:p w:rsidR="00AF2508" w:rsidRDefault="00AF2508"/>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AF2508">
        <w:trPr>
          <w:cantSplit/>
          <w:tblHeader/>
        </w:trPr>
        <w:tc>
          <w:tcPr>
            <w:tcW w:w="3160" w:type="dxa"/>
            <w:tcBorders>
              <w:bottom w:val="single" w:sz="4" w:space="0" w:color="auto"/>
            </w:tcBorders>
          </w:tcPr>
          <w:p w:rsidR="00AF2508" w:rsidRDefault="00AF2508">
            <w:pPr>
              <w:pStyle w:val="TableColHd"/>
            </w:pPr>
            <w:r>
              <w:t>items</w:t>
            </w:r>
          </w:p>
        </w:tc>
        <w:tc>
          <w:tcPr>
            <w:tcW w:w="3800" w:type="dxa"/>
            <w:tcBorders>
              <w:bottom w:val="single" w:sz="4" w:space="0" w:color="auto"/>
            </w:tcBorders>
          </w:tcPr>
          <w:p w:rsidR="00AF2508" w:rsidRDefault="00AF2508">
            <w:pPr>
              <w:pStyle w:val="TableColHd"/>
            </w:pPr>
            <w:r>
              <w:t>specifications</w:t>
            </w:r>
          </w:p>
        </w:tc>
      </w:tr>
      <w:tr w:rsidR="00AF2508">
        <w:trPr>
          <w:cantSplit/>
        </w:trPr>
        <w:tc>
          <w:tcPr>
            <w:tcW w:w="3160" w:type="dxa"/>
            <w:tcBorders>
              <w:top w:val="single" w:sz="4" w:space="0" w:color="auto"/>
            </w:tcBorders>
          </w:tcPr>
          <w:p w:rsidR="00AF2508" w:rsidRDefault="00AF2508">
            <w:pPr>
              <w:pStyle w:val="TableText"/>
            </w:pPr>
            <w:r>
              <w:t>Dettol, Melasol, Zephiran, or Solyptol solutions, 4 oz</w:t>
            </w:r>
          </w:p>
        </w:tc>
        <w:tc>
          <w:tcPr>
            <w:tcW w:w="3800" w:type="dxa"/>
            <w:tcBorders>
              <w:top w:val="single" w:sz="4" w:space="0" w:color="auto"/>
            </w:tcBorders>
          </w:tcPr>
          <w:p w:rsidR="00AF2508" w:rsidRDefault="00AF2508">
            <w:pPr>
              <w:pStyle w:val="TableText"/>
            </w:pPr>
          </w:p>
        </w:tc>
      </w:tr>
      <w:tr w:rsidR="00AF2508">
        <w:trPr>
          <w:cantSplit/>
        </w:trPr>
        <w:tc>
          <w:tcPr>
            <w:tcW w:w="3160" w:type="dxa"/>
          </w:tcPr>
          <w:p w:rsidR="00AF2508" w:rsidRDefault="00AF2508">
            <w:pPr>
              <w:pStyle w:val="TableText"/>
            </w:pPr>
            <w:r>
              <w:t>castor oil, 1 oz</w:t>
            </w:r>
            <w:r>
              <w:tab/>
            </w:r>
          </w:p>
        </w:tc>
        <w:tc>
          <w:tcPr>
            <w:tcW w:w="3800" w:type="dxa"/>
          </w:tcPr>
          <w:p w:rsidR="00AF2508" w:rsidRDefault="00AF2508">
            <w:pPr>
              <w:pStyle w:val="TableText"/>
            </w:pPr>
            <w:r>
              <w:t>with glass rod bulged, pendant</w:t>
            </w:r>
          </w:p>
        </w:tc>
      </w:tr>
      <w:tr w:rsidR="00AF2508">
        <w:trPr>
          <w:cantSplit/>
        </w:trPr>
        <w:tc>
          <w:tcPr>
            <w:tcW w:w="3160" w:type="dxa"/>
          </w:tcPr>
          <w:p w:rsidR="00AF2508" w:rsidRDefault="00AF2508">
            <w:pPr>
              <w:pStyle w:val="TableText"/>
            </w:pPr>
            <w:r>
              <w:t>sal volatile, 2 oz</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finger dressings (12)</w:t>
            </w:r>
          </w:p>
        </w:tc>
        <w:tc>
          <w:tcPr>
            <w:tcW w:w="3800" w:type="dxa"/>
          </w:tcPr>
          <w:p w:rsidR="00AF2508" w:rsidRDefault="00AF2508">
            <w:pPr>
              <w:pStyle w:val="TableText"/>
            </w:pPr>
            <w:r>
              <w:t>To be of gauze 12</w:t>
            </w:r>
            <w:r>
              <w:rPr>
                <w:rFonts w:ascii="Palatino" w:hAnsi="Palatino"/>
              </w:rPr>
              <w:t xml:space="preserve"> </w:t>
            </w:r>
            <w:r>
              <w:t xml:space="preserve">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AF2508">
        <w:trPr>
          <w:cantSplit/>
        </w:trPr>
        <w:tc>
          <w:tcPr>
            <w:tcW w:w="3160" w:type="dxa"/>
          </w:tcPr>
          <w:p w:rsidR="00AF2508" w:rsidRDefault="00AF2508">
            <w:pPr>
              <w:pStyle w:val="TableText"/>
            </w:pPr>
            <w:r>
              <w:t>adhesive strapping, 1 inch (1 reel)</w:t>
            </w:r>
          </w:p>
        </w:tc>
        <w:tc>
          <w:tcPr>
            <w:tcW w:w="3800" w:type="dxa"/>
          </w:tcPr>
          <w:p w:rsidR="00AF2508" w:rsidRDefault="00AF2508">
            <w:pPr>
              <w:pStyle w:val="TableText"/>
            </w:pPr>
            <w:r>
              <w:t>1st quality</w:t>
            </w:r>
          </w:p>
        </w:tc>
      </w:tr>
      <w:tr w:rsidR="00AF2508">
        <w:trPr>
          <w:cantSplit/>
        </w:trPr>
        <w:tc>
          <w:tcPr>
            <w:tcW w:w="3160" w:type="dxa"/>
          </w:tcPr>
          <w:p w:rsidR="00AF2508" w:rsidRDefault="00AF2508">
            <w:pPr>
              <w:pStyle w:val="TableText"/>
            </w:pPr>
            <w:r>
              <w:t>cotton wool, 4 oz</w:t>
            </w:r>
          </w:p>
        </w:tc>
        <w:tc>
          <w:tcPr>
            <w:tcW w:w="3800" w:type="dxa"/>
          </w:tcPr>
          <w:p w:rsidR="00AF2508" w:rsidRDefault="00AF2508">
            <w:pPr>
              <w:pStyle w:val="TableText"/>
            </w:pPr>
            <w:r>
              <w:t>to be sterile and to be enclosed in 1 oz quantities in sealed cartons</w:t>
            </w:r>
          </w:p>
        </w:tc>
      </w:tr>
      <w:tr w:rsidR="00AF2508">
        <w:trPr>
          <w:cantSplit/>
        </w:trPr>
        <w:tc>
          <w:tcPr>
            <w:tcW w:w="3160" w:type="dxa"/>
          </w:tcPr>
          <w:p w:rsidR="00AF2508" w:rsidRDefault="00AF2508">
            <w:pPr>
              <w:pStyle w:val="TableText"/>
            </w:pPr>
            <w:r>
              <w:t>bicarbonate of soda, 2 oz</w:t>
            </w:r>
          </w:p>
        </w:tc>
        <w:tc>
          <w:tcPr>
            <w:tcW w:w="3800" w:type="dxa"/>
          </w:tcPr>
          <w:p w:rsidR="00AF2508" w:rsidRDefault="00AF2508">
            <w:pPr>
              <w:pStyle w:val="TableText"/>
            </w:pPr>
            <w:r>
              <w:t>to be sterile and enclosed in 1 oz quantities in sealed cartons</w:t>
            </w:r>
          </w:p>
        </w:tc>
      </w:tr>
      <w:tr w:rsidR="00AF2508">
        <w:trPr>
          <w:cantSplit/>
        </w:trPr>
        <w:tc>
          <w:tcPr>
            <w:tcW w:w="3160" w:type="dxa"/>
          </w:tcPr>
          <w:p w:rsidR="00AF2508" w:rsidRDefault="00AF2508">
            <w:pPr>
              <w:pStyle w:val="TableText"/>
            </w:pPr>
            <w:r>
              <w:t>boracic acid, 2 oz</w:t>
            </w:r>
          </w:p>
        </w:tc>
        <w:tc>
          <w:tcPr>
            <w:tcW w:w="3800" w:type="dxa"/>
          </w:tcPr>
          <w:p w:rsidR="00AF2508" w:rsidRDefault="00AF2508">
            <w:pPr>
              <w:pStyle w:val="TableText"/>
            </w:pPr>
            <w:r>
              <w:t>to be sterile and enclosed in 1 oz quantities in sealed cartons</w:t>
            </w:r>
          </w:p>
        </w:tc>
      </w:tr>
      <w:tr w:rsidR="00AF2508">
        <w:trPr>
          <w:cantSplit/>
        </w:trPr>
        <w:tc>
          <w:tcPr>
            <w:tcW w:w="3160" w:type="dxa"/>
          </w:tcPr>
          <w:p w:rsidR="00AF2508" w:rsidRDefault="00AF2508">
            <w:pPr>
              <w:pStyle w:val="TableText"/>
            </w:pPr>
            <w:r>
              <w:t>plain gauze, 1 yard</w:t>
            </w:r>
          </w:p>
        </w:tc>
        <w:tc>
          <w:tcPr>
            <w:tcW w:w="3800" w:type="dxa"/>
          </w:tcPr>
          <w:p w:rsidR="00AF2508" w:rsidRDefault="00AF2508">
            <w:pPr>
              <w:pStyle w:val="TableText"/>
            </w:pPr>
            <w:r>
              <w:t>enclosed in a sealed carton</w:t>
            </w:r>
          </w:p>
        </w:tc>
      </w:tr>
      <w:tr w:rsidR="00AF2508">
        <w:trPr>
          <w:cantSplit/>
        </w:trPr>
        <w:tc>
          <w:tcPr>
            <w:tcW w:w="3160" w:type="dxa"/>
          </w:tcPr>
          <w:p w:rsidR="00AF2508" w:rsidRDefault="00AF2508">
            <w:pPr>
              <w:pStyle w:val="TableText"/>
            </w:pPr>
            <w:r>
              <w:t>roller bandages, 1</w:t>
            </w:r>
            <w:r>
              <w:rPr>
                <w:rFonts w:ascii="Palatino" w:hAnsi="Palatino"/>
              </w:rPr>
              <w:t xml:space="preserve"> </w:t>
            </w:r>
            <w:r>
              <w:t>inch (3)</w:t>
            </w:r>
          </w:p>
        </w:tc>
        <w:tc>
          <w:tcPr>
            <w:tcW w:w="3800" w:type="dxa"/>
          </w:tcPr>
          <w:p w:rsidR="00AF2508" w:rsidRDefault="00AF2508">
            <w:pPr>
              <w:pStyle w:val="TableText"/>
            </w:pPr>
            <w:r>
              <w:t>to be enclosed in a sealed envelope</w:t>
            </w:r>
          </w:p>
        </w:tc>
      </w:tr>
      <w:tr w:rsidR="00AF2508">
        <w:trPr>
          <w:cantSplit/>
        </w:trPr>
        <w:tc>
          <w:tcPr>
            <w:tcW w:w="3160" w:type="dxa"/>
          </w:tcPr>
          <w:p w:rsidR="00AF2508" w:rsidRDefault="00AF2508">
            <w:pPr>
              <w:pStyle w:val="TableText"/>
            </w:pPr>
            <w:r>
              <w:t>triangular bandages</w:t>
            </w:r>
            <w:r>
              <w:rPr>
                <w:b/>
              </w:rPr>
              <w:t xml:space="preserve"> </w:t>
            </w:r>
            <w:r>
              <w:t>(3)</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tourniquet</w:t>
            </w:r>
            <w:r>
              <w:rPr>
                <w:b/>
              </w:rPr>
              <w:t xml:space="preserve"> </w:t>
            </w:r>
            <w:r>
              <w:t>(1)</w:t>
            </w:r>
          </w:p>
        </w:tc>
        <w:tc>
          <w:tcPr>
            <w:tcW w:w="3800" w:type="dxa"/>
          </w:tcPr>
          <w:p w:rsidR="00AF2508" w:rsidRDefault="00AF2508">
            <w:pPr>
              <w:pStyle w:val="TableText"/>
            </w:pPr>
            <w:r>
              <w:t>St. John’s</w:t>
            </w:r>
          </w:p>
        </w:tc>
      </w:tr>
      <w:tr w:rsidR="00AF2508">
        <w:trPr>
          <w:cantSplit/>
        </w:trPr>
        <w:tc>
          <w:tcPr>
            <w:tcW w:w="3160" w:type="dxa"/>
          </w:tcPr>
          <w:p w:rsidR="00AF2508" w:rsidRDefault="00AF2508">
            <w:pPr>
              <w:pStyle w:val="TableText"/>
            </w:pPr>
            <w:r>
              <w:t>medicine glass, 2 oz</w:t>
            </w:r>
            <w:r>
              <w:rPr>
                <w:b/>
              </w:rPr>
              <w:t xml:space="preserve"> </w:t>
            </w:r>
            <w:r>
              <w:t>(1)</w:t>
            </w:r>
          </w:p>
        </w:tc>
        <w:tc>
          <w:tcPr>
            <w:tcW w:w="3800" w:type="dxa"/>
          </w:tcPr>
          <w:p w:rsidR="00AF2508" w:rsidRDefault="00AF2508">
            <w:pPr>
              <w:pStyle w:val="TableText"/>
            </w:pPr>
            <w:r>
              <w:t>to be marked for teaspoon, dessertspoon and tablespoonful doses</w:t>
            </w:r>
          </w:p>
        </w:tc>
      </w:tr>
      <w:tr w:rsidR="00AF2508">
        <w:trPr>
          <w:cantSplit/>
        </w:trPr>
        <w:tc>
          <w:tcPr>
            <w:tcW w:w="3160" w:type="dxa"/>
          </w:tcPr>
          <w:p w:rsidR="00AF2508" w:rsidRDefault="00AF2508">
            <w:pPr>
              <w:pStyle w:val="TableText"/>
            </w:pPr>
            <w:r>
              <w:t>eye bath</w:t>
            </w:r>
            <w:r>
              <w:rPr>
                <w:b/>
              </w:rPr>
              <w:t xml:space="preserve"> </w:t>
            </w:r>
            <w:r>
              <w:t>(1)</w:t>
            </w:r>
          </w:p>
        </w:tc>
        <w:tc>
          <w:tcPr>
            <w:tcW w:w="3800" w:type="dxa"/>
          </w:tcPr>
          <w:p w:rsidR="00AF2508" w:rsidRDefault="00AF2508">
            <w:pPr>
              <w:pStyle w:val="TableText"/>
            </w:pPr>
            <w:r>
              <w:t>of 1st quality plastic</w:t>
            </w:r>
          </w:p>
        </w:tc>
      </w:tr>
      <w:tr w:rsidR="00AF2508">
        <w:trPr>
          <w:cantSplit/>
        </w:trPr>
        <w:tc>
          <w:tcPr>
            <w:tcW w:w="3160" w:type="dxa"/>
          </w:tcPr>
          <w:p w:rsidR="00AF2508" w:rsidRDefault="00AF2508">
            <w:pPr>
              <w:pStyle w:val="TableText"/>
            </w:pPr>
            <w:r>
              <w:t>dressing forceps, 5 inch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splinter forceps, 5 inch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scissors, 5 inch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towels</w:t>
            </w:r>
            <w:r>
              <w:rPr>
                <w:b/>
              </w:rPr>
              <w:t xml:space="preserve"> </w:t>
            </w:r>
            <w:r>
              <w:t>(1)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enamel basin, 7</w:t>
            </w:r>
            <w:r>
              <w:rPr>
                <w:position w:val="6"/>
                <w:sz w:val="18"/>
              </w:rPr>
              <w:t>1</w:t>
            </w:r>
            <w:r>
              <w:t>/</w:t>
            </w:r>
            <w:r>
              <w:rPr>
                <w:sz w:val="18"/>
              </w:rPr>
              <w:t>2</w:t>
            </w:r>
            <w:r>
              <w:t xml:space="preserve"> inches diam. (1)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safety pins</w:t>
            </w:r>
            <w:r>
              <w:rPr>
                <w:b/>
              </w:rPr>
              <w:t xml:space="preserve"> </w:t>
            </w:r>
            <w:r>
              <w:t>(12)</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enamel drinking mug</w:t>
            </w:r>
            <w:r>
              <w:rPr>
                <w:b/>
              </w:rPr>
              <w:t xml:space="preserve"> </w:t>
            </w:r>
            <w:r>
              <w:t>(1)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first-aid pamphlet</w:t>
            </w:r>
            <w:r>
              <w:rPr>
                <w:b/>
              </w:rPr>
              <w:t xml:space="preserve"> </w:t>
            </w:r>
            <w:r>
              <w:t>(1)</w:t>
            </w:r>
          </w:p>
        </w:tc>
        <w:tc>
          <w:tcPr>
            <w:tcW w:w="3800" w:type="dxa"/>
          </w:tcPr>
          <w:p w:rsidR="00AF2508" w:rsidRDefault="00AF2508">
            <w:pPr>
              <w:pStyle w:val="TableText"/>
            </w:pPr>
            <w:r>
              <w:t>Departmental ‘First-aid in Industry’.</w:t>
            </w:r>
          </w:p>
        </w:tc>
      </w:tr>
    </w:tbl>
    <w:p w:rsidR="00AF2508" w:rsidRDefault="00AF2508"/>
    <w:p w:rsidR="00AF2508" w:rsidRDefault="00AF2508">
      <w:pPr>
        <w:pStyle w:val="Amain"/>
      </w:pPr>
      <w:r>
        <w:tab/>
        <w:t>(2)</w:t>
      </w:r>
      <w:r>
        <w:tab/>
        <w:t>On every building work, excavation work or compressed air work where more than 25 and not more than 100 persons are employed, there shall be provided a first-aid chest that shall be equipped and maintained to contain at least the following requisites and appliances unless otherwise approved:</w:t>
      </w:r>
    </w:p>
    <w:p w:rsidR="00AF2508" w:rsidRDefault="00AF2508"/>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AF2508">
        <w:trPr>
          <w:cantSplit/>
          <w:tblHeader/>
        </w:trPr>
        <w:tc>
          <w:tcPr>
            <w:tcW w:w="3160" w:type="dxa"/>
            <w:tcBorders>
              <w:bottom w:val="single" w:sz="4" w:space="0" w:color="auto"/>
            </w:tcBorders>
          </w:tcPr>
          <w:p w:rsidR="00AF2508" w:rsidRDefault="00AF2508">
            <w:pPr>
              <w:pStyle w:val="TableColHd"/>
            </w:pPr>
            <w:r>
              <w:t>items</w:t>
            </w:r>
          </w:p>
        </w:tc>
        <w:tc>
          <w:tcPr>
            <w:tcW w:w="3800" w:type="dxa"/>
            <w:tcBorders>
              <w:bottom w:val="single" w:sz="4" w:space="0" w:color="auto"/>
            </w:tcBorders>
          </w:tcPr>
          <w:p w:rsidR="00AF2508" w:rsidRDefault="00AF2508">
            <w:pPr>
              <w:pStyle w:val="TableColHd"/>
            </w:pPr>
            <w:r>
              <w:t>specifications</w:t>
            </w:r>
          </w:p>
        </w:tc>
      </w:tr>
      <w:tr w:rsidR="00AF2508">
        <w:trPr>
          <w:cantSplit/>
        </w:trPr>
        <w:tc>
          <w:tcPr>
            <w:tcW w:w="3160" w:type="dxa"/>
            <w:tcBorders>
              <w:top w:val="single" w:sz="4" w:space="0" w:color="auto"/>
            </w:tcBorders>
          </w:tcPr>
          <w:p w:rsidR="00AF2508" w:rsidRDefault="00AF2508">
            <w:pPr>
              <w:pStyle w:val="TableText"/>
            </w:pPr>
            <w:r>
              <w:t>Dettol, Melasol, Zephiran, or Solyptol solutions 8 oz</w:t>
            </w:r>
          </w:p>
        </w:tc>
        <w:tc>
          <w:tcPr>
            <w:tcW w:w="3800" w:type="dxa"/>
            <w:tcBorders>
              <w:top w:val="single" w:sz="4" w:space="0" w:color="auto"/>
            </w:tcBorders>
          </w:tcPr>
          <w:p w:rsidR="00AF2508" w:rsidRDefault="00AF2508">
            <w:pPr>
              <w:pStyle w:val="TableText"/>
            </w:pPr>
          </w:p>
        </w:tc>
      </w:tr>
      <w:tr w:rsidR="00AF2508">
        <w:trPr>
          <w:cantSplit/>
        </w:trPr>
        <w:tc>
          <w:tcPr>
            <w:tcW w:w="3160" w:type="dxa"/>
          </w:tcPr>
          <w:p w:rsidR="00AF2508" w:rsidRDefault="00AF2508">
            <w:pPr>
              <w:pStyle w:val="TableText"/>
            </w:pPr>
            <w:r>
              <w:t>castor oil, 1 oz</w:t>
            </w:r>
            <w:r>
              <w:tab/>
            </w:r>
          </w:p>
        </w:tc>
        <w:tc>
          <w:tcPr>
            <w:tcW w:w="3800" w:type="dxa"/>
          </w:tcPr>
          <w:p w:rsidR="00AF2508" w:rsidRDefault="00AF2508">
            <w:pPr>
              <w:pStyle w:val="TableText"/>
            </w:pPr>
            <w:r>
              <w:t>with glass rod bulged, pendant</w:t>
            </w:r>
          </w:p>
        </w:tc>
      </w:tr>
      <w:tr w:rsidR="00AF2508">
        <w:trPr>
          <w:cantSplit/>
        </w:trPr>
        <w:tc>
          <w:tcPr>
            <w:tcW w:w="3160" w:type="dxa"/>
          </w:tcPr>
          <w:p w:rsidR="00AF2508" w:rsidRDefault="00AF2508">
            <w:pPr>
              <w:pStyle w:val="TableText"/>
            </w:pPr>
            <w:r>
              <w:t>sal volatile, 4 oz</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finger dressings (24)</w:t>
            </w:r>
          </w:p>
        </w:tc>
        <w:tc>
          <w:tcPr>
            <w:tcW w:w="3800" w:type="dxa"/>
          </w:tcPr>
          <w:p w:rsidR="00AF2508" w:rsidRDefault="00AF2508">
            <w:pPr>
              <w:pStyle w:val="TableText"/>
            </w:pPr>
            <w:r>
              <w:t>To be of gauze 12</w:t>
            </w:r>
            <w:r>
              <w:rPr>
                <w:rFonts w:ascii="Palatino" w:hAnsi="Palatino"/>
              </w:rPr>
              <w:t xml:space="preserve"> </w:t>
            </w:r>
            <w:r>
              <w:t xml:space="preserve">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AF2508">
        <w:trPr>
          <w:cantSplit/>
        </w:trPr>
        <w:tc>
          <w:tcPr>
            <w:tcW w:w="3160" w:type="dxa"/>
          </w:tcPr>
          <w:p w:rsidR="00AF2508" w:rsidRDefault="00AF2508">
            <w:pPr>
              <w:pStyle w:val="TableText"/>
            </w:pPr>
            <w:r>
              <w:t>adhesive strapping, 1 inch (2 reels)</w:t>
            </w:r>
          </w:p>
        </w:tc>
        <w:tc>
          <w:tcPr>
            <w:tcW w:w="3800" w:type="dxa"/>
          </w:tcPr>
          <w:p w:rsidR="00AF2508" w:rsidRDefault="00AF2508">
            <w:pPr>
              <w:pStyle w:val="TableText"/>
            </w:pPr>
            <w:r>
              <w:t>1st quality</w:t>
            </w:r>
          </w:p>
        </w:tc>
      </w:tr>
      <w:tr w:rsidR="00AF2508">
        <w:trPr>
          <w:cantSplit/>
        </w:trPr>
        <w:tc>
          <w:tcPr>
            <w:tcW w:w="3160" w:type="dxa"/>
          </w:tcPr>
          <w:p w:rsidR="00AF2508" w:rsidRDefault="00AF2508">
            <w:pPr>
              <w:pStyle w:val="TableText"/>
            </w:pPr>
            <w:r>
              <w:t>cotton wool, 8 oz</w:t>
            </w:r>
          </w:p>
        </w:tc>
        <w:tc>
          <w:tcPr>
            <w:tcW w:w="3800" w:type="dxa"/>
          </w:tcPr>
          <w:p w:rsidR="00AF2508" w:rsidRDefault="00AF2508">
            <w:pPr>
              <w:pStyle w:val="TableText"/>
            </w:pPr>
            <w:r>
              <w:t>to be sterile and enclosed in 1 oz quantities in sealed cartons</w:t>
            </w:r>
          </w:p>
        </w:tc>
      </w:tr>
      <w:tr w:rsidR="00AF2508">
        <w:trPr>
          <w:cantSplit/>
        </w:trPr>
        <w:tc>
          <w:tcPr>
            <w:tcW w:w="3160" w:type="dxa"/>
          </w:tcPr>
          <w:p w:rsidR="00AF2508" w:rsidRDefault="00AF2508">
            <w:pPr>
              <w:pStyle w:val="TableText"/>
            </w:pPr>
            <w:r>
              <w:t>bicarbonate of soda, 4 oz</w:t>
            </w:r>
          </w:p>
        </w:tc>
        <w:tc>
          <w:tcPr>
            <w:tcW w:w="3800" w:type="dxa"/>
          </w:tcPr>
          <w:p w:rsidR="00AF2508" w:rsidRDefault="00AF2508">
            <w:pPr>
              <w:pStyle w:val="TableText"/>
            </w:pPr>
            <w:r>
              <w:t>to be sterile and enclosed in 1 oz quantities in sealed cartons</w:t>
            </w:r>
          </w:p>
        </w:tc>
      </w:tr>
      <w:tr w:rsidR="00AF2508">
        <w:trPr>
          <w:cantSplit/>
        </w:trPr>
        <w:tc>
          <w:tcPr>
            <w:tcW w:w="3160" w:type="dxa"/>
          </w:tcPr>
          <w:p w:rsidR="00AF2508" w:rsidRDefault="00AF2508">
            <w:pPr>
              <w:pStyle w:val="TableText"/>
            </w:pPr>
            <w:r>
              <w:t>boracic acid, 4 oz</w:t>
            </w:r>
          </w:p>
        </w:tc>
        <w:tc>
          <w:tcPr>
            <w:tcW w:w="3800" w:type="dxa"/>
          </w:tcPr>
          <w:p w:rsidR="00AF2508" w:rsidRDefault="00AF2508">
            <w:pPr>
              <w:pStyle w:val="TableText"/>
            </w:pPr>
            <w:r>
              <w:t>to be sterile and enclosed in 1 oz quantities in sealed cartons</w:t>
            </w:r>
          </w:p>
        </w:tc>
      </w:tr>
      <w:tr w:rsidR="00AF2508">
        <w:trPr>
          <w:cantSplit/>
        </w:trPr>
        <w:tc>
          <w:tcPr>
            <w:tcW w:w="3160" w:type="dxa"/>
          </w:tcPr>
          <w:p w:rsidR="00AF2508" w:rsidRDefault="00AF2508">
            <w:pPr>
              <w:pStyle w:val="TableText"/>
            </w:pPr>
            <w:r>
              <w:t>plain gauze (2 yds)</w:t>
            </w:r>
          </w:p>
        </w:tc>
        <w:tc>
          <w:tcPr>
            <w:tcW w:w="3800" w:type="dxa"/>
          </w:tcPr>
          <w:p w:rsidR="00AF2508" w:rsidRDefault="00AF2508">
            <w:pPr>
              <w:pStyle w:val="TableText"/>
            </w:pPr>
            <w:r>
              <w:t>in yard quantities each enclosed in a sealed carton</w:t>
            </w:r>
          </w:p>
        </w:tc>
      </w:tr>
      <w:tr w:rsidR="00AF2508">
        <w:trPr>
          <w:cantSplit/>
        </w:trPr>
        <w:tc>
          <w:tcPr>
            <w:tcW w:w="3160" w:type="dxa"/>
          </w:tcPr>
          <w:p w:rsidR="00AF2508" w:rsidRDefault="00AF2508">
            <w:pPr>
              <w:pStyle w:val="TableText"/>
            </w:pPr>
            <w:r>
              <w:t>roller bandages, 1 inch (6)</w:t>
            </w:r>
          </w:p>
        </w:tc>
        <w:tc>
          <w:tcPr>
            <w:tcW w:w="3800" w:type="dxa"/>
          </w:tcPr>
          <w:p w:rsidR="00AF2508" w:rsidRDefault="00AF2508">
            <w:pPr>
              <w:pStyle w:val="TableText"/>
            </w:pPr>
            <w:r>
              <w:t>to be enclosed in a sealed envelope</w:t>
            </w:r>
          </w:p>
        </w:tc>
      </w:tr>
      <w:tr w:rsidR="00AF2508">
        <w:trPr>
          <w:cantSplit/>
        </w:trPr>
        <w:tc>
          <w:tcPr>
            <w:tcW w:w="3160" w:type="dxa"/>
          </w:tcPr>
          <w:p w:rsidR="00AF2508" w:rsidRDefault="00AF2508">
            <w:pPr>
              <w:pStyle w:val="TableText"/>
            </w:pPr>
            <w:r>
              <w:t>roller bandages, 2 inch (6)</w:t>
            </w:r>
          </w:p>
        </w:tc>
        <w:tc>
          <w:tcPr>
            <w:tcW w:w="3800" w:type="dxa"/>
          </w:tcPr>
          <w:p w:rsidR="00AF2508" w:rsidRDefault="00AF2508">
            <w:pPr>
              <w:pStyle w:val="TableText"/>
            </w:pPr>
            <w:r>
              <w:t>to be enclosed in a sealed envelope</w:t>
            </w:r>
          </w:p>
        </w:tc>
      </w:tr>
      <w:tr w:rsidR="00AF2508">
        <w:trPr>
          <w:cantSplit/>
        </w:trPr>
        <w:tc>
          <w:tcPr>
            <w:tcW w:w="3160" w:type="dxa"/>
          </w:tcPr>
          <w:p w:rsidR="00AF2508" w:rsidRDefault="00AF2508">
            <w:pPr>
              <w:pStyle w:val="TableText"/>
            </w:pPr>
            <w:r>
              <w:t>triangular bandages</w:t>
            </w:r>
            <w:r>
              <w:rPr>
                <w:b/>
              </w:rPr>
              <w:t xml:space="preserve"> </w:t>
            </w:r>
            <w:r>
              <w:t>(4)</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tourniquet</w:t>
            </w:r>
            <w:r>
              <w:rPr>
                <w:b/>
              </w:rPr>
              <w:t xml:space="preserve"> </w:t>
            </w:r>
            <w:r>
              <w:t>(1)</w:t>
            </w:r>
          </w:p>
        </w:tc>
        <w:tc>
          <w:tcPr>
            <w:tcW w:w="3800" w:type="dxa"/>
          </w:tcPr>
          <w:p w:rsidR="00AF2508" w:rsidRDefault="00AF2508">
            <w:pPr>
              <w:pStyle w:val="TableText"/>
            </w:pPr>
            <w:r>
              <w:t>St. John’s</w:t>
            </w:r>
          </w:p>
        </w:tc>
      </w:tr>
      <w:tr w:rsidR="00AF2508">
        <w:trPr>
          <w:cantSplit/>
        </w:trPr>
        <w:tc>
          <w:tcPr>
            <w:tcW w:w="3160" w:type="dxa"/>
          </w:tcPr>
          <w:p w:rsidR="00AF2508" w:rsidRDefault="00AF2508">
            <w:pPr>
              <w:pStyle w:val="TableText"/>
            </w:pPr>
            <w:r>
              <w:t>medicine glass, 2 oz</w:t>
            </w:r>
            <w:r>
              <w:rPr>
                <w:b/>
              </w:rPr>
              <w:t xml:space="preserve"> </w:t>
            </w:r>
            <w:r>
              <w:t>(1)</w:t>
            </w:r>
          </w:p>
        </w:tc>
        <w:tc>
          <w:tcPr>
            <w:tcW w:w="3800" w:type="dxa"/>
          </w:tcPr>
          <w:p w:rsidR="00AF2508" w:rsidRDefault="00AF2508">
            <w:pPr>
              <w:pStyle w:val="TableText"/>
            </w:pPr>
            <w:r>
              <w:t>to be marked for teaspoon, dessertspoon and tablespoonful doses</w:t>
            </w:r>
          </w:p>
        </w:tc>
      </w:tr>
      <w:tr w:rsidR="00AF2508">
        <w:trPr>
          <w:cantSplit/>
        </w:trPr>
        <w:tc>
          <w:tcPr>
            <w:tcW w:w="3160" w:type="dxa"/>
          </w:tcPr>
          <w:p w:rsidR="00AF2508" w:rsidRDefault="00AF2508">
            <w:pPr>
              <w:pStyle w:val="TableText"/>
            </w:pPr>
            <w:r>
              <w:t>enamel feeding cup (1)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eye bath</w:t>
            </w:r>
            <w:r>
              <w:rPr>
                <w:b/>
              </w:rPr>
              <w:t xml:space="preserve"> </w:t>
            </w:r>
            <w:r>
              <w:t>(1)</w:t>
            </w:r>
          </w:p>
        </w:tc>
        <w:tc>
          <w:tcPr>
            <w:tcW w:w="3800" w:type="dxa"/>
          </w:tcPr>
          <w:p w:rsidR="00AF2508" w:rsidRDefault="00AF2508">
            <w:pPr>
              <w:pStyle w:val="TableText"/>
            </w:pPr>
            <w:r>
              <w:t>of 1st quality plastic</w:t>
            </w:r>
          </w:p>
        </w:tc>
      </w:tr>
      <w:tr w:rsidR="00AF2508">
        <w:trPr>
          <w:cantSplit/>
        </w:trPr>
        <w:tc>
          <w:tcPr>
            <w:tcW w:w="3160" w:type="dxa"/>
          </w:tcPr>
          <w:p w:rsidR="00AF2508" w:rsidRDefault="00AF2508">
            <w:pPr>
              <w:pStyle w:val="TableText"/>
            </w:pPr>
            <w:r>
              <w:t>dressing forceps, 5 inches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splinter forceps, 5 inches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scissors 5 inches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towels</w:t>
            </w:r>
            <w:r>
              <w:rPr>
                <w:b/>
              </w:rPr>
              <w:t xml:space="preserve"> </w:t>
            </w:r>
            <w:r>
              <w:t>(2)</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enamel basin, 9 inches diam. (1)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safety pins</w:t>
            </w:r>
            <w:r>
              <w:rPr>
                <w:b/>
              </w:rPr>
              <w:t xml:space="preserve"> </w:t>
            </w:r>
            <w:r>
              <w:t>(12)</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enamel drinking mug</w:t>
            </w:r>
            <w:r>
              <w:rPr>
                <w:b/>
              </w:rPr>
              <w:t xml:space="preserve"> </w:t>
            </w:r>
            <w:r>
              <w:t>(1)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first-aid pamphlet</w:t>
            </w:r>
            <w:r>
              <w:rPr>
                <w:b/>
              </w:rPr>
              <w:t xml:space="preserve"> </w:t>
            </w:r>
            <w:r>
              <w:t>(1)</w:t>
            </w:r>
          </w:p>
        </w:tc>
        <w:tc>
          <w:tcPr>
            <w:tcW w:w="3800" w:type="dxa"/>
          </w:tcPr>
          <w:p w:rsidR="00AF2508" w:rsidRDefault="00AF2508">
            <w:pPr>
              <w:pStyle w:val="TableText"/>
            </w:pPr>
            <w:r>
              <w:t>Departmental ‘First-aid in Industry’.</w:t>
            </w:r>
          </w:p>
        </w:tc>
      </w:tr>
    </w:tbl>
    <w:p w:rsidR="00AF2508" w:rsidRDefault="00AF2508"/>
    <w:p w:rsidR="00AF2508" w:rsidRDefault="00AF2508">
      <w:pPr>
        <w:pStyle w:val="Amain"/>
      </w:pPr>
      <w:r>
        <w:tab/>
        <w:t>(3)</w:t>
      </w:r>
      <w:r>
        <w:tab/>
        <w:t>On every building work, excavation work or compressed air work where more than 100 persons are employed there shall be provided a first-aid chest that shall be equipped and maintained to contain at least the following requisites and appliances unless otherwise approved:</w:t>
      </w:r>
    </w:p>
    <w:p w:rsidR="00AF2508" w:rsidRDefault="00AF2508"/>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AF2508">
        <w:trPr>
          <w:cantSplit/>
          <w:tblHeader/>
        </w:trPr>
        <w:tc>
          <w:tcPr>
            <w:tcW w:w="3160" w:type="dxa"/>
            <w:tcBorders>
              <w:bottom w:val="single" w:sz="4" w:space="0" w:color="auto"/>
            </w:tcBorders>
          </w:tcPr>
          <w:p w:rsidR="00AF2508" w:rsidRDefault="00AF2508">
            <w:pPr>
              <w:pStyle w:val="TableColHd"/>
            </w:pPr>
            <w:r>
              <w:t>items</w:t>
            </w:r>
          </w:p>
        </w:tc>
        <w:tc>
          <w:tcPr>
            <w:tcW w:w="3800" w:type="dxa"/>
            <w:tcBorders>
              <w:bottom w:val="single" w:sz="4" w:space="0" w:color="auto"/>
            </w:tcBorders>
          </w:tcPr>
          <w:p w:rsidR="00AF2508" w:rsidRDefault="00AF2508">
            <w:pPr>
              <w:pStyle w:val="TableColHd"/>
            </w:pPr>
            <w:r>
              <w:t>specifications</w:t>
            </w:r>
          </w:p>
        </w:tc>
      </w:tr>
      <w:tr w:rsidR="00AF2508">
        <w:trPr>
          <w:cantSplit/>
        </w:trPr>
        <w:tc>
          <w:tcPr>
            <w:tcW w:w="3160" w:type="dxa"/>
            <w:tcBorders>
              <w:top w:val="single" w:sz="4" w:space="0" w:color="auto"/>
            </w:tcBorders>
          </w:tcPr>
          <w:p w:rsidR="00AF2508" w:rsidRDefault="00AF2508">
            <w:pPr>
              <w:pStyle w:val="TableText"/>
            </w:pPr>
            <w:r>
              <w:t>Dettol, Melasol, Zephiran, or Solyptol solutions, 12 oz</w:t>
            </w:r>
          </w:p>
        </w:tc>
        <w:tc>
          <w:tcPr>
            <w:tcW w:w="3800" w:type="dxa"/>
            <w:tcBorders>
              <w:top w:val="single" w:sz="4" w:space="0" w:color="auto"/>
            </w:tcBorders>
          </w:tcPr>
          <w:p w:rsidR="00AF2508" w:rsidRDefault="00AF2508">
            <w:pPr>
              <w:pStyle w:val="TableText"/>
            </w:pPr>
          </w:p>
        </w:tc>
      </w:tr>
      <w:tr w:rsidR="00AF2508">
        <w:trPr>
          <w:cantSplit/>
        </w:trPr>
        <w:tc>
          <w:tcPr>
            <w:tcW w:w="3160" w:type="dxa"/>
          </w:tcPr>
          <w:p w:rsidR="00AF2508" w:rsidRDefault="00AF2508">
            <w:pPr>
              <w:pStyle w:val="TableText"/>
            </w:pPr>
            <w:r>
              <w:t>castor oil, 2 oz</w:t>
            </w:r>
            <w:r>
              <w:tab/>
            </w:r>
          </w:p>
        </w:tc>
        <w:tc>
          <w:tcPr>
            <w:tcW w:w="3800" w:type="dxa"/>
          </w:tcPr>
          <w:p w:rsidR="00AF2508" w:rsidRDefault="00AF2508">
            <w:pPr>
              <w:pStyle w:val="TableText"/>
            </w:pPr>
            <w:r>
              <w:t>with glass rod bulged, pendant</w:t>
            </w:r>
          </w:p>
        </w:tc>
      </w:tr>
      <w:tr w:rsidR="00AF2508">
        <w:trPr>
          <w:cantSplit/>
        </w:trPr>
        <w:tc>
          <w:tcPr>
            <w:tcW w:w="3160" w:type="dxa"/>
          </w:tcPr>
          <w:p w:rsidR="00AF2508" w:rsidRDefault="00AF2508">
            <w:pPr>
              <w:pStyle w:val="TableText"/>
            </w:pPr>
            <w:r>
              <w:t>sal volatile, 6 oz</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finger dressings (48)</w:t>
            </w:r>
          </w:p>
        </w:tc>
        <w:tc>
          <w:tcPr>
            <w:tcW w:w="3800" w:type="dxa"/>
          </w:tcPr>
          <w:p w:rsidR="00AF2508" w:rsidRDefault="00AF2508">
            <w:pPr>
              <w:pStyle w:val="TableText"/>
            </w:pPr>
            <w:r>
              <w:t xml:space="preserve">To be of gauze 12 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AF2508">
        <w:trPr>
          <w:cantSplit/>
        </w:trPr>
        <w:tc>
          <w:tcPr>
            <w:tcW w:w="3160" w:type="dxa"/>
          </w:tcPr>
          <w:p w:rsidR="00AF2508" w:rsidRDefault="00AF2508">
            <w:pPr>
              <w:pStyle w:val="TableText"/>
            </w:pPr>
            <w:r>
              <w:t>adhesive strapping, 2 inches (2 reels)</w:t>
            </w:r>
          </w:p>
        </w:tc>
        <w:tc>
          <w:tcPr>
            <w:tcW w:w="3800" w:type="dxa"/>
          </w:tcPr>
          <w:p w:rsidR="00AF2508" w:rsidRDefault="00AF2508">
            <w:pPr>
              <w:pStyle w:val="TableText"/>
            </w:pPr>
            <w:r>
              <w:t>1st quality</w:t>
            </w:r>
          </w:p>
        </w:tc>
      </w:tr>
      <w:tr w:rsidR="00AF2508">
        <w:trPr>
          <w:cantSplit/>
        </w:trPr>
        <w:tc>
          <w:tcPr>
            <w:tcW w:w="3160" w:type="dxa"/>
          </w:tcPr>
          <w:p w:rsidR="00AF2508" w:rsidRDefault="00AF2508">
            <w:pPr>
              <w:pStyle w:val="TableText"/>
            </w:pPr>
            <w:r>
              <w:t>cotton wool, 1 lb</w:t>
            </w:r>
          </w:p>
        </w:tc>
        <w:tc>
          <w:tcPr>
            <w:tcW w:w="3800" w:type="dxa"/>
          </w:tcPr>
          <w:p w:rsidR="00AF2508" w:rsidRDefault="00AF2508">
            <w:pPr>
              <w:pStyle w:val="TableText"/>
            </w:pPr>
            <w:r>
              <w:t>to be sterile and to be enclosed in 1 oz quantities in sealed cartons</w:t>
            </w:r>
          </w:p>
        </w:tc>
      </w:tr>
      <w:tr w:rsidR="00AF2508">
        <w:trPr>
          <w:cantSplit/>
        </w:trPr>
        <w:tc>
          <w:tcPr>
            <w:tcW w:w="3160" w:type="dxa"/>
          </w:tcPr>
          <w:p w:rsidR="00AF2508" w:rsidRDefault="00AF2508">
            <w:pPr>
              <w:pStyle w:val="TableText"/>
            </w:pPr>
            <w:r>
              <w:t>bicarbonate of soda, 8 oz</w:t>
            </w:r>
          </w:p>
        </w:tc>
        <w:tc>
          <w:tcPr>
            <w:tcW w:w="3800" w:type="dxa"/>
          </w:tcPr>
          <w:p w:rsidR="00AF2508" w:rsidRDefault="00AF2508">
            <w:pPr>
              <w:pStyle w:val="TableText"/>
            </w:pPr>
            <w:r>
              <w:t>to be sterile and enclosed in 1 oz quantities in sealed cartons</w:t>
            </w:r>
          </w:p>
        </w:tc>
      </w:tr>
      <w:tr w:rsidR="00AF2508">
        <w:trPr>
          <w:cantSplit/>
        </w:trPr>
        <w:tc>
          <w:tcPr>
            <w:tcW w:w="3160" w:type="dxa"/>
          </w:tcPr>
          <w:p w:rsidR="00AF2508" w:rsidRDefault="00AF2508">
            <w:pPr>
              <w:pStyle w:val="TableText"/>
            </w:pPr>
            <w:r>
              <w:t>boracic acid, 4 oz</w:t>
            </w:r>
          </w:p>
        </w:tc>
        <w:tc>
          <w:tcPr>
            <w:tcW w:w="3800" w:type="dxa"/>
          </w:tcPr>
          <w:p w:rsidR="00AF2508" w:rsidRDefault="00AF2508">
            <w:pPr>
              <w:pStyle w:val="TableText"/>
            </w:pPr>
            <w:r>
              <w:t>to be sterile and to be enclosed in 1 oz quantities in sealed cartons</w:t>
            </w:r>
          </w:p>
        </w:tc>
      </w:tr>
      <w:tr w:rsidR="00AF2508">
        <w:trPr>
          <w:cantSplit/>
        </w:trPr>
        <w:tc>
          <w:tcPr>
            <w:tcW w:w="3160" w:type="dxa"/>
          </w:tcPr>
          <w:p w:rsidR="00AF2508" w:rsidRDefault="00AF2508">
            <w:pPr>
              <w:pStyle w:val="TableText"/>
            </w:pPr>
            <w:r>
              <w:t>plain gauze, 4 yards</w:t>
            </w:r>
          </w:p>
        </w:tc>
        <w:tc>
          <w:tcPr>
            <w:tcW w:w="3800" w:type="dxa"/>
          </w:tcPr>
          <w:p w:rsidR="00AF2508" w:rsidRDefault="00AF2508">
            <w:pPr>
              <w:pStyle w:val="TableText"/>
            </w:pPr>
            <w:r>
              <w:t>in yard quantities each enclosed in a sealed carton</w:t>
            </w:r>
          </w:p>
        </w:tc>
      </w:tr>
      <w:tr w:rsidR="00AF2508">
        <w:trPr>
          <w:cantSplit/>
        </w:trPr>
        <w:tc>
          <w:tcPr>
            <w:tcW w:w="3160" w:type="dxa"/>
          </w:tcPr>
          <w:p w:rsidR="00AF2508" w:rsidRDefault="00AF2508">
            <w:pPr>
              <w:pStyle w:val="TableText"/>
            </w:pPr>
            <w:r>
              <w:t>roller bandages, 1 inch (12)</w:t>
            </w:r>
          </w:p>
        </w:tc>
        <w:tc>
          <w:tcPr>
            <w:tcW w:w="3800" w:type="dxa"/>
          </w:tcPr>
          <w:p w:rsidR="00AF2508" w:rsidRDefault="00AF2508">
            <w:pPr>
              <w:pStyle w:val="TableText"/>
            </w:pPr>
            <w:r>
              <w:t>to be enclosed in a sealed envelope</w:t>
            </w:r>
          </w:p>
        </w:tc>
      </w:tr>
      <w:tr w:rsidR="00AF2508">
        <w:trPr>
          <w:cantSplit/>
        </w:trPr>
        <w:tc>
          <w:tcPr>
            <w:tcW w:w="3160" w:type="dxa"/>
          </w:tcPr>
          <w:p w:rsidR="00AF2508" w:rsidRDefault="00AF2508">
            <w:pPr>
              <w:pStyle w:val="TableText"/>
            </w:pPr>
            <w:r>
              <w:t>roller bandages, 2 inches (8)</w:t>
            </w:r>
          </w:p>
        </w:tc>
        <w:tc>
          <w:tcPr>
            <w:tcW w:w="3800" w:type="dxa"/>
          </w:tcPr>
          <w:p w:rsidR="00AF2508" w:rsidRDefault="00AF2508">
            <w:pPr>
              <w:pStyle w:val="TableText"/>
            </w:pPr>
            <w:r>
              <w:t>to be enclosed in a sealed envelope</w:t>
            </w:r>
          </w:p>
        </w:tc>
      </w:tr>
      <w:tr w:rsidR="00AF2508">
        <w:trPr>
          <w:cantSplit/>
        </w:trPr>
        <w:tc>
          <w:tcPr>
            <w:tcW w:w="3160" w:type="dxa"/>
          </w:tcPr>
          <w:p w:rsidR="00AF2508" w:rsidRDefault="00AF2508">
            <w:pPr>
              <w:pStyle w:val="TableText"/>
            </w:pPr>
            <w:r>
              <w:t>triangular bandages</w:t>
            </w:r>
            <w:r>
              <w:rPr>
                <w:b/>
              </w:rPr>
              <w:t xml:space="preserve"> </w:t>
            </w:r>
            <w:r>
              <w:t>(6)</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tourniquet</w:t>
            </w:r>
            <w:r>
              <w:rPr>
                <w:b/>
              </w:rPr>
              <w:t xml:space="preserve"> </w:t>
            </w:r>
            <w:r>
              <w:t>(1)</w:t>
            </w:r>
          </w:p>
        </w:tc>
        <w:tc>
          <w:tcPr>
            <w:tcW w:w="3800" w:type="dxa"/>
          </w:tcPr>
          <w:p w:rsidR="00AF2508" w:rsidRDefault="00AF2508">
            <w:pPr>
              <w:pStyle w:val="TableText"/>
            </w:pPr>
            <w:r>
              <w:t>St. John’s</w:t>
            </w:r>
          </w:p>
        </w:tc>
      </w:tr>
      <w:tr w:rsidR="00AF2508">
        <w:trPr>
          <w:cantSplit/>
        </w:trPr>
        <w:tc>
          <w:tcPr>
            <w:tcW w:w="3160" w:type="dxa"/>
          </w:tcPr>
          <w:p w:rsidR="00AF2508" w:rsidRDefault="00AF2508">
            <w:pPr>
              <w:pStyle w:val="TableText"/>
            </w:pPr>
            <w:r>
              <w:t>medicine glasses, 2 oz</w:t>
            </w:r>
            <w:r>
              <w:rPr>
                <w:b/>
              </w:rPr>
              <w:t xml:space="preserve"> </w:t>
            </w:r>
            <w:r>
              <w:t>(2)</w:t>
            </w:r>
          </w:p>
        </w:tc>
        <w:tc>
          <w:tcPr>
            <w:tcW w:w="3800" w:type="dxa"/>
          </w:tcPr>
          <w:p w:rsidR="00AF2508" w:rsidRDefault="00AF2508">
            <w:pPr>
              <w:pStyle w:val="TableText"/>
            </w:pPr>
            <w:r>
              <w:t>to be marked for teaspoon, dessertspoon and tablespoonful doses</w:t>
            </w:r>
          </w:p>
        </w:tc>
      </w:tr>
      <w:tr w:rsidR="00AF2508">
        <w:trPr>
          <w:cantSplit/>
        </w:trPr>
        <w:tc>
          <w:tcPr>
            <w:tcW w:w="3160" w:type="dxa"/>
          </w:tcPr>
          <w:p w:rsidR="00AF2508" w:rsidRDefault="00AF2508">
            <w:pPr>
              <w:pStyle w:val="TableText"/>
            </w:pPr>
            <w:r>
              <w:t>enamel feeding cup (1)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eye bath</w:t>
            </w:r>
            <w:r>
              <w:rPr>
                <w:b/>
              </w:rPr>
              <w:t xml:space="preserve"> </w:t>
            </w:r>
            <w:r>
              <w:t>(1)</w:t>
            </w:r>
          </w:p>
        </w:tc>
        <w:tc>
          <w:tcPr>
            <w:tcW w:w="3800" w:type="dxa"/>
          </w:tcPr>
          <w:p w:rsidR="00AF2508" w:rsidRDefault="00AF2508">
            <w:pPr>
              <w:pStyle w:val="TableText"/>
            </w:pPr>
            <w:r>
              <w:t>of 1st quality plastic</w:t>
            </w:r>
          </w:p>
        </w:tc>
      </w:tr>
      <w:tr w:rsidR="00AF2508">
        <w:trPr>
          <w:cantSplit/>
        </w:trPr>
        <w:tc>
          <w:tcPr>
            <w:tcW w:w="3160" w:type="dxa"/>
          </w:tcPr>
          <w:p w:rsidR="00AF2508" w:rsidRDefault="00AF2508">
            <w:pPr>
              <w:pStyle w:val="TableText"/>
            </w:pPr>
            <w:r>
              <w:t>dressing forceps, 5 inches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splinter forceps, 5 inches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scissors, 5 inches (1 pr)</w:t>
            </w:r>
          </w:p>
        </w:tc>
        <w:tc>
          <w:tcPr>
            <w:tcW w:w="3800" w:type="dxa"/>
          </w:tcPr>
          <w:p w:rsidR="00AF2508" w:rsidRDefault="00AF2508">
            <w:pPr>
              <w:pStyle w:val="TableText"/>
            </w:pPr>
          </w:p>
        </w:tc>
      </w:tr>
      <w:tr w:rsidR="00AF2508">
        <w:trPr>
          <w:cantSplit/>
        </w:trPr>
        <w:tc>
          <w:tcPr>
            <w:tcW w:w="3160" w:type="dxa"/>
          </w:tcPr>
          <w:p w:rsidR="00AF2508" w:rsidRDefault="00AF2508">
            <w:pPr>
              <w:pStyle w:val="TableText"/>
            </w:pPr>
            <w:r>
              <w:t>towels</w:t>
            </w:r>
            <w:r>
              <w:rPr>
                <w:b/>
              </w:rPr>
              <w:t xml:space="preserve"> </w:t>
            </w:r>
            <w:r>
              <w:t>(3)</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enamel basin, 15 inches diam. (1)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safety pins</w:t>
            </w:r>
            <w:r>
              <w:rPr>
                <w:b/>
              </w:rPr>
              <w:t xml:space="preserve"> </w:t>
            </w:r>
            <w:r>
              <w:t>(36)</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enamel drinking mug</w:t>
            </w:r>
            <w:r>
              <w:rPr>
                <w:b/>
              </w:rPr>
              <w:t xml:space="preserve"> </w:t>
            </w:r>
            <w:r>
              <w:t>(1)</w:t>
            </w:r>
          </w:p>
        </w:tc>
        <w:tc>
          <w:tcPr>
            <w:tcW w:w="3800" w:type="dxa"/>
          </w:tcPr>
          <w:p w:rsidR="00AF2508" w:rsidRDefault="00AF2508">
            <w:pPr>
              <w:pStyle w:val="TableText"/>
            </w:pPr>
            <w:r>
              <w:t>of 1st quality</w:t>
            </w:r>
          </w:p>
        </w:tc>
      </w:tr>
      <w:tr w:rsidR="00AF2508">
        <w:trPr>
          <w:cantSplit/>
        </w:trPr>
        <w:tc>
          <w:tcPr>
            <w:tcW w:w="3160" w:type="dxa"/>
          </w:tcPr>
          <w:p w:rsidR="00AF2508" w:rsidRDefault="00AF2508">
            <w:pPr>
              <w:pStyle w:val="TableText"/>
            </w:pPr>
            <w:r>
              <w:t>first-aid pamphlet</w:t>
            </w:r>
            <w:r>
              <w:rPr>
                <w:b/>
              </w:rPr>
              <w:t xml:space="preserve"> </w:t>
            </w:r>
            <w:r>
              <w:t>(1)</w:t>
            </w:r>
          </w:p>
        </w:tc>
        <w:tc>
          <w:tcPr>
            <w:tcW w:w="3800" w:type="dxa"/>
          </w:tcPr>
          <w:p w:rsidR="00AF2508" w:rsidRDefault="00AF2508">
            <w:pPr>
              <w:pStyle w:val="TableText"/>
            </w:pPr>
            <w:r>
              <w:t>Departmental ‘First-aid in Industry’.</w:t>
            </w:r>
          </w:p>
        </w:tc>
      </w:tr>
    </w:tbl>
    <w:p w:rsidR="00AF2508" w:rsidRDefault="00AF2508"/>
    <w:p w:rsidR="00AF2508" w:rsidRDefault="00AF2508">
      <w:pPr>
        <w:pStyle w:val="Amain"/>
      </w:pPr>
      <w:r>
        <w:tab/>
        <w:t>(4)</w:t>
      </w:r>
      <w:r>
        <w:tab/>
        <w:t>First-aid chests provided for this section may be constructed of wood or metal, but each chest so provided and constructed shall be dustproof, fitted with a lock and key, and shall be distinctively marked with a white cross on a green ground.</w:t>
      </w:r>
    </w:p>
    <w:p w:rsidR="00AF2508" w:rsidRDefault="00AF2508">
      <w:pPr>
        <w:pStyle w:val="Amain"/>
      </w:pPr>
      <w:r>
        <w:tab/>
        <w:t>(5)</w:t>
      </w:r>
      <w:r>
        <w:tab/>
        <w:t>First-aid chests shall properly accommodate their contents.</w:t>
      </w:r>
    </w:p>
    <w:p w:rsidR="00AF2508" w:rsidRDefault="00AF2508">
      <w:pPr>
        <w:pStyle w:val="Amain"/>
      </w:pPr>
      <w:r>
        <w:tab/>
        <w:t>(6)</w:t>
      </w:r>
      <w:r>
        <w:tab/>
        <w:t>Nothing except requisites or appliances for first-aid shall be kept in the first-aid chest, which shall always be readily accessible.</w:t>
      </w:r>
    </w:p>
    <w:p w:rsidR="00AF2508" w:rsidRDefault="00AF2508">
      <w:pPr>
        <w:pStyle w:val="Amain"/>
      </w:pPr>
      <w:r>
        <w:tab/>
        <w:t>(7)</w:t>
      </w:r>
      <w:r>
        <w:tab/>
        <w:t>If not more than 100 persons are employed, the first-aid chest shall be fitted with a carrying handle and so constructed and maintained that it can be easily carried from job to job.</w:t>
      </w:r>
    </w:p>
    <w:p w:rsidR="00AF2508" w:rsidRDefault="00AF2508">
      <w:pPr>
        <w:pStyle w:val="Amain"/>
      </w:pPr>
      <w:r>
        <w:tab/>
        <w:t>(8)</w:t>
      </w:r>
      <w:r>
        <w:tab/>
        <w:t>The first-aid chest shall normally be kept in the change room.</w:t>
      </w:r>
    </w:p>
    <w:p w:rsidR="00AF2508" w:rsidRDefault="00AF2508">
      <w:pPr>
        <w:pStyle w:val="Amain"/>
      </w:pPr>
      <w:r>
        <w:tab/>
        <w:t>(9)</w:t>
      </w:r>
      <w:r>
        <w:tab/>
        <w:t>If more than 100 persons are employed, a first-aid post shall be provided in a room set aside for the purpose and equipped with facilities for washing and for boiling water, and with a couch, blankets, a portable stretcher and also a first-aid chest as previously detailed.</w:t>
      </w:r>
    </w:p>
    <w:p w:rsidR="00AF2508" w:rsidRDefault="00AF2508">
      <w:pPr>
        <w:pStyle w:val="Amain"/>
      </w:pPr>
      <w:r>
        <w:tab/>
        <w:t>(10)</w:t>
      </w:r>
      <w:r>
        <w:tab/>
        <w:t>Each first-aid chest and first-aid post shall be placed under the charge of a responsible person or persons, who or 1 of whom shall always be readily available during working hours.</w:t>
      </w:r>
    </w:p>
    <w:p w:rsidR="00AF2508" w:rsidRDefault="00AF2508">
      <w:pPr>
        <w:pStyle w:val="Amain"/>
      </w:pPr>
      <w:r>
        <w:tab/>
        <w:t>(11)</w:t>
      </w:r>
      <w:r>
        <w:tab/>
        <w:t>The person or persons shall, if practicable, be the holder of a St. John’s Ambulance Medallion with current label.</w:t>
      </w:r>
    </w:p>
    <w:p w:rsidR="00AF2508" w:rsidRDefault="00AF2508">
      <w:pPr>
        <w:pStyle w:val="Amain"/>
      </w:pPr>
      <w:r>
        <w:tab/>
        <w:t>(12)</w:t>
      </w:r>
      <w:r>
        <w:tab/>
        <w:t>A notice shall be prominently attached in every change room and first-aid post where the first-aid chest is normally kept.</w:t>
      </w:r>
    </w:p>
    <w:p w:rsidR="00AF2508" w:rsidRDefault="00AF2508">
      <w:pPr>
        <w:pStyle w:val="Amain"/>
      </w:pPr>
      <w:r>
        <w:tab/>
        <w:t>(13)</w:t>
      </w:r>
      <w:r>
        <w:tab/>
        <w:t>This notice shall clearly state the name or names of the person or persons in charge of the first-aid chest.</w:t>
      </w:r>
    </w:p>
    <w:p w:rsidR="00AF2508" w:rsidRDefault="00AF2508">
      <w:pPr>
        <w:pStyle w:val="AH3Div"/>
      </w:pPr>
      <w:bookmarkStart w:id="213" w:name="_Toc161636874"/>
      <w:r>
        <w:rPr>
          <w:rStyle w:val="CharDivNo"/>
        </w:rPr>
        <w:t>Division 10.2</w:t>
      </w:r>
      <w:r>
        <w:rPr>
          <w:rStyle w:val="CharDivNo"/>
        </w:rPr>
        <w:tab/>
      </w:r>
      <w:r>
        <w:rPr>
          <w:rStyle w:val="CharDivText"/>
        </w:rPr>
        <w:t>Shelter, change and dining accommodation</w:t>
      </w:r>
      <w:bookmarkEnd w:id="213"/>
    </w:p>
    <w:p w:rsidR="00AF2508" w:rsidRDefault="00AF2508">
      <w:pPr>
        <w:pStyle w:val="AH5Sec"/>
      </w:pPr>
      <w:bookmarkStart w:id="214" w:name="_Toc161636875"/>
      <w:r>
        <w:rPr>
          <w:rStyle w:val="CharSectNo"/>
        </w:rPr>
        <w:t>120</w:t>
      </w:r>
      <w:bookmarkEnd w:id="214"/>
      <w:r>
        <w:tab/>
        <w:t xml:space="preserve">  </w:t>
      </w:r>
    </w:p>
    <w:p w:rsidR="00AF2508" w:rsidRDefault="00AF2508">
      <w:pPr>
        <w:pStyle w:val="Amain"/>
      </w:pPr>
      <w:r>
        <w:rPr>
          <w:b/>
        </w:rPr>
        <w:tab/>
      </w:r>
      <w:r>
        <w:t>(1)</w:t>
      </w:r>
      <w:r>
        <w:rPr>
          <w:b/>
        </w:rPr>
        <w:tab/>
      </w:r>
      <w:r>
        <w:t>In this section:</w:t>
      </w:r>
    </w:p>
    <w:p w:rsidR="00AF2508" w:rsidRDefault="00AF2508">
      <w:pPr>
        <w:pStyle w:val="aDef"/>
      </w:pPr>
      <w:r>
        <w:rPr>
          <w:rStyle w:val="charBoldItals"/>
          <w:rFonts w:ascii="Times" w:hAnsi="Times"/>
        </w:rPr>
        <w:t>work</w:t>
      </w:r>
      <w:r>
        <w:t xml:space="preserve"> means building work, compressed air work or excavation work.</w:t>
      </w:r>
    </w:p>
    <w:p w:rsidR="00AF2508" w:rsidRDefault="00AF2508">
      <w:pPr>
        <w:pStyle w:val="Assectheading"/>
        <w:rPr>
          <w:i w:val="0"/>
        </w:rPr>
      </w:pPr>
      <w:r>
        <w:rPr>
          <w:rStyle w:val="charItals"/>
          <w:i/>
        </w:rPr>
        <w:t>General—accommodation to be provided</w:t>
      </w:r>
    </w:p>
    <w:p w:rsidR="00AF2508" w:rsidRDefault="00AF2508">
      <w:pPr>
        <w:pStyle w:val="Amain"/>
      </w:pPr>
      <w:r>
        <w:tab/>
        <w:t>(2)</w:t>
      </w:r>
      <w:r>
        <w:tab/>
        <w:t>Immediately on beginning a work, suitable and adequate accommodation where persons employed can keep their clothes and personal belongings safe from damage and theft, eat their meals and shelter from the weather, shall be provided on the site.</w:t>
      </w:r>
    </w:p>
    <w:p w:rsidR="00AF2508" w:rsidRDefault="00AF2508">
      <w:pPr>
        <w:pStyle w:val="Assectheading"/>
        <w:rPr>
          <w:i w:val="0"/>
        </w:rPr>
      </w:pPr>
      <w:r>
        <w:rPr>
          <w:rStyle w:val="charItals"/>
          <w:i/>
        </w:rPr>
        <w:t>General—shelter shed on small works</w:t>
      </w:r>
    </w:p>
    <w:p w:rsidR="00AF2508" w:rsidRDefault="00AF2508">
      <w:pPr>
        <w:pStyle w:val="Amain"/>
      </w:pPr>
      <w:r>
        <w:tab/>
        <w:t>(3)</w:t>
      </w:r>
      <w:r>
        <w:tab/>
        <w:t>On works where less than 10 workers are employed at any one time a small shed of such dimensions as to provide not less than 10 square feet of floor area per person will meet the requirements of subsection (2).</w:t>
      </w:r>
    </w:p>
    <w:p w:rsidR="00AF2508" w:rsidRDefault="00AF2508">
      <w:pPr>
        <w:pStyle w:val="Amain"/>
      </w:pPr>
      <w:r>
        <w:tab/>
        <w:t>(4)</w:t>
      </w:r>
      <w:r>
        <w:tab/>
        <w:t>This shed may also be used for the storage of the workers’s tools but shall not be used for the storage of building material.</w:t>
      </w:r>
    </w:p>
    <w:p w:rsidR="00AF2508" w:rsidRDefault="00AF2508">
      <w:pPr>
        <w:pStyle w:val="Amain"/>
      </w:pPr>
      <w:r>
        <w:tab/>
        <w:t>(5)</w:t>
      </w:r>
      <w:r>
        <w:tab/>
        <w:t>When part of a building in course of construction has been made weatherproof and secure it may be made available to employees for the purposes of this section.</w:t>
      </w:r>
    </w:p>
    <w:p w:rsidR="00AF2508" w:rsidRDefault="00AF2508">
      <w:pPr>
        <w:pStyle w:val="Amain"/>
      </w:pPr>
      <w:r>
        <w:tab/>
        <w:t>(6)</w:t>
      </w:r>
      <w:r>
        <w:tab/>
        <w:t>On works where more than 10 workers are employed at any one time a shed or sheds shall be provided exclusively for the use of the workers.</w:t>
      </w:r>
    </w:p>
    <w:p w:rsidR="00AF2508" w:rsidRDefault="00AF2508">
      <w:pPr>
        <w:pStyle w:val="Amain"/>
      </w:pPr>
      <w:r>
        <w:tab/>
        <w:t>(7)</w:t>
      </w:r>
      <w:r>
        <w:tab/>
        <w:t>Each shed or sheds shall be of such dimensions as to provide in the aggregate not less than 10 square feet of floor area for every worker employed on the work at any one time.</w:t>
      </w:r>
    </w:p>
    <w:p w:rsidR="00AF2508" w:rsidRDefault="00AF2508">
      <w:pPr>
        <w:pStyle w:val="Amain"/>
      </w:pPr>
      <w:r>
        <w:tab/>
        <w:t>(8)</w:t>
      </w:r>
      <w:r>
        <w:tab/>
        <w:t>Any one shed shall not be used for the accommodation of more than 50 persons.</w:t>
      </w:r>
    </w:p>
    <w:p w:rsidR="00AF2508" w:rsidRDefault="00AF2508">
      <w:pPr>
        <w:pStyle w:val="Amain"/>
      </w:pPr>
      <w:r>
        <w:tab/>
        <w:t>(9)</w:t>
      </w:r>
      <w:r>
        <w:tab/>
        <w:t>All sheds shall be absolutely weatherproof, soundly constructed with a sufficient number of openable windows, shall be floored and shall be adequately ventilated and lighted.</w:t>
      </w:r>
    </w:p>
    <w:p w:rsidR="00AF2508" w:rsidRDefault="00AF2508">
      <w:pPr>
        <w:pStyle w:val="Amain"/>
      </w:pPr>
      <w:r>
        <w:tab/>
        <w:t>(10)</w:t>
      </w:r>
      <w:r>
        <w:tab/>
        <w:t>Every shed shall be kept clean and brooms, mops, buckets and cleaning compounds shall be provided for the purpose.</w:t>
      </w:r>
    </w:p>
    <w:p w:rsidR="00AF2508" w:rsidRDefault="00AF2508">
      <w:pPr>
        <w:pStyle w:val="Assectheading"/>
        <w:rPr>
          <w:i w:val="0"/>
        </w:rPr>
      </w:pPr>
      <w:r>
        <w:rPr>
          <w:rStyle w:val="charItals"/>
          <w:i/>
        </w:rPr>
        <w:t>Facilities to be provided in change and shelter sheds</w:t>
      </w:r>
      <w:r>
        <w:rPr>
          <w:i w:val="0"/>
        </w:rPr>
        <w:t>—</w:t>
      </w:r>
      <w:r>
        <w:rPr>
          <w:rStyle w:val="charItals"/>
          <w:i/>
        </w:rPr>
        <w:t>hat and coat hooks</w:t>
      </w:r>
    </w:p>
    <w:p w:rsidR="00AF2508" w:rsidRDefault="00AF2508">
      <w:pPr>
        <w:pStyle w:val="Amain"/>
      </w:pPr>
      <w:r>
        <w:tab/>
        <w:t>(11)</w:t>
      </w:r>
      <w:r>
        <w:tab/>
        <w:t>Hat and coat hooks spaced not less than 18 inches apart for hanging clothes shall be provided in each change shed.</w:t>
      </w:r>
    </w:p>
    <w:p w:rsidR="00AF2508" w:rsidRDefault="00AF2508">
      <w:pPr>
        <w:pStyle w:val="Assectheading"/>
        <w:rPr>
          <w:i w:val="0"/>
        </w:rPr>
      </w:pPr>
      <w:r>
        <w:rPr>
          <w:rStyle w:val="charItals"/>
          <w:i/>
        </w:rPr>
        <w:t>Facilities to be provided in change and shelter sheds</w:t>
      </w:r>
      <w:r>
        <w:rPr>
          <w:i w:val="0"/>
        </w:rPr>
        <w:t>—</w:t>
      </w:r>
      <w:r>
        <w:rPr>
          <w:rStyle w:val="charItals"/>
          <w:i/>
        </w:rPr>
        <w:t>seating accommodation</w:t>
      </w:r>
    </w:p>
    <w:p w:rsidR="00AF2508" w:rsidRDefault="00AF2508">
      <w:pPr>
        <w:pStyle w:val="Amain"/>
      </w:pPr>
      <w:r>
        <w:tab/>
        <w:t>(12)</w:t>
      </w:r>
      <w:r>
        <w:tab/>
        <w:t>Seating accommodation shall be provided in each change shed for the use of workers when changing boots and when sheltering from the rain.</w:t>
      </w:r>
    </w:p>
    <w:p w:rsidR="00AF2508" w:rsidRDefault="00AF2508">
      <w:pPr>
        <w:pStyle w:val="Amain"/>
      </w:pPr>
      <w:r>
        <w:tab/>
        <w:t>(13)</w:t>
      </w:r>
      <w:r>
        <w:tab/>
        <w:t>A bench not less than 16 inches wide and of such length as to provide not less than 18 inches for each worker will meet the requirements of subsection (12).</w:t>
      </w:r>
    </w:p>
    <w:p w:rsidR="00AF2508" w:rsidRDefault="00AF2508">
      <w:pPr>
        <w:pStyle w:val="Assectheading"/>
        <w:rPr>
          <w:i w:val="0"/>
        </w:rPr>
      </w:pPr>
      <w:r>
        <w:rPr>
          <w:rStyle w:val="charItals"/>
          <w:i/>
        </w:rPr>
        <w:t>Facilities to be provided in change and shelter sheds</w:t>
      </w:r>
      <w:r>
        <w:rPr>
          <w:i w:val="0"/>
        </w:rPr>
        <w:t>—</w:t>
      </w:r>
      <w:r>
        <w:rPr>
          <w:rStyle w:val="charItals"/>
          <w:i/>
        </w:rPr>
        <w:t>heating</w:t>
      </w:r>
    </w:p>
    <w:p w:rsidR="00AF2508" w:rsidRDefault="00AF2508">
      <w:pPr>
        <w:pStyle w:val="Amain"/>
      </w:pPr>
      <w:r>
        <w:tab/>
        <w:t>(14)</w:t>
      </w:r>
      <w:r>
        <w:tab/>
        <w:t>In wet or cold weather reasonable heating facilities, such as a portable coke stove with flue exhausting outside the shed, a kerosene heater, or electric radiator, shall be provided in every shelter and change shed for warmth and for drying clothes.</w:t>
      </w:r>
    </w:p>
    <w:p w:rsidR="00AF2508" w:rsidRDefault="00AF2508">
      <w:pPr>
        <w:pStyle w:val="Assectheading"/>
        <w:rPr>
          <w:i w:val="0"/>
        </w:rPr>
      </w:pPr>
      <w:r>
        <w:rPr>
          <w:rStyle w:val="charItals"/>
          <w:i/>
        </w:rPr>
        <w:t>Facilities to be provided in change and shelter sheds</w:t>
      </w:r>
      <w:r>
        <w:rPr>
          <w:i w:val="0"/>
        </w:rPr>
        <w:t>—</w:t>
      </w:r>
      <w:r>
        <w:rPr>
          <w:rStyle w:val="charItals"/>
          <w:i/>
        </w:rPr>
        <w:t>safekeeping of employees’ tool kits</w:t>
      </w:r>
    </w:p>
    <w:p w:rsidR="00AF2508" w:rsidRDefault="00AF2508">
      <w:pPr>
        <w:pStyle w:val="Amain"/>
      </w:pPr>
      <w:r>
        <w:tab/>
        <w:t>(15)</w:t>
      </w:r>
      <w:r>
        <w:tab/>
        <w:t>Provision for the safekeeping of employees’ tool kits when employees are not on the work shall be made.</w:t>
      </w:r>
    </w:p>
    <w:p w:rsidR="00AF2508" w:rsidRDefault="00AF2508">
      <w:pPr>
        <w:pStyle w:val="Amain"/>
      </w:pPr>
      <w:r>
        <w:tab/>
        <w:t>(16)</w:t>
      </w:r>
      <w:r>
        <w:tab/>
        <w:t>On works where less than 10 workers are employed at any one time this may be achieved by means of substantially constructed locked chests in the supervisor’s office or by provision of suitable accommodation in the change shed.</w:t>
      </w:r>
    </w:p>
    <w:p w:rsidR="00AF2508" w:rsidRDefault="00AF2508">
      <w:pPr>
        <w:pStyle w:val="Amain"/>
      </w:pPr>
      <w:r>
        <w:tab/>
        <w:t>(17)</w:t>
      </w:r>
      <w:r>
        <w:tab/>
        <w:t>On works where more than 10 workers are employed at any one time special storerooms equipped with racks shall be provided.</w:t>
      </w:r>
    </w:p>
    <w:p w:rsidR="00AF2508" w:rsidRDefault="00AF2508">
      <w:pPr>
        <w:pStyle w:val="Assectheading"/>
        <w:rPr>
          <w:i w:val="0"/>
        </w:rPr>
      </w:pPr>
      <w:r>
        <w:rPr>
          <w:rStyle w:val="charItals"/>
          <w:i/>
        </w:rPr>
        <w:t>Dining facilities</w:t>
      </w:r>
      <w:r>
        <w:rPr>
          <w:i w:val="0"/>
        </w:rPr>
        <w:t>—</w:t>
      </w:r>
      <w:r>
        <w:rPr>
          <w:rStyle w:val="charItals"/>
          <w:i/>
        </w:rPr>
        <w:t>tables and seating</w:t>
      </w:r>
    </w:p>
    <w:p w:rsidR="00AF2508" w:rsidRDefault="00AF2508">
      <w:pPr>
        <w:pStyle w:val="Amain"/>
      </w:pPr>
      <w:r>
        <w:tab/>
        <w:t>(18)</w:t>
      </w:r>
      <w:r>
        <w:tab/>
        <w:t>Adequate table and seating accommodation, in the proportion of not less than 22 inches run for each employee for use at meal period shall be provided in the change shed, or in a separate shed, provided that the accommodation need be provided only in relation to employees remaining on the site during meal period.</w:t>
      </w:r>
    </w:p>
    <w:p w:rsidR="00AF2508" w:rsidRDefault="00AF2508">
      <w:pPr>
        <w:pStyle w:val="Assectheading"/>
        <w:rPr>
          <w:i w:val="0"/>
        </w:rPr>
      </w:pPr>
      <w:r>
        <w:rPr>
          <w:rStyle w:val="charItals"/>
          <w:i/>
        </w:rPr>
        <w:t>Dining facilities</w:t>
      </w:r>
      <w:r>
        <w:rPr>
          <w:i w:val="0"/>
        </w:rPr>
        <w:t>—</w:t>
      </w:r>
      <w:r>
        <w:rPr>
          <w:rStyle w:val="charItals"/>
          <w:i/>
        </w:rPr>
        <w:t>storage of food</w:t>
      </w:r>
    </w:p>
    <w:p w:rsidR="00AF2508" w:rsidRDefault="00AF2508">
      <w:pPr>
        <w:pStyle w:val="Amain"/>
      </w:pPr>
      <w:r>
        <w:tab/>
        <w:t>(19)</w:t>
      </w:r>
      <w:r>
        <w:tab/>
        <w:t>Hygienic provision, such as a fly-proof ventilated cupboard fitted with shelves, shall be provided for storing employees’ food.</w:t>
      </w:r>
    </w:p>
    <w:p w:rsidR="00AF2508" w:rsidRDefault="00AF2508">
      <w:pPr>
        <w:pStyle w:val="Assectheading"/>
        <w:rPr>
          <w:i w:val="0"/>
        </w:rPr>
      </w:pPr>
      <w:r>
        <w:rPr>
          <w:rStyle w:val="charItals"/>
          <w:i/>
        </w:rPr>
        <w:t>Dining facilities</w:t>
      </w:r>
      <w:r>
        <w:rPr>
          <w:i w:val="0"/>
        </w:rPr>
        <w:t>—</w:t>
      </w:r>
      <w:r>
        <w:rPr>
          <w:rStyle w:val="charItals"/>
          <w:i/>
        </w:rPr>
        <w:t>supply of boiling water</w:t>
      </w:r>
    </w:p>
    <w:p w:rsidR="00AF2508" w:rsidRDefault="00AF2508">
      <w:pPr>
        <w:pStyle w:val="Amain"/>
      </w:pPr>
      <w:r>
        <w:tab/>
        <w:t>(20)</w:t>
      </w:r>
      <w:r>
        <w:tab/>
        <w:t>An ample supply of boiling water for tea making and for washing utensils shall be provided.</w:t>
      </w:r>
    </w:p>
    <w:p w:rsidR="00AF2508" w:rsidRDefault="00AF2508">
      <w:pPr>
        <w:pStyle w:val="Assectheading"/>
        <w:rPr>
          <w:i w:val="0"/>
        </w:rPr>
      </w:pPr>
      <w:r>
        <w:rPr>
          <w:rStyle w:val="charItals"/>
          <w:i/>
        </w:rPr>
        <w:t>Dining facilities</w:t>
      </w:r>
      <w:r>
        <w:rPr>
          <w:i w:val="0"/>
        </w:rPr>
        <w:t>—</w:t>
      </w:r>
      <w:r>
        <w:rPr>
          <w:rStyle w:val="charItals"/>
          <w:i/>
        </w:rPr>
        <w:t xml:space="preserve"> provision of garbage tins</w:t>
      </w:r>
    </w:p>
    <w:p w:rsidR="00AF2508" w:rsidRDefault="00AF2508">
      <w:pPr>
        <w:pStyle w:val="Amain"/>
      </w:pPr>
      <w:r>
        <w:tab/>
        <w:t>(21)</w:t>
      </w:r>
      <w:r>
        <w:tab/>
        <w:t>Garbage tins that are both rat-proof and fly-proof shall be provided and they shall be emptied each day.</w:t>
      </w:r>
    </w:p>
    <w:p w:rsidR="00AF2508" w:rsidRDefault="00AF2508">
      <w:pPr>
        <w:pStyle w:val="Assectheading"/>
      </w:pPr>
      <w:r>
        <w:rPr>
          <w:rStyle w:val="charItals"/>
          <w:i/>
        </w:rPr>
        <w:t>Dining facilities</w:t>
      </w:r>
      <w:r>
        <w:t>—drinking water</w:t>
      </w:r>
    </w:p>
    <w:p w:rsidR="00AF2508" w:rsidRDefault="00AF2508">
      <w:pPr>
        <w:pStyle w:val="Amain"/>
      </w:pPr>
      <w:r>
        <w:tab/>
        <w:t>(22)</w:t>
      </w:r>
      <w:r>
        <w:tab/>
        <w:t>An adequate supply of clean, cool and wholesome drinking water shall be provided on the site.</w:t>
      </w:r>
    </w:p>
    <w:p w:rsidR="00AF2508" w:rsidRDefault="00AF2508">
      <w:pPr>
        <w:pStyle w:val="AH3Div"/>
      </w:pPr>
      <w:bookmarkStart w:id="215" w:name="_Toc161636876"/>
      <w:r>
        <w:rPr>
          <w:rStyle w:val="CharDivNo"/>
        </w:rPr>
        <w:t>Division 10.3</w:t>
      </w:r>
      <w:r>
        <w:rPr>
          <w:rStyle w:val="CharDivNo"/>
        </w:rPr>
        <w:tab/>
      </w:r>
      <w:r>
        <w:rPr>
          <w:rStyle w:val="CharDivText"/>
        </w:rPr>
        <w:t>Sanitary conveniences and washing facilities</w:t>
      </w:r>
      <w:bookmarkEnd w:id="215"/>
    </w:p>
    <w:p w:rsidR="00AF2508" w:rsidRDefault="00AF2508">
      <w:pPr>
        <w:pStyle w:val="AH5Sec"/>
      </w:pPr>
      <w:bookmarkStart w:id="216" w:name="_Toc161636877"/>
      <w:r>
        <w:rPr>
          <w:rStyle w:val="CharSectNo"/>
        </w:rPr>
        <w:t>121</w:t>
      </w:r>
      <w:bookmarkEnd w:id="216"/>
      <w:r>
        <w:tab/>
        <w:t xml:space="preserve">  </w:t>
      </w:r>
    </w:p>
    <w:p w:rsidR="00AF2508" w:rsidRDefault="00AF2508">
      <w:pPr>
        <w:pStyle w:val="Assectheading"/>
      </w:pPr>
      <w:r>
        <w:t xml:space="preserve">Meaning of </w:t>
      </w:r>
      <w:r>
        <w:rPr>
          <w:b/>
        </w:rPr>
        <w:t>work</w:t>
      </w:r>
    </w:p>
    <w:p w:rsidR="00AF2508" w:rsidRDefault="00AF2508">
      <w:pPr>
        <w:pStyle w:val="Amain"/>
        <w:keepNext/>
      </w:pPr>
      <w:r>
        <w:tab/>
        <w:t>(1)</w:t>
      </w:r>
      <w:r>
        <w:rPr>
          <w:b/>
        </w:rPr>
        <w:tab/>
      </w:r>
      <w:r>
        <w:t>In this section:</w:t>
      </w:r>
    </w:p>
    <w:p w:rsidR="00AF2508" w:rsidRDefault="00AF2508">
      <w:pPr>
        <w:pStyle w:val="aDef"/>
      </w:pPr>
      <w:r>
        <w:rPr>
          <w:rStyle w:val="charBoldItals"/>
        </w:rPr>
        <w:t>work</w:t>
      </w:r>
      <w:r>
        <w:t xml:space="preserve"> means, building work, excavation work, or compressed air work.</w:t>
      </w:r>
    </w:p>
    <w:p w:rsidR="00AF2508" w:rsidRDefault="00AF2508">
      <w:pPr>
        <w:pStyle w:val="Assectheading"/>
        <w:rPr>
          <w:i w:val="0"/>
        </w:rPr>
      </w:pPr>
      <w:r>
        <w:rPr>
          <w:rStyle w:val="charItals"/>
          <w:i/>
        </w:rPr>
        <w:t>Number to be provided</w:t>
      </w:r>
    </w:p>
    <w:p w:rsidR="00AF2508" w:rsidRDefault="00AF2508">
      <w:pPr>
        <w:pStyle w:val="Amain"/>
      </w:pPr>
      <w:r>
        <w:tab/>
        <w:t>(2)</w:t>
      </w:r>
      <w:r>
        <w:tab/>
        <w:t>One closet shall be provided on every work where not more than 10 men employed at the one time and 1 for every 10 women employed at the one time, and 1 for any number less than 10 such men or women, as the case requires.</w:t>
      </w:r>
    </w:p>
    <w:p w:rsidR="00AF2508" w:rsidRDefault="00AF2508">
      <w:pPr>
        <w:pStyle w:val="Assectheading"/>
        <w:rPr>
          <w:i w:val="0"/>
        </w:rPr>
      </w:pPr>
      <w:r>
        <w:rPr>
          <w:rStyle w:val="charItals"/>
          <w:i/>
        </w:rPr>
        <w:t>Location</w:t>
      </w:r>
    </w:p>
    <w:p w:rsidR="00AF2508" w:rsidRDefault="00AF2508">
      <w:pPr>
        <w:pStyle w:val="Amain"/>
      </w:pPr>
      <w:r>
        <w:tab/>
        <w:t>(3)</w:t>
      </w:r>
      <w:r>
        <w:tab/>
        <w:t>The closet accommodation shall be located so as to be readily accessible from the place where men or women are working, but shall be far enough removed to avoid nuisance.</w:t>
      </w:r>
    </w:p>
    <w:p w:rsidR="00AF2508" w:rsidRDefault="00AF2508">
      <w:pPr>
        <w:pStyle w:val="Assectheading"/>
        <w:rPr>
          <w:i w:val="0"/>
        </w:rPr>
      </w:pPr>
      <w:r>
        <w:rPr>
          <w:rStyle w:val="charItals"/>
          <w:i/>
        </w:rPr>
        <w:t>Construction</w:t>
      </w:r>
    </w:p>
    <w:p w:rsidR="00AF2508" w:rsidRDefault="00AF2508">
      <w:pPr>
        <w:pStyle w:val="Amain"/>
      </w:pPr>
      <w:r>
        <w:tab/>
        <w:t>(4)</w:t>
      </w:r>
      <w:r>
        <w:tab/>
        <w:t>All closets shall be soundly constructed and roofed with weatherproof material.</w:t>
      </w:r>
    </w:p>
    <w:p w:rsidR="00AF2508" w:rsidRDefault="00AF2508">
      <w:pPr>
        <w:pStyle w:val="Amain"/>
      </w:pPr>
      <w:r>
        <w:tab/>
        <w:t>(5)</w:t>
      </w:r>
      <w:r>
        <w:tab/>
        <w:t>The floor of each closet shall be well drained and constructed of concrete, bricks and cement or of other approved material that shall be impervious to water.</w:t>
      </w:r>
    </w:p>
    <w:p w:rsidR="00AF2508" w:rsidRDefault="00AF2508">
      <w:pPr>
        <w:pStyle w:val="Amain"/>
      </w:pPr>
      <w:r>
        <w:tab/>
        <w:t>(6)</w:t>
      </w:r>
      <w:r>
        <w:tab/>
        <w:t>Every closet shall be well lighted by natural or artificial light and shall be well ventilated.</w:t>
      </w:r>
    </w:p>
    <w:p w:rsidR="00AF2508" w:rsidRDefault="00AF2508">
      <w:pPr>
        <w:pStyle w:val="Amain"/>
      </w:pPr>
      <w:r>
        <w:tab/>
        <w:t>(7)</w:t>
      </w:r>
      <w:r>
        <w:tab/>
        <w:t>Each closet shall have a hinged door capable of being fastened both on the inside and on the outside.</w:t>
      </w:r>
    </w:p>
    <w:p w:rsidR="00AF2508" w:rsidRDefault="00AF2508">
      <w:pPr>
        <w:pStyle w:val="Assectheading"/>
        <w:rPr>
          <w:i w:val="0"/>
        </w:rPr>
      </w:pPr>
      <w:r>
        <w:rPr>
          <w:rStyle w:val="charItals"/>
          <w:i/>
        </w:rPr>
        <w:t>Closets to be kept clean</w:t>
      </w:r>
    </w:p>
    <w:p w:rsidR="00AF2508" w:rsidRDefault="00AF2508">
      <w:pPr>
        <w:pStyle w:val="Amain"/>
      </w:pPr>
      <w:r>
        <w:tab/>
        <w:t>(8)</w:t>
      </w:r>
      <w:r>
        <w:tab/>
        <w:t>Closets shall be maintained in a clean condition.</w:t>
      </w:r>
    </w:p>
    <w:p w:rsidR="00AF2508" w:rsidRDefault="00AF2508">
      <w:pPr>
        <w:pStyle w:val="Assectheading"/>
        <w:rPr>
          <w:i w:val="0"/>
        </w:rPr>
      </w:pPr>
      <w:r>
        <w:rPr>
          <w:rStyle w:val="charItals"/>
          <w:i/>
        </w:rPr>
        <w:t>Washing facilities</w:t>
      </w:r>
      <w:r>
        <w:rPr>
          <w:i w:val="0"/>
        </w:rPr>
        <w:t>—</w:t>
      </w:r>
      <w:r>
        <w:rPr>
          <w:rStyle w:val="charItals"/>
          <w:i/>
        </w:rPr>
        <w:t>number of basins</w:t>
      </w:r>
    </w:p>
    <w:p w:rsidR="00AF2508" w:rsidRDefault="00AF2508">
      <w:pPr>
        <w:pStyle w:val="Amain"/>
      </w:pPr>
      <w:r>
        <w:tab/>
        <w:t>(9)</w:t>
      </w:r>
      <w:r>
        <w:tab/>
        <w:t>One wash basin shall be provided on every work where not more than 20 persons are employed at the one time, and 1 additional wash basin for each additional 20 persons or part of 20 persons so employed.</w:t>
      </w:r>
    </w:p>
    <w:p w:rsidR="00AF2508" w:rsidRDefault="00AF2508">
      <w:pPr>
        <w:pStyle w:val="Assectheading"/>
        <w:rPr>
          <w:i w:val="0"/>
        </w:rPr>
      </w:pPr>
      <w:r>
        <w:rPr>
          <w:rStyle w:val="charItals"/>
          <w:i/>
        </w:rPr>
        <w:t>Washing facilities</w:t>
      </w:r>
      <w:r>
        <w:rPr>
          <w:i w:val="0"/>
        </w:rPr>
        <w:t>—</w:t>
      </w:r>
      <w:r>
        <w:rPr>
          <w:rStyle w:val="charItals"/>
          <w:i/>
        </w:rPr>
        <w:t>location</w:t>
      </w:r>
    </w:p>
    <w:p w:rsidR="00AF2508" w:rsidRDefault="00AF2508">
      <w:pPr>
        <w:pStyle w:val="Amain"/>
      </w:pPr>
      <w:r>
        <w:tab/>
        <w:t>(10)</w:t>
      </w:r>
      <w:r>
        <w:tab/>
        <w:t>Washing facilities shall be located under cover and conveniently close to the change shed.</w:t>
      </w:r>
    </w:p>
    <w:p w:rsidR="00AF2508" w:rsidRDefault="00AF2508">
      <w:pPr>
        <w:pStyle w:val="Assectheading"/>
        <w:rPr>
          <w:i w:val="0"/>
        </w:rPr>
      </w:pPr>
      <w:r>
        <w:rPr>
          <w:rStyle w:val="charItals"/>
          <w:i/>
        </w:rPr>
        <w:t>Washing facilities</w:t>
      </w:r>
      <w:r>
        <w:rPr>
          <w:i w:val="0"/>
        </w:rPr>
        <w:t>—</w:t>
      </w:r>
      <w:r>
        <w:rPr>
          <w:rStyle w:val="charItals"/>
          <w:i/>
        </w:rPr>
        <w:t>water supply</w:t>
      </w:r>
    </w:p>
    <w:p w:rsidR="00AF2508" w:rsidRDefault="00AF2508">
      <w:pPr>
        <w:pStyle w:val="Amain"/>
      </w:pPr>
      <w:r>
        <w:tab/>
        <w:t>(11)</w:t>
      </w:r>
      <w:r>
        <w:tab/>
        <w:t>Clean cold and hot water and soap shall be provided on every work.</w:t>
      </w:r>
    </w:p>
    <w:p w:rsidR="00AF2508" w:rsidRDefault="00AF2508">
      <w:pPr>
        <w:pStyle w:val="Amain"/>
      </w:pPr>
      <w:r>
        <w:tab/>
        <w:t>(12)</w:t>
      </w:r>
      <w:r>
        <w:tab/>
        <w:t>Cold water shall be readily available in sufficient quantities from a cock close to the wash basins.</w:t>
      </w:r>
    </w:p>
    <w:p w:rsidR="00AF2508" w:rsidRDefault="00AF2508">
      <w:pPr>
        <w:pStyle w:val="Amain"/>
      </w:pPr>
      <w:r>
        <w:tab/>
        <w:t>(13)</w:t>
      </w:r>
      <w:r>
        <w:tab/>
        <w:t>Hot water may be supplied from the same source as that used for tea making.</w:t>
      </w:r>
    </w:p>
    <w:p w:rsidR="00AF2508" w:rsidRDefault="00AF2508">
      <w:pPr>
        <w:pStyle w:val="Assectheading"/>
        <w:rPr>
          <w:i w:val="0"/>
        </w:rPr>
      </w:pPr>
      <w:r>
        <w:rPr>
          <w:rStyle w:val="charItals"/>
          <w:i/>
        </w:rPr>
        <w:t>Washing facilities</w:t>
      </w:r>
      <w:r>
        <w:rPr>
          <w:i w:val="0"/>
        </w:rPr>
        <w:t>—</w:t>
      </w:r>
      <w:r>
        <w:rPr>
          <w:rStyle w:val="charItals"/>
          <w:i/>
        </w:rPr>
        <w:t>drainage</w:t>
      </w:r>
    </w:p>
    <w:p w:rsidR="00AF2508" w:rsidRDefault="00AF2508">
      <w:pPr>
        <w:pStyle w:val="Amain"/>
      </w:pPr>
      <w:r>
        <w:tab/>
        <w:t>(14)</w:t>
      </w:r>
      <w:r>
        <w:tab/>
        <w:t>Drainage shall be provided for the disposal of waste water.</w:t>
      </w:r>
    </w:p>
    <w:p w:rsidR="00AF2508" w:rsidRDefault="00AF2508">
      <w:pPr>
        <w:pStyle w:val="Assectheading"/>
        <w:rPr>
          <w:i w:val="0"/>
        </w:rPr>
      </w:pPr>
      <w:r>
        <w:rPr>
          <w:rStyle w:val="charItals"/>
          <w:i/>
        </w:rPr>
        <w:t>Washing facilities</w:t>
      </w:r>
      <w:r>
        <w:rPr>
          <w:i w:val="0"/>
        </w:rPr>
        <w:t>—</w:t>
      </w:r>
      <w:r>
        <w:rPr>
          <w:rStyle w:val="charItals"/>
          <w:i/>
        </w:rPr>
        <w:t>duckboards</w:t>
      </w:r>
    </w:p>
    <w:p w:rsidR="00AF2508" w:rsidRDefault="00AF2508">
      <w:pPr>
        <w:pStyle w:val="Amain"/>
      </w:pPr>
      <w:r>
        <w:tab/>
        <w:t>(15)</w:t>
      </w:r>
      <w:r>
        <w:tab/>
        <w:t>Duckboards shall be provided underfoot if necessary or desirable.</w:t>
      </w:r>
    </w:p>
    <w:p w:rsidR="00AF2508" w:rsidRDefault="00AF2508">
      <w:pPr>
        <w:pStyle w:val="Assectheading"/>
        <w:rPr>
          <w:i w:val="0"/>
        </w:rPr>
      </w:pPr>
      <w:r>
        <w:rPr>
          <w:rStyle w:val="charItals"/>
          <w:i/>
        </w:rPr>
        <w:t>Washing facilities</w:t>
      </w:r>
      <w:r>
        <w:rPr>
          <w:i w:val="0"/>
        </w:rPr>
        <w:t>—</w:t>
      </w:r>
      <w:r>
        <w:rPr>
          <w:rStyle w:val="charItals"/>
          <w:i/>
        </w:rPr>
        <w:t>washing facilities to be kept clean</w:t>
      </w:r>
    </w:p>
    <w:p w:rsidR="00AF2508" w:rsidRDefault="00AF2508">
      <w:pPr>
        <w:pStyle w:val="Amain"/>
      </w:pPr>
      <w:r>
        <w:tab/>
        <w:t>(16)</w:t>
      </w:r>
      <w:r>
        <w:tab/>
        <w:t>Washing facilities shall be kept clean.</w:t>
      </w:r>
    </w:p>
    <w:p w:rsidR="00AF2508" w:rsidRDefault="00AF2508">
      <w:pPr>
        <w:pStyle w:val="02Text"/>
        <w:sectPr w:rsidR="00AF2508">
          <w:headerReference w:type="even" r:id="rId36"/>
          <w:headerReference w:type="default" r:id="rId37"/>
          <w:footerReference w:type="even" r:id="rId38"/>
          <w:footerReference w:type="default" r:id="rId39"/>
          <w:footerReference w:type="first" r:id="rId40"/>
          <w:pgSz w:w="11907" w:h="16839" w:code="9"/>
          <w:pgMar w:top="3000" w:right="1900" w:bottom="2500" w:left="2300" w:header="2480" w:footer="2100" w:gutter="0"/>
          <w:cols w:space="720"/>
          <w:docGrid w:linePitch="254"/>
        </w:sectPr>
      </w:pPr>
    </w:p>
    <w:p w:rsidR="00AF2508" w:rsidRDefault="00AF2508">
      <w:pPr>
        <w:pStyle w:val="AH2Part"/>
      </w:pPr>
      <w:bookmarkStart w:id="217" w:name="_Toc161636878"/>
      <w:r>
        <w:rPr>
          <w:rStyle w:val="CharPartNo"/>
        </w:rPr>
        <w:t>Part 11</w:t>
      </w:r>
      <w:r>
        <w:tab/>
      </w:r>
      <w:r>
        <w:rPr>
          <w:rStyle w:val="CharPartText"/>
        </w:rPr>
        <w:t>Basic requirements about design and construction, erection, use, maintenance, inspection and testing with particular reference to cranes, lifts, hoists, scaffolding and plant</w:t>
      </w:r>
      <w:bookmarkEnd w:id="217"/>
    </w:p>
    <w:p w:rsidR="00AF2508" w:rsidRDefault="00AF2508">
      <w:pPr>
        <w:pStyle w:val="Placeholder"/>
      </w:pPr>
      <w:r>
        <w:rPr>
          <w:rStyle w:val="CharDivNo"/>
        </w:rPr>
        <w:t xml:space="preserve">  </w:t>
      </w:r>
      <w:r>
        <w:rPr>
          <w:rStyle w:val="CharDivText"/>
        </w:rPr>
        <w:t xml:space="preserve">  </w:t>
      </w:r>
    </w:p>
    <w:p w:rsidR="00AF2508" w:rsidRDefault="00AF2508">
      <w:pPr>
        <w:pStyle w:val="AH5Sec"/>
      </w:pPr>
      <w:bookmarkStart w:id="218" w:name="_Toc161636879"/>
      <w:r>
        <w:rPr>
          <w:rStyle w:val="CharSectNo"/>
        </w:rPr>
        <w:t>122</w:t>
      </w:r>
      <w:bookmarkEnd w:id="218"/>
      <w:r>
        <w:tab/>
        <w:t xml:space="preserve">  </w:t>
      </w:r>
    </w:p>
    <w:p w:rsidR="00AF2508" w:rsidRDefault="00AF2508">
      <w:pPr>
        <w:pStyle w:val="Amain"/>
      </w:pPr>
      <w:r>
        <w:rPr>
          <w:b/>
        </w:rPr>
        <w:tab/>
      </w:r>
      <w:r>
        <w:t>(1)</w:t>
      </w:r>
      <w:r>
        <w:tab/>
        <w:t>Every crane, lift, hoist, plant, scaffolding, and all gear shall be so designed, constructed and maintained that after taking into full account the magnitude, incidence, conditions, and way of all loadings and forces, the proportioning of each member, component, part and attachment of it or to it is such that the maximum stress imposed or developed in it is less than 75% of the minimum stress liable by repetition or otherwise to impair its elastic properties.</w:t>
      </w:r>
    </w:p>
    <w:p w:rsidR="00AF2508" w:rsidRDefault="00AF2508">
      <w:pPr>
        <w:pStyle w:val="Amain"/>
      </w:pPr>
      <w:r>
        <w:tab/>
        <w:t>(2)</w:t>
      </w:r>
      <w:r>
        <w:tab/>
        <w:t>Every member, component, part and attachment shall be robust and so proportioned that it functions without excessive elastic action, deflection, vibration, movement, or distortion and without undue or untimely deterioration.</w:t>
      </w:r>
    </w:p>
    <w:p w:rsidR="00AF2508" w:rsidRDefault="00AF2508">
      <w:pPr>
        <w:pStyle w:val="Amain"/>
      </w:pPr>
      <w:r>
        <w:tab/>
        <w:t>(3)</w:t>
      </w:r>
      <w:r>
        <w:tab/>
        <w:t>Subsections (1) and (2) shall not be construed as allowing any greater stress or deflection, or any less provision in relation to wind loads, sideloads or dynamic effects than may be more specifically prescribed in this regulation.</w:t>
      </w:r>
    </w:p>
    <w:p w:rsidR="00AF2508" w:rsidRDefault="00AF2508">
      <w:pPr>
        <w:pStyle w:val="Amain"/>
      </w:pPr>
      <w:r>
        <w:tab/>
        <w:t>(4)</w:t>
      </w:r>
      <w:r>
        <w:tab/>
        <w:t>Unless more specifically prescribed elsewhere in this regulation, the minimum stress liable by repetition or otherwise to impair the elastic properties of a material shall be deemed equal to the least of the following stresses:</w:t>
      </w:r>
    </w:p>
    <w:p w:rsidR="00AF2508" w:rsidRDefault="00AF2508">
      <w:pPr>
        <w:pStyle w:val="Apara"/>
      </w:pPr>
      <w:r>
        <w:tab/>
        <w:t>(a)</w:t>
      </w:r>
      <w:r>
        <w:tab/>
        <w:t xml:space="preserve">the </w:t>
      </w:r>
      <w:r>
        <w:rPr>
          <w:position w:val="6"/>
          <w:sz w:val="18"/>
        </w:rPr>
        <w:t>1</w:t>
      </w:r>
      <w:r>
        <w:t>/</w:t>
      </w:r>
      <w:r>
        <w:rPr>
          <w:sz w:val="18"/>
        </w:rPr>
        <w:t>10</w:t>
      </w:r>
      <w:r>
        <w:t xml:space="preserve"> of 1% proof stress for such material when tested in a way productive of the same type and character of stress as that under consideration (namely, tensile, compressive or shearing stress); or</w:t>
      </w:r>
    </w:p>
    <w:p w:rsidR="00AF2508" w:rsidRDefault="00AF2508">
      <w:pPr>
        <w:pStyle w:val="Apara"/>
      </w:pPr>
      <w:r>
        <w:tab/>
        <w:t>(b)</w:t>
      </w:r>
      <w:r>
        <w:tab/>
        <w:t xml:space="preserve">the stress applied as an average stress by an approved authority during endurance tests, plus </w:t>
      </w:r>
      <w:r>
        <w:rPr>
          <w:position w:val="6"/>
          <w:sz w:val="18"/>
        </w:rPr>
        <w:t>1</w:t>
      </w:r>
      <w:r>
        <w:t>/</w:t>
      </w:r>
      <w:r>
        <w:rPr>
          <w:sz w:val="18"/>
        </w:rPr>
        <w:t>2</w:t>
      </w:r>
      <w:r>
        <w:t xml:space="preserve"> of the endurance range, coincident to it, as determined by the authority on a 10 million cycle basis, provided that the stress thus determined is of the same type and character as that under consideration (namely, transverse, tensile, compressive or shearing stress) and that, unless the chief inspector specifically approves otherwise, the average stress shall be assumed to be zero.</w:t>
      </w:r>
    </w:p>
    <w:p w:rsidR="00AF2508" w:rsidRDefault="00AF2508">
      <w:pPr>
        <w:pStyle w:val="Amain"/>
      </w:pPr>
      <w:r>
        <w:tab/>
        <w:t>(5)</w:t>
      </w:r>
      <w:r>
        <w:tab/>
        <w:t>If it can be estimated with reasonable certainty that the stress cannot be imposed or developed in whole or in part more than 2 million times during the working life of the material, the stress prescribed by subsection (4) (b) may be disregarded.</w:t>
      </w:r>
    </w:p>
    <w:p w:rsidR="00AF2508" w:rsidRDefault="00AF2508">
      <w:pPr>
        <w:pStyle w:val="Amain"/>
      </w:pPr>
      <w:r>
        <w:tab/>
        <w:t>(6)</w:t>
      </w:r>
      <w:r>
        <w:tab/>
        <w:t xml:space="preserve">If a material is subject to solely transverse or torsional stress (or both), and if the </w:t>
      </w:r>
      <w:r>
        <w:rPr>
          <w:position w:val="6"/>
          <w:sz w:val="18"/>
        </w:rPr>
        <w:t>1</w:t>
      </w:r>
      <w:r>
        <w:t>/</w:t>
      </w:r>
      <w:r>
        <w:rPr>
          <w:sz w:val="18"/>
        </w:rPr>
        <w:t>10</w:t>
      </w:r>
      <w:r>
        <w:t xml:space="preserve"> of 1% proof stress is less than </w:t>
      </w:r>
      <w:r>
        <w:rPr>
          <w:position w:val="6"/>
          <w:sz w:val="18"/>
        </w:rPr>
        <w:t>1</w:t>
      </w:r>
      <w:r>
        <w:t>/</w:t>
      </w:r>
      <w:r>
        <w:rPr>
          <w:sz w:val="18"/>
        </w:rPr>
        <w:t>2</w:t>
      </w:r>
      <w:r>
        <w:t xml:space="preserve"> of the endurance range mentioned in subsection (4), the stress prescribed by subsection (4) (a) may be disregarded.</w:t>
      </w:r>
    </w:p>
    <w:p w:rsidR="00AF2508" w:rsidRDefault="00AF2508">
      <w:pPr>
        <w:pStyle w:val="Amain"/>
      </w:pPr>
      <w:r>
        <w:tab/>
        <w:t>(7)</w:t>
      </w:r>
      <w:r>
        <w:tab/>
        <w:t>For the purpose of estimating the numbers of stress repetitions to which any member, component, part or attachment of any crane, lift, hoist, scaffolding, plant or gear is liable, the working life of the crane, lift, hoist, scaffolding, plant or gear shall, unless the chief inspector otherwise approves, be deemed to be at least 80 thousand hours.</w:t>
      </w:r>
    </w:p>
    <w:p w:rsidR="00AF2508" w:rsidRDefault="00AF2508">
      <w:pPr>
        <w:pStyle w:val="Amain"/>
      </w:pPr>
      <w:r>
        <w:tab/>
        <w:t>(8)</w:t>
      </w:r>
      <w:r>
        <w:tab/>
        <w:t>Except as may be otherwise prescribed in this regulation—</w:t>
      </w:r>
    </w:p>
    <w:p w:rsidR="00AF2508" w:rsidRDefault="00AF2508">
      <w:pPr>
        <w:pStyle w:val="Apara"/>
      </w:pPr>
      <w:r>
        <w:tab/>
        <w:t>(a)</w:t>
      </w:r>
      <w:r>
        <w:tab/>
        <w:t>every crane or hoist and the parts of it and all gear shall be classified numerically in conformity with the following table, according to its working period, effective load and the dynamic effects to which it is subjected taking into consideration all of the circumstances and conditions under which it is to work and to which it is to be exposed, as also all of the functions it is to perform, and, in the event of uncertainty or dispute, the classification may be determined by the chief inspector; and</w:t>
      </w:r>
    </w:p>
    <w:p w:rsidR="00AF2508" w:rsidRDefault="00AF2508">
      <w:pPr>
        <w:pStyle w:val="Apara"/>
      </w:pPr>
      <w:r>
        <w:tab/>
        <w:t>(b)</w:t>
      </w:r>
      <w:r>
        <w:tab/>
        <w:t>every scaffolding shall be deemed to be within classification 3, except that the timbers of it may be deemed within classification 2; and</w:t>
      </w:r>
    </w:p>
    <w:p w:rsidR="00AF2508" w:rsidRDefault="00AF2508">
      <w:pPr>
        <w:pStyle w:val="Apara"/>
      </w:pPr>
      <w:r>
        <w:tab/>
        <w:t>(c)</w:t>
      </w:r>
      <w:r>
        <w:tab/>
        <w:t>every lift and every hoist used for raising or lowering workers shall be deemed to be within classification 4; and</w:t>
      </w:r>
    </w:p>
    <w:p w:rsidR="00AF2508" w:rsidRDefault="00AF2508">
      <w:pPr>
        <w:pStyle w:val="Apara"/>
      </w:pPr>
      <w:r>
        <w:tab/>
        <w:t>(d)</w:t>
      </w:r>
      <w:r>
        <w:tab/>
        <w:t>for the purpose of determining stresses in timbers, cranes and hoists and their supporting structures, they shall be deemed to be within classification 1 if indoor, and classification 2 if outdoor; and</w:t>
      </w:r>
    </w:p>
    <w:p w:rsidR="00AF2508" w:rsidRDefault="00AF2508">
      <w:pPr>
        <w:pStyle w:val="Apara"/>
      </w:pPr>
      <w:r>
        <w:tab/>
        <w:t>(e)</w:t>
      </w:r>
      <w:r>
        <w:tab/>
        <w:t>no person shall cause or effect any change in the circumstances or conditions under which any crane, lift, hoist, scaffolding, plant or gear is to work, or to which it is to be exposed, or in the functions it is to perform, unless after the change the classification of the crane, lift, hoist, scaffolding, plant, or gear would on reconsideration remain unaltered or revert to a numerically lower order; and</w:t>
      </w:r>
    </w:p>
    <w:p w:rsidR="00AF2508" w:rsidRDefault="00AF2508">
      <w:pPr>
        <w:pStyle w:val="Apara"/>
      </w:pPr>
      <w:r>
        <w:tab/>
        <w:t>(f)</w:t>
      </w:r>
      <w:r>
        <w:tab/>
        <w:t>no person shall use a crane, lift, hoist, scaffolding, plant, or gear after such change unless the classification of it would on reconsideration remain unaltered or revert to a numerically lower order; and</w:t>
      </w:r>
    </w:p>
    <w:p w:rsidR="00AF2508" w:rsidRDefault="00AF2508">
      <w:pPr>
        <w:pStyle w:val="Apara"/>
      </w:pPr>
      <w:r>
        <w:tab/>
        <w:t>(g)</w:t>
      </w:r>
      <w:r>
        <w:tab/>
        <w:t>nothing in this subsection shall prevent any person from designing, constructing, erecting or using a crane, lift, hoist, scaffolding, plant, or gear of greater safety, strength, and stability than that prescribed in this subsection.</w:t>
      </w:r>
    </w:p>
    <w:p w:rsidR="00AF2508" w:rsidRDefault="00AF2508">
      <w:pPr>
        <w:pStyle w:val="TableHd"/>
      </w:pPr>
      <w:r>
        <w:t>Table 122.1</w:t>
      </w:r>
      <w:r>
        <w:tab/>
        <w:t>Classification of cranes and hoists and gear for purposes of design, construction and use</w:t>
      </w:r>
    </w:p>
    <w:tbl>
      <w:tblPr>
        <w:tblW w:w="6840" w:type="dxa"/>
        <w:tblInd w:w="137" w:type="dxa"/>
        <w:tblLayout w:type="fixed"/>
        <w:tblCellMar>
          <w:left w:w="80" w:type="dxa"/>
          <w:right w:w="80" w:type="dxa"/>
        </w:tblCellMar>
        <w:tblLook w:val="0000" w:firstRow="0" w:lastRow="0" w:firstColumn="0" w:lastColumn="0" w:noHBand="0" w:noVBand="0"/>
      </w:tblPr>
      <w:tblGrid>
        <w:gridCol w:w="1425"/>
        <w:gridCol w:w="2109"/>
        <w:gridCol w:w="1596"/>
        <w:gridCol w:w="1710"/>
      </w:tblGrid>
      <w:tr w:rsidR="00AF2508">
        <w:trPr>
          <w:cantSplit/>
          <w:tblHeader/>
        </w:trPr>
        <w:tc>
          <w:tcPr>
            <w:tcW w:w="1425" w:type="dxa"/>
            <w:tcBorders>
              <w:bottom w:val="single" w:sz="4" w:space="0" w:color="auto"/>
            </w:tcBorders>
          </w:tcPr>
          <w:p w:rsidR="00AF2508" w:rsidRDefault="00AF2508">
            <w:pPr>
              <w:pStyle w:val="TableColHd"/>
            </w:pPr>
            <w:r>
              <w:t>classification</w:t>
            </w:r>
          </w:p>
        </w:tc>
        <w:tc>
          <w:tcPr>
            <w:tcW w:w="2109" w:type="dxa"/>
            <w:tcBorders>
              <w:bottom w:val="single" w:sz="4" w:space="0" w:color="auto"/>
            </w:tcBorders>
          </w:tcPr>
          <w:p w:rsidR="00AF2508" w:rsidRDefault="00AF2508">
            <w:pPr>
              <w:pStyle w:val="TableColHd"/>
            </w:pPr>
            <w:r>
              <w:t>working period</w:t>
            </w:r>
          </w:p>
        </w:tc>
        <w:tc>
          <w:tcPr>
            <w:tcW w:w="1596" w:type="dxa"/>
            <w:tcBorders>
              <w:bottom w:val="single" w:sz="4" w:space="0" w:color="auto"/>
            </w:tcBorders>
          </w:tcPr>
          <w:p w:rsidR="00AF2508" w:rsidRDefault="00AF2508">
            <w:pPr>
              <w:pStyle w:val="TableColHd"/>
            </w:pPr>
            <w:r>
              <w:t>effective load</w:t>
            </w:r>
          </w:p>
        </w:tc>
        <w:tc>
          <w:tcPr>
            <w:tcW w:w="1710" w:type="dxa"/>
            <w:tcBorders>
              <w:bottom w:val="single" w:sz="4" w:space="0" w:color="auto"/>
            </w:tcBorders>
          </w:tcPr>
          <w:p w:rsidR="00AF2508" w:rsidRDefault="00AF2508">
            <w:pPr>
              <w:pStyle w:val="TableColHd"/>
            </w:pPr>
            <w:r>
              <w:t>dynamic effects</w:t>
            </w:r>
          </w:p>
        </w:tc>
      </w:tr>
      <w:tr w:rsidR="00AF2508">
        <w:trPr>
          <w:cantSplit/>
        </w:trPr>
        <w:tc>
          <w:tcPr>
            <w:tcW w:w="1425" w:type="dxa"/>
            <w:tcBorders>
              <w:top w:val="single" w:sz="4" w:space="0" w:color="auto"/>
            </w:tcBorders>
          </w:tcPr>
          <w:p w:rsidR="00AF2508" w:rsidRDefault="00AF2508">
            <w:pPr>
              <w:pStyle w:val="TableText"/>
              <w:keepNext/>
            </w:pPr>
            <w:r>
              <w:t>1</w:t>
            </w:r>
          </w:p>
        </w:tc>
        <w:tc>
          <w:tcPr>
            <w:tcW w:w="2109" w:type="dxa"/>
            <w:tcBorders>
              <w:top w:val="single" w:sz="4" w:space="0" w:color="auto"/>
            </w:tcBorders>
          </w:tcPr>
          <w:p w:rsidR="00AF2508" w:rsidRDefault="00AF2508">
            <w:pPr>
              <w:pStyle w:val="TableText"/>
              <w:keepNext/>
            </w:pPr>
            <w:r>
              <w:t>short</w:t>
            </w:r>
          </w:p>
        </w:tc>
        <w:tc>
          <w:tcPr>
            <w:tcW w:w="1596" w:type="dxa"/>
            <w:tcBorders>
              <w:top w:val="single" w:sz="4" w:space="0" w:color="auto"/>
            </w:tcBorders>
          </w:tcPr>
          <w:p w:rsidR="00AF2508" w:rsidRDefault="00AF2508">
            <w:pPr>
              <w:pStyle w:val="TableText"/>
              <w:keepNext/>
            </w:pPr>
            <w:r>
              <w:t>low</w:t>
            </w:r>
          </w:p>
        </w:tc>
        <w:tc>
          <w:tcPr>
            <w:tcW w:w="1710" w:type="dxa"/>
            <w:tcBorders>
              <w:top w:val="single" w:sz="4" w:space="0" w:color="auto"/>
            </w:tcBorders>
          </w:tcPr>
          <w:p w:rsidR="00AF2508" w:rsidRDefault="00AF2508">
            <w:pPr>
              <w:pStyle w:val="TableText"/>
              <w:keepNext/>
            </w:pPr>
            <w:r>
              <w:t>low</w:t>
            </w:r>
          </w:p>
        </w:tc>
      </w:tr>
      <w:tr w:rsidR="00AF2508">
        <w:trPr>
          <w:cantSplit/>
        </w:trPr>
        <w:tc>
          <w:tcPr>
            <w:tcW w:w="1425" w:type="dxa"/>
          </w:tcPr>
          <w:p w:rsidR="00AF2508" w:rsidRDefault="00AF2508">
            <w:pPr>
              <w:pStyle w:val="TableText"/>
            </w:pPr>
            <w:r>
              <w:t>2</w:t>
            </w:r>
          </w:p>
        </w:tc>
        <w:tc>
          <w:tcPr>
            <w:tcW w:w="2109" w:type="dxa"/>
          </w:tcPr>
          <w:p w:rsidR="00AF2508" w:rsidRDefault="00AF2508">
            <w:pPr>
              <w:pStyle w:val="TableText"/>
            </w:pPr>
            <w:r>
              <w:t>long</w:t>
            </w:r>
          </w:p>
          <w:p w:rsidR="00AF2508" w:rsidRDefault="00AF2508">
            <w:pPr>
              <w:pStyle w:val="TableText"/>
            </w:pPr>
            <w:r>
              <w:t>short</w:t>
            </w:r>
          </w:p>
          <w:p w:rsidR="00AF2508" w:rsidRDefault="00AF2508">
            <w:pPr>
              <w:pStyle w:val="TableText"/>
            </w:pPr>
            <w:r>
              <w:t>short</w:t>
            </w:r>
          </w:p>
        </w:tc>
        <w:tc>
          <w:tcPr>
            <w:tcW w:w="1596" w:type="dxa"/>
          </w:tcPr>
          <w:p w:rsidR="00AF2508" w:rsidRDefault="00AF2508">
            <w:pPr>
              <w:pStyle w:val="TableText"/>
            </w:pPr>
            <w:r>
              <w:t>low</w:t>
            </w:r>
          </w:p>
          <w:p w:rsidR="00AF2508" w:rsidRDefault="00AF2508">
            <w:pPr>
              <w:pStyle w:val="TableText"/>
            </w:pPr>
            <w:r>
              <w:t>high</w:t>
            </w:r>
          </w:p>
          <w:p w:rsidR="00AF2508" w:rsidRDefault="00AF2508">
            <w:pPr>
              <w:pStyle w:val="TableText"/>
            </w:pPr>
            <w:r>
              <w:t>low</w:t>
            </w:r>
          </w:p>
        </w:tc>
        <w:tc>
          <w:tcPr>
            <w:tcW w:w="1710" w:type="dxa"/>
          </w:tcPr>
          <w:p w:rsidR="00AF2508" w:rsidRDefault="00AF2508">
            <w:pPr>
              <w:pStyle w:val="TableText"/>
            </w:pPr>
            <w:r>
              <w:t>low</w:t>
            </w:r>
          </w:p>
          <w:p w:rsidR="00AF2508" w:rsidRDefault="00AF2508">
            <w:pPr>
              <w:pStyle w:val="TableText"/>
            </w:pPr>
            <w:r>
              <w:t>low</w:t>
            </w:r>
          </w:p>
          <w:p w:rsidR="00AF2508" w:rsidRDefault="00AF2508">
            <w:pPr>
              <w:pStyle w:val="TableText"/>
            </w:pPr>
            <w:r>
              <w:t>high</w:t>
            </w:r>
          </w:p>
        </w:tc>
      </w:tr>
      <w:tr w:rsidR="00AF2508">
        <w:trPr>
          <w:cantSplit/>
        </w:trPr>
        <w:tc>
          <w:tcPr>
            <w:tcW w:w="1425" w:type="dxa"/>
          </w:tcPr>
          <w:p w:rsidR="00AF2508" w:rsidRDefault="00AF2508">
            <w:pPr>
              <w:pStyle w:val="TableText"/>
            </w:pPr>
            <w:r>
              <w:t>3</w:t>
            </w:r>
          </w:p>
        </w:tc>
        <w:tc>
          <w:tcPr>
            <w:tcW w:w="2109" w:type="dxa"/>
          </w:tcPr>
          <w:p w:rsidR="00AF2508" w:rsidRDefault="00AF2508">
            <w:pPr>
              <w:pStyle w:val="TableText"/>
            </w:pPr>
            <w:r>
              <w:t>long</w:t>
            </w:r>
          </w:p>
          <w:p w:rsidR="00AF2508" w:rsidRDefault="00AF2508">
            <w:pPr>
              <w:pStyle w:val="TableText"/>
            </w:pPr>
            <w:r>
              <w:t>long</w:t>
            </w:r>
          </w:p>
          <w:p w:rsidR="00AF2508" w:rsidRDefault="00AF2508">
            <w:pPr>
              <w:pStyle w:val="TableText"/>
            </w:pPr>
            <w:r>
              <w:t>short</w:t>
            </w:r>
          </w:p>
        </w:tc>
        <w:tc>
          <w:tcPr>
            <w:tcW w:w="1596" w:type="dxa"/>
          </w:tcPr>
          <w:p w:rsidR="00AF2508" w:rsidRDefault="00AF2508">
            <w:pPr>
              <w:pStyle w:val="TableText"/>
            </w:pPr>
            <w:r>
              <w:t>high</w:t>
            </w:r>
          </w:p>
          <w:p w:rsidR="00AF2508" w:rsidRDefault="00AF2508">
            <w:pPr>
              <w:pStyle w:val="TableText"/>
            </w:pPr>
            <w:r>
              <w:t>low</w:t>
            </w:r>
          </w:p>
          <w:p w:rsidR="00AF2508" w:rsidRDefault="00AF2508">
            <w:pPr>
              <w:pStyle w:val="TableText"/>
            </w:pPr>
            <w:r>
              <w:t>high</w:t>
            </w:r>
          </w:p>
        </w:tc>
        <w:tc>
          <w:tcPr>
            <w:tcW w:w="1710" w:type="dxa"/>
          </w:tcPr>
          <w:p w:rsidR="00AF2508" w:rsidRDefault="00AF2508">
            <w:pPr>
              <w:pStyle w:val="TableText"/>
            </w:pPr>
            <w:r>
              <w:t>low</w:t>
            </w:r>
          </w:p>
          <w:p w:rsidR="00AF2508" w:rsidRDefault="00AF2508">
            <w:pPr>
              <w:pStyle w:val="TableText"/>
            </w:pPr>
            <w:r>
              <w:t>high</w:t>
            </w:r>
          </w:p>
          <w:p w:rsidR="00AF2508" w:rsidRDefault="00AF2508">
            <w:pPr>
              <w:pStyle w:val="TableText"/>
            </w:pPr>
            <w:r>
              <w:t>high</w:t>
            </w:r>
          </w:p>
        </w:tc>
      </w:tr>
      <w:tr w:rsidR="00AF2508">
        <w:trPr>
          <w:cantSplit/>
        </w:trPr>
        <w:tc>
          <w:tcPr>
            <w:tcW w:w="1425" w:type="dxa"/>
          </w:tcPr>
          <w:p w:rsidR="00AF2508" w:rsidRDefault="00AF2508">
            <w:pPr>
              <w:pStyle w:val="TableText"/>
            </w:pPr>
            <w:r>
              <w:t>4</w:t>
            </w:r>
          </w:p>
        </w:tc>
        <w:tc>
          <w:tcPr>
            <w:tcW w:w="2109" w:type="dxa"/>
          </w:tcPr>
          <w:p w:rsidR="00AF2508" w:rsidRDefault="00AF2508">
            <w:pPr>
              <w:pStyle w:val="TableText"/>
            </w:pPr>
            <w:r>
              <w:t>long</w:t>
            </w:r>
          </w:p>
        </w:tc>
        <w:tc>
          <w:tcPr>
            <w:tcW w:w="1596" w:type="dxa"/>
          </w:tcPr>
          <w:p w:rsidR="00AF2508" w:rsidRDefault="00AF2508">
            <w:pPr>
              <w:pStyle w:val="TableText"/>
            </w:pPr>
            <w:r>
              <w:t>high</w:t>
            </w:r>
          </w:p>
        </w:tc>
        <w:tc>
          <w:tcPr>
            <w:tcW w:w="1710" w:type="dxa"/>
          </w:tcPr>
          <w:p w:rsidR="00AF2508" w:rsidRDefault="00AF2508">
            <w:pPr>
              <w:pStyle w:val="TableText"/>
            </w:pPr>
            <w:r>
              <w:t>high</w:t>
            </w:r>
          </w:p>
        </w:tc>
      </w:tr>
    </w:tbl>
    <w:p w:rsidR="00AF2508" w:rsidRDefault="00AF2508"/>
    <w:p w:rsidR="00AF2508" w:rsidRDefault="00AF2508">
      <w:pPr>
        <w:pStyle w:val="Amain"/>
      </w:pPr>
      <w:r>
        <w:tab/>
        <w:t>(9)</w:t>
      </w:r>
      <w:r>
        <w:tab/>
        <w:t>In applying table 122.1 the following subsections apply.</w:t>
      </w:r>
    </w:p>
    <w:p w:rsidR="00AF2508" w:rsidRDefault="00AF2508">
      <w:pPr>
        <w:pStyle w:val="Amain"/>
      </w:pPr>
      <w:r>
        <w:tab/>
        <w:t>(10)</w:t>
      </w:r>
      <w:r>
        <w:tab/>
        <w:t>The working period of any crane, hoist, or gear shall be considered to be short if it operates or may reasonably be expected to operate for less than 500 hours per annum, or long if it operates or may reasonably be expected to operate for more than 500 hours per annum.</w:t>
      </w:r>
    </w:p>
    <w:p w:rsidR="00AF2508" w:rsidRDefault="00AF2508">
      <w:pPr>
        <w:pStyle w:val="Amain"/>
      </w:pPr>
      <w:r>
        <w:tab/>
        <w:t>(11)</w:t>
      </w:r>
      <w:r>
        <w:tab/>
        <w:t xml:space="preserve">The effective load of any crane, hoist or gear shall be considered to be low unless it lifts or may reasonably be expected to lift loads greater than </w:t>
      </w:r>
      <w:r>
        <w:rPr>
          <w:position w:val="6"/>
          <w:sz w:val="18"/>
        </w:rPr>
        <w:t>2</w:t>
      </w:r>
      <w:r>
        <w:t>/</w:t>
      </w:r>
      <w:r>
        <w:rPr>
          <w:sz w:val="18"/>
        </w:rPr>
        <w:t>3</w:t>
      </w:r>
      <w:r>
        <w:t xml:space="preserve"> of its safe working load on more than 1 000 occasions per annum.</w:t>
      </w:r>
    </w:p>
    <w:p w:rsidR="00AF2508" w:rsidRDefault="00AF2508">
      <w:pPr>
        <w:pStyle w:val="Amain"/>
      </w:pPr>
      <w:r>
        <w:tab/>
        <w:t>(12)</w:t>
      </w:r>
      <w:r>
        <w:tab/>
        <w:t>The effective load shall otherwise be considered to be high.</w:t>
      </w:r>
    </w:p>
    <w:p w:rsidR="00AF2508" w:rsidRDefault="00AF2508">
      <w:pPr>
        <w:pStyle w:val="Amain"/>
      </w:pPr>
      <w:r>
        <w:tab/>
        <w:t>(13)</w:t>
      </w:r>
      <w:r>
        <w:tab/>
        <w:t>Dynamic effects may be considered low if the speed of travelling of both crab and crane or hoist are each less than 300 feet per minute, or 400 feet per minute if the active surfaces of the respective track rails are uninterrupted by gaps or joints.</w:t>
      </w:r>
    </w:p>
    <w:p w:rsidR="00AF2508" w:rsidRDefault="00AF2508">
      <w:pPr>
        <w:pStyle w:val="Amain"/>
      </w:pPr>
      <w:r>
        <w:tab/>
        <w:t>(14)</w:t>
      </w:r>
      <w:r>
        <w:tab/>
        <w:t>Dynamic effects shall be considered high if the crane, hoist or gear or any part or motion of it is used for any purpose, or in any way likely to produce greater shock effects than those caused by travelling on steel track rails at the speeds mentioned in subsection (13).</w:t>
      </w:r>
    </w:p>
    <w:p w:rsidR="00AF2508" w:rsidRDefault="00AF2508">
      <w:pPr>
        <w:pStyle w:val="Amain"/>
      </w:pPr>
      <w:r>
        <w:tab/>
        <w:t>(15)</w:t>
      </w:r>
      <w:r>
        <w:tab/>
        <w:t>Dynamic effects may be considered low for mobile cranes or mobile hoists having well-sprung road wheels and travelling at moderate speeds on surfaces not less regular than closely laid decking of sawn timber.</w:t>
      </w:r>
    </w:p>
    <w:p w:rsidR="00AF2508" w:rsidRDefault="00AF2508">
      <w:pPr>
        <w:pStyle w:val="Amain"/>
      </w:pPr>
      <w:r>
        <w:tab/>
        <w:t>(16)</w:t>
      </w:r>
      <w:r>
        <w:tab/>
        <w:t>Road wheels having approved pneumatic balloon tyres of the ‘off</w:t>
      </w:r>
      <w:r>
        <w:noBreakHyphen/>
        <w:t>the-road’ type may be considered equivalent to well-sprung road wheels.</w:t>
      </w:r>
    </w:p>
    <w:p w:rsidR="00AF2508" w:rsidRDefault="00AF2508">
      <w:pPr>
        <w:pStyle w:val="Amain"/>
      </w:pPr>
      <w:r>
        <w:tab/>
        <w:t>(17)</w:t>
      </w:r>
      <w:r>
        <w:tab/>
        <w:t>Dynamic effects shall be considered high for other mobile cranes or mobile hoists.</w:t>
      </w:r>
    </w:p>
    <w:p w:rsidR="00AF2508" w:rsidRDefault="00AF2508">
      <w:pPr>
        <w:pStyle w:val="Amain"/>
      </w:pPr>
      <w:r>
        <w:tab/>
        <w:t>(18)</w:t>
      </w:r>
      <w:r>
        <w:tab/>
        <w:t>Reference should also be made to examples given in table 122.2 and table 122.3, in determining the classification of a crane or hoist, or gear, or part of it.</w:t>
      </w:r>
    </w:p>
    <w:p w:rsidR="00AF2508" w:rsidRDefault="00AF2508">
      <w:pPr>
        <w:pStyle w:val="Amain"/>
      </w:pPr>
      <w:r>
        <w:tab/>
        <w:t>(19)</w:t>
      </w:r>
      <w:r>
        <w:tab/>
        <w:t>If any single crane or hoist travelling in relation to its supporting structure, does not cause the major loadings to recur principally on portions only of the supporting structure, the structure if supporting a crane or hoist within classifications 2, 3 or 4, may be deemed to be within the next lower classification to that of the crane or hoist.</w:t>
      </w:r>
    </w:p>
    <w:p w:rsidR="00AF2508" w:rsidRDefault="00AF2508">
      <w:pPr>
        <w:pStyle w:val="Amain"/>
      </w:pPr>
      <w:r>
        <w:tab/>
        <w:t>(20)</w:t>
      </w:r>
      <w:r>
        <w:tab/>
        <w:t>However, this shall not apply to supporting structures constructed of timber.</w:t>
      </w:r>
    </w:p>
    <w:p w:rsidR="00AF2508" w:rsidRDefault="00AF2508">
      <w:pPr>
        <w:pStyle w:val="Amain"/>
        <w:keepNext/>
      </w:pPr>
      <w:r>
        <w:tab/>
        <w:t>(21)</w:t>
      </w:r>
      <w:r>
        <w:tab/>
        <w:t>Table 122.2 is for reference in classifying crane and hoist frame and supporting structures in the respective groups shown in table 122.1.</w:t>
      </w:r>
    </w:p>
    <w:p w:rsidR="00AF2508" w:rsidRDefault="00AF2508">
      <w:pPr>
        <w:pStyle w:val="TableHd"/>
      </w:pPr>
      <w:r>
        <w:t>Table 122.2</w:t>
      </w:r>
    </w:p>
    <w:tbl>
      <w:tblPr>
        <w:tblW w:w="7809" w:type="dxa"/>
        <w:tblInd w:w="80" w:type="dxa"/>
        <w:tblLayout w:type="fixed"/>
        <w:tblCellMar>
          <w:left w:w="80" w:type="dxa"/>
          <w:right w:w="80" w:type="dxa"/>
        </w:tblCellMar>
        <w:tblLook w:val="0000" w:firstRow="0" w:lastRow="0" w:firstColumn="0" w:lastColumn="0" w:noHBand="0" w:noVBand="0"/>
      </w:tblPr>
      <w:tblGrid>
        <w:gridCol w:w="4788"/>
        <w:gridCol w:w="1368"/>
        <w:gridCol w:w="1653"/>
      </w:tblGrid>
      <w:tr w:rsidR="00AF2508">
        <w:trPr>
          <w:cantSplit/>
          <w:tblHeader/>
        </w:trPr>
        <w:tc>
          <w:tcPr>
            <w:tcW w:w="4788" w:type="dxa"/>
            <w:tcBorders>
              <w:bottom w:val="single" w:sz="2" w:space="0" w:color="auto"/>
            </w:tcBorders>
          </w:tcPr>
          <w:p w:rsidR="00AF2508" w:rsidRDefault="00AF2508">
            <w:pPr>
              <w:pStyle w:val="TableColHd"/>
            </w:pPr>
            <w:r>
              <w:t>type of crane</w:t>
            </w:r>
          </w:p>
        </w:tc>
        <w:tc>
          <w:tcPr>
            <w:tcW w:w="1368" w:type="dxa"/>
            <w:tcBorders>
              <w:bottom w:val="single" w:sz="2" w:space="0" w:color="auto"/>
            </w:tcBorders>
          </w:tcPr>
          <w:p w:rsidR="00AF2508" w:rsidRDefault="00AF2508">
            <w:pPr>
              <w:pStyle w:val="TableColHd"/>
            </w:pPr>
            <w:r>
              <w:t>classification</w:t>
            </w:r>
          </w:p>
        </w:tc>
        <w:tc>
          <w:tcPr>
            <w:tcW w:w="1653" w:type="dxa"/>
            <w:tcBorders>
              <w:bottom w:val="single" w:sz="2" w:space="0" w:color="auto"/>
            </w:tcBorders>
          </w:tcPr>
          <w:p w:rsidR="00AF2508" w:rsidRDefault="00AF2508">
            <w:pPr>
              <w:pStyle w:val="TableColHd"/>
            </w:pPr>
            <w:r>
              <w:t>explanatory note</w:t>
            </w:r>
          </w:p>
        </w:tc>
      </w:tr>
      <w:tr w:rsidR="00AF2508">
        <w:trPr>
          <w:cantSplit/>
        </w:trPr>
        <w:tc>
          <w:tcPr>
            <w:tcW w:w="4788" w:type="dxa"/>
            <w:tcBorders>
              <w:top w:val="single" w:sz="2" w:space="0" w:color="auto"/>
            </w:tcBorders>
          </w:tcPr>
          <w:p w:rsidR="00AF2508" w:rsidRDefault="00AF2508">
            <w:pPr>
              <w:pStyle w:val="TableText"/>
            </w:pPr>
            <w:r>
              <w:t>hand cranes (except vehicular types)</w:t>
            </w:r>
          </w:p>
          <w:p w:rsidR="00AF2508" w:rsidRDefault="00AF2508">
            <w:pPr>
              <w:pStyle w:val="TableText"/>
            </w:pPr>
            <w:r>
              <w:t>conveyors (belt, tyne, slat, scraper, tray, chain, etc, but not bucket)</w:t>
            </w:r>
          </w:p>
          <w:p w:rsidR="00AF2508" w:rsidRDefault="00AF2508">
            <w:pPr>
              <w:pStyle w:val="TableText"/>
            </w:pPr>
            <w:r>
              <w:t>engine house cranes</w:t>
            </w:r>
          </w:p>
          <w:p w:rsidR="00AF2508" w:rsidRDefault="00AF2508">
            <w:pPr>
              <w:pStyle w:val="TableText"/>
            </w:pPr>
            <w:r>
              <w:t>cranes for occasional use only, in commission not more than 500 hours per annum</w:t>
            </w:r>
          </w:p>
          <w:p w:rsidR="00AF2508" w:rsidRDefault="00AF2508">
            <w:pPr>
              <w:pStyle w:val="TableText"/>
            </w:pPr>
            <w:r>
              <w:t>single and twin derrick poles</w:t>
            </w:r>
          </w:p>
        </w:tc>
        <w:tc>
          <w:tcPr>
            <w:tcW w:w="1368" w:type="dxa"/>
            <w:tcBorders>
              <w:top w:val="single" w:sz="2" w:space="0" w:color="auto"/>
            </w:tcBorders>
          </w:tcPr>
          <w:p w:rsidR="00AF2508" w:rsidRDefault="00AF2508">
            <w:pPr>
              <w:pStyle w:val="TableText"/>
              <w:jc w:val="center"/>
            </w:pPr>
            <w:r>
              <w:t>1</w:t>
            </w:r>
          </w:p>
        </w:tc>
        <w:tc>
          <w:tcPr>
            <w:tcW w:w="1653" w:type="dxa"/>
            <w:tcBorders>
              <w:top w:val="single" w:sz="2" w:space="0" w:color="auto"/>
            </w:tcBorders>
          </w:tcPr>
          <w:p w:rsidR="00AF2508" w:rsidRDefault="00AF2508">
            <w:pPr>
              <w:pStyle w:val="TableText"/>
            </w:pPr>
          </w:p>
        </w:tc>
      </w:tr>
      <w:tr w:rsidR="00AF2508">
        <w:trPr>
          <w:cantSplit/>
        </w:trPr>
        <w:tc>
          <w:tcPr>
            <w:tcW w:w="4788" w:type="dxa"/>
            <w:tcBorders>
              <w:top w:val="single" w:sz="2" w:space="0" w:color="auto"/>
              <w:bottom w:val="single" w:sz="2" w:space="0" w:color="auto"/>
            </w:tcBorders>
          </w:tcPr>
          <w:p w:rsidR="00AF2508" w:rsidRDefault="00AF2508">
            <w:pPr>
              <w:pStyle w:val="TableText"/>
            </w:pPr>
            <w:r>
              <w:t>bucket conveyors</w:t>
            </w:r>
          </w:p>
          <w:p w:rsidR="00AF2508" w:rsidRDefault="00AF2508">
            <w:pPr>
              <w:pStyle w:val="TableText"/>
            </w:pPr>
            <w:r>
              <w:t>*slings, yokes and general lifting gear used in medium factories and workshops for moderate work (but not used in handling hot articles, apparatus or materials, or substances or liquids injurious to human life or limb)</w:t>
            </w:r>
          </w:p>
        </w:tc>
        <w:tc>
          <w:tcPr>
            <w:tcW w:w="1368" w:type="dxa"/>
            <w:tcBorders>
              <w:top w:val="single" w:sz="2" w:space="0" w:color="auto"/>
              <w:bottom w:val="single" w:sz="2" w:space="0" w:color="auto"/>
            </w:tcBorders>
          </w:tcPr>
          <w:p w:rsidR="00AF2508" w:rsidRDefault="00AF2508">
            <w:pPr>
              <w:pStyle w:val="TableText"/>
              <w:jc w:val="center"/>
            </w:pPr>
            <w:r>
              <w:t>2</w:t>
            </w:r>
          </w:p>
        </w:tc>
        <w:tc>
          <w:tcPr>
            <w:tcW w:w="1653" w:type="dxa"/>
            <w:tcBorders>
              <w:top w:val="single" w:sz="2" w:space="0" w:color="auto"/>
              <w:bottom w:val="single" w:sz="2" w:space="0" w:color="auto"/>
            </w:tcBorders>
          </w:tcPr>
          <w:p w:rsidR="00AF2508" w:rsidRDefault="00AF2508">
            <w:pPr>
              <w:pStyle w:val="TableText"/>
            </w:pPr>
          </w:p>
        </w:tc>
      </w:tr>
      <w:tr w:rsidR="00AF2508">
        <w:tc>
          <w:tcPr>
            <w:tcW w:w="4788" w:type="dxa"/>
            <w:tcBorders>
              <w:bottom w:val="single" w:sz="2" w:space="0" w:color="auto"/>
            </w:tcBorders>
          </w:tcPr>
          <w:p w:rsidR="00AF2508" w:rsidRDefault="00AF2508">
            <w:pPr>
              <w:pStyle w:val="TableText"/>
            </w:pPr>
            <w:r>
              <w:t>tower and portal cranes and hammer-headed cranes</w:t>
            </w:r>
          </w:p>
          <w:p w:rsidR="00AF2508" w:rsidRDefault="00AF2508">
            <w:pPr>
              <w:pStyle w:val="TableText"/>
            </w:pPr>
            <w:r>
              <w:t>cupola hoists for light and medium foundries</w:t>
            </w:r>
          </w:p>
          <w:p w:rsidR="00AF2508" w:rsidRDefault="00AF2508">
            <w:pPr>
              <w:pStyle w:val="TableText"/>
            </w:pPr>
            <w:r>
              <w:t>floating cranes</w:t>
            </w:r>
          </w:p>
          <w:p w:rsidR="00AF2508" w:rsidRDefault="00AF2508">
            <w:pPr>
              <w:pStyle w:val="TableText"/>
            </w:pPr>
            <w:r>
              <w:t>stacking machines</w:t>
            </w:r>
          </w:p>
          <w:p w:rsidR="00AF2508" w:rsidRDefault="00AF2508">
            <w:pPr>
              <w:pStyle w:val="TableText"/>
            </w:pPr>
            <w:r>
              <w:t>overbraced or underbraced jib cranes (except blacksmiths, boilermakers, welders)</w:t>
            </w:r>
          </w:p>
          <w:p w:rsidR="00AF2508" w:rsidRDefault="00AF2508">
            <w:pPr>
              <w:pStyle w:val="TableText"/>
            </w:pPr>
            <w:r>
              <w:t>giant cranes and fixed and travelling gantries</w:t>
            </w:r>
          </w:p>
          <w:p w:rsidR="00AF2508" w:rsidRDefault="00AF2508">
            <w:pPr>
              <w:pStyle w:val="TableText"/>
            </w:pPr>
            <w:r>
              <w:t>ice works cranes</w:t>
            </w:r>
          </w:p>
          <w:p w:rsidR="00AF2508" w:rsidRDefault="00AF2508">
            <w:pPr>
              <w:pStyle w:val="TableText"/>
            </w:pPr>
            <w:r>
              <w:t>light duty cranes in commission not more than 750 hours per annum</w:t>
            </w:r>
          </w:p>
          <w:p w:rsidR="00AF2508" w:rsidRDefault="00AF2508">
            <w:pPr>
              <w:pStyle w:val="TableText"/>
            </w:pPr>
            <w:r>
              <w:t>hand cranes mounted on vehicles</w:t>
            </w:r>
          </w:p>
          <w:p w:rsidR="00AF2508" w:rsidRDefault="00AF2508">
            <w:pPr>
              <w:pStyle w:val="TableText"/>
            </w:pPr>
            <w:r>
              <w:t>derrick cranes</w:t>
            </w:r>
          </w:p>
          <w:p w:rsidR="00AF2508" w:rsidRDefault="00AF2508">
            <w:pPr>
              <w:pStyle w:val="TableText"/>
            </w:pPr>
            <w:r>
              <w:t>winches or hoists used in building and constructional works</w:t>
            </w:r>
          </w:p>
          <w:p w:rsidR="00AF2508" w:rsidRDefault="00AF2508">
            <w:pPr>
              <w:pStyle w:val="TableText"/>
            </w:pPr>
            <w:r>
              <w:t>sheerlegs and gallows frames</w:t>
            </w:r>
          </w:p>
          <w:p w:rsidR="00AF2508" w:rsidRDefault="00AF2508">
            <w:pPr>
              <w:pStyle w:val="TableText"/>
            </w:pPr>
            <w:r>
              <w:t>sprung mobile cranes (other than vehicular used in building and constructional works)</w:t>
            </w:r>
          </w:p>
          <w:p w:rsidR="00AF2508" w:rsidRDefault="00AF2508">
            <w:pPr>
              <w:pStyle w:val="TableText"/>
            </w:pPr>
            <w:r>
              <w:t>shipbuilding cranes</w:t>
            </w:r>
          </w:p>
          <w:p w:rsidR="00AF2508" w:rsidRDefault="00AF2508">
            <w:pPr>
              <w:pStyle w:val="TableText"/>
            </w:pPr>
            <w:r>
              <w:t>machine shop secondary cranes</w:t>
            </w:r>
          </w:p>
          <w:p w:rsidR="00AF2508" w:rsidRDefault="00AF2508">
            <w:pPr>
              <w:pStyle w:val="TableText"/>
            </w:pPr>
            <w:r>
              <w:t>pile-drivers and pile-tilters</w:t>
            </w:r>
          </w:p>
          <w:p w:rsidR="00AF2508" w:rsidRDefault="00AF2508">
            <w:pPr>
              <w:pStyle w:val="TableText"/>
            </w:pPr>
            <w:r>
              <w:t>monorail runway hoists</w:t>
            </w:r>
          </w:p>
        </w:tc>
        <w:tc>
          <w:tcPr>
            <w:tcW w:w="1368" w:type="dxa"/>
            <w:tcBorders>
              <w:bottom w:val="single" w:sz="2" w:space="0" w:color="auto"/>
            </w:tcBorders>
          </w:tcPr>
          <w:p w:rsidR="00AF2508" w:rsidRDefault="00AF2508">
            <w:pPr>
              <w:pStyle w:val="TableText"/>
              <w:jc w:val="center"/>
            </w:pPr>
            <w:r>
              <w:t>2</w:t>
            </w:r>
          </w:p>
        </w:tc>
        <w:tc>
          <w:tcPr>
            <w:tcW w:w="1653" w:type="dxa"/>
            <w:tcBorders>
              <w:bottom w:val="single" w:sz="2" w:space="0" w:color="auto"/>
            </w:tcBorders>
          </w:tcPr>
          <w:p w:rsidR="00AF2508" w:rsidRDefault="00AF2508">
            <w:pPr>
              <w:pStyle w:val="TableText"/>
            </w:pPr>
          </w:p>
        </w:tc>
      </w:tr>
      <w:tr w:rsidR="00AF2508">
        <w:tc>
          <w:tcPr>
            <w:tcW w:w="4788" w:type="dxa"/>
            <w:tcBorders>
              <w:bottom w:val="single" w:sz="2" w:space="0" w:color="auto"/>
            </w:tcBorders>
          </w:tcPr>
          <w:p w:rsidR="00AF2508" w:rsidRDefault="00AF2508">
            <w:pPr>
              <w:pStyle w:val="TableText"/>
            </w:pPr>
            <w:r>
              <w:t>locomotive cranes</w:t>
            </w:r>
          </w:p>
          <w:p w:rsidR="00AF2508" w:rsidRDefault="00AF2508">
            <w:pPr>
              <w:pStyle w:val="TableText"/>
            </w:pPr>
            <w:r>
              <w:t>overbraced or underbraced jib cranes used in blacksmithing, boilermaking or welding, or analogous duties</w:t>
            </w:r>
          </w:p>
          <w:p w:rsidR="00AF2508" w:rsidRDefault="00AF2508">
            <w:pPr>
              <w:pStyle w:val="TableText"/>
            </w:pPr>
            <w:r>
              <w:t>cupola hoists for heavy foundries</w:t>
            </w:r>
          </w:p>
          <w:p w:rsidR="00AF2508" w:rsidRDefault="00AF2508">
            <w:pPr>
              <w:pStyle w:val="TableText"/>
            </w:pPr>
            <w:r>
              <w:t>cranes used for pulling piles or sheet piling</w:t>
            </w:r>
          </w:p>
          <w:p w:rsidR="00AF2508" w:rsidRDefault="00AF2508">
            <w:pPr>
              <w:pStyle w:val="TableText"/>
            </w:pPr>
            <w:r>
              <w:t>overhead traveller cranes not elsewhere included</w:t>
            </w:r>
          </w:p>
          <w:p w:rsidR="00AF2508" w:rsidRDefault="00AF2508">
            <w:pPr>
              <w:pStyle w:val="TableText"/>
            </w:pPr>
            <w:r>
              <w:t>magnet cranes not handling scrap</w:t>
            </w:r>
          </w:p>
          <w:p w:rsidR="00AF2508" w:rsidRDefault="00AF2508">
            <w:pPr>
              <w:pStyle w:val="TableText"/>
            </w:pPr>
            <w:r>
              <w:t>derrick and other cranes having grabs, lifting magnets, or light skull breaker devices</w:t>
            </w:r>
          </w:p>
          <w:p w:rsidR="00AF2508" w:rsidRDefault="00AF2508">
            <w:pPr>
              <w:pStyle w:val="TableText"/>
            </w:pPr>
            <w:r>
              <w:t>travelling gantry derrick cranes</w:t>
            </w:r>
          </w:p>
          <w:p w:rsidR="00AF2508" w:rsidRDefault="00AF2508">
            <w:pPr>
              <w:pStyle w:val="TableText"/>
            </w:pPr>
            <w:r>
              <w:t>caterpillar cranes</w:t>
            </w:r>
          </w:p>
          <w:p w:rsidR="00AF2508" w:rsidRDefault="00AF2508">
            <w:pPr>
              <w:pStyle w:val="TableText"/>
            </w:pPr>
            <w:r>
              <w:t>(power) vehicular cranes used in building and construction works</w:t>
            </w:r>
          </w:p>
          <w:p w:rsidR="00AF2508" w:rsidRDefault="00AF2508">
            <w:pPr>
              <w:pStyle w:val="TableText"/>
            </w:pPr>
            <w:r>
              <w:t>concentrates, ore, coal or cargo</w:t>
            </w:r>
            <w:r>
              <w:noBreakHyphen/>
              <w:t>handling cranes</w:t>
            </w:r>
          </w:p>
          <w:p w:rsidR="00AF2508" w:rsidRDefault="00AF2508">
            <w:pPr>
              <w:pStyle w:val="TableText"/>
            </w:pPr>
            <w:r>
              <w:t>unsprung mobile cranes</w:t>
            </w:r>
          </w:p>
          <w:p w:rsidR="00AF2508" w:rsidRDefault="00AF2508">
            <w:pPr>
              <w:pStyle w:val="aNote"/>
              <w:tabs>
                <w:tab w:val="left" w:pos="775"/>
              </w:tabs>
              <w:ind w:hanging="1866"/>
            </w:pPr>
            <w:r>
              <w:rPr>
                <w:i/>
              </w:rPr>
              <w:t>Note</w:t>
            </w:r>
            <w:r>
              <w:tab/>
              <w:t>See ss (13) to (17).</w:t>
            </w:r>
          </w:p>
          <w:p w:rsidR="00AF2508" w:rsidRDefault="00AF2508">
            <w:pPr>
              <w:pStyle w:val="TableText"/>
            </w:pPr>
            <w:r>
              <w:t>logging cranes and logging winches</w:t>
            </w:r>
          </w:p>
          <w:p w:rsidR="00AF2508" w:rsidRDefault="00AF2508">
            <w:pPr>
              <w:pStyle w:val="TableText"/>
            </w:pPr>
            <w:r>
              <w:t>back-end and front end-loaders</w:t>
            </w:r>
          </w:p>
          <w:p w:rsidR="00AF2508" w:rsidRDefault="00AF2508">
            <w:pPr>
              <w:pStyle w:val="TableText"/>
            </w:pPr>
            <w:r>
              <w:t>*slings yokes and general lifting gear used in building or constructional works or on wharfs or in medium foundries</w:t>
            </w:r>
          </w:p>
          <w:p w:rsidR="00AF2508" w:rsidRDefault="00AF2508">
            <w:pPr>
              <w:pStyle w:val="TableText"/>
            </w:pPr>
            <w:r>
              <w:t>fork-lift trucks</w:t>
            </w:r>
          </w:p>
        </w:tc>
        <w:tc>
          <w:tcPr>
            <w:tcW w:w="1368" w:type="dxa"/>
            <w:tcBorders>
              <w:bottom w:val="single" w:sz="2" w:space="0" w:color="auto"/>
            </w:tcBorders>
          </w:tcPr>
          <w:p w:rsidR="00AF2508" w:rsidRDefault="00AF2508">
            <w:pPr>
              <w:pStyle w:val="TableText"/>
              <w:jc w:val="center"/>
            </w:pPr>
            <w:r>
              <w:t>3</w:t>
            </w:r>
          </w:p>
        </w:tc>
        <w:tc>
          <w:tcPr>
            <w:tcW w:w="1653" w:type="dxa"/>
            <w:tcBorders>
              <w:bottom w:val="single" w:sz="2" w:space="0" w:color="auto"/>
            </w:tcBorders>
          </w:tcPr>
          <w:p w:rsidR="00AF2508" w:rsidRDefault="00AF2508">
            <w:pPr>
              <w:pStyle w:val="TableText"/>
            </w:pPr>
            <w:r>
              <w:t>This classification includes the generality of cranes and hoists in commission not more than 2 500 hours per annum, and not commonly engaged in shift work, or for such arduous duties as are customary in the heavy industries.  Appliances within classification 3 may be regarded as designed for normal duties.</w:t>
            </w:r>
          </w:p>
        </w:tc>
      </w:tr>
      <w:tr w:rsidR="00AF2508">
        <w:trPr>
          <w:cantSplit/>
        </w:trPr>
        <w:tc>
          <w:tcPr>
            <w:tcW w:w="4788" w:type="dxa"/>
            <w:tcBorders>
              <w:top w:val="single" w:sz="2" w:space="0" w:color="auto"/>
              <w:bottom w:val="single" w:sz="2" w:space="0" w:color="auto"/>
            </w:tcBorders>
          </w:tcPr>
          <w:p w:rsidR="00AF2508" w:rsidRDefault="00AF2508">
            <w:pPr>
              <w:pStyle w:val="TableText"/>
            </w:pPr>
            <w:r>
              <w:t>*cranes, hoists, lifts, slings, yokes and general lifting gear used in heavy industries, and generally in commission more than 2 500 hours per annum</w:t>
            </w:r>
          </w:p>
          <w:p w:rsidR="00AF2508" w:rsidRDefault="00AF2508">
            <w:pPr>
              <w:pStyle w:val="TableText"/>
            </w:pPr>
            <w:r>
              <w:t>passenger and goods lifts</w:t>
            </w:r>
          </w:p>
          <w:p w:rsidR="00AF2508" w:rsidRDefault="00AF2508">
            <w:pPr>
              <w:pStyle w:val="TableText"/>
            </w:pPr>
            <w:r>
              <w:t>hoists for raising or lowering workers</w:t>
            </w:r>
          </w:p>
          <w:p w:rsidR="00AF2508" w:rsidRDefault="00AF2508">
            <w:pPr>
              <w:pStyle w:val="TableText"/>
            </w:pPr>
            <w:r>
              <w:t>magnet cranes, or hoists, handling scrap</w:t>
            </w:r>
          </w:p>
          <w:p w:rsidR="00AF2508" w:rsidRDefault="00AF2508">
            <w:pPr>
              <w:pStyle w:val="TableText"/>
            </w:pPr>
            <w:r>
              <w:t>skull breaker cranes (except light duty types)</w:t>
            </w:r>
          </w:p>
          <w:p w:rsidR="00AF2508" w:rsidRDefault="00AF2508">
            <w:pPr>
              <w:pStyle w:val="TableText"/>
            </w:pPr>
            <w:r>
              <w:t>navvys and excavators</w:t>
            </w:r>
          </w:p>
          <w:p w:rsidR="00AF2508" w:rsidRDefault="00AF2508">
            <w:pPr>
              <w:pStyle w:val="TableText"/>
            </w:pPr>
            <w:r>
              <w:t>cranes and hoists used in connection with underwater operations</w:t>
            </w:r>
          </w:p>
        </w:tc>
        <w:tc>
          <w:tcPr>
            <w:tcW w:w="1368" w:type="dxa"/>
            <w:tcBorders>
              <w:top w:val="single" w:sz="2" w:space="0" w:color="auto"/>
              <w:bottom w:val="single" w:sz="2" w:space="0" w:color="auto"/>
            </w:tcBorders>
          </w:tcPr>
          <w:p w:rsidR="00AF2508" w:rsidRDefault="00AF2508">
            <w:pPr>
              <w:pStyle w:val="TableText"/>
              <w:jc w:val="center"/>
            </w:pPr>
            <w:r>
              <w:t>4</w:t>
            </w:r>
          </w:p>
        </w:tc>
        <w:tc>
          <w:tcPr>
            <w:tcW w:w="1653" w:type="dxa"/>
            <w:tcBorders>
              <w:top w:val="single" w:sz="2" w:space="0" w:color="auto"/>
              <w:bottom w:val="single" w:sz="2" w:space="0" w:color="auto"/>
            </w:tcBorders>
          </w:tcPr>
          <w:p w:rsidR="00AF2508" w:rsidRDefault="00AF2508">
            <w:pPr>
              <w:pStyle w:val="TableText"/>
            </w:pPr>
          </w:p>
        </w:tc>
      </w:tr>
    </w:tbl>
    <w:p w:rsidR="00AF2508" w:rsidRDefault="00AF2508">
      <w:pPr>
        <w:pStyle w:val="TableText"/>
        <w:ind w:left="342" w:hanging="342"/>
        <w:rPr>
          <w:sz w:val="20"/>
        </w:rPr>
      </w:pPr>
      <w:r>
        <w:rPr>
          <w:sz w:val="20"/>
        </w:rPr>
        <w:t>*</w:t>
      </w:r>
      <w:r>
        <w:rPr>
          <w:sz w:val="20"/>
        </w:rPr>
        <w:tab/>
        <w:t>Refer also to s 143 in relation to chains, s 144 in relation to steel wire ropes, and s 147 to s 153 and s 155 in relation to terminal fittings.</w:t>
      </w:r>
    </w:p>
    <w:p w:rsidR="00AF2508" w:rsidRDefault="00AF2508">
      <w:pPr>
        <w:pStyle w:val="Amain"/>
      </w:pPr>
      <w:r>
        <w:tab/>
        <w:t>(22)</w:t>
      </w:r>
      <w:r>
        <w:tab/>
        <w:t>Table 122.3 is for reference in classifying crane and hoist mechanisms in the respective groups prescribed in section 122 (8).</w:t>
      </w:r>
    </w:p>
    <w:p w:rsidR="00AF2508" w:rsidRDefault="00AF2508">
      <w:pPr>
        <w:pStyle w:val="Amain"/>
      </w:pPr>
      <w:r>
        <w:tab/>
        <w:t>(23)</w:t>
      </w:r>
      <w:r>
        <w:tab/>
        <w:t>If not listed in table 122.3, the mechanism should have the same classification as the crane frame structure.</w:t>
      </w:r>
    </w:p>
    <w:p w:rsidR="00AF2508" w:rsidRDefault="00AF2508">
      <w:pPr>
        <w:pStyle w:val="TableHd"/>
      </w:pPr>
      <w:r>
        <w:t>Table 122.3</w:t>
      </w:r>
    </w:p>
    <w:tbl>
      <w:tblPr>
        <w:tblW w:w="0" w:type="auto"/>
        <w:tblInd w:w="80" w:type="dxa"/>
        <w:tblLayout w:type="fixed"/>
        <w:tblCellMar>
          <w:left w:w="80" w:type="dxa"/>
          <w:right w:w="80" w:type="dxa"/>
        </w:tblCellMar>
        <w:tblLook w:val="0000" w:firstRow="0" w:lastRow="0" w:firstColumn="0" w:lastColumn="0" w:noHBand="0" w:noVBand="0"/>
      </w:tblPr>
      <w:tblGrid>
        <w:gridCol w:w="4389"/>
        <w:gridCol w:w="1368"/>
        <w:gridCol w:w="1701"/>
      </w:tblGrid>
      <w:tr w:rsidR="00AF2508">
        <w:trPr>
          <w:cantSplit/>
          <w:tblHeader/>
        </w:trPr>
        <w:tc>
          <w:tcPr>
            <w:tcW w:w="4389" w:type="dxa"/>
            <w:tcBorders>
              <w:bottom w:val="single" w:sz="2" w:space="0" w:color="auto"/>
            </w:tcBorders>
          </w:tcPr>
          <w:p w:rsidR="00AF2508" w:rsidRDefault="00AF2508">
            <w:pPr>
              <w:pStyle w:val="TableColHd"/>
            </w:pPr>
            <w:r>
              <w:t>type of crane</w:t>
            </w:r>
          </w:p>
        </w:tc>
        <w:tc>
          <w:tcPr>
            <w:tcW w:w="1368" w:type="dxa"/>
            <w:tcBorders>
              <w:bottom w:val="single" w:sz="2" w:space="0" w:color="auto"/>
            </w:tcBorders>
          </w:tcPr>
          <w:p w:rsidR="00AF2508" w:rsidRDefault="00AF2508">
            <w:pPr>
              <w:pStyle w:val="TableColHd"/>
            </w:pPr>
            <w:r>
              <w:t>classification</w:t>
            </w:r>
          </w:p>
        </w:tc>
        <w:tc>
          <w:tcPr>
            <w:tcW w:w="1701" w:type="dxa"/>
            <w:tcBorders>
              <w:bottom w:val="single" w:sz="2" w:space="0" w:color="auto"/>
            </w:tcBorders>
          </w:tcPr>
          <w:p w:rsidR="00AF2508" w:rsidRDefault="00AF2508">
            <w:pPr>
              <w:pStyle w:val="TableColHd"/>
            </w:pPr>
            <w:r>
              <w:t>explanatory note</w:t>
            </w:r>
          </w:p>
        </w:tc>
      </w:tr>
      <w:tr w:rsidR="00AF2508">
        <w:trPr>
          <w:cantSplit/>
        </w:trPr>
        <w:tc>
          <w:tcPr>
            <w:tcW w:w="4389" w:type="dxa"/>
            <w:tcBorders>
              <w:top w:val="single" w:sz="2" w:space="0" w:color="auto"/>
            </w:tcBorders>
          </w:tcPr>
          <w:p w:rsidR="00AF2508" w:rsidRDefault="00AF2508">
            <w:pPr>
              <w:pStyle w:val="TableText"/>
              <w:keepNext/>
            </w:pPr>
          </w:p>
        </w:tc>
        <w:tc>
          <w:tcPr>
            <w:tcW w:w="1368" w:type="dxa"/>
            <w:tcBorders>
              <w:top w:val="single" w:sz="2" w:space="0" w:color="auto"/>
            </w:tcBorders>
          </w:tcPr>
          <w:p w:rsidR="00AF2508" w:rsidRDefault="00AF2508">
            <w:pPr>
              <w:pStyle w:val="TableText"/>
              <w:keepNext/>
              <w:jc w:val="center"/>
            </w:pPr>
            <w:r>
              <w:t>1</w:t>
            </w:r>
          </w:p>
        </w:tc>
        <w:tc>
          <w:tcPr>
            <w:tcW w:w="1701" w:type="dxa"/>
            <w:tcBorders>
              <w:top w:val="single" w:sz="2" w:space="0" w:color="auto"/>
            </w:tcBorders>
          </w:tcPr>
          <w:p w:rsidR="00AF2508" w:rsidRDefault="00AF2508">
            <w:pPr>
              <w:pStyle w:val="TableText"/>
              <w:keepNext/>
            </w:pPr>
          </w:p>
        </w:tc>
      </w:tr>
      <w:tr w:rsidR="00AF2508">
        <w:trPr>
          <w:cantSplit/>
        </w:trPr>
        <w:tc>
          <w:tcPr>
            <w:tcW w:w="4389" w:type="dxa"/>
            <w:tcBorders>
              <w:top w:val="single" w:sz="2" w:space="0" w:color="auto"/>
            </w:tcBorders>
          </w:tcPr>
          <w:p w:rsidR="00AF2508" w:rsidRDefault="00AF2508">
            <w:pPr>
              <w:pStyle w:val="TableText"/>
            </w:pPr>
            <w:r>
              <w:t>electric or pneumatic hoisting blocks</w:t>
            </w:r>
          </w:p>
          <w:p w:rsidR="00AF2508" w:rsidRDefault="00AF2508">
            <w:pPr>
              <w:pStyle w:val="TableText"/>
            </w:pPr>
            <w:r>
              <w:t>hand-operated chain blocks used on monorail runways, etc, but not on blacksmiths, boilershop or welders cranes or hoists, or any analogous to it</w:t>
            </w:r>
          </w:p>
        </w:tc>
        <w:tc>
          <w:tcPr>
            <w:tcW w:w="1368" w:type="dxa"/>
            <w:tcBorders>
              <w:top w:val="single" w:sz="2" w:space="0" w:color="auto"/>
            </w:tcBorders>
          </w:tcPr>
          <w:p w:rsidR="00AF2508" w:rsidRDefault="00AF2508">
            <w:pPr>
              <w:pStyle w:val="TableText"/>
              <w:jc w:val="center"/>
            </w:pPr>
            <w:r>
              <w:t>2</w:t>
            </w:r>
          </w:p>
        </w:tc>
        <w:tc>
          <w:tcPr>
            <w:tcW w:w="1701" w:type="dxa"/>
            <w:tcBorders>
              <w:top w:val="single" w:sz="2" w:space="0" w:color="auto"/>
            </w:tcBorders>
          </w:tcPr>
          <w:p w:rsidR="00AF2508" w:rsidRDefault="00AF2508">
            <w:pPr>
              <w:pStyle w:val="TableText"/>
            </w:pPr>
          </w:p>
        </w:tc>
      </w:tr>
      <w:tr w:rsidR="00AF2508">
        <w:tc>
          <w:tcPr>
            <w:tcW w:w="4389" w:type="dxa"/>
            <w:tcBorders>
              <w:top w:val="single" w:sz="2" w:space="0" w:color="auto"/>
            </w:tcBorders>
          </w:tcPr>
          <w:p w:rsidR="00AF2508" w:rsidRDefault="00AF2508">
            <w:pPr>
              <w:pStyle w:val="TableText"/>
            </w:pPr>
            <w:r>
              <w:t>hand-operated chain blocks used for general purposes or with blacksmiths or boilershop or welders cranes or hoists or any analogous to it</w:t>
            </w:r>
          </w:p>
          <w:p w:rsidR="00AF2508" w:rsidRDefault="00AF2508">
            <w:pPr>
              <w:pStyle w:val="TableText"/>
            </w:pPr>
            <w:r>
              <w:t>crab mechanisms of coal and ore bridges</w:t>
            </w:r>
          </w:p>
          <w:p w:rsidR="00AF2508" w:rsidRDefault="00AF2508">
            <w:pPr>
              <w:pStyle w:val="TableText"/>
            </w:pPr>
            <w:r>
              <w:t>mechanisms of derrick cranes</w:t>
            </w:r>
          </w:p>
          <w:p w:rsidR="00AF2508" w:rsidRDefault="00AF2508">
            <w:pPr>
              <w:pStyle w:val="TableText"/>
            </w:pPr>
            <w:r>
              <w:t>mechanisms of vehicular cranes</w:t>
            </w:r>
          </w:p>
          <w:p w:rsidR="00AF2508" w:rsidRDefault="00AF2508">
            <w:pPr>
              <w:pStyle w:val="TableText"/>
            </w:pPr>
            <w:r>
              <w:t>mechanisms of caterpillar cranes</w:t>
            </w:r>
          </w:p>
          <w:p w:rsidR="00AF2508" w:rsidRDefault="00AF2508">
            <w:pPr>
              <w:pStyle w:val="TableText"/>
            </w:pPr>
            <w:r>
              <w:t>mechanisms of shipbuilding cranes</w:t>
            </w:r>
          </w:p>
          <w:p w:rsidR="00AF2508" w:rsidRDefault="00AF2508">
            <w:pPr>
              <w:pStyle w:val="TableText"/>
            </w:pPr>
            <w:r>
              <w:t>mechanisms of hoists used in building and constructional works, including pile-drivers, etc</w:t>
            </w:r>
          </w:p>
          <w:p w:rsidR="00AF2508" w:rsidRDefault="00AF2508">
            <w:pPr>
              <w:pStyle w:val="TableText"/>
            </w:pPr>
            <w:r>
              <w:t>hand or power winches used in connection with scaffolding</w:t>
            </w:r>
          </w:p>
        </w:tc>
        <w:tc>
          <w:tcPr>
            <w:tcW w:w="1368" w:type="dxa"/>
            <w:tcBorders>
              <w:top w:val="single" w:sz="2" w:space="0" w:color="auto"/>
            </w:tcBorders>
          </w:tcPr>
          <w:p w:rsidR="00AF2508" w:rsidRDefault="00AF2508">
            <w:pPr>
              <w:pStyle w:val="TableText"/>
              <w:jc w:val="center"/>
            </w:pPr>
            <w:r>
              <w:t>3</w:t>
            </w:r>
          </w:p>
        </w:tc>
        <w:tc>
          <w:tcPr>
            <w:tcW w:w="1701" w:type="dxa"/>
            <w:tcBorders>
              <w:top w:val="single" w:sz="2" w:space="0" w:color="auto"/>
            </w:tcBorders>
          </w:tcPr>
          <w:p w:rsidR="00AF2508" w:rsidRDefault="00AF2508">
            <w:pPr>
              <w:pStyle w:val="TableText"/>
            </w:pPr>
          </w:p>
        </w:tc>
      </w:tr>
      <w:tr w:rsidR="00AF2508">
        <w:trPr>
          <w:cantSplit/>
        </w:trPr>
        <w:tc>
          <w:tcPr>
            <w:tcW w:w="4389" w:type="dxa"/>
            <w:tcBorders>
              <w:top w:val="single" w:sz="2" w:space="0" w:color="auto"/>
              <w:bottom w:val="single" w:sz="6" w:space="0" w:color="auto"/>
            </w:tcBorders>
          </w:tcPr>
          <w:p w:rsidR="00AF2508" w:rsidRDefault="00AF2508">
            <w:pPr>
              <w:pStyle w:val="TableText"/>
            </w:pPr>
            <w:r>
              <w:t>crab or other relevant mechanisms of grab, skull breaker, or magnet cranes</w:t>
            </w:r>
          </w:p>
          <w:p w:rsidR="00AF2508" w:rsidRDefault="00AF2508">
            <w:pPr>
              <w:pStyle w:val="TableText"/>
            </w:pPr>
            <w:r>
              <w:t>mechanisms of coal, ore concentrates, or cargo-handling cranes or hoists</w:t>
            </w:r>
          </w:p>
        </w:tc>
        <w:tc>
          <w:tcPr>
            <w:tcW w:w="1368" w:type="dxa"/>
            <w:tcBorders>
              <w:top w:val="single" w:sz="2" w:space="0" w:color="auto"/>
              <w:bottom w:val="single" w:sz="6" w:space="0" w:color="auto"/>
            </w:tcBorders>
          </w:tcPr>
          <w:p w:rsidR="00AF2508" w:rsidRDefault="00AF2508">
            <w:pPr>
              <w:pStyle w:val="TableText"/>
              <w:jc w:val="center"/>
            </w:pPr>
            <w:r>
              <w:t>4</w:t>
            </w:r>
          </w:p>
        </w:tc>
        <w:tc>
          <w:tcPr>
            <w:tcW w:w="1701" w:type="dxa"/>
            <w:tcBorders>
              <w:top w:val="single" w:sz="2" w:space="0" w:color="auto"/>
              <w:bottom w:val="single" w:sz="6" w:space="0" w:color="auto"/>
            </w:tcBorders>
          </w:tcPr>
          <w:p w:rsidR="00AF2508" w:rsidRDefault="00AF2508">
            <w:pPr>
              <w:pStyle w:val="TableText"/>
            </w:pPr>
          </w:p>
        </w:tc>
      </w:tr>
    </w:tbl>
    <w:p w:rsidR="00AF2508" w:rsidRDefault="00AF2508"/>
    <w:p w:rsidR="00AF2508" w:rsidRDefault="00AF2508">
      <w:pPr>
        <w:pStyle w:val="Amain"/>
      </w:pPr>
      <w:r>
        <w:tab/>
        <w:t>(24)</w:t>
      </w:r>
      <w:r>
        <w:tab/>
        <w:t>Every crane and every hoist shall have constantly maintained on it a permanent notice, prominently and legibly exhibiting all of the safe working loads of the crane or hoist, together with the information about the conditions, incidence and way in which the loads may be lifted or handled as is necessary or desirable for the safe use or manipulation of the crane or hoist.</w:t>
      </w:r>
    </w:p>
    <w:p w:rsidR="00AF2508" w:rsidRDefault="00AF2508">
      <w:pPr>
        <w:pStyle w:val="Amain"/>
      </w:pPr>
      <w:r>
        <w:tab/>
        <w:t>(25)</w:t>
      </w:r>
      <w:r>
        <w:tab/>
        <w:t>The loads, conditions, incidences and ways shall be those determined by and in conformity with this regulation as limiting values of the loads, conditions, incidences and ways of loadings.</w:t>
      </w:r>
    </w:p>
    <w:p w:rsidR="00AF2508" w:rsidRDefault="00AF2508">
      <w:pPr>
        <w:pStyle w:val="Amain"/>
      </w:pPr>
      <w:r>
        <w:tab/>
        <w:t>(26)</w:t>
      </w:r>
      <w:r>
        <w:tab/>
        <w:t>No other load or conditions of loading shall be marked or exhibited on the crane or hoist, unless first approved by the chief inspector.</w:t>
      </w:r>
    </w:p>
    <w:p w:rsidR="00AF2508" w:rsidRDefault="00AF2508">
      <w:pPr>
        <w:pStyle w:val="Amain"/>
      </w:pPr>
      <w:r>
        <w:tab/>
        <w:t>(27)</w:t>
      </w:r>
      <w:r>
        <w:tab/>
        <w:t>No person shall subject, or instruct, allow, or permit any person to subject any crane, lift, hoist, scaffolding, plant or gear to a greater load, or more adverse incidence or way or condition of loading than that determined by and in conformity with this regulation as a limiting load, incidence or way or condition of loading.</w:t>
      </w:r>
    </w:p>
    <w:p w:rsidR="00AF2508" w:rsidRDefault="00AF2508">
      <w:pPr>
        <w:pStyle w:val="Amain"/>
      </w:pPr>
      <w:r>
        <w:tab/>
        <w:t>(28)</w:t>
      </w:r>
      <w:r>
        <w:tab/>
        <w:t>However, subsection (27) does not prevent the crane, lift, hoist, scaffolding, plant or gear being tested in the presence of an inspector, in the way that the chief inspector may direct.</w:t>
      </w:r>
    </w:p>
    <w:p w:rsidR="00AF2508" w:rsidRDefault="00AF2508">
      <w:pPr>
        <w:pStyle w:val="Amain"/>
        <w:keepLines/>
      </w:pPr>
      <w:r>
        <w:tab/>
        <w:t>(29)</w:t>
      </w:r>
      <w:r>
        <w:tab/>
        <w:t>No person shall procure, incite, advocate, enjoin or counsel the subjection of a crane or lift or hoist or scaffolding to a greater load or more adverse incidence or condition or way of loading than that mentioned in this section or than has been directed by an inspector.</w:t>
      </w:r>
    </w:p>
    <w:p w:rsidR="00AF2508" w:rsidRDefault="00AF2508">
      <w:pPr>
        <w:pStyle w:val="Amain"/>
      </w:pPr>
      <w:r>
        <w:tab/>
        <w:t>(30)</w:t>
      </w:r>
      <w:r>
        <w:tab/>
        <w:t>No person shall represent a crane or lift or hoist or scaffolding to be capable of lifting or handling a greater load or of sustaining a more adverse incidence or condition or way of loading than that mentioned in this section or than has been directed by an inspector.</w:t>
      </w:r>
    </w:p>
    <w:p w:rsidR="00AF2508" w:rsidRDefault="00AF2508">
      <w:pPr>
        <w:pStyle w:val="Amain"/>
      </w:pPr>
      <w:r>
        <w:tab/>
        <w:t>(31)</w:t>
      </w:r>
      <w:r>
        <w:tab/>
        <w:t>The presence of any load in a position into which it has apparently been placed by a crane, lift or hoist shall constitute prima facie evidence that it has been lifted or handled and so placed by the crane, lift or hoist and that the crane, lift or hoist has been subjected to the load, and to whatever incidence and condition and way of loading is indicated by the position and nature of the load.</w:t>
      </w:r>
    </w:p>
    <w:p w:rsidR="00AF2508" w:rsidRDefault="00AF2508">
      <w:pPr>
        <w:pStyle w:val="Amain"/>
      </w:pPr>
      <w:r>
        <w:tab/>
        <w:t>(32)</w:t>
      </w:r>
      <w:r>
        <w:tab/>
        <w:t>If a crane, lift, hoist or scaffolding has been overloaded by lifting or handling or attempting to lift or handle a load exceeding by more than 100% that determined by and in conformity with this regulation as a limiting load, incidence, way or condition of loading, the chief inspector may require the owner or the person in charge or apparently in charge of the crane, lift, hoist or scaffolding to immediately dismantle it in whole or in part and to clean it together with its mechanisms and gearings and to lay out the parts, members, mechanisms and gearings in a place and way convenient to the chief inspector in order that investigations may be made to ascertain if material damage has ensued.</w:t>
      </w:r>
    </w:p>
    <w:p w:rsidR="00AF2508" w:rsidRDefault="00AF2508">
      <w:pPr>
        <w:pStyle w:val="Amain"/>
      </w:pPr>
      <w:r>
        <w:tab/>
        <w:t>(33)</w:t>
      </w:r>
      <w:r>
        <w:tab/>
        <w:t>If the chief inspector considers necessary, to assure the safety of the crane, lift, hoist or scaffolding, the chief inspector may require the owner, or the person in charge or apparently in charge of it to give the metallurgical or radiographic evidence that the chief inspector may direct.</w:t>
      </w:r>
    </w:p>
    <w:p w:rsidR="00AF2508" w:rsidRDefault="00AF2508">
      <w:pPr>
        <w:pStyle w:val="Amain"/>
      </w:pPr>
      <w:r>
        <w:tab/>
        <w:t>(34)</w:t>
      </w:r>
      <w:r>
        <w:tab/>
        <w:t>No person shall effect or procure or cause to be effected, modifications, alterations, or repairs to or in connection with a crane, lift, hoist, scaffolding, plant or gear in such way or of such nature as to be conducive to conditions of hazard, uncertainty or danger.</w:t>
      </w:r>
    </w:p>
    <w:p w:rsidR="00AF2508" w:rsidRDefault="00AF2508">
      <w:pPr>
        <w:pStyle w:val="Amain"/>
      </w:pPr>
      <w:r>
        <w:tab/>
        <w:t>(35)</w:t>
      </w:r>
      <w:r>
        <w:tab/>
        <w:t>No person shall effect or procure or cause to be effected modifications, renewals, alterations, changes or repairs of the following nature to or in connection with any crane, lift, hoist, scaffolding, plant or gear without first having obtained the approval of the chief inspector:</w:t>
      </w:r>
    </w:p>
    <w:p w:rsidR="00AF2508" w:rsidRDefault="00AF2508">
      <w:pPr>
        <w:pStyle w:val="Apara"/>
      </w:pPr>
      <w:r>
        <w:tab/>
        <w:t>(a)</w:t>
      </w:r>
      <w:r>
        <w:tab/>
        <w:t>peg, dovetail or weld a tooth or teeth to any gear wheel, ratchet or other toothed wheel or clutch;</w:t>
      </w:r>
    </w:p>
    <w:p w:rsidR="00AF2508" w:rsidRDefault="00AF2508">
      <w:pPr>
        <w:pStyle w:val="Apara"/>
      </w:pPr>
      <w:r>
        <w:tab/>
        <w:t>(b)</w:t>
      </w:r>
      <w:r>
        <w:tab/>
        <w:t>repair any such wheel or clutch by welding or by mechanical means;</w:t>
      </w:r>
    </w:p>
    <w:p w:rsidR="00AF2508" w:rsidRDefault="00AF2508">
      <w:pPr>
        <w:pStyle w:val="Apara"/>
      </w:pPr>
      <w:r>
        <w:tab/>
        <w:t>(c)</w:t>
      </w:r>
      <w:r>
        <w:tab/>
        <w:t>repair or rebuild shafts, spindles, pins or axles by welding;</w:t>
      </w:r>
    </w:p>
    <w:p w:rsidR="00AF2508" w:rsidRDefault="00AF2508">
      <w:pPr>
        <w:pStyle w:val="Apara"/>
      </w:pPr>
      <w:r>
        <w:tab/>
        <w:t>(d)</w:t>
      </w:r>
      <w:r>
        <w:tab/>
        <w:t>weld together, members, components, parts or attachments metallurgically different from one another;</w:t>
      </w:r>
    </w:p>
    <w:p w:rsidR="00AF2508" w:rsidRDefault="00AF2508">
      <w:pPr>
        <w:pStyle w:val="Apara"/>
      </w:pPr>
      <w:r>
        <w:tab/>
        <w:t>(e)</w:t>
      </w:r>
      <w:r>
        <w:tab/>
        <w:t>repair iron castings by welding or brazing;</w:t>
      </w:r>
    </w:p>
    <w:p w:rsidR="00AF2508" w:rsidRDefault="00AF2508">
      <w:pPr>
        <w:pStyle w:val="Apara"/>
      </w:pPr>
      <w:r>
        <w:tab/>
        <w:t>(f)</w:t>
      </w:r>
      <w:r>
        <w:tab/>
        <w:t>subject to heat treatment any member, component, part or attachment without first establishing and recording the chemical and physical properties of it;</w:t>
      </w:r>
    </w:p>
    <w:p w:rsidR="00AF2508" w:rsidRDefault="00AF2508">
      <w:pPr>
        <w:pStyle w:val="Apara"/>
      </w:pPr>
      <w:r>
        <w:tab/>
        <w:t>(g)</w:t>
      </w:r>
      <w:r>
        <w:tab/>
        <w:t>subject any member, component, part or attachment to any process of heat treatment that might reasonably be expected to affect it in a deleterious, uncertain or hazardous way;</w:t>
      </w:r>
    </w:p>
    <w:p w:rsidR="00AF2508" w:rsidRDefault="00AF2508">
      <w:pPr>
        <w:pStyle w:val="Apara"/>
      </w:pPr>
      <w:r>
        <w:tab/>
        <w:t>(h)</w:t>
      </w:r>
      <w:r>
        <w:tab/>
        <w:t>reforge any forged or rolled or drawn metal member, component, part or attachment that has become noticeably bent, distorted or cracked;</w:t>
      </w:r>
    </w:p>
    <w:p w:rsidR="00AF2508" w:rsidRDefault="00AF2508">
      <w:pPr>
        <w:pStyle w:val="Apara"/>
      </w:pPr>
      <w:r>
        <w:tab/>
        <w:t>(i)</w:t>
      </w:r>
      <w:r>
        <w:tab/>
        <w:t>renew, replace or substantially alter or interchange or exchange for another, any main structural member of a crane;</w:t>
      </w:r>
    </w:p>
    <w:p w:rsidR="00AF2508" w:rsidRDefault="00AF2508">
      <w:pPr>
        <w:pStyle w:val="Apara"/>
      </w:pPr>
      <w:r>
        <w:tab/>
        <w:t>(j)</w:t>
      </w:r>
      <w:r>
        <w:tab/>
        <w:t>renew, replace or substantially alter or interchange or exchange for another the machinery, mechanism or gearing of any crane.</w:t>
      </w:r>
    </w:p>
    <w:p w:rsidR="00AF2508" w:rsidRDefault="00AF2508">
      <w:pPr>
        <w:pStyle w:val="Amain"/>
      </w:pPr>
      <w:r>
        <w:tab/>
        <w:t>(36)</w:t>
      </w:r>
      <w:r>
        <w:tab/>
        <w:t>However, subsection (35) shall not apply if complete failure of the member, component, or part concerned would not be dangerous or conducive to danger to life or limb.</w:t>
      </w:r>
    </w:p>
    <w:p w:rsidR="00AF2508" w:rsidRDefault="00AF2508">
      <w:pPr>
        <w:pStyle w:val="Amain"/>
      </w:pPr>
      <w:r>
        <w:tab/>
        <w:t>(37)</w:t>
      </w:r>
      <w:r>
        <w:tab/>
        <w:t>Every crane and every hoist shall have constantly maintained on it a permanent brand, plainly and legibly exhibiting the classification of the crane or hoist, determined as prescribed by this regulation, and the brand shall be stamped, engraved, or welded on the crane or hoist at its main driving station.</w:t>
      </w:r>
    </w:p>
    <w:p w:rsidR="00AF2508" w:rsidRDefault="00AF2508">
      <w:pPr>
        <w:pStyle w:val="Amain"/>
      </w:pPr>
      <w:r>
        <w:tab/>
        <w:t>(38)</w:t>
      </w:r>
      <w:r>
        <w:tab/>
        <w:t>No person shall falsely brand any crane or hoist as mentioned in subsection (37), or alter or remove any brand except with the approval of the chief inspector.</w:t>
      </w:r>
    </w:p>
    <w:p w:rsidR="00AF2508" w:rsidRDefault="00AF2508">
      <w:pPr>
        <w:pStyle w:val="AH4SubDiv"/>
      </w:pPr>
      <w:bookmarkStart w:id="219" w:name="_Toc161636880"/>
      <w:r>
        <w:t>Wind loads</w:t>
      </w:r>
      <w:bookmarkEnd w:id="219"/>
    </w:p>
    <w:p w:rsidR="00AF2508" w:rsidRDefault="00AF2508">
      <w:pPr>
        <w:pStyle w:val="AH5Sec"/>
      </w:pPr>
      <w:bookmarkStart w:id="220" w:name="_Toc161636881"/>
      <w:r>
        <w:rPr>
          <w:rStyle w:val="CharSectNo"/>
        </w:rPr>
        <w:t>123</w:t>
      </w:r>
      <w:bookmarkEnd w:id="220"/>
      <w:r>
        <w:tab/>
        <w:t xml:space="preserve">  </w:t>
      </w:r>
    </w:p>
    <w:p w:rsidR="00AF2508" w:rsidRDefault="00AF2508">
      <w:pPr>
        <w:pStyle w:val="Amain"/>
      </w:pPr>
      <w:r>
        <w:tab/>
        <w:t>(1)</w:t>
      </w:r>
      <w:r>
        <w:tab/>
        <w:t>If cranes or lifts or scaffolding are exposed either in whole or in part to wind loadings they shall have additional strength, stability, and fixity with which to resist the loadings.</w:t>
      </w:r>
    </w:p>
    <w:p w:rsidR="00AF2508" w:rsidRDefault="00AF2508">
      <w:pPr>
        <w:pStyle w:val="Amain"/>
      </w:pPr>
      <w:r>
        <w:tab/>
        <w:t>(2)</w:t>
      </w:r>
      <w:r>
        <w:tab/>
        <w:t>Wind loadings shall be deemed to act normally to resistant surfaces, and to consist of a positive pressure on the windward and a negative pressure on the leeward side of the resistant structure or member.</w:t>
      </w:r>
    </w:p>
    <w:p w:rsidR="00AF2508" w:rsidRDefault="00AF2508">
      <w:pPr>
        <w:pStyle w:val="Amain"/>
      </w:pPr>
      <w:r>
        <w:tab/>
        <w:t>(3)</w:t>
      </w:r>
      <w:r>
        <w:tab/>
        <w:t>The wind load acting on any resistant body shall be determined from the formula—</w:t>
      </w:r>
    </w:p>
    <w:p w:rsidR="00AF2508" w:rsidRDefault="00AF2508">
      <w:pPr>
        <w:pStyle w:val="Formula"/>
      </w:pPr>
      <w:r>
        <w:t xml:space="preserve">P = </w:t>
      </w:r>
      <w:r>
        <w:rPr>
          <w:rStyle w:val="charItals"/>
        </w:rPr>
        <w:t>cp</w:t>
      </w:r>
      <w:r>
        <w:rPr>
          <w:rStyle w:val="charItals"/>
          <w:i w:val="0"/>
        </w:rPr>
        <w:t xml:space="preserve">  .</w:t>
      </w:r>
    </w:p>
    <w:p w:rsidR="00AF2508" w:rsidRDefault="00AF2508">
      <w:pPr>
        <w:pStyle w:val="Amain"/>
      </w:pPr>
      <w:r>
        <w:tab/>
        <w:t>(4)</w:t>
      </w:r>
      <w:r>
        <w:tab/>
        <w:t>In subsection (3):</w:t>
      </w:r>
    </w:p>
    <w:p w:rsidR="00AF2508" w:rsidRDefault="00AF2508">
      <w:pPr>
        <w:pStyle w:val="aDef"/>
      </w:pPr>
      <w:r>
        <w:rPr>
          <w:rStyle w:val="charBoldItals"/>
        </w:rPr>
        <w:t>P</w:t>
      </w:r>
      <w:r>
        <w:t xml:space="preserve"> means the force exerted in pounds per square foot of area of the body as projected on a vertical plane normal to the direction of the wind.</w:t>
      </w:r>
    </w:p>
    <w:p w:rsidR="00AF2508" w:rsidRDefault="00AF2508">
      <w:pPr>
        <w:pStyle w:val="aDef"/>
      </w:pPr>
      <w:r>
        <w:rPr>
          <w:rStyle w:val="charBoldItals"/>
        </w:rPr>
        <w:t>c</w:t>
      </w:r>
      <w:r>
        <w:t xml:space="preserve"> means a coefficient selected table 123.1, and appropriate to the form and nature of the resistant body.</w:t>
      </w:r>
    </w:p>
    <w:p w:rsidR="00AF2508" w:rsidRDefault="00AF2508">
      <w:pPr>
        <w:pStyle w:val="Amain"/>
      </w:pPr>
      <w:r>
        <w:tab/>
        <w:t>(5)</w:t>
      </w:r>
      <w:r>
        <w:tab/>
        <w:t xml:space="preserve">The value of </w:t>
      </w:r>
      <w:r>
        <w:rPr>
          <w:rStyle w:val="charBoldItals"/>
        </w:rPr>
        <w:t>p</w:t>
      </w:r>
      <w:r>
        <w:t xml:space="preserve"> shall be 16 for bodies between ground level and a height of 60 feet above ground level, 22 for bodies between 60 and 300 feet above ground level, and 25 for bodies at greater heights; provided that water level shall, for floating cranes, floating hoist, or floating scaffolding, be deemed to be ground level.</w:t>
      </w:r>
    </w:p>
    <w:p w:rsidR="00AF2508" w:rsidRDefault="00AF2508">
      <w:pPr>
        <w:pStyle w:val="Amain"/>
      </w:pPr>
      <w:r>
        <w:tab/>
        <w:t>(6)</w:t>
      </w:r>
      <w:r>
        <w:tab/>
        <w:t xml:space="preserve">If a resistant body is partially sheltered from wind by effective permanent protection, the chief inspector may determine and fix any lesser value for </w:t>
      </w:r>
      <w:r>
        <w:rPr>
          <w:rStyle w:val="charBoldItals"/>
        </w:rPr>
        <w:t>p</w:t>
      </w:r>
      <w:r>
        <w:t xml:space="preserve"> that the chief inspector considers appropriate.</w:t>
      </w:r>
    </w:p>
    <w:p w:rsidR="00AF2508" w:rsidRDefault="00AF2508">
      <w:pPr>
        <w:pStyle w:val="Amain"/>
      </w:pPr>
      <w:r>
        <w:tab/>
        <w:t>(7)</w:t>
      </w:r>
      <w:r>
        <w:tab/>
        <w:t xml:space="preserve">The value of </w:t>
      </w:r>
      <w:r>
        <w:rPr>
          <w:rStyle w:val="charBoldItals"/>
        </w:rPr>
        <w:t>p</w:t>
      </w:r>
      <w:r>
        <w:t xml:space="preserve"> shall be taken at not less than 5 during that period in which an exposed crane or hoist or scaffolding is lifting or handling its safe working load, provided that if a crane or hoist is sheltered by its own supporting structure </w:t>
      </w:r>
      <w:r>
        <w:rPr>
          <w:rStyle w:val="charBoldItals"/>
        </w:rPr>
        <w:t>p</w:t>
      </w:r>
      <w:r>
        <w:t xml:space="preserve"> shall, in relation to the supporting structure, take the value assigned in this section.</w:t>
      </w:r>
    </w:p>
    <w:p w:rsidR="00AF2508" w:rsidRDefault="00AF2508">
      <w:pPr>
        <w:pStyle w:val="TableHd"/>
        <w:ind w:left="1539" w:hanging="1539"/>
      </w:pPr>
      <w:r>
        <w:t>Table 123.1</w:t>
      </w:r>
      <w:r>
        <w:tab/>
        <w:t>Coefficient of resistance to wind as dependent on shape or form of resistant body or surface</w:t>
      </w:r>
    </w:p>
    <w:tbl>
      <w:tblPr>
        <w:tblW w:w="7761" w:type="dxa"/>
        <w:tblInd w:w="80" w:type="dxa"/>
        <w:tblLayout w:type="fixed"/>
        <w:tblCellMar>
          <w:left w:w="80" w:type="dxa"/>
          <w:right w:w="80" w:type="dxa"/>
        </w:tblCellMar>
        <w:tblLook w:val="0000" w:firstRow="0" w:lastRow="0" w:firstColumn="0" w:lastColumn="0" w:noHBand="0" w:noVBand="0"/>
      </w:tblPr>
      <w:tblGrid>
        <w:gridCol w:w="4161"/>
        <w:gridCol w:w="1520"/>
        <w:gridCol w:w="1360"/>
        <w:gridCol w:w="700"/>
        <w:gridCol w:w="20"/>
      </w:tblGrid>
      <w:tr w:rsidR="00AF2508">
        <w:trPr>
          <w:gridAfter w:val="1"/>
          <w:wAfter w:w="20" w:type="dxa"/>
          <w:cantSplit/>
          <w:tblHeader/>
        </w:trPr>
        <w:tc>
          <w:tcPr>
            <w:tcW w:w="4161" w:type="dxa"/>
          </w:tcPr>
          <w:p w:rsidR="00AF2508" w:rsidRDefault="00AF2508">
            <w:pPr>
              <w:pStyle w:val="TableColHd"/>
            </w:pPr>
          </w:p>
        </w:tc>
        <w:tc>
          <w:tcPr>
            <w:tcW w:w="3580" w:type="dxa"/>
            <w:gridSpan w:val="3"/>
          </w:tcPr>
          <w:p w:rsidR="00AF2508" w:rsidRDefault="00AF2508">
            <w:pPr>
              <w:pStyle w:val="TableColHd"/>
              <w:jc w:val="center"/>
            </w:pPr>
            <w:r>
              <w:t>coefficient of resistance, ‘c’ for—</w:t>
            </w:r>
          </w:p>
        </w:tc>
      </w:tr>
      <w:tr w:rsidR="00AF2508">
        <w:trPr>
          <w:cantSplit/>
          <w:tblHeader/>
        </w:trPr>
        <w:tc>
          <w:tcPr>
            <w:tcW w:w="4161" w:type="dxa"/>
            <w:tcBorders>
              <w:bottom w:val="single" w:sz="2" w:space="0" w:color="auto"/>
            </w:tcBorders>
          </w:tcPr>
          <w:p w:rsidR="00AF2508" w:rsidRDefault="00AF2508">
            <w:pPr>
              <w:pStyle w:val="TableColHd"/>
            </w:pPr>
            <w:r>
              <w:t>type of body or surface</w:t>
            </w:r>
          </w:p>
        </w:tc>
        <w:tc>
          <w:tcPr>
            <w:tcW w:w="1520" w:type="dxa"/>
            <w:tcBorders>
              <w:bottom w:val="single" w:sz="2" w:space="0" w:color="auto"/>
            </w:tcBorders>
          </w:tcPr>
          <w:p w:rsidR="00AF2508" w:rsidRDefault="00AF2508">
            <w:pPr>
              <w:pStyle w:val="TableColHd"/>
            </w:pPr>
            <w:r>
              <w:t>windward surface</w:t>
            </w:r>
          </w:p>
        </w:tc>
        <w:tc>
          <w:tcPr>
            <w:tcW w:w="1360" w:type="dxa"/>
            <w:tcBorders>
              <w:bottom w:val="single" w:sz="2" w:space="0" w:color="auto"/>
            </w:tcBorders>
          </w:tcPr>
          <w:p w:rsidR="00AF2508" w:rsidRDefault="00AF2508">
            <w:pPr>
              <w:pStyle w:val="TableColHd"/>
            </w:pPr>
            <w:r>
              <w:t>leeward surface</w:t>
            </w:r>
          </w:p>
        </w:tc>
        <w:tc>
          <w:tcPr>
            <w:tcW w:w="720" w:type="dxa"/>
            <w:gridSpan w:val="2"/>
            <w:tcBorders>
              <w:bottom w:val="single" w:sz="2" w:space="0" w:color="auto"/>
            </w:tcBorders>
          </w:tcPr>
          <w:p w:rsidR="00AF2508" w:rsidRDefault="00AF2508">
            <w:pPr>
              <w:pStyle w:val="TableColHd"/>
            </w:pPr>
            <w:r>
              <w:t>total</w:t>
            </w:r>
          </w:p>
        </w:tc>
      </w:tr>
      <w:tr w:rsidR="00AF2508">
        <w:trPr>
          <w:cantSplit/>
        </w:trPr>
        <w:tc>
          <w:tcPr>
            <w:tcW w:w="4161" w:type="dxa"/>
            <w:tcBorders>
              <w:top w:val="single" w:sz="2" w:space="0" w:color="auto"/>
            </w:tcBorders>
          </w:tcPr>
          <w:p w:rsidR="00AF2508" w:rsidRDefault="00AF2508">
            <w:pPr>
              <w:pStyle w:val="TableText"/>
            </w:pPr>
            <w:r>
              <w:t>sheds or simple buildings, or simple prismatic bodies</w:t>
            </w:r>
          </w:p>
        </w:tc>
        <w:tc>
          <w:tcPr>
            <w:tcW w:w="1520" w:type="dxa"/>
            <w:tcBorders>
              <w:top w:val="single" w:sz="2" w:space="0" w:color="auto"/>
            </w:tcBorders>
          </w:tcPr>
          <w:p w:rsidR="00AF2508" w:rsidRDefault="00AF2508">
            <w:pPr>
              <w:pStyle w:val="TableText"/>
            </w:pPr>
            <w:r>
              <w:t xml:space="preserve">0.8 </w:t>
            </w:r>
          </w:p>
        </w:tc>
        <w:tc>
          <w:tcPr>
            <w:tcW w:w="1360" w:type="dxa"/>
            <w:tcBorders>
              <w:top w:val="single" w:sz="2" w:space="0" w:color="auto"/>
            </w:tcBorders>
          </w:tcPr>
          <w:p w:rsidR="00AF2508" w:rsidRDefault="00AF2508">
            <w:pPr>
              <w:pStyle w:val="TableText"/>
            </w:pPr>
            <w:r>
              <w:t>0.4</w:t>
            </w:r>
          </w:p>
        </w:tc>
        <w:tc>
          <w:tcPr>
            <w:tcW w:w="720" w:type="dxa"/>
            <w:gridSpan w:val="2"/>
            <w:tcBorders>
              <w:top w:val="single" w:sz="2" w:space="0" w:color="auto"/>
            </w:tcBorders>
          </w:tcPr>
          <w:p w:rsidR="00AF2508" w:rsidRDefault="00AF2508">
            <w:pPr>
              <w:pStyle w:val="TableText"/>
            </w:pPr>
            <w:r>
              <w:t>1.2</w:t>
            </w:r>
          </w:p>
        </w:tc>
      </w:tr>
      <w:tr w:rsidR="00AF2508">
        <w:trPr>
          <w:cantSplit/>
        </w:trPr>
        <w:tc>
          <w:tcPr>
            <w:tcW w:w="4161" w:type="dxa"/>
          </w:tcPr>
          <w:p w:rsidR="00AF2508" w:rsidRDefault="00AF2508">
            <w:pPr>
              <w:pStyle w:val="TableText"/>
            </w:pPr>
            <w:r>
              <w:t>solid web girders</w:t>
            </w:r>
          </w:p>
        </w:tc>
        <w:tc>
          <w:tcPr>
            <w:tcW w:w="1520" w:type="dxa"/>
          </w:tcPr>
          <w:p w:rsidR="00AF2508" w:rsidRDefault="00AF2508">
            <w:pPr>
              <w:pStyle w:val="TableText"/>
            </w:pPr>
            <w:r>
              <w:t>. .</w:t>
            </w:r>
          </w:p>
        </w:tc>
        <w:tc>
          <w:tcPr>
            <w:tcW w:w="1360" w:type="dxa"/>
          </w:tcPr>
          <w:p w:rsidR="00AF2508" w:rsidRDefault="00AF2508">
            <w:pPr>
              <w:pStyle w:val="TableText"/>
            </w:pPr>
            <w:r>
              <w:t>. .</w:t>
            </w:r>
          </w:p>
        </w:tc>
        <w:tc>
          <w:tcPr>
            <w:tcW w:w="720" w:type="dxa"/>
            <w:gridSpan w:val="2"/>
          </w:tcPr>
          <w:p w:rsidR="00AF2508" w:rsidRDefault="00AF2508">
            <w:pPr>
              <w:pStyle w:val="TableText"/>
            </w:pPr>
            <w:r>
              <w:t>1.6</w:t>
            </w:r>
          </w:p>
        </w:tc>
      </w:tr>
      <w:tr w:rsidR="00AF2508">
        <w:trPr>
          <w:cantSplit/>
        </w:trPr>
        <w:tc>
          <w:tcPr>
            <w:tcW w:w="4161" w:type="dxa"/>
          </w:tcPr>
          <w:p w:rsidR="00AF2508" w:rsidRDefault="00AF2508">
            <w:pPr>
              <w:pStyle w:val="TableText"/>
            </w:pPr>
            <w:r>
              <w:t>plane surfaces normal to direction of wind, or at an angle not greater than 20° to direction of wind</w:t>
            </w:r>
          </w:p>
          <w:p w:rsidR="00AF2508" w:rsidRDefault="00AF2508">
            <w:pPr>
              <w:pStyle w:val="aNote"/>
              <w:tabs>
                <w:tab w:val="left" w:pos="760"/>
              </w:tabs>
              <w:ind w:hanging="1900"/>
            </w:pPr>
            <w:r>
              <w:rPr>
                <w:i/>
              </w:rPr>
              <w:t>Note</w:t>
            </w:r>
            <w:r>
              <w:rPr>
                <w:i/>
              </w:rPr>
              <w:tab/>
            </w:r>
            <w:r>
              <w:t>See also s 123.</w:t>
            </w:r>
          </w:p>
        </w:tc>
        <w:tc>
          <w:tcPr>
            <w:tcW w:w="1520" w:type="dxa"/>
          </w:tcPr>
          <w:p w:rsidR="00AF2508" w:rsidRDefault="00AF2508">
            <w:pPr>
              <w:pStyle w:val="TableText"/>
            </w:pPr>
            <w:r>
              <w:t>0.66</w:t>
            </w:r>
          </w:p>
        </w:tc>
        <w:tc>
          <w:tcPr>
            <w:tcW w:w="1360" w:type="dxa"/>
          </w:tcPr>
          <w:p w:rsidR="00AF2508" w:rsidRDefault="00AF2508">
            <w:pPr>
              <w:pStyle w:val="TableText"/>
            </w:pPr>
            <w:r>
              <w:t>0.54</w:t>
            </w:r>
          </w:p>
        </w:tc>
        <w:tc>
          <w:tcPr>
            <w:tcW w:w="720" w:type="dxa"/>
            <w:gridSpan w:val="2"/>
          </w:tcPr>
          <w:p w:rsidR="00AF2508" w:rsidRDefault="00AF2508">
            <w:pPr>
              <w:pStyle w:val="TableText"/>
            </w:pPr>
            <w:r>
              <w:t>1.2</w:t>
            </w:r>
          </w:p>
        </w:tc>
      </w:tr>
      <w:tr w:rsidR="00AF2508">
        <w:trPr>
          <w:cantSplit/>
        </w:trPr>
        <w:tc>
          <w:tcPr>
            <w:tcW w:w="4161" w:type="dxa"/>
          </w:tcPr>
          <w:p w:rsidR="00AF2508" w:rsidRDefault="00AF2508">
            <w:pPr>
              <w:pStyle w:val="TableText"/>
            </w:pPr>
            <w:r>
              <w:t>cylindrical bodies</w:t>
            </w:r>
          </w:p>
        </w:tc>
        <w:tc>
          <w:tcPr>
            <w:tcW w:w="1520" w:type="dxa"/>
          </w:tcPr>
          <w:p w:rsidR="00AF2508" w:rsidRDefault="00AF2508">
            <w:pPr>
              <w:pStyle w:val="TableText"/>
            </w:pPr>
            <w:r>
              <w:t>. .</w:t>
            </w:r>
          </w:p>
        </w:tc>
        <w:tc>
          <w:tcPr>
            <w:tcW w:w="1360" w:type="dxa"/>
          </w:tcPr>
          <w:p w:rsidR="00AF2508" w:rsidRDefault="00AF2508">
            <w:pPr>
              <w:pStyle w:val="TableText"/>
            </w:pPr>
            <w:r>
              <w:t>. .</w:t>
            </w:r>
          </w:p>
        </w:tc>
        <w:tc>
          <w:tcPr>
            <w:tcW w:w="720" w:type="dxa"/>
            <w:gridSpan w:val="2"/>
          </w:tcPr>
          <w:p w:rsidR="00AF2508" w:rsidRDefault="00AF2508">
            <w:pPr>
              <w:pStyle w:val="TableText"/>
            </w:pPr>
            <w:r>
              <w:t>0.66</w:t>
            </w:r>
          </w:p>
        </w:tc>
      </w:tr>
      <w:tr w:rsidR="00AF2508">
        <w:trPr>
          <w:cantSplit/>
        </w:trPr>
        <w:tc>
          <w:tcPr>
            <w:tcW w:w="4161" w:type="dxa"/>
          </w:tcPr>
          <w:p w:rsidR="00AF2508" w:rsidRDefault="00AF2508">
            <w:pPr>
              <w:pStyle w:val="TableText"/>
            </w:pPr>
            <w:r>
              <w:t>sphere</w:t>
            </w:r>
          </w:p>
        </w:tc>
        <w:tc>
          <w:tcPr>
            <w:tcW w:w="1520" w:type="dxa"/>
          </w:tcPr>
          <w:p w:rsidR="00AF2508" w:rsidRDefault="00AF2508">
            <w:pPr>
              <w:pStyle w:val="TableText"/>
            </w:pPr>
            <w:r>
              <w:t>. .</w:t>
            </w:r>
          </w:p>
        </w:tc>
        <w:tc>
          <w:tcPr>
            <w:tcW w:w="1360" w:type="dxa"/>
          </w:tcPr>
          <w:p w:rsidR="00AF2508" w:rsidRDefault="00AF2508">
            <w:pPr>
              <w:pStyle w:val="TableText"/>
            </w:pPr>
            <w:r>
              <w:t>. .</w:t>
            </w:r>
          </w:p>
        </w:tc>
        <w:tc>
          <w:tcPr>
            <w:tcW w:w="720" w:type="dxa"/>
            <w:gridSpan w:val="2"/>
          </w:tcPr>
          <w:p w:rsidR="00AF2508" w:rsidRDefault="00AF2508">
            <w:pPr>
              <w:pStyle w:val="TableText"/>
            </w:pPr>
            <w:r>
              <w:t>0.44</w:t>
            </w:r>
          </w:p>
        </w:tc>
      </w:tr>
      <w:tr w:rsidR="00AF2508">
        <w:trPr>
          <w:cantSplit/>
        </w:trPr>
        <w:tc>
          <w:tcPr>
            <w:tcW w:w="4161" w:type="dxa"/>
          </w:tcPr>
          <w:p w:rsidR="00AF2508" w:rsidRDefault="00AF2508">
            <w:pPr>
              <w:pStyle w:val="TableText"/>
            </w:pPr>
            <w:r>
              <w:t>lattice girders</w:t>
            </w:r>
          </w:p>
        </w:tc>
        <w:tc>
          <w:tcPr>
            <w:tcW w:w="1520" w:type="dxa"/>
          </w:tcPr>
          <w:p w:rsidR="00AF2508" w:rsidRDefault="00AF2508">
            <w:pPr>
              <w:pStyle w:val="TableText"/>
            </w:pPr>
            <w:r>
              <w:t>. .</w:t>
            </w:r>
          </w:p>
        </w:tc>
        <w:tc>
          <w:tcPr>
            <w:tcW w:w="1360" w:type="dxa"/>
          </w:tcPr>
          <w:p w:rsidR="00AF2508" w:rsidRDefault="00AF2508">
            <w:pPr>
              <w:pStyle w:val="TableText"/>
            </w:pPr>
            <w:r>
              <w:t>. .</w:t>
            </w:r>
          </w:p>
        </w:tc>
        <w:tc>
          <w:tcPr>
            <w:tcW w:w="720" w:type="dxa"/>
            <w:gridSpan w:val="2"/>
          </w:tcPr>
          <w:p w:rsidR="00AF2508" w:rsidRDefault="00AF2508">
            <w:pPr>
              <w:pStyle w:val="TableText"/>
            </w:pPr>
            <w:r>
              <w:t>0.96</w:t>
            </w:r>
          </w:p>
        </w:tc>
      </w:tr>
      <w:tr w:rsidR="00AF2508">
        <w:trPr>
          <w:cantSplit/>
        </w:trPr>
        <w:tc>
          <w:tcPr>
            <w:tcW w:w="4161" w:type="dxa"/>
          </w:tcPr>
          <w:p w:rsidR="00AF2508" w:rsidRDefault="00AF2508">
            <w:pPr>
              <w:pStyle w:val="TableText"/>
            </w:pPr>
            <w:r>
              <w:t>concave surface</w:t>
            </w:r>
          </w:p>
        </w:tc>
        <w:tc>
          <w:tcPr>
            <w:tcW w:w="1520" w:type="dxa"/>
          </w:tcPr>
          <w:p w:rsidR="00AF2508" w:rsidRDefault="00AF2508">
            <w:pPr>
              <w:pStyle w:val="TableText"/>
            </w:pPr>
            <w:r>
              <w:t>. .</w:t>
            </w:r>
          </w:p>
        </w:tc>
        <w:tc>
          <w:tcPr>
            <w:tcW w:w="1360" w:type="dxa"/>
          </w:tcPr>
          <w:p w:rsidR="00AF2508" w:rsidRDefault="00AF2508">
            <w:pPr>
              <w:pStyle w:val="TableText"/>
            </w:pPr>
            <w:r>
              <w:t>. .</w:t>
            </w:r>
          </w:p>
        </w:tc>
        <w:tc>
          <w:tcPr>
            <w:tcW w:w="720" w:type="dxa"/>
            <w:gridSpan w:val="2"/>
          </w:tcPr>
          <w:p w:rsidR="00AF2508" w:rsidRDefault="00AF2508">
            <w:pPr>
              <w:pStyle w:val="TableText"/>
            </w:pPr>
            <w:r>
              <w:t>1.6</w:t>
            </w:r>
          </w:p>
        </w:tc>
      </w:tr>
      <w:tr w:rsidR="00AF2508">
        <w:trPr>
          <w:cantSplit/>
        </w:trPr>
        <w:tc>
          <w:tcPr>
            <w:tcW w:w="4161" w:type="dxa"/>
          </w:tcPr>
          <w:p w:rsidR="00AF2508" w:rsidRDefault="00AF2508">
            <w:pPr>
              <w:pStyle w:val="TableText"/>
            </w:pPr>
            <w:r>
              <w:t>wedge with base to wind and vertex angle of 90°</w:t>
            </w:r>
          </w:p>
        </w:tc>
        <w:tc>
          <w:tcPr>
            <w:tcW w:w="1520" w:type="dxa"/>
          </w:tcPr>
          <w:p w:rsidR="00AF2508" w:rsidRDefault="00AF2508">
            <w:pPr>
              <w:pStyle w:val="TableText"/>
            </w:pPr>
            <w:r>
              <w:t>. .</w:t>
            </w:r>
          </w:p>
        </w:tc>
        <w:tc>
          <w:tcPr>
            <w:tcW w:w="1360" w:type="dxa"/>
          </w:tcPr>
          <w:p w:rsidR="00AF2508" w:rsidRDefault="00AF2508">
            <w:pPr>
              <w:pStyle w:val="TableText"/>
            </w:pPr>
            <w:r>
              <w:t>. .</w:t>
            </w:r>
          </w:p>
        </w:tc>
        <w:tc>
          <w:tcPr>
            <w:tcW w:w="720" w:type="dxa"/>
            <w:gridSpan w:val="2"/>
          </w:tcPr>
          <w:p w:rsidR="00AF2508" w:rsidRDefault="00AF2508">
            <w:pPr>
              <w:pStyle w:val="TableText"/>
            </w:pPr>
            <w:r>
              <w:t>1.0</w:t>
            </w:r>
          </w:p>
        </w:tc>
      </w:tr>
      <w:tr w:rsidR="00AF2508">
        <w:trPr>
          <w:cantSplit/>
        </w:trPr>
        <w:tc>
          <w:tcPr>
            <w:tcW w:w="4161" w:type="dxa"/>
            <w:tcBorders>
              <w:bottom w:val="single" w:sz="6" w:space="0" w:color="auto"/>
            </w:tcBorders>
          </w:tcPr>
          <w:p w:rsidR="00AF2508" w:rsidRDefault="00AF2508">
            <w:pPr>
              <w:pStyle w:val="TableText"/>
            </w:pPr>
            <w:r>
              <w:t>wedge with point to wind and vertex angle of 90°</w:t>
            </w:r>
          </w:p>
        </w:tc>
        <w:tc>
          <w:tcPr>
            <w:tcW w:w="1520" w:type="dxa"/>
            <w:tcBorders>
              <w:bottom w:val="single" w:sz="6" w:space="0" w:color="auto"/>
            </w:tcBorders>
          </w:tcPr>
          <w:p w:rsidR="00AF2508" w:rsidRDefault="00AF2508">
            <w:pPr>
              <w:pStyle w:val="TableText"/>
            </w:pPr>
            <w:r>
              <w:t>. .</w:t>
            </w:r>
          </w:p>
        </w:tc>
        <w:tc>
          <w:tcPr>
            <w:tcW w:w="1360" w:type="dxa"/>
            <w:tcBorders>
              <w:bottom w:val="single" w:sz="6" w:space="0" w:color="auto"/>
            </w:tcBorders>
          </w:tcPr>
          <w:p w:rsidR="00AF2508" w:rsidRDefault="00AF2508">
            <w:pPr>
              <w:pStyle w:val="TableText"/>
            </w:pPr>
            <w:r>
              <w:t>. .</w:t>
            </w:r>
          </w:p>
        </w:tc>
        <w:tc>
          <w:tcPr>
            <w:tcW w:w="720" w:type="dxa"/>
            <w:gridSpan w:val="2"/>
            <w:tcBorders>
              <w:bottom w:val="single" w:sz="6" w:space="0" w:color="auto"/>
            </w:tcBorders>
          </w:tcPr>
          <w:p w:rsidR="00AF2508" w:rsidRDefault="00AF2508">
            <w:pPr>
              <w:pStyle w:val="TableText"/>
            </w:pPr>
            <w:r>
              <w:t>0.75</w:t>
            </w:r>
          </w:p>
        </w:tc>
      </w:tr>
    </w:tbl>
    <w:p w:rsidR="00AF2508" w:rsidRDefault="00AF2508"/>
    <w:p w:rsidR="00AF2508" w:rsidRDefault="00AF2508">
      <w:pPr>
        <w:pStyle w:val="Amain"/>
      </w:pPr>
      <w:r>
        <w:tab/>
        <w:t>(8)</w:t>
      </w:r>
      <w:r>
        <w:tab/>
        <w:t>The wind load acting normally to sloping surfaces, such as roofs of crane or hoist supporting structures, or roofs of cabins, or machinery houses of cranes or hoists shall be determined from the formula—</w:t>
      </w:r>
    </w:p>
    <w:p w:rsidR="00AF2508" w:rsidRDefault="00AF2508">
      <w:pPr>
        <w:pStyle w:val="Formula"/>
      </w:pPr>
      <w:r>
        <w:t xml:space="preserve">R = </w:t>
      </w:r>
      <w:r>
        <w:rPr>
          <w:rStyle w:val="charItals"/>
        </w:rPr>
        <w:t>np</w:t>
      </w:r>
      <w:r>
        <w:rPr>
          <w:rStyle w:val="charItals"/>
          <w:i w:val="0"/>
        </w:rPr>
        <w:t>.</w:t>
      </w:r>
    </w:p>
    <w:p w:rsidR="00AF2508" w:rsidRDefault="00AF2508">
      <w:pPr>
        <w:pStyle w:val="Amain"/>
      </w:pPr>
      <w:r>
        <w:tab/>
        <w:t>(9)</w:t>
      </w:r>
      <w:r>
        <w:tab/>
        <w:t>In subsection (8):</w:t>
      </w:r>
    </w:p>
    <w:p w:rsidR="00AF2508" w:rsidRDefault="00AF2508">
      <w:pPr>
        <w:pStyle w:val="aDef"/>
      </w:pPr>
      <w:r>
        <w:rPr>
          <w:rStyle w:val="charBoldItals"/>
        </w:rPr>
        <w:t>R</w:t>
      </w:r>
      <w:r>
        <w:t xml:space="preserve"> means the force exerted in pounds per square foot of sloping surface.</w:t>
      </w:r>
    </w:p>
    <w:p w:rsidR="00AF2508" w:rsidRDefault="00AF2508">
      <w:pPr>
        <w:pStyle w:val="aDef"/>
      </w:pPr>
      <w:r>
        <w:rPr>
          <w:rStyle w:val="charBoldItals"/>
        </w:rPr>
        <w:t>p</w:t>
      </w:r>
      <w:r>
        <w:t xml:space="preserve"> has the value assigned by subsection (5).</w:t>
      </w:r>
    </w:p>
    <w:p w:rsidR="00AF2508" w:rsidRDefault="00AF2508">
      <w:pPr>
        <w:pStyle w:val="aDef"/>
      </w:pPr>
      <w:r>
        <w:rPr>
          <w:rStyle w:val="charBoldItals"/>
        </w:rPr>
        <w:t>n</w:t>
      </w:r>
      <w:r>
        <w:t xml:space="preserve"> is a coefficient selected from table 123.2, and appropriate to the slope of the surface.</w:t>
      </w:r>
    </w:p>
    <w:p w:rsidR="00AF2508" w:rsidRDefault="00AF2508">
      <w:pPr>
        <w:pStyle w:val="TableHd"/>
      </w:pPr>
      <w:r>
        <w:t>Table 123.2</w:t>
      </w:r>
    </w:p>
    <w:tbl>
      <w:tblPr>
        <w:tblW w:w="0" w:type="auto"/>
        <w:tblInd w:w="80" w:type="dxa"/>
        <w:tblLayout w:type="fixed"/>
        <w:tblCellMar>
          <w:left w:w="80" w:type="dxa"/>
          <w:right w:w="80" w:type="dxa"/>
        </w:tblCellMar>
        <w:tblLook w:val="0000" w:firstRow="0" w:lastRow="0" w:firstColumn="0" w:lastColumn="0" w:noHBand="0" w:noVBand="0"/>
      </w:tblPr>
      <w:tblGrid>
        <w:gridCol w:w="3534"/>
        <w:gridCol w:w="1320"/>
        <w:gridCol w:w="800"/>
        <w:gridCol w:w="1720"/>
      </w:tblGrid>
      <w:tr w:rsidR="00AF2508">
        <w:trPr>
          <w:cantSplit/>
          <w:tblHeader/>
        </w:trPr>
        <w:tc>
          <w:tcPr>
            <w:tcW w:w="3534" w:type="dxa"/>
          </w:tcPr>
          <w:p w:rsidR="00AF2508" w:rsidRDefault="00AF2508">
            <w:pPr>
              <w:pStyle w:val="TableColHd"/>
            </w:pPr>
          </w:p>
        </w:tc>
        <w:tc>
          <w:tcPr>
            <w:tcW w:w="3840" w:type="dxa"/>
            <w:gridSpan w:val="3"/>
            <w:tcBorders>
              <w:bottom w:val="single" w:sz="2" w:space="0" w:color="auto"/>
            </w:tcBorders>
          </w:tcPr>
          <w:p w:rsidR="00AF2508" w:rsidRDefault="00AF2508">
            <w:pPr>
              <w:pStyle w:val="TableColHd"/>
              <w:jc w:val="center"/>
            </w:pPr>
            <w:r>
              <w:t xml:space="preserve">coefficient </w:t>
            </w:r>
            <w:r>
              <w:rPr>
                <w:i/>
              </w:rPr>
              <w:t>‘</w:t>
            </w:r>
            <w:r>
              <w:rPr>
                <w:rStyle w:val="charBoldItals"/>
                <w:b/>
              </w:rPr>
              <w:t>n’</w:t>
            </w:r>
            <w:r>
              <w:rPr>
                <w:rStyle w:val="charBoldItals"/>
              </w:rPr>
              <w:t>’</w:t>
            </w:r>
          </w:p>
        </w:tc>
      </w:tr>
      <w:tr w:rsidR="00AF2508">
        <w:trPr>
          <w:cantSplit/>
          <w:tblHeader/>
        </w:trPr>
        <w:tc>
          <w:tcPr>
            <w:tcW w:w="3534" w:type="dxa"/>
          </w:tcPr>
          <w:p w:rsidR="00AF2508" w:rsidRDefault="00AF2508">
            <w:pPr>
              <w:pStyle w:val="TableColHd"/>
            </w:pPr>
            <w:r>
              <w:t xml:space="preserve">slope of roof in degrees, </w:t>
            </w:r>
            <w:r>
              <w:br/>
              <w:t xml:space="preserve">measured from the </w:t>
            </w:r>
            <w:r>
              <w:br/>
              <w:t>horizontal</w:t>
            </w:r>
          </w:p>
        </w:tc>
        <w:tc>
          <w:tcPr>
            <w:tcW w:w="2120" w:type="dxa"/>
            <w:gridSpan w:val="2"/>
          </w:tcPr>
          <w:p w:rsidR="00AF2508" w:rsidRDefault="00AF2508">
            <w:pPr>
              <w:pStyle w:val="TableColHd"/>
            </w:pPr>
            <w:r>
              <w:t xml:space="preserve">windward slope, or windward half if </w:t>
            </w:r>
            <w:r>
              <w:br/>
              <w:t>flat roof</w:t>
            </w:r>
          </w:p>
        </w:tc>
        <w:tc>
          <w:tcPr>
            <w:tcW w:w="1720" w:type="dxa"/>
          </w:tcPr>
          <w:p w:rsidR="00AF2508" w:rsidRDefault="00AF2508">
            <w:pPr>
              <w:pStyle w:val="TableColHd"/>
            </w:pPr>
            <w:r>
              <w:t xml:space="preserve">leeward slope or leeward half if </w:t>
            </w:r>
            <w:r>
              <w:br/>
              <w:t>flat roof</w:t>
            </w:r>
          </w:p>
        </w:tc>
      </w:tr>
      <w:tr w:rsidR="00AF2508">
        <w:tblPrEx>
          <w:tblCellMar>
            <w:left w:w="108" w:type="dxa"/>
            <w:right w:w="108" w:type="dxa"/>
          </w:tblCellMar>
        </w:tblPrEx>
        <w:tc>
          <w:tcPr>
            <w:tcW w:w="3534" w:type="dxa"/>
          </w:tcPr>
          <w:p w:rsidR="00AF2508" w:rsidRDefault="00AF2508">
            <w:pPr>
              <w:pStyle w:val="TableText"/>
            </w:pPr>
            <w:r>
              <w:t>0</w:t>
            </w:r>
            <w:r>
              <w:br/>
              <w:t>22</w:t>
            </w:r>
            <w:r>
              <w:br/>
              <w:t>30</w:t>
            </w:r>
            <w:r>
              <w:br/>
              <w:t>45</w:t>
            </w:r>
            <w:r>
              <w:br/>
              <w:t xml:space="preserve">70 and over </w:t>
            </w:r>
          </w:p>
        </w:tc>
        <w:tc>
          <w:tcPr>
            <w:tcW w:w="1320" w:type="dxa"/>
          </w:tcPr>
          <w:p w:rsidR="00AF2508" w:rsidRDefault="00AF2508">
            <w:pPr>
              <w:pStyle w:val="TableText"/>
            </w:pPr>
            <w:r>
              <w:t>—0.1</w:t>
            </w:r>
            <w:r>
              <w:br/>
              <w:t>—0.25</w:t>
            </w:r>
            <w:r>
              <w:br/>
              <w:t xml:space="preserve">    0</w:t>
            </w:r>
            <w:r>
              <w:br/>
              <w:t xml:space="preserve">    0.25</w:t>
            </w:r>
            <w:r>
              <w:br/>
              <w:t xml:space="preserve">    0.66</w:t>
            </w:r>
          </w:p>
        </w:tc>
        <w:tc>
          <w:tcPr>
            <w:tcW w:w="800" w:type="dxa"/>
          </w:tcPr>
          <w:p w:rsidR="00AF2508" w:rsidRDefault="00AF2508">
            <w:pPr>
              <w:rPr>
                <w:sz w:val="96"/>
              </w:rPr>
            </w:pPr>
            <w:r>
              <w:rPr>
                <w:rFonts w:ascii="Garamond Narrow" w:hAnsi="Garamond Narrow"/>
                <w:b/>
                <w:sz w:val="96"/>
              </w:rPr>
              <w:t>}</w:t>
            </w:r>
          </w:p>
        </w:tc>
        <w:tc>
          <w:tcPr>
            <w:tcW w:w="1720" w:type="dxa"/>
          </w:tcPr>
          <w:p w:rsidR="00AF2508" w:rsidRDefault="00AF2508">
            <w:pPr>
              <w:pStyle w:val="TableText"/>
            </w:pPr>
            <w:r>
              <w:br/>
              <w:t>—0.5</w:t>
            </w:r>
            <w:r>
              <w:br/>
            </w:r>
            <w:r>
              <w:br/>
            </w:r>
            <w:r>
              <w:br/>
              <w:t>—0.54</w:t>
            </w:r>
          </w:p>
        </w:tc>
      </w:tr>
    </w:tbl>
    <w:p w:rsidR="00AF2508" w:rsidRDefault="00AF2508"/>
    <w:p w:rsidR="00AF2508" w:rsidRDefault="00AF2508">
      <w:pPr>
        <w:pStyle w:val="Amain"/>
      </w:pPr>
      <w:r>
        <w:tab/>
        <w:t>(10)</w:t>
      </w:r>
      <w:r>
        <w:tab/>
        <w:t>The wind loads acting on curved roof surfaces shall be taken to be the same as for sloping roof surfaces of the same rise, and shall be assumed to act radially.</w:t>
      </w:r>
    </w:p>
    <w:p w:rsidR="00AF2508" w:rsidRDefault="00AF2508">
      <w:pPr>
        <w:pStyle w:val="Amain"/>
      </w:pPr>
      <w:r>
        <w:tab/>
        <w:t>(11)</w:t>
      </w:r>
      <w:r>
        <w:tab/>
        <w:t>For sawtooth or other multi-span roofs if the windward bay of roofing effectively shelters succeeding bays the following reductions in wind loading may be made so that stability and fixity of the structure as a whole is affected:</w:t>
      </w:r>
    </w:p>
    <w:p w:rsidR="00AF2508" w:rsidRDefault="00AF2508">
      <w:pPr>
        <w:pStyle w:val="Apara"/>
      </w:pPr>
      <w:r>
        <w:tab/>
        <w:t>(a)</w:t>
      </w:r>
      <w:r>
        <w:tab/>
        <w:t>on the bay adjoining the windward bay—50%;</w:t>
      </w:r>
    </w:p>
    <w:p w:rsidR="00AF2508" w:rsidRDefault="00AF2508">
      <w:pPr>
        <w:pStyle w:val="Apara"/>
      </w:pPr>
      <w:r>
        <w:tab/>
        <w:t>(b)</w:t>
      </w:r>
      <w:r>
        <w:tab/>
        <w:t>on the next bay—75%;</w:t>
      </w:r>
    </w:p>
    <w:p w:rsidR="00AF2508" w:rsidRDefault="00AF2508">
      <w:pPr>
        <w:pStyle w:val="Apara"/>
      </w:pPr>
      <w:r>
        <w:tab/>
        <w:t>(c)</w:t>
      </w:r>
      <w:r>
        <w:tab/>
        <w:t>on the remaining bays—87%.</w:t>
      </w:r>
    </w:p>
    <w:p w:rsidR="00AF2508" w:rsidRDefault="00AF2508">
      <w:pPr>
        <w:pStyle w:val="Amain"/>
      </w:pPr>
      <w:r>
        <w:tab/>
        <w:t>(12)</w:t>
      </w:r>
      <w:r>
        <w:tab/>
        <w:t>All projections above the general roof level shall be considered fully exposed to wind.</w:t>
      </w:r>
    </w:p>
    <w:p w:rsidR="00AF2508" w:rsidRDefault="00AF2508">
      <w:pPr>
        <w:pStyle w:val="Amain"/>
      </w:pPr>
      <w:r>
        <w:tab/>
        <w:t>(13)</w:t>
      </w:r>
      <w:r>
        <w:tab/>
        <w:t>If members are so disposed that a windward member shelters a leeward member from wind forces, the forces may be considered effective on only the windward member if—</w:t>
      </w:r>
    </w:p>
    <w:p w:rsidR="00AF2508" w:rsidRDefault="00AF2508">
      <w:pPr>
        <w:pStyle w:val="Apara"/>
      </w:pPr>
      <w:r>
        <w:tab/>
        <w:t>(a)</w:t>
      </w:r>
      <w:r>
        <w:tab/>
        <w:t>the windward member being of solid web construction is not spaced at a distance greater than its own depth from the sheltered member, or</w:t>
      </w:r>
    </w:p>
    <w:p w:rsidR="00AF2508" w:rsidRDefault="00AF2508">
      <w:pPr>
        <w:pStyle w:val="Apara"/>
      </w:pPr>
      <w:r>
        <w:tab/>
        <w:t>(b)</w:t>
      </w:r>
      <w:r>
        <w:tab/>
        <w:t>the windward member, being of perforated, open web or lattice construction, is not spaced at a greater distance than its own width from the sheltered member.</w:t>
      </w:r>
    </w:p>
    <w:p w:rsidR="00AF2508" w:rsidRDefault="00AF2508">
      <w:pPr>
        <w:pStyle w:val="Amain"/>
      </w:pPr>
      <w:r>
        <w:tab/>
        <w:t>(14)</w:t>
      </w:r>
      <w:r>
        <w:tab/>
        <w:t>Parts of leeward members projecting beyond sheltering members as mentioned in subsection (13) shall be deemed fully exposed to wind force.</w:t>
      </w:r>
    </w:p>
    <w:p w:rsidR="00AF2508" w:rsidRDefault="00AF2508">
      <w:pPr>
        <w:pStyle w:val="Amain"/>
      </w:pPr>
      <w:r>
        <w:tab/>
        <w:t>(15)</w:t>
      </w:r>
      <w:r>
        <w:tab/>
        <w:t xml:space="preserve">If the spacing of members is greater than, but not more than 3 times that mentioned in subsection (13) the wind resistant surface of the leeward member may be considered to be reduced by 40%, provided that parts of it projecting beyond sheltering members shall be deemed fully exposed to wind forces, and provided that the total reduction in surface does not exceed </w:t>
      </w:r>
      <w:r>
        <w:rPr>
          <w:position w:val="6"/>
          <w:sz w:val="18"/>
        </w:rPr>
        <w:t>1</w:t>
      </w:r>
      <w:r>
        <w:t>/</w:t>
      </w:r>
      <w:r>
        <w:rPr>
          <w:sz w:val="18"/>
        </w:rPr>
        <w:t>2</w:t>
      </w:r>
      <w:r>
        <w:t xml:space="preserve"> of that of the windward member.</w:t>
      </w:r>
    </w:p>
    <w:p w:rsidR="00AF2508" w:rsidRDefault="00AF2508">
      <w:pPr>
        <w:pStyle w:val="AH4SubDiv"/>
      </w:pPr>
      <w:bookmarkStart w:id="221" w:name="_Toc161636882"/>
      <w:r>
        <w:t>Horizontal forces (other than those due to wind)</w:t>
      </w:r>
      <w:bookmarkEnd w:id="221"/>
    </w:p>
    <w:p w:rsidR="00AF2508" w:rsidRDefault="00AF2508">
      <w:pPr>
        <w:pStyle w:val="AH5Sec"/>
      </w:pPr>
      <w:bookmarkStart w:id="222" w:name="_Toc161636883"/>
      <w:r>
        <w:rPr>
          <w:rStyle w:val="CharSectNo"/>
        </w:rPr>
        <w:t>124</w:t>
      </w:r>
      <w:bookmarkEnd w:id="222"/>
      <w:r>
        <w:tab/>
        <w:t xml:space="preserve">  </w:t>
      </w:r>
    </w:p>
    <w:p w:rsidR="00AF2508" w:rsidRDefault="00AF2508">
      <w:pPr>
        <w:pStyle w:val="Amain"/>
      </w:pPr>
      <w:r>
        <w:tab/>
        <w:t>(1)</w:t>
      </w:r>
      <w:r>
        <w:tab/>
        <w:t>Full allowance shall be made for all horizontal forces including those incidental to operation of the crane or hoist, or lift, or scaffolding.</w:t>
      </w:r>
    </w:p>
    <w:p w:rsidR="00AF2508" w:rsidRDefault="00AF2508">
      <w:pPr>
        <w:pStyle w:val="Amain"/>
      </w:pPr>
      <w:r>
        <w:tab/>
        <w:t>(2)</w:t>
      </w:r>
      <w:r>
        <w:tab/>
        <w:t xml:space="preserve">The braking force at each braked wheel, arising from deceleration of the travelling or traversing motion of any crane or hoist or lift or scaffolding or relevant part of it shall be deemed equal to </w:t>
      </w:r>
      <w:r>
        <w:rPr>
          <w:position w:val="6"/>
          <w:sz w:val="18"/>
        </w:rPr>
        <w:t>1</w:t>
      </w:r>
      <w:r>
        <w:t>/</w:t>
      </w:r>
      <w:r>
        <w:rPr>
          <w:sz w:val="18"/>
        </w:rPr>
        <w:t>7</w:t>
      </w:r>
      <w:r>
        <w:t xml:space="preserve"> of the greatest weight borne by the wheel.</w:t>
      </w:r>
    </w:p>
    <w:p w:rsidR="00AF2508" w:rsidRDefault="00AF2508">
      <w:pPr>
        <w:pStyle w:val="Amain"/>
      </w:pPr>
      <w:r>
        <w:tab/>
        <w:t>(3)</w:t>
      </w:r>
      <w:r>
        <w:tab/>
        <w:t>It shall be considered to act at track-rail level.</w:t>
      </w:r>
    </w:p>
    <w:p w:rsidR="00AF2508" w:rsidRDefault="00AF2508">
      <w:pPr>
        <w:pStyle w:val="Amain"/>
      </w:pPr>
      <w:r>
        <w:tab/>
        <w:t>(4)</w:t>
      </w:r>
      <w:r>
        <w:tab/>
        <w:t>Each live load shall be assumed to set up or cause incidentally a lateral horizontal force not less in magnitude than the greatest of the following:</w:t>
      </w:r>
    </w:p>
    <w:p w:rsidR="00AF2508" w:rsidRDefault="00AF2508">
      <w:pPr>
        <w:pStyle w:val="Apara"/>
      </w:pPr>
      <w:r>
        <w:tab/>
        <w:t>(a)</w:t>
      </w:r>
      <w:r>
        <w:tab/>
        <w:t>5% of the live load; or</w:t>
      </w:r>
    </w:p>
    <w:p w:rsidR="00AF2508" w:rsidRDefault="00AF2508">
      <w:pPr>
        <w:pStyle w:val="Apara"/>
      </w:pPr>
      <w:r>
        <w:tab/>
        <w:t>(b)</w:t>
      </w:r>
      <w:r>
        <w:tab/>
        <w:t>120 pounds; or</w:t>
      </w:r>
    </w:p>
    <w:p w:rsidR="00AF2508" w:rsidRDefault="00AF2508">
      <w:pPr>
        <w:pStyle w:val="Apara"/>
      </w:pPr>
      <w:r>
        <w:tab/>
        <w:t>(c)</w:t>
      </w:r>
      <w:r>
        <w:tab/>
        <w:t>whatever more exact force may be determined by approved methods.</w:t>
      </w:r>
    </w:p>
    <w:p w:rsidR="00AF2508" w:rsidRDefault="00AF2508">
      <w:pPr>
        <w:pStyle w:val="Amain"/>
      </w:pPr>
      <w:r>
        <w:tab/>
        <w:t>(5)</w:t>
      </w:r>
      <w:r>
        <w:tab/>
        <w:t>It shall not be necessary to increase the horizontal force so determined in the way otherwise provided by section 125, but the force shall be assumed to act simultaneously with the live load.</w:t>
      </w:r>
    </w:p>
    <w:p w:rsidR="00AF2508" w:rsidRDefault="00AF2508">
      <w:pPr>
        <w:pStyle w:val="Amain"/>
      </w:pPr>
      <w:r>
        <w:tab/>
        <w:t>(6)</w:t>
      </w:r>
      <w:r>
        <w:tab/>
        <w:t>Full allowance shall be made for horizontal forces due to slewing, oscillating, reciprocating, or centrifugal actions, misalignments or settlements, heeling of supporting structure, or operation on sloping, irregular or soft surfaces.</w:t>
      </w:r>
    </w:p>
    <w:p w:rsidR="00AF2508" w:rsidRDefault="00AF2508">
      <w:pPr>
        <w:pStyle w:val="Amain"/>
      </w:pPr>
      <w:r>
        <w:tab/>
        <w:t>(7)</w:t>
      </w:r>
      <w:r>
        <w:tab/>
        <w:t>The rate of deceleration of the slewing motions of derrick or jib cranes shall be deemed to be not less than 1 foot per second, per second, measured at the jibhead, irrespective of its position.</w:t>
      </w:r>
    </w:p>
    <w:p w:rsidR="00AF2508" w:rsidRDefault="00AF2508">
      <w:pPr>
        <w:pStyle w:val="AH4SubDiv"/>
      </w:pPr>
      <w:bookmarkStart w:id="223" w:name="_Toc161636884"/>
      <w:r>
        <w:t>Dynamic and repealed loadings</w:t>
      </w:r>
      <w:bookmarkEnd w:id="223"/>
    </w:p>
    <w:p w:rsidR="00AF2508" w:rsidRDefault="00AF2508">
      <w:pPr>
        <w:pStyle w:val="AH5Sec"/>
      </w:pPr>
      <w:bookmarkStart w:id="224" w:name="_Toc161636885"/>
      <w:r>
        <w:rPr>
          <w:rStyle w:val="CharSectNo"/>
        </w:rPr>
        <w:t>125</w:t>
      </w:r>
      <w:bookmarkEnd w:id="224"/>
      <w:r>
        <w:tab/>
        <w:t xml:space="preserve">  </w:t>
      </w:r>
    </w:p>
    <w:p w:rsidR="00AF2508" w:rsidRDefault="00AF2508">
      <w:pPr>
        <w:pStyle w:val="Amain"/>
      </w:pPr>
      <w:r>
        <w:tab/>
        <w:t>(1)</w:t>
      </w:r>
      <w:r>
        <w:tab/>
        <w:t>To make allowance for frequently repeated loadings their variable magnitudes, and the effects of shocks, all internal forces or moments caused by live loads shall be increased in the ratio shown in table 125 or as may be in this section more specifically provided as appropriate to the classification of the crane, hoist, lift or scaffolding or part of it that is under consideration.</w:t>
      </w:r>
    </w:p>
    <w:p w:rsidR="00AF2508" w:rsidRDefault="00AF2508">
      <w:pPr>
        <w:pStyle w:val="Amain"/>
      </w:pPr>
      <w:r>
        <w:tab/>
        <w:t>(2)</w:t>
      </w:r>
      <w:r>
        <w:tab/>
        <w:t>However, the following forces or moments need not be so increased:</w:t>
      </w:r>
    </w:p>
    <w:p w:rsidR="00AF2508" w:rsidRDefault="00AF2508">
      <w:pPr>
        <w:pStyle w:val="Apara"/>
      </w:pPr>
      <w:r>
        <w:tab/>
        <w:t>(a)</w:t>
      </w:r>
      <w:r>
        <w:tab/>
        <w:t>those due to braking forces arising from decelerating travelling or traversing live loads;</w:t>
      </w:r>
    </w:p>
    <w:p w:rsidR="00AF2508" w:rsidRDefault="00AF2508">
      <w:pPr>
        <w:pStyle w:val="Apara"/>
      </w:pPr>
      <w:r>
        <w:tab/>
        <w:t>(b)</w:t>
      </w:r>
      <w:r>
        <w:tab/>
        <w:t>those due to inertia and momentum of live loads if those due to wind together with those referred to in the paragraph (a) are so great that they govern the proportion of the member concerned;</w:t>
      </w:r>
    </w:p>
    <w:p w:rsidR="00AF2508" w:rsidRDefault="00AF2508">
      <w:pPr>
        <w:pStyle w:val="Apara"/>
      </w:pPr>
      <w:r>
        <w:tab/>
        <w:t>(c)</w:t>
      </w:r>
      <w:r>
        <w:tab/>
        <w:t>those due to wind.</w:t>
      </w:r>
    </w:p>
    <w:p w:rsidR="00AF2508" w:rsidRDefault="00AF2508">
      <w:pPr>
        <w:pStyle w:val="TableHd"/>
      </w:pPr>
      <w:r>
        <w:t>Table 125</w:t>
      </w:r>
      <w:r>
        <w:tab/>
        <w:t>Compensation ratio for live loads</w:t>
      </w:r>
    </w:p>
    <w:tbl>
      <w:tblPr>
        <w:tblW w:w="7836" w:type="dxa"/>
        <w:tblInd w:w="80" w:type="dxa"/>
        <w:tblLayout w:type="fixed"/>
        <w:tblCellMar>
          <w:left w:w="80" w:type="dxa"/>
          <w:right w:w="80" w:type="dxa"/>
        </w:tblCellMar>
        <w:tblLook w:val="0000" w:firstRow="0" w:lastRow="0" w:firstColumn="0" w:lastColumn="0" w:noHBand="0" w:noVBand="0"/>
      </w:tblPr>
      <w:tblGrid>
        <w:gridCol w:w="1938"/>
        <w:gridCol w:w="2109"/>
        <w:gridCol w:w="2109"/>
        <w:gridCol w:w="1680"/>
      </w:tblGrid>
      <w:tr w:rsidR="00AF2508">
        <w:trPr>
          <w:cantSplit/>
          <w:tblHeader/>
        </w:trPr>
        <w:tc>
          <w:tcPr>
            <w:tcW w:w="1938" w:type="dxa"/>
            <w:tcBorders>
              <w:bottom w:val="single" w:sz="4" w:space="0" w:color="auto"/>
            </w:tcBorders>
          </w:tcPr>
          <w:p w:rsidR="00AF2508" w:rsidRDefault="00AF2508">
            <w:pPr>
              <w:pStyle w:val="TableColHd"/>
            </w:pPr>
            <w:r>
              <w:t>classification of crane or hoist or lift or scaffolding or relevant part of it</w:t>
            </w:r>
          </w:p>
        </w:tc>
        <w:tc>
          <w:tcPr>
            <w:tcW w:w="2109" w:type="dxa"/>
            <w:tcBorders>
              <w:bottom w:val="single" w:sz="4" w:space="0" w:color="auto"/>
            </w:tcBorders>
          </w:tcPr>
          <w:p w:rsidR="00AF2508" w:rsidRDefault="00AF2508">
            <w:pPr>
              <w:pStyle w:val="TableColHd"/>
            </w:pPr>
            <w:r>
              <w:t>ratio in which internal force or moment must be increased</w:t>
            </w:r>
          </w:p>
        </w:tc>
        <w:tc>
          <w:tcPr>
            <w:tcW w:w="2109" w:type="dxa"/>
            <w:tcBorders>
              <w:bottom w:val="single" w:sz="4" w:space="0" w:color="auto"/>
            </w:tcBorders>
          </w:tcPr>
          <w:p w:rsidR="00AF2508" w:rsidRDefault="00AF2508">
            <w:pPr>
              <w:pStyle w:val="TableColHd"/>
            </w:pPr>
            <w:r>
              <w:t>classification of crane or hoist or lift or scaffolding or relevant part of it</w:t>
            </w:r>
          </w:p>
        </w:tc>
        <w:tc>
          <w:tcPr>
            <w:tcW w:w="1680" w:type="dxa"/>
            <w:tcBorders>
              <w:bottom w:val="single" w:sz="4" w:space="0" w:color="auto"/>
            </w:tcBorders>
          </w:tcPr>
          <w:p w:rsidR="00AF2508" w:rsidRDefault="00AF2508">
            <w:pPr>
              <w:pStyle w:val="TableColHd"/>
            </w:pPr>
            <w:r>
              <w:t>ratio in which internal force or moment must be increased</w:t>
            </w:r>
          </w:p>
        </w:tc>
      </w:tr>
      <w:tr w:rsidR="00AF2508">
        <w:trPr>
          <w:cantSplit/>
        </w:trPr>
        <w:tc>
          <w:tcPr>
            <w:tcW w:w="1938" w:type="dxa"/>
            <w:tcBorders>
              <w:top w:val="single" w:sz="4" w:space="0" w:color="auto"/>
            </w:tcBorders>
          </w:tcPr>
          <w:p w:rsidR="00AF2508" w:rsidRDefault="00AF2508">
            <w:pPr>
              <w:pStyle w:val="TableText"/>
            </w:pPr>
            <w:r>
              <w:t>1</w:t>
            </w:r>
          </w:p>
        </w:tc>
        <w:tc>
          <w:tcPr>
            <w:tcW w:w="2109" w:type="dxa"/>
            <w:tcBorders>
              <w:top w:val="single" w:sz="4" w:space="0" w:color="auto"/>
            </w:tcBorders>
          </w:tcPr>
          <w:p w:rsidR="00AF2508" w:rsidRDefault="00AF2508">
            <w:pPr>
              <w:pStyle w:val="TableText"/>
            </w:pPr>
            <w:r>
              <w:t>1.2</w:t>
            </w:r>
          </w:p>
        </w:tc>
        <w:tc>
          <w:tcPr>
            <w:tcW w:w="2109" w:type="dxa"/>
            <w:tcBorders>
              <w:top w:val="single" w:sz="4" w:space="0" w:color="auto"/>
            </w:tcBorders>
          </w:tcPr>
          <w:p w:rsidR="00AF2508" w:rsidRDefault="00AF2508">
            <w:pPr>
              <w:pStyle w:val="TableText"/>
            </w:pPr>
            <w:r>
              <w:t>3</w:t>
            </w:r>
          </w:p>
        </w:tc>
        <w:tc>
          <w:tcPr>
            <w:tcW w:w="1680" w:type="dxa"/>
            <w:tcBorders>
              <w:top w:val="single" w:sz="4" w:space="0" w:color="auto"/>
            </w:tcBorders>
          </w:tcPr>
          <w:p w:rsidR="00AF2508" w:rsidRDefault="00AF2508">
            <w:pPr>
              <w:pStyle w:val="TableText"/>
            </w:pPr>
            <w:r>
              <w:t>1.6</w:t>
            </w:r>
          </w:p>
        </w:tc>
      </w:tr>
      <w:tr w:rsidR="00AF2508">
        <w:trPr>
          <w:cantSplit/>
        </w:trPr>
        <w:tc>
          <w:tcPr>
            <w:tcW w:w="1938" w:type="dxa"/>
          </w:tcPr>
          <w:p w:rsidR="00AF2508" w:rsidRDefault="00AF2508">
            <w:pPr>
              <w:pStyle w:val="TableText"/>
            </w:pPr>
            <w:r>
              <w:t>2</w:t>
            </w:r>
          </w:p>
        </w:tc>
        <w:tc>
          <w:tcPr>
            <w:tcW w:w="2109" w:type="dxa"/>
          </w:tcPr>
          <w:p w:rsidR="00AF2508" w:rsidRDefault="00AF2508">
            <w:pPr>
              <w:pStyle w:val="TableText"/>
            </w:pPr>
            <w:r>
              <w:t>1.4</w:t>
            </w:r>
          </w:p>
        </w:tc>
        <w:tc>
          <w:tcPr>
            <w:tcW w:w="2109" w:type="dxa"/>
          </w:tcPr>
          <w:p w:rsidR="00AF2508" w:rsidRDefault="00AF2508">
            <w:pPr>
              <w:pStyle w:val="TableText"/>
            </w:pPr>
            <w:r>
              <w:t>4</w:t>
            </w:r>
          </w:p>
        </w:tc>
        <w:tc>
          <w:tcPr>
            <w:tcW w:w="1680" w:type="dxa"/>
          </w:tcPr>
          <w:p w:rsidR="00AF2508" w:rsidRDefault="00AF2508">
            <w:pPr>
              <w:pStyle w:val="TableText"/>
            </w:pPr>
            <w:r>
              <w:t>1.9</w:t>
            </w:r>
          </w:p>
        </w:tc>
      </w:tr>
    </w:tbl>
    <w:p w:rsidR="00AF2508" w:rsidRDefault="00AF2508"/>
    <w:p w:rsidR="00AF2508" w:rsidRDefault="00AF2508">
      <w:pPr>
        <w:pStyle w:val="Amain"/>
      </w:pPr>
      <w:r>
        <w:tab/>
        <w:t>(3)</w:t>
      </w:r>
      <w:r>
        <w:tab/>
        <w:t>Table 125 applies if more specific provision is not made in this section.</w:t>
      </w:r>
    </w:p>
    <w:p w:rsidR="00AF2508" w:rsidRDefault="00AF2508">
      <w:pPr>
        <w:pStyle w:val="Amain"/>
      </w:pPr>
      <w:r>
        <w:tab/>
        <w:t>(4)</w:t>
      </w:r>
      <w:r>
        <w:tab/>
        <w:t>To make allowance for shocks caused by travelling or traversing movements of cranes or hoists or lifts or scaffolding, internal forces or moments caused by dead loads shall be increased by 10% if the track rails are interrupted by joints or gaps, and the speed of travel or traverse is 200 or less feet per minute, or 20% if the speed is exceeded.</w:t>
      </w:r>
    </w:p>
    <w:p w:rsidR="00AF2508" w:rsidRDefault="00AF2508">
      <w:pPr>
        <w:pStyle w:val="Amain"/>
      </w:pPr>
      <w:r>
        <w:tab/>
        <w:t>(5)</w:t>
      </w:r>
      <w:r>
        <w:tab/>
        <w:t>If the track rails are not so interrupted, the internal forces or moments shall be increased by 10% if the speed is 300 or less feet per minute or 20% if the speed is exceeded.</w:t>
      </w:r>
    </w:p>
    <w:p w:rsidR="00AF2508" w:rsidRDefault="00AF2508">
      <w:pPr>
        <w:pStyle w:val="AH4SubDiv"/>
      </w:pPr>
      <w:bookmarkStart w:id="225" w:name="_Toc161636886"/>
      <w:r>
        <w:t>Maximum permissible stresses</w:t>
      </w:r>
      <w:bookmarkEnd w:id="225"/>
    </w:p>
    <w:p w:rsidR="00AF2508" w:rsidRDefault="00AF2508">
      <w:pPr>
        <w:pStyle w:val="AH5Sec"/>
      </w:pPr>
      <w:bookmarkStart w:id="226" w:name="_Toc161636887"/>
      <w:r>
        <w:rPr>
          <w:rStyle w:val="CharSectNo"/>
        </w:rPr>
        <w:t>126</w:t>
      </w:r>
      <w:bookmarkEnd w:id="226"/>
      <w:r>
        <w:tab/>
        <w:t xml:space="preserve">  </w:t>
      </w:r>
    </w:p>
    <w:p w:rsidR="00AF2508" w:rsidRDefault="00AF2508">
      <w:pPr>
        <w:pStyle w:val="Amain"/>
      </w:pPr>
      <w:r>
        <w:tab/>
        <w:t>(1)</w:t>
      </w:r>
      <w:r>
        <w:tab/>
        <w:t>The stresses imposed or developed in any member, component, part, or attachment, of any crane, hoist, lift, scaffolding, plant or gear shall be computed and after inclusion of all relevant increases consequential to section 125 and the other sections as may be applicable shall not exceed the relevant and appropriate maximum prescribed by this regulation.</w:t>
      </w:r>
    </w:p>
    <w:p w:rsidR="00AF2508" w:rsidRDefault="00AF2508">
      <w:pPr>
        <w:pStyle w:val="Amain"/>
        <w:keepLines/>
      </w:pPr>
      <w:r>
        <w:tab/>
        <w:t>(2)</w:t>
      </w:r>
      <w:r>
        <w:tab/>
        <w:t>If the member, component, part or attachment is of timber, the stress imposed or developed in it shall not exceed the relevant and appropriate maximum shown in table 126.1, or any other stress that may be more specifically prescribed elsewhere in this regulation.</w:t>
      </w:r>
    </w:p>
    <w:p w:rsidR="00AF2508" w:rsidRDefault="00AF2508">
      <w:pPr>
        <w:pStyle w:val="TableHd"/>
        <w:ind w:left="1596" w:hanging="1596"/>
      </w:pPr>
      <w:r>
        <w:t>Table 126.1</w:t>
      </w:r>
      <w:r>
        <w:tab/>
        <w:t>Maximum permissible stresses for timbers</w:t>
      </w:r>
    </w:p>
    <w:tbl>
      <w:tblPr>
        <w:tblW w:w="0" w:type="auto"/>
        <w:tblInd w:w="-160" w:type="dxa"/>
        <w:tblLayout w:type="fixed"/>
        <w:tblCellMar>
          <w:left w:w="80" w:type="dxa"/>
          <w:right w:w="80" w:type="dxa"/>
        </w:tblCellMar>
        <w:tblLook w:val="0000" w:firstRow="0" w:lastRow="0" w:firstColumn="0" w:lastColumn="0" w:noHBand="0" w:noVBand="0"/>
      </w:tblPr>
      <w:tblGrid>
        <w:gridCol w:w="1920"/>
        <w:gridCol w:w="760"/>
        <w:gridCol w:w="840"/>
        <w:gridCol w:w="980"/>
        <w:gridCol w:w="960"/>
        <w:gridCol w:w="1140"/>
        <w:gridCol w:w="1080"/>
      </w:tblGrid>
      <w:tr w:rsidR="00AF2508">
        <w:trPr>
          <w:cantSplit/>
          <w:tblHeader/>
        </w:trPr>
        <w:tc>
          <w:tcPr>
            <w:tcW w:w="1920" w:type="dxa"/>
            <w:tcBorders>
              <w:top w:val="single" w:sz="6" w:space="0" w:color="auto"/>
            </w:tcBorders>
          </w:tcPr>
          <w:p w:rsidR="00AF2508" w:rsidRDefault="00AF2508">
            <w:pPr>
              <w:pStyle w:val="TableColHd"/>
            </w:pPr>
          </w:p>
        </w:tc>
        <w:tc>
          <w:tcPr>
            <w:tcW w:w="5760" w:type="dxa"/>
            <w:gridSpan w:val="6"/>
            <w:tcBorders>
              <w:top w:val="single" w:sz="6" w:space="0" w:color="auto"/>
              <w:left w:val="single" w:sz="2" w:space="0" w:color="auto"/>
              <w:bottom w:val="single" w:sz="2" w:space="0" w:color="auto"/>
            </w:tcBorders>
          </w:tcPr>
          <w:p w:rsidR="00AF2508" w:rsidRDefault="00AF2508">
            <w:pPr>
              <w:pStyle w:val="TableColHd"/>
              <w:jc w:val="center"/>
            </w:pPr>
            <w:r>
              <w:t>maximum permissible stress in lb/in</w:t>
            </w:r>
            <w:r>
              <w:rPr>
                <w:vertAlign w:val="superscript"/>
              </w:rPr>
              <w:t>2</w:t>
            </w:r>
          </w:p>
        </w:tc>
      </w:tr>
      <w:tr w:rsidR="00AF2508">
        <w:trPr>
          <w:cantSplit/>
          <w:tblHeader/>
        </w:trPr>
        <w:tc>
          <w:tcPr>
            <w:tcW w:w="1920" w:type="dxa"/>
          </w:tcPr>
          <w:p w:rsidR="00AF2508" w:rsidRDefault="00AF2508">
            <w:pPr>
              <w:pStyle w:val="TableColHd"/>
            </w:pPr>
          </w:p>
        </w:tc>
        <w:tc>
          <w:tcPr>
            <w:tcW w:w="1600" w:type="dxa"/>
            <w:gridSpan w:val="2"/>
            <w:tcBorders>
              <w:top w:val="single" w:sz="4" w:space="0" w:color="auto"/>
              <w:left w:val="single" w:sz="4" w:space="0" w:color="auto"/>
              <w:bottom w:val="single" w:sz="4" w:space="0" w:color="auto"/>
              <w:right w:val="single" w:sz="4" w:space="0" w:color="auto"/>
            </w:tcBorders>
          </w:tcPr>
          <w:p w:rsidR="00AF2508" w:rsidRDefault="00AF2508">
            <w:pPr>
              <w:pStyle w:val="TableColHd"/>
              <w:jc w:val="center"/>
              <w:rPr>
                <w:sz w:val="16"/>
              </w:rPr>
            </w:pPr>
            <w:r>
              <w:rPr>
                <w:sz w:val="16"/>
              </w:rPr>
              <w:t>Douglas fir</w:t>
            </w:r>
          </w:p>
        </w:tc>
        <w:tc>
          <w:tcPr>
            <w:tcW w:w="980" w:type="dxa"/>
            <w:vMerge w:val="restart"/>
            <w:tcBorders>
              <w:left w:val="nil"/>
            </w:tcBorders>
          </w:tcPr>
          <w:p w:rsidR="00AF2508" w:rsidRDefault="00AF2508">
            <w:pPr>
              <w:pStyle w:val="TableColHd"/>
              <w:rPr>
                <w:sz w:val="16"/>
              </w:rPr>
            </w:pPr>
            <w:r>
              <w:rPr>
                <w:sz w:val="16"/>
              </w:rPr>
              <w:t>ironbark less than 6 inches thick</w:t>
            </w:r>
          </w:p>
        </w:tc>
        <w:tc>
          <w:tcPr>
            <w:tcW w:w="960" w:type="dxa"/>
            <w:vMerge w:val="restart"/>
            <w:tcBorders>
              <w:left w:val="single" w:sz="2" w:space="0" w:color="auto"/>
              <w:right w:val="single" w:sz="2" w:space="0" w:color="auto"/>
            </w:tcBorders>
          </w:tcPr>
          <w:p w:rsidR="00AF2508" w:rsidRDefault="00AF2508">
            <w:pPr>
              <w:pStyle w:val="TableColHd"/>
              <w:rPr>
                <w:sz w:val="16"/>
              </w:rPr>
            </w:pPr>
            <w:r>
              <w:rPr>
                <w:sz w:val="16"/>
              </w:rPr>
              <w:t>ironbark 6 inches or more in thickness</w:t>
            </w:r>
          </w:p>
        </w:tc>
        <w:tc>
          <w:tcPr>
            <w:tcW w:w="1140" w:type="dxa"/>
            <w:vMerge w:val="restart"/>
          </w:tcPr>
          <w:p w:rsidR="00AF2508" w:rsidRDefault="00AF2508">
            <w:pPr>
              <w:pStyle w:val="TableColHd"/>
              <w:rPr>
                <w:sz w:val="16"/>
              </w:rPr>
            </w:pPr>
            <w:r>
              <w:rPr>
                <w:sz w:val="16"/>
              </w:rPr>
              <w:t>†hardwood less than 6 inches in thickness</w:t>
            </w:r>
          </w:p>
        </w:tc>
        <w:tc>
          <w:tcPr>
            <w:tcW w:w="1080" w:type="dxa"/>
            <w:vMerge w:val="restart"/>
            <w:tcBorders>
              <w:left w:val="single" w:sz="2" w:space="0" w:color="auto"/>
            </w:tcBorders>
          </w:tcPr>
          <w:p w:rsidR="00AF2508" w:rsidRDefault="00AF2508">
            <w:pPr>
              <w:pStyle w:val="TableColHd"/>
              <w:rPr>
                <w:sz w:val="16"/>
              </w:rPr>
            </w:pPr>
            <w:r>
              <w:rPr>
                <w:sz w:val="16"/>
              </w:rPr>
              <w:t>†hardwood 6 inches or more in thickness</w:t>
            </w:r>
          </w:p>
        </w:tc>
      </w:tr>
      <w:tr w:rsidR="00AF2508">
        <w:trPr>
          <w:cantSplit/>
          <w:tblHeader/>
        </w:trPr>
        <w:tc>
          <w:tcPr>
            <w:tcW w:w="1920" w:type="dxa"/>
            <w:tcBorders>
              <w:bottom w:val="single" w:sz="2" w:space="0" w:color="auto"/>
            </w:tcBorders>
          </w:tcPr>
          <w:p w:rsidR="00AF2508" w:rsidRDefault="00AF2508">
            <w:pPr>
              <w:pStyle w:val="TableColHd"/>
            </w:pPr>
            <w:r>
              <w:t>nature of stress</w:t>
            </w:r>
          </w:p>
        </w:tc>
        <w:tc>
          <w:tcPr>
            <w:tcW w:w="760" w:type="dxa"/>
            <w:tcBorders>
              <w:left w:val="single" w:sz="2" w:space="0" w:color="auto"/>
              <w:bottom w:val="single" w:sz="2" w:space="0" w:color="auto"/>
            </w:tcBorders>
          </w:tcPr>
          <w:p w:rsidR="00AF2508" w:rsidRDefault="00AF2508">
            <w:pPr>
              <w:pStyle w:val="TableColHd"/>
              <w:rPr>
                <w:sz w:val="16"/>
              </w:rPr>
            </w:pPr>
            <w:r>
              <w:rPr>
                <w:sz w:val="16"/>
              </w:rPr>
              <w:t>select</w:t>
            </w:r>
          </w:p>
        </w:tc>
        <w:tc>
          <w:tcPr>
            <w:tcW w:w="840" w:type="dxa"/>
            <w:tcBorders>
              <w:left w:val="single" w:sz="2" w:space="0" w:color="auto"/>
              <w:bottom w:val="single" w:sz="2" w:space="0" w:color="auto"/>
              <w:right w:val="single" w:sz="2" w:space="0" w:color="auto"/>
            </w:tcBorders>
          </w:tcPr>
          <w:p w:rsidR="00AF2508" w:rsidRDefault="00AF2508">
            <w:pPr>
              <w:pStyle w:val="TableColHd"/>
              <w:rPr>
                <w:sz w:val="16"/>
              </w:rPr>
            </w:pPr>
            <w:r>
              <w:rPr>
                <w:sz w:val="16"/>
              </w:rPr>
              <w:t>ordinary</w:t>
            </w:r>
          </w:p>
        </w:tc>
        <w:tc>
          <w:tcPr>
            <w:tcW w:w="980" w:type="dxa"/>
            <w:vMerge/>
            <w:tcBorders>
              <w:bottom w:val="single" w:sz="2" w:space="0" w:color="auto"/>
            </w:tcBorders>
          </w:tcPr>
          <w:p w:rsidR="00AF2508" w:rsidRDefault="00AF2508">
            <w:pPr>
              <w:pStyle w:val="TableColHd"/>
            </w:pPr>
          </w:p>
        </w:tc>
        <w:tc>
          <w:tcPr>
            <w:tcW w:w="960" w:type="dxa"/>
            <w:vMerge/>
            <w:tcBorders>
              <w:left w:val="single" w:sz="2" w:space="0" w:color="auto"/>
              <w:bottom w:val="single" w:sz="2" w:space="0" w:color="auto"/>
              <w:right w:val="single" w:sz="2" w:space="0" w:color="auto"/>
            </w:tcBorders>
          </w:tcPr>
          <w:p w:rsidR="00AF2508" w:rsidRDefault="00AF2508">
            <w:pPr>
              <w:pStyle w:val="TableColHd"/>
            </w:pPr>
          </w:p>
        </w:tc>
        <w:tc>
          <w:tcPr>
            <w:tcW w:w="1140" w:type="dxa"/>
            <w:vMerge/>
            <w:tcBorders>
              <w:bottom w:val="single" w:sz="2" w:space="0" w:color="auto"/>
            </w:tcBorders>
          </w:tcPr>
          <w:p w:rsidR="00AF2508" w:rsidRDefault="00AF2508">
            <w:pPr>
              <w:pStyle w:val="TableColHd"/>
            </w:pPr>
          </w:p>
        </w:tc>
        <w:tc>
          <w:tcPr>
            <w:tcW w:w="1080" w:type="dxa"/>
            <w:vMerge/>
            <w:tcBorders>
              <w:left w:val="single" w:sz="2" w:space="0" w:color="auto"/>
              <w:bottom w:val="single" w:sz="2" w:space="0" w:color="auto"/>
            </w:tcBorders>
          </w:tcPr>
          <w:p w:rsidR="00AF2508" w:rsidRDefault="00AF2508">
            <w:pPr>
              <w:pStyle w:val="TableColHd"/>
            </w:pPr>
          </w:p>
        </w:tc>
      </w:tr>
      <w:tr w:rsidR="00AF2508">
        <w:trPr>
          <w:cantSplit/>
        </w:trPr>
        <w:tc>
          <w:tcPr>
            <w:tcW w:w="1920" w:type="dxa"/>
            <w:tcBorders>
              <w:top w:val="single" w:sz="2" w:space="0" w:color="auto"/>
            </w:tcBorders>
          </w:tcPr>
          <w:p w:rsidR="00AF2508" w:rsidRDefault="00AF2508">
            <w:pPr>
              <w:pStyle w:val="TableText"/>
              <w:rPr>
                <w:sz w:val="20"/>
              </w:rPr>
            </w:pPr>
            <w:r>
              <w:rPr>
                <w:sz w:val="20"/>
              </w:rPr>
              <w:t>transverse; timber continually dry</w:t>
            </w:r>
          </w:p>
        </w:tc>
        <w:tc>
          <w:tcPr>
            <w:tcW w:w="760" w:type="dxa"/>
            <w:tcBorders>
              <w:top w:val="single" w:sz="2" w:space="0" w:color="auto"/>
              <w:left w:val="single" w:sz="2" w:space="0" w:color="auto"/>
              <w:right w:val="single" w:sz="2" w:space="0" w:color="auto"/>
            </w:tcBorders>
          </w:tcPr>
          <w:p w:rsidR="00AF2508" w:rsidRDefault="00AF2508">
            <w:pPr>
              <w:pStyle w:val="TableText"/>
            </w:pPr>
            <w:r>
              <w:t>2 000</w:t>
            </w:r>
          </w:p>
        </w:tc>
        <w:tc>
          <w:tcPr>
            <w:tcW w:w="840" w:type="dxa"/>
            <w:tcBorders>
              <w:top w:val="single" w:sz="2" w:space="0" w:color="auto"/>
            </w:tcBorders>
          </w:tcPr>
          <w:p w:rsidR="00AF2508" w:rsidRDefault="00AF2508">
            <w:pPr>
              <w:pStyle w:val="TableText"/>
            </w:pPr>
            <w:r>
              <w:t>1 450</w:t>
            </w:r>
          </w:p>
        </w:tc>
        <w:tc>
          <w:tcPr>
            <w:tcW w:w="980" w:type="dxa"/>
            <w:tcBorders>
              <w:top w:val="single" w:sz="2" w:space="0" w:color="auto"/>
              <w:left w:val="single" w:sz="2" w:space="0" w:color="auto"/>
              <w:right w:val="single" w:sz="2" w:space="0" w:color="auto"/>
            </w:tcBorders>
          </w:tcPr>
          <w:p w:rsidR="00AF2508" w:rsidRDefault="00AF2508">
            <w:pPr>
              <w:pStyle w:val="TableText"/>
            </w:pPr>
            <w:r>
              <w:t>6 000</w:t>
            </w:r>
          </w:p>
        </w:tc>
        <w:tc>
          <w:tcPr>
            <w:tcW w:w="960" w:type="dxa"/>
            <w:tcBorders>
              <w:top w:val="single" w:sz="2" w:space="0" w:color="auto"/>
            </w:tcBorders>
          </w:tcPr>
          <w:p w:rsidR="00AF2508" w:rsidRDefault="00AF2508">
            <w:pPr>
              <w:pStyle w:val="TableText"/>
            </w:pPr>
            <w:r>
              <w:t>4 500</w:t>
            </w:r>
          </w:p>
        </w:tc>
        <w:tc>
          <w:tcPr>
            <w:tcW w:w="1140" w:type="dxa"/>
            <w:tcBorders>
              <w:top w:val="single" w:sz="2" w:space="0" w:color="auto"/>
              <w:left w:val="single" w:sz="2" w:space="0" w:color="auto"/>
              <w:right w:val="single" w:sz="2" w:space="0" w:color="auto"/>
            </w:tcBorders>
          </w:tcPr>
          <w:p w:rsidR="00AF2508" w:rsidRDefault="00AF2508">
            <w:pPr>
              <w:pStyle w:val="TableText"/>
            </w:pPr>
            <w:r>
              <w:t>4 000</w:t>
            </w:r>
          </w:p>
        </w:tc>
        <w:tc>
          <w:tcPr>
            <w:tcW w:w="1080" w:type="dxa"/>
            <w:tcBorders>
              <w:top w:val="single" w:sz="2" w:space="0" w:color="auto"/>
            </w:tcBorders>
          </w:tcPr>
          <w:p w:rsidR="00AF2508" w:rsidRDefault="00AF2508">
            <w:pPr>
              <w:pStyle w:val="TableText"/>
            </w:pPr>
            <w:r>
              <w:t>3 000</w:t>
            </w:r>
          </w:p>
        </w:tc>
      </w:tr>
      <w:tr w:rsidR="00AF2508">
        <w:trPr>
          <w:cantSplit/>
        </w:trPr>
        <w:tc>
          <w:tcPr>
            <w:tcW w:w="1920" w:type="dxa"/>
          </w:tcPr>
          <w:p w:rsidR="00AF2508" w:rsidRDefault="00AF2508">
            <w:pPr>
              <w:pStyle w:val="TableText"/>
              <w:rPr>
                <w:sz w:val="20"/>
              </w:rPr>
            </w:pPr>
            <w:r>
              <w:rPr>
                <w:sz w:val="20"/>
              </w:rPr>
              <w:t>transverse; timber occasionally wet but quickly drying</w:t>
            </w:r>
          </w:p>
        </w:tc>
        <w:tc>
          <w:tcPr>
            <w:tcW w:w="760" w:type="dxa"/>
            <w:tcBorders>
              <w:left w:val="single" w:sz="2" w:space="0" w:color="auto"/>
              <w:right w:val="single" w:sz="2" w:space="0" w:color="auto"/>
            </w:tcBorders>
          </w:tcPr>
          <w:p w:rsidR="00AF2508" w:rsidRDefault="00AF2508">
            <w:pPr>
              <w:pStyle w:val="TableText"/>
            </w:pPr>
            <w:r>
              <w:t>1 720</w:t>
            </w:r>
          </w:p>
        </w:tc>
        <w:tc>
          <w:tcPr>
            <w:tcW w:w="840" w:type="dxa"/>
          </w:tcPr>
          <w:p w:rsidR="00AF2508" w:rsidRDefault="00AF2508">
            <w:pPr>
              <w:pStyle w:val="TableText"/>
            </w:pPr>
            <w:r>
              <w:t>1 250</w:t>
            </w:r>
          </w:p>
        </w:tc>
        <w:tc>
          <w:tcPr>
            <w:tcW w:w="980" w:type="dxa"/>
            <w:tcBorders>
              <w:left w:val="single" w:sz="2" w:space="0" w:color="auto"/>
              <w:right w:val="single" w:sz="2" w:space="0" w:color="auto"/>
            </w:tcBorders>
          </w:tcPr>
          <w:p w:rsidR="00AF2508" w:rsidRDefault="00AF2508">
            <w:pPr>
              <w:pStyle w:val="TableText"/>
            </w:pPr>
            <w:r>
              <w:t>5 700</w:t>
            </w:r>
          </w:p>
        </w:tc>
        <w:tc>
          <w:tcPr>
            <w:tcW w:w="960" w:type="dxa"/>
          </w:tcPr>
          <w:p w:rsidR="00AF2508" w:rsidRDefault="00AF2508">
            <w:pPr>
              <w:pStyle w:val="TableText"/>
            </w:pPr>
            <w:r>
              <w:t>4 270</w:t>
            </w:r>
          </w:p>
        </w:tc>
        <w:tc>
          <w:tcPr>
            <w:tcW w:w="1140" w:type="dxa"/>
            <w:tcBorders>
              <w:left w:val="single" w:sz="2" w:space="0" w:color="auto"/>
              <w:right w:val="single" w:sz="2" w:space="0" w:color="auto"/>
            </w:tcBorders>
          </w:tcPr>
          <w:p w:rsidR="00AF2508" w:rsidRDefault="00AF2508">
            <w:pPr>
              <w:pStyle w:val="TableText"/>
            </w:pPr>
            <w:r>
              <w:t>3 800</w:t>
            </w:r>
          </w:p>
        </w:tc>
        <w:tc>
          <w:tcPr>
            <w:tcW w:w="1080" w:type="dxa"/>
          </w:tcPr>
          <w:p w:rsidR="00AF2508" w:rsidRDefault="00AF2508">
            <w:pPr>
              <w:pStyle w:val="TableText"/>
            </w:pPr>
            <w:r>
              <w:t>2 800</w:t>
            </w:r>
          </w:p>
        </w:tc>
      </w:tr>
      <w:tr w:rsidR="00AF2508">
        <w:trPr>
          <w:cantSplit/>
        </w:trPr>
        <w:tc>
          <w:tcPr>
            <w:tcW w:w="1920" w:type="dxa"/>
          </w:tcPr>
          <w:p w:rsidR="00AF2508" w:rsidRDefault="00AF2508">
            <w:pPr>
              <w:pStyle w:val="TableText"/>
              <w:rPr>
                <w:sz w:val="20"/>
              </w:rPr>
            </w:pPr>
            <w:r>
              <w:rPr>
                <w:sz w:val="20"/>
              </w:rPr>
              <w:t>transverse; timber more or less continually wet or damp</w:t>
            </w:r>
          </w:p>
        </w:tc>
        <w:tc>
          <w:tcPr>
            <w:tcW w:w="760" w:type="dxa"/>
            <w:tcBorders>
              <w:left w:val="single" w:sz="2" w:space="0" w:color="auto"/>
              <w:right w:val="single" w:sz="2" w:space="0" w:color="auto"/>
            </w:tcBorders>
          </w:tcPr>
          <w:p w:rsidR="00AF2508" w:rsidRDefault="00AF2508">
            <w:pPr>
              <w:pStyle w:val="TableText"/>
            </w:pPr>
            <w:r>
              <w:t>1 330</w:t>
            </w:r>
          </w:p>
        </w:tc>
        <w:tc>
          <w:tcPr>
            <w:tcW w:w="840" w:type="dxa"/>
          </w:tcPr>
          <w:p w:rsidR="00AF2508" w:rsidRDefault="00AF2508">
            <w:pPr>
              <w:pStyle w:val="TableText"/>
            </w:pPr>
            <w:r>
              <w:t>970</w:t>
            </w:r>
          </w:p>
        </w:tc>
        <w:tc>
          <w:tcPr>
            <w:tcW w:w="980" w:type="dxa"/>
            <w:tcBorders>
              <w:left w:val="single" w:sz="2" w:space="0" w:color="auto"/>
              <w:right w:val="single" w:sz="2" w:space="0" w:color="auto"/>
            </w:tcBorders>
          </w:tcPr>
          <w:p w:rsidR="00AF2508" w:rsidRDefault="00AF2508">
            <w:pPr>
              <w:pStyle w:val="TableText"/>
            </w:pPr>
            <w:r>
              <w:t>5 700</w:t>
            </w:r>
          </w:p>
        </w:tc>
        <w:tc>
          <w:tcPr>
            <w:tcW w:w="960" w:type="dxa"/>
          </w:tcPr>
          <w:p w:rsidR="00AF2508" w:rsidRDefault="00AF2508">
            <w:pPr>
              <w:pStyle w:val="TableText"/>
            </w:pPr>
            <w:r>
              <w:t>4 270</w:t>
            </w:r>
          </w:p>
        </w:tc>
        <w:tc>
          <w:tcPr>
            <w:tcW w:w="1140" w:type="dxa"/>
            <w:tcBorders>
              <w:left w:val="single" w:sz="2" w:space="0" w:color="auto"/>
              <w:right w:val="single" w:sz="2" w:space="0" w:color="auto"/>
            </w:tcBorders>
          </w:tcPr>
          <w:p w:rsidR="00AF2508" w:rsidRDefault="00AF2508">
            <w:pPr>
              <w:pStyle w:val="TableText"/>
            </w:pPr>
            <w:r>
              <w:t>3 800</w:t>
            </w:r>
          </w:p>
        </w:tc>
        <w:tc>
          <w:tcPr>
            <w:tcW w:w="1080" w:type="dxa"/>
          </w:tcPr>
          <w:p w:rsidR="00AF2508" w:rsidRDefault="00AF2508">
            <w:pPr>
              <w:pStyle w:val="TableText"/>
            </w:pPr>
            <w:r>
              <w:t>2 800</w:t>
            </w:r>
          </w:p>
        </w:tc>
      </w:tr>
      <w:tr w:rsidR="00AF2508">
        <w:trPr>
          <w:cantSplit/>
        </w:trPr>
        <w:tc>
          <w:tcPr>
            <w:tcW w:w="1920" w:type="dxa"/>
          </w:tcPr>
          <w:p w:rsidR="00AF2508" w:rsidRDefault="00AF2508">
            <w:pPr>
              <w:pStyle w:val="TableText"/>
              <w:rPr>
                <w:sz w:val="20"/>
              </w:rPr>
            </w:pPr>
            <w:r>
              <w:rPr>
                <w:sz w:val="20"/>
              </w:rPr>
              <w:t>compression; perpendicular to grain; continually dry</w:t>
            </w:r>
          </w:p>
        </w:tc>
        <w:tc>
          <w:tcPr>
            <w:tcW w:w="760" w:type="dxa"/>
            <w:tcBorders>
              <w:left w:val="single" w:sz="2" w:space="0" w:color="auto"/>
              <w:right w:val="single" w:sz="2" w:space="0" w:color="auto"/>
            </w:tcBorders>
          </w:tcPr>
          <w:p w:rsidR="00AF2508" w:rsidRDefault="00AF2508">
            <w:pPr>
              <w:pStyle w:val="TableText"/>
            </w:pPr>
            <w:r>
              <w:t>430</w:t>
            </w:r>
          </w:p>
        </w:tc>
        <w:tc>
          <w:tcPr>
            <w:tcW w:w="840" w:type="dxa"/>
          </w:tcPr>
          <w:p w:rsidR="00AF2508" w:rsidRDefault="00AF2508">
            <w:pPr>
              <w:pStyle w:val="TableText"/>
            </w:pPr>
            <w:r>
              <w:t>390</w:t>
            </w:r>
          </w:p>
        </w:tc>
        <w:tc>
          <w:tcPr>
            <w:tcW w:w="980" w:type="dxa"/>
            <w:tcBorders>
              <w:left w:val="single" w:sz="2" w:space="0" w:color="auto"/>
              <w:right w:val="single" w:sz="2" w:space="0" w:color="auto"/>
            </w:tcBorders>
          </w:tcPr>
          <w:p w:rsidR="00AF2508" w:rsidRDefault="00AF2508">
            <w:pPr>
              <w:pStyle w:val="TableText"/>
            </w:pPr>
            <w:r>
              <w:t>1 000</w:t>
            </w:r>
          </w:p>
        </w:tc>
        <w:tc>
          <w:tcPr>
            <w:tcW w:w="960" w:type="dxa"/>
          </w:tcPr>
          <w:p w:rsidR="00AF2508" w:rsidRDefault="00AF2508">
            <w:pPr>
              <w:pStyle w:val="TableText"/>
            </w:pPr>
            <w:r>
              <w:t>1 000</w:t>
            </w:r>
          </w:p>
        </w:tc>
        <w:tc>
          <w:tcPr>
            <w:tcW w:w="1140" w:type="dxa"/>
            <w:tcBorders>
              <w:left w:val="single" w:sz="2" w:space="0" w:color="auto"/>
              <w:right w:val="single" w:sz="2" w:space="0" w:color="auto"/>
            </w:tcBorders>
          </w:tcPr>
          <w:p w:rsidR="00AF2508" w:rsidRDefault="00AF2508">
            <w:pPr>
              <w:pStyle w:val="TableText"/>
            </w:pPr>
            <w:r>
              <w:t>880</w:t>
            </w:r>
          </w:p>
        </w:tc>
        <w:tc>
          <w:tcPr>
            <w:tcW w:w="1080" w:type="dxa"/>
          </w:tcPr>
          <w:p w:rsidR="00AF2508" w:rsidRDefault="00AF2508">
            <w:pPr>
              <w:pStyle w:val="TableText"/>
            </w:pPr>
            <w:r>
              <w:t>880</w:t>
            </w:r>
          </w:p>
        </w:tc>
      </w:tr>
      <w:tr w:rsidR="00AF2508">
        <w:trPr>
          <w:cantSplit/>
        </w:trPr>
        <w:tc>
          <w:tcPr>
            <w:tcW w:w="1920" w:type="dxa"/>
          </w:tcPr>
          <w:p w:rsidR="00AF2508" w:rsidRDefault="00AF2508">
            <w:pPr>
              <w:pStyle w:val="TableText"/>
              <w:rPr>
                <w:sz w:val="20"/>
              </w:rPr>
            </w:pPr>
            <w:r>
              <w:rPr>
                <w:sz w:val="20"/>
              </w:rPr>
              <w:t>compression; perpendicular to grain; occasionally wet but quickly drying</w:t>
            </w:r>
          </w:p>
        </w:tc>
        <w:tc>
          <w:tcPr>
            <w:tcW w:w="760" w:type="dxa"/>
            <w:tcBorders>
              <w:left w:val="single" w:sz="2" w:space="0" w:color="auto"/>
              <w:right w:val="single" w:sz="2" w:space="0" w:color="auto"/>
            </w:tcBorders>
          </w:tcPr>
          <w:p w:rsidR="00AF2508" w:rsidRDefault="00AF2508">
            <w:pPr>
              <w:pStyle w:val="TableText"/>
            </w:pPr>
            <w:r>
              <w:t>300</w:t>
            </w:r>
          </w:p>
        </w:tc>
        <w:tc>
          <w:tcPr>
            <w:tcW w:w="840" w:type="dxa"/>
          </w:tcPr>
          <w:p w:rsidR="00AF2508" w:rsidRDefault="00AF2508">
            <w:pPr>
              <w:pStyle w:val="TableText"/>
            </w:pPr>
            <w:r>
              <w:t>270</w:t>
            </w:r>
          </w:p>
        </w:tc>
        <w:tc>
          <w:tcPr>
            <w:tcW w:w="980" w:type="dxa"/>
            <w:tcBorders>
              <w:left w:val="single" w:sz="2" w:space="0" w:color="auto"/>
              <w:right w:val="single" w:sz="2" w:space="0" w:color="auto"/>
            </w:tcBorders>
          </w:tcPr>
          <w:p w:rsidR="00AF2508" w:rsidRDefault="00AF2508">
            <w:pPr>
              <w:pStyle w:val="TableText"/>
            </w:pPr>
            <w:r>
              <w:t>1 000</w:t>
            </w:r>
          </w:p>
        </w:tc>
        <w:tc>
          <w:tcPr>
            <w:tcW w:w="960" w:type="dxa"/>
          </w:tcPr>
          <w:p w:rsidR="00AF2508" w:rsidRDefault="00AF2508">
            <w:pPr>
              <w:pStyle w:val="TableText"/>
            </w:pPr>
            <w:r>
              <w:t>1 000</w:t>
            </w:r>
          </w:p>
        </w:tc>
        <w:tc>
          <w:tcPr>
            <w:tcW w:w="1140" w:type="dxa"/>
            <w:tcBorders>
              <w:left w:val="single" w:sz="2" w:space="0" w:color="auto"/>
              <w:right w:val="single" w:sz="2" w:space="0" w:color="auto"/>
            </w:tcBorders>
          </w:tcPr>
          <w:p w:rsidR="00AF2508" w:rsidRDefault="00AF2508">
            <w:pPr>
              <w:pStyle w:val="TableText"/>
            </w:pPr>
            <w:r>
              <w:t>750</w:t>
            </w:r>
          </w:p>
        </w:tc>
        <w:tc>
          <w:tcPr>
            <w:tcW w:w="1080" w:type="dxa"/>
          </w:tcPr>
          <w:p w:rsidR="00AF2508" w:rsidRDefault="00AF2508">
            <w:pPr>
              <w:pStyle w:val="TableText"/>
            </w:pPr>
            <w:r>
              <w:t>750</w:t>
            </w:r>
          </w:p>
        </w:tc>
      </w:tr>
      <w:tr w:rsidR="00AF2508">
        <w:trPr>
          <w:cantSplit/>
        </w:trPr>
        <w:tc>
          <w:tcPr>
            <w:tcW w:w="1920" w:type="dxa"/>
          </w:tcPr>
          <w:p w:rsidR="00AF2508" w:rsidRDefault="00AF2508">
            <w:pPr>
              <w:pStyle w:val="TableText"/>
              <w:rPr>
                <w:sz w:val="20"/>
              </w:rPr>
            </w:pPr>
            <w:r>
              <w:rPr>
                <w:sz w:val="20"/>
              </w:rPr>
              <w:t>compression; perpendicular to grain; timber more or less continually wet or damp</w:t>
            </w:r>
          </w:p>
        </w:tc>
        <w:tc>
          <w:tcPr>
            <w:tcW w:w="760" w:type="dxa"/>
            <w:tcBorders>
              <w:left w:val="single" w:sz="2" w:space="0" w:color="auto"/>
              <w:right w:val="single" w:sz="2" w:space="0" w:color="auto"/>
            </w:tcBorders>
          </w:tcPr>
          <w:p w:rsidR="00AF2508" w:rsidRDefault="00AF2508">
            <w:pPr>
              <w:pStyle w:val="TableText"/>
            </w:pPr>
            <w:r>
              <w:t>270</w:t>
            </w:r>
          </w:p>
        </w:tc>
        <w:tc>
          <w:tcPr>
            <w:tcW w:w="840" w:type="dxa"/>
          </w:tcPr>
          <w:p w:rsidR="00AF2508" w:rsidRDefault="00AF2508">
            <w:pPr>
              <w:pStyle w:val="TableText"/>
            </w:pPr>
            <w:r>
              <w:t>240</w:t>
            </w:r>
          </w:p>
        </w:tc>
        <w:tc>
          <w:tcPr>
            <w:tcW w:w="980" w:type="dxa"/>
            <w:tcBorders>
              <w:left w:val="single" w:sz="2" w:space="0" w:color="auto"/>
              <w:right w:val="single" w:sz="2" w:space="0" w:color="auto"/>
            </w:tcBorders>
          </w:tcPr>
          <w:p w:rsidR="00AF2508" w:rsidRDefault="00AF2508">
            <w:pPr>
              <w:pStyle w:val="TableText"/>
            </w:pPr>
            <w:r>
              <w:t>1 000</w:t>
            </w:r>
          </w:p>
        </w:tc>
        <w:tc>
          <w:tcPr>
            <w:tcW w:w="960" w:type="dxa"/>
          </w:tcPr>
          <w:p w:rsidR="00AF2508" w:rsidRDefault="00AF2508">
            <w:pPr>
              <w:pStyle w:val="TableText"/>
            </w:pPr>
            <w:r>
              <w:t>1 000</w:t>
            </w:r>
          </w:p>
        </w:tc>
        <w:tc>
          <w:tcPr>
            <w:tcW w:w="1140" w:type="dxa"/>
            <w:tcBorders>
              <w:left w:val="single" w:sz="2" w:space="0" w:color="auto"/>
              <w:right w:val="single" w:sz="2" w:space="0" w:color="auto"/>
            </w:tcBorders>
          </w:tcPr>
          <w:p w:rsidR="00AF2508" w:rsidRDefault="00AF2508">
            <w:pPr>
              <w:pStyle w:val="TableText"/>
            </w:pPr>
            <w:r>
              <w:t>750</w:t>
            </w:r>
          </w:p>
        </w:tc>
        <w:tc>
          <w:tcPr>
            <w:tcW w:w="1080" w:type="dxa"/>
          </w:tcPr>
          <w:p w:rsidR="00AF2508" w:rsidRDefault="00AF2508">
            <w:pPr>
              <w:pStyle w:val="TableText"/>
            </w:pPr>
            <w:r>
              <w:t>750</w:t>
            </w:r>
          </w:p>
        </w:tc>
      </w:tr>
      <w:tr w:rsidR="00AF2508">
        <w:trPr>
          <w:cantSplit/>
        </w:trPr>
        <w:tc>
          <w:tcPr>
            <w:tcW w:w="1920" w:type="dxa"/>
          </w:tcPr>
          <w:p w:rsidR="00AF2508" w:rsidRDefault="00AF2508">
            <w:pPr>
              <w:pStyle w:val="TableText"/>
              <w:rPr>
                <w:sz w:val="20"/>
              </w:rPr>
            </w:pPr>
            <w:r>
              <w:rPr>
                <w:sz w:val="20"/>
              </w:rPr>
              <w:t>*longitudinal shear; in flexural members</w:t>
            </w:r>
          </w:p>
        </w:tc>
        <w:tc>
          <w:tcPr>
            <w:tcW w:w="760" w:type="dxa"/>
            <w:tcBorders>
              <w:left w:val="single" w:sz="2" w:space="0" w:color="auto"/>
              <w:right w:val="single" w:sz="2" w:space="0" w:color="auto"/>
            </w:tcBorders>
          </w:tcPr>
          <w:p w:rsidR="00AF2508" w:rsidRDefault="00AF2508">
            <w:pPr>
              <w:pStyle w:val="TableText"/>
            </w:pPr>
            <w:r>
              <w:t>112</w:t>
            </w:r>
          </w:p>
        </w:tc>
        <w:tc>
          <w:tcPr>
            <w:tcW w:w="840" w:type="dxa"/>
          </w:tcPr>
          <w:p w:rsidR="00AF2508" w:rsidRDefault="00AF2508">
            <w:pPr>
              <w:pStyle w:val="TableText"/>
            </w:pPr>
            <w:r>
              <w:t>86</w:t>
            </w:r>
          </w:p>
        </w:tc>
        <w:tc>
          <w:tcPr>
            <w:tcW w:w="980" w:type="dxa"/>
            <w:tcBorders>
              <w:left w:val="single" w:sz="2" w:space="0" w:color="auto"/>
              <w:right w:val="single" w:sz="2" w:space="0" w:color="auto"/>
            </w:tcBorders>
          </w:tcPr>
          <w:p w:rsidR="00AF2508" w:rsidRDefault="00AF2508">
            <w:pPr>
              <w:pStyle w:val="TableText"/>
            </w:pPr>
            <w:r>
              <w:t>340</w:t>
            </w:r>
          </w:p>
        </w:tc>
        <w:tc>
          <w:tcPr>
            <w:tcW w:w="960" w:type="dxa"/>
          </w:tcPr>
          <w:p w:rsidR="00AF2508" w:rsidRDefault="00AF2508">
            <w:pPr>
              <w:pStyle w:val="TableText"/>
            </w:pPr>
            <w:r>
              <w:t>340</w:t>
            </w:r>
          </w:p>
        </w:tc>
        <w:tc>
          <w:tcPr>
            <w:tcW w:w="1140" w:type="dxa"/>
            <w:tcBorders>
              <w:left w:val="single" w:sz="2" w:space="0" w:color="auto"/>
              <w:right w:val="single" w:sz="2" w:space="0" w:color="auto"/>
            </w:tcBorders>
          </w:tcPr>
          <w:p w:rsidR="00AF2508" w:rsidRDefault="00AF2508">
            <w:pPr>
              <w:pStyle w:val="TableText"/>
            </w:pPr>
            <w:r>
              <w:t>300</w:t>
            </w:r>
          </w:p>
        </w:tc>
        <w:tc>
          <w:tcPr>
            <w:tcW w:w="1080" w:type="dxa"/>
          </w:tcPr>
          <w:p w:rsidR="00AF2508" w:rsidRDefault="00AF2508">
            <w:pPr>
              <w:pStyle w:val="TableText"/>
            </w:pPr>
            <w:r>
              <w:t>300</w:t>
            </w:r>
          </w:p>
        </w:tc>
      </w:tr>
      <w:tr w:rsidR="00AF2508">
        <w:trPr>
          <w:cantSplit/>
        </w:trPr>
        <w:tc>
          <w:tcPr>
            <w:tcW w:w="1920" w:type="dxa"/>
          </w:tcPr>
          <w:p w:rsidR="00AF2508" w:rsidRDefault="00AF2508">
            <w:pPr>
              <w:pStyle w:val="TableText"/>
              <w:rPr>
                <w:sz w:val="20"/>
              </w:rPr>
            </w:pPr>
            <w:r>
              <w:rPr>
                <w:sz w:val="20"/>
              </w:rPr>
              <w:t>shearing; parallel to grain</w:t>
            </w:r>
          </w:p>
        </w:tc>
        <w:tc>
          <w:tcPr>
            <w:tcW w:w="760" w:type="dxa"/>
            <w:tcBorders>
              <w:left w:val="single" w:sz="2" w:space="0" w:color="auto"/>
              <w:right w:val="single" w:sz="2" w:space="0" w:color="auto"/>
            </w:tcBorders>
          </w:tcPr>
          <w:p w:rsidR="00AF2508" w:rsidRDefault="00AF2508">
            <w:pPr>
              <w:pStyle w:val="TableText"/>
            </w:pPr>
            <w:r>
              <w:t>230</w:t>
            </w:r>
          </w:p>
        </w:tc>
        <w:tc>
          <w:tcPr>
            <w:tcW w:w="840" w:type="dxa"/>
          </w:tcPr>
          <w:p w:rsidR="00AF2508" w:rsidRDefault="00AF2508">
            <w:pPr>
              <w:pStyle w:val="TableText"/>
            </w:pPr>
            <w:r>
              <w:t>170</w:t>
            </w:r>
          </w:p>
        </w:tc>
        <w:tc>
          <w:tcPr>
            <w:tcW w:w="980" w:type="dxa"/>
            <w:tcBorders>
              <w:left w:val="single" w:sz="2" w:space="0" w:color="auto"/>
              <w:right w:val="single" w:sz="2" w:space="0" w:color="auto"/>
            </w:tcBorders>
          </w:tcPr>
          <w:p w:rsidR="00AF2508" w:rsidRDefault="00AF2508">
            <w:pPr>
              <w:pStyle w:val="TableText"/>
            </w:pPr>
            <w:r>
              <w:t>1 000</w:t>
            </w:r>
          </w:p>
        </w:tc>
        <w:tc>
          <w:tcPr>
            <w:tcW w:w="960" w:type="dxa"/>
          </w:tcPr>
          <w:p w:rsidR="00AF2508" w:rsidRDefault="00AF2508">
            <w:pPr>
              <w:pStyle w:val="TableText"/>
            </w:pPr>
            <w:r>
              <w:t>1 000</w:t>
            </w:r>
          </w:p>
        </w:tc>
        <w:tc>
          <w:tcPr>
            <w:tcW w:w="1140" w:type="dxa"/>
            <w:tcBorders>
              <w:left w:val="single" w:sz="2" w:space="0" w:color="auto"/>
              <w:right w:val="single" w:sz="2" w:space="0" w:color="auto"/>
            </w:tcBorders>
          </w:tcPr>
          <w:p w:rsidR="00AF2508" w:rsidRDefault="00AF2508">
            <w:pPr>
              <w:pStyle w:val="TableText"/>
            </w:pPr>
            <w:r>
              <w:t>750</w:t>
            </w:r>
          </w:p>
        </w:tc>
        <w:tc>
          <w:tcPr>
            <w:tcW w:w="1080" w:type="dxa"/>
          </w:tcPr>
          <w:p w:rsidR="00AF2508" w:rsidRDefault="00AF2508">
            <w:pPr>
              <w:pStyle w:val="TableText"/>
            </w:pPr>
            <w:r>
              <w:t>750</w:t>
            </w:r>
          </w:p>
        </w:tc>
      </w:tr>
      <w:tr w:rsidR="00AF2508">
        <w:trPr>
          <w:cantSplit/>
        </w:trPr>
        <w:tc>
          <w:tcPr>
            <w:tcW w:w="1920" w:type="dxa"/>
            <w:tcBorders>
              <w:right w:val="single" w:sz="2" w:space="0" w:color="auto"/>
            </w:tcBorders>
          </w:tcPr>
          <w:p w:rsidR="00AF2508" w:rsidRDefault="00AF2508">
            <w:pPr>
              <w:pStyle w:val="TableText"/>
              <w:rPr>
                <w:sz w:val="20"/>
              </w:rPr>
            </w:pPr>
            <w:r>
              <w:rPr>
                <w:sz w:val="20"/>
              </w:rPr>
              <w:t>tensile; parallel to grain</w:t>
            </w:r>
          </w:p>
        </w:tc>
        <w:tc>
          <w:tcPr>
            <w:tcW w:w="5760" w:type="dxa"/>
            <w:gridSpan w:val="6"/>
          </w:tcPr>
          <w:p w:rsidR="00AF2508" w:rsidRDefault="00AF2508">
            <w:pPr>
              <w:pStyle w:val="TableText"/>
              <w:rPr>
                <w:sz w:val="20"/>
              </w:rPr>
            </w:pPr>
            <w:r>
              <w:rPr>
                <w:sz w:val="20"/>
              </w:rPr>
              <w:t>may be taken to be of the same values as transverse stresses</w:t>
            </w:r>
          </w:p>
        </w:tc>
      </w:tr>
      <w:tr w:rsidR="00AF2508">
        <w:trPr>
          <w:cantSplit/>
        </w:trPr>
        <w:tc>
          <w:tcPr>
            <w:tcW w:w="1920" w:type="dxa"/>
          </w:tcPr>
          <w:p w:rsidR="00AF2508" w:rsidRDefault="00AF2508">
            <w:pPr>
              <w:pStyle w:val="TableText"/>
              <w:rPr>
                <w:sz w:val="20"/>
              </w:rPr>
            </w:pPr>
            <w:r>
              <w:rPr>
                <w:sz w:val="20"/>
              </w:rPr>
              <w:t>compression; parallel to grain; continually dry</w:t>
            </w:r>
          </w:p>
        </w:tc>
        <w:tc>
          <w:tcPr>
            <w:tcW w:w="760" w:type="dxa"/>
            <w:tcBorders>
              <w:left w:val="single" w:sz="2" w:space="0" w:color="auto"/>
              <w:right w:val="single" w:sz="2" w:space="0" w:color="auto"/>
            </w:tcBorders>
          </w:tcPr>
          <w:p w:rsidR="00AF2508" w:rsidRDefault="00AF2508">
            <w:pPr>
              <w:pStyle w:val="TableText"/>
            </w:pPr>
            <w:r>
              <w:t>1 440</w:t>
            </w:r>
          </w:p>
        </w:tc>
        <w:tc>
          <w:tcPr>
            <w:tcW w:w="840" w:type="dxa"/>
          </w:tcPr>
          <w:p w:rsidR="00AF2508" w:rsidRDefault="00AF2508">
            <w:pPr>
              <w:pStyle w:val="TableText"/>
            </w:pPr>
            <w:r>
              <w:t>1 200</w:t>
            </w:r>
          </w:p>
        </w:tc>
        <w:tc>
          <w:tcPr>
            <w:tcW w:w="980" w:type="dxa"/>
            <w:tcBorders>
              <w:left w:val="single" w:sz="2" w:space="0" w:color="auto"/>
              <w:right w:val="single" w:sz="2" w:space="0" w:color="auto"/>
            </w:tcBorders>
          </w:tcPr>
          <w:p w:rsidR="00AF2508" w:rsidRDefault="00AF2508">
            <w:pPr>
              <w:pStyle w:val="TableText"/>
            </w:pPr>
            <w:r>
              <w:t>4 000</w:t>
            </w:r>
          </w:p>
        </w:tc>
        <w:tc>
          <w:tcPr>
            <w:tcW w:w="960" w:type="dxa"/>
          </w:tcPr>
          <w:p w:rsidR="00AF2508" w:rsidRDefault="00AF2508">
            <w:pPr>
              <w:pStyle w:val="TableText"/>
            </w:pPr>
            <w:r>
              <w:t>3 000</w:t>
            </w:r>
          </w:p>
        </w:tc>
        <w:tc>
          <w:tcPr>
            <w:tcW w:w="1140" w:type="dxa"/>
            <w:tcBorders>
              <w:left w:val="single" w:sz="2" w:space="0" w:color="auto"/>
              <w:right w:val="single" w:sz="2" w:space="0" w:color="auto"/>
            </w:tcBorders>
          </w:tcPr>
          <w:p w:rsidR="00AF2508" w:rsidRDefault="00AF2508">
            <w:pPr>
              <w:pStyle w:val="TableText"/>
            </w:pPr>
            <w:r>
              <w:t>3 600</w:t>
            </w:r>
          </w:p>
        </w:tc>
        <w:tc>
          <w:tcPr>
            <w:tcW w:w="1080" w:type="dxa"/>
          </w:tcPr>
          <w:p w:rsidR="00AF2508" w:rsidRDefault="00AF2508">
            <w:pPr>
              <w:pStyle w:val="TableText"/>
            </w:pPr>
            <w:r>
              <w:t>2 700</w:t>
            </w:r>
          </w:p>
        </w:tc>
      </w:tr>
      <w:tr w:rsidR="00AF2508">
        <w:trPr>
          <w:cantSplit/>
        </w:trPr>
        <w:tc>
          <w:tcPr>
            <w:tcW w:w="1920" w:type="dxa"/>
            <w:tcBorders>
              <w:bottom w:val="single" w:sz="6" w:space="0" w:color="auto"/>
            </w:tcBorders>
          </w:tcPr>
          <w:p w:rsidR="00AF2508" w:rsidRDefault="00AF2508">
            <w:pPr>
              <w:pStyle w:val="TableText"/>
              <w:rPr>
                <w:sz w:val="20"/>
              </w:rPr>
            </w:pPr>
            <w:r>
              <w:rPr>
                <w:sz w:val="20"/>
              </w:rPr>
              <w:t>compression; parallel to grain; occasionally wet but quickly drying</w:t>
            </w:r>
          </w:p>
        </w:tc>
        <w:tc>
          <w:tcPr>
            <w:tcW w:w="760" w:type="dxa"/>
            <w:tcBorders>
              <w:left w:val="single" w:sz="2" w:space="0" w:color="auto"/>
              <w:bottom w:val="single" w:sz="6" w:space="0" w:color="auto"/>
              <w:right w:val="single" w:sz="2" w:space="0" w:color="auto"/>
            </w:tcBorders>
          </w:tcPr>
          <w:p w:rsidR="00AF2508" w:rsidRDefault="00AF2508">
            <w:pPr>
              <w:pStyle w:val="TableText"/>
            </w:pPr>
            <w:r>
              <w:t>1 320</w:t>
            </w:r>
          </w:p>
        </w:tc>
        <w:tc>
          <w:tcPr>
            <w:tcW w:w="840" w:type="dxa"/>
            <w:tcBorders>
              <w:bottom w:val="single" w:sz="6" w:space="0" w:color="auto"/>
            </w:tcBorders>
          </w:tcPr>
          <w:p w:rsidR="00AF2508" w:rsidRDefault="00AF2508">
            <w:pPr>
              <w:pStyle w:val="TableText"/>
            </w:pPr>
            <w:r>
              <w:t>1 080</w:t>
            </w:r>
          </w:p>
        </w:tc>
        <w:tc>
          <w:tcPr>
            <w:tcW w:w="980" w:type="dxa"/>
            <w:tcBorders>
              <w:left w:val="single" w:sz="2" w:space="0" w:color="auto"/>
              <w:bottom w:val="single" w:sz="6" w:space="0" w:color="auto"/>
              <w:right w:val="single" w:sz="2" w:space="0" w:color="auto"/>
            </w:tcBorders>
          </w:tcPr>
          <w:p w:rsidR="00AF2508" w:rsidRDefault="00AF2508">
            <w:pPr>
              <w:pStyle w:val="TableText"/>
            </w:pPr>
            <w:r>
              <w:t>3 800</w:t>
            </w:r>
          </w:p>
        </w:tc>
        <w:tc>
          <w:tcPr>
            <w:tcW w:w="960" w:type="dxa"/>
            <w:tcBorders>
              <w:bottom w:val="single" w:sz="6" w:space="0" w:color="auto"/>
            </w:tcBorders>
          </w:tcPr>
          <w:p w:rsidR="00AF2508" w:rsidRDefault="00AF2508">
            <w:pPr>
              <w:pStyle w:val="TableText"/>
            </w:pPr>
            <w:r>
              <w:t>2 800</w:t>
            </w:r>
          </w:p>
        </w:tc>
        <w:tc>
          <w:tcPr>
            <w:tcW w:w="1140" w:type="dxa"/>
            <w:tcBorders>
              <w:left w:val="single" w:sz="2" w:space="0" w:color="auto"/>
              <w:bottom w:val="single" w:sz="6" w:space="0" w:color="auto"/>
              <w:right w:val="single" w:sz="2" w:space="0" w:color="auto"/>
            </w:tcBorders>
          </w:tcPr>
          <w:p w:rsidR="00AF2508" w:rsidRDefault="00AF2508">
            <w:pPr>
              <w:pStyle w:val="TableText"/>
            </w:pPr>
            <w:r>
              <w:t>3 400</w:t>
            </w:r>
          </w:p>
        </w:tc>
        <w:tc>
          <w:tcPr>
            <w:tcW w:w="1080" w:type="dxa"/>
            <w:tcBorders>
              <w:bottom w:val="single" w:sz="6" w:space="0" w:color="auto"/>
            </w:tcBorders>
          </w:tcPr>
          <w:p w:rsidR="00AF2508" w:rsidRDefault="00AF2508">
            <w:pPr>
              <w:pStyle w:val="TableText"/>
            </w:pPr>
            <w:r>
              <w:t>2 500</w:t>
            </w:r>
          </w:p>
        </w:tc>
      </w:tr>
    </w:tbl>
    <w:p w:rsidR="00AF2508" w:rsidRDefault="00AF2508">
      <w:pPr>
        <w:spacing w:before="60"/>
        <w:ind w:left="399" w:hanging="399"/>
        <w:rPr>
          <w:sz w:val="20"/>
        </w:rPr>
      </w:pPr>
      <w:r>
        <w:rPr>
          <w:sz w:val="20"/>
        </w:rPr>
        <w:t>*</w:t>
      </w:r>
      <w:r>
        <w:rPr>
          <w:sz w:val="20"/>
        </w:rPr>
        <w:tab/>
        <w:t>Generally termed ‘horizontal shear’.</w:t>
      </w:r>
    </w:p>
    <w:p w:rsidR="00AF2508" w:rsidRDefault="00AF2508">
      <w:pPr>
        <w:spacing w:before="60"/>
        <w:ind w:left="399" w:hanging="399"/>
        <w:rPr>
          <w:sz w:val="20"/>
        </w:rPr>
      </w:pPr>
      <w:r>
        <w:rPr>
          <w:sz w:val="20"/>
        </w:rPr>
        <w:t>†</w:t>
      </w:r>
      <w:r>
        <w:rPr>
          <w:sz w:val="20"/>
        </w:rPr>
        <w:tab/>
      </w:r>
      <w:r>
        <w:rPr>
          <w:rStyle w:val="charItals"/>
          <w:sz w:val="20"/>
        </w:rPr>
        <w:t>Hardwood</w:t>
      </w:r>
      <w:r>
        <w:rPr>
          <w:sz w:val="20"/>
        </w:rPr>
        <w:t xml:space="preserve"> includes only Australian hardwoods of approximately the same strength and reliability as spotted gum.</w:t>
      </w:r>
    </w:p>
    <w:p w:rsidR="00AF2508" w:rsidRDefault="00AF2508"/>
    <w:p w:rsidR="00AF2508" w:rsidRDefault="00AF2508">
      <w:pPr>
        <w:pStyle w:val="Amain"/>
      </w:pPr>
      <w:r>
        <w:tab/>
        <w:t>(3)</w:t>
      </w:r>
      <w:r>
        <w:tab/>
        <w:t>Table 126.1 applies if more specific provision is not made in this regulation.</w:t>
      </w:r>
    </w:p>
    <w:p w:rsidR="00AF2508" w:rsidRDefault="00AF2508">
      <w:pPr>
        <w:pStyle w:val="Amain"/>
      </w:pPr>
      <w:r>
        <w:tab/>
        <w:t>(4)</w:t>
      </w:r>
      <w:r>
        <w:tab/>
        <w:t>If the member, component, part or attachment is of any other material, the stress imposed or developed in it shall not exceed that prescribed by section 122 (4) to (23), and amplified in relation to certain commonly used materials by table 126.2:</w:t>
      </w:r>
    </w:p>
    <w:p w:rsidR="00AF2508" w:rsidRDefault="00AF2508">
      <w:pPr>
        <w:pStyle w:val="02Text"/>
        <w:sectPr w:rsidR="00AF2508">
          <w:headerReference w:type="even" r:id="rId41"/>
          <w:headerReference w:type="default" r:id="rId42"/>
          <w:footerReference w:type="even" r:id="rId43"/>
          <w:footerReference w:type="default" r:id="rId44"/>
          <w:footerReference w:type="first" r:id="rId45"/>
          <w:pgSz w:w="11907" w:h="16839" w:code="9"/>
          <w:pgMar w:top="3087" w:right="1900" w:bottom="2500" w:left="2300" w:header="2480" w:footer="2100" w:gutter="0"/>
          <w:cols w:space="720"/>
          <w:docGrid w:linePitch="254"/>
        </w:sectPr>
      </w:pPr>
    </w:p>
    <w:p w:rsidR="00AF2508" w:rsidRDefault="00AF2508">
      <w:pPr>
        <w:pStyle w:val="TableHd"/>
        <w:ind w:left="1482" w:hanging="1482"/>
      </w:pPr>
      <w:r>
        <w:t>Table 126.2</w:t>
      </w:r>
      <w:r>
        <w:tab/>
        <w:t>Physical properties of materials</w:t>
      </w:r>
    </w:p>
    <w:tbl>
      <w:tblPr>
        <w:tblW w:w="0" w:type="auto"/>
        <w:tblLayout w:type="fixed"/>
        <w:tblCellMar>
          <w:left w:w="80" w:type="dxa"/>
          <w:right w:w="80" w:type="dxa"/>
        </w:tblCellMar>
        <w:tblLook w:val="0000" w:firstRow="0" w:lastRow="0" w:firstColumn="0" w:lastColumn="0" w:noHBand="0" w:noVBand="0"/>
      </w:tblPr>
      <w:tblGrid>
        <w:gridCol w:w="3860"/>
        <w:gridCol w:w="900"/>
        <w:gridCol w:w="720"/>
        <w:gridCol w:w="1080"/>
        <w:gridCol w:w="1020"/>
        <w:gridCol w:w="1080"/>
        <w:gridCol w:w="1040"/>
        <w:gridCol w:w="1560"/>
      </w:tblGrid>
      <w:tr w:rsidR="00AF2508">
        <w:trPr>
          <w:cantSplit/>
          <w:tblHeader/>
        </w:trPr>
        <w:tc>
          <w:tcPr>
            <w:tcW w:w="3860" w:type="dxa"/>
            <w:tcBorders>
              <w:top w:val="single" w:sz="6" w:space="0" w:color="auto"/>
            </w:tcBorders>
          </w:tcPr>
          <w:p w:rsidR="00AF2508" w:rsidRDefault="00AF2508">
            <w:pPr>
              <w:pStyle w:val="TableColHd"/>
            </w:pPr>
          </w:p>
        </w:tc>
        <w:tc>
          <w:tcPr>
            <w:tcW w:w="1620" w:type="dxa"/>
            <w:gridSpan w:val="2"/>
            <w:tcBorders>
              <w:top w:val="single" w:sz="6" w:space="0" w:color="auto"/>
              <w:left w:val="single" w:sz="2" w:space="0" w:color="auto"/>
              <w:bottom w:val="single" w:sz="2" w:space="0" w:color="auto"/>
              <w:right w:val="single" w:sz="2" w:space="0" w:color="auto"/>
            </w:tcBorders>
          </w:tcPr>
          <w:p w:rsidR="00AF2508" w:rsidRDefault="00AF2508">
            <w:pPr>
              <w:pStyle w:val="TableColHd"/>
            </w:pPr>
            <w:r>
              <w:rPr>
                <w:position w:val="4"/>
                <w:sz w:val="14"/>
              </w:rPr>
              <w:t>1</w:t>
            </w:r>
            <w:r>
              <w:t>/</w:t>
            </w:r>
            <w:r>
              <w:rPr>
                <w:sz w:val="14"/>
              </w:rPr>
              <w:t>10</w:t>
            </w:r>
            <w:r>
              <w:t xml:space="preserve"> of 1% proof stress (t/in</w:t>
            </w:r>
            <w:r>
              <w:rPr>
                <w:vertAlign w:val="superscript"/>
              </w:rPr>
              <w:t>2</w:t>
            </w:r>
            <w:r>
              <w:t>)</w:t>
            </w:r>
          </w:p>
        </w:tc>
        <w:tc>
          <w:tcPr>
            <w:tcW w:w="2100" w:type="dxa"/>
            <w:gridSpan w:val="2"/>
            <w:tcBorders>
              <w:top w:val="single" w:sz="6" w:space="0" w:color="auto"/>
              <w:left w:val="single" w:sz="2" w:space="0" w:color="auto"/>
              <w:bottom w:val="single" w:sz="2" w:space="0" w:color="auto"/>
              <w:right w:val="single" w:sz="2" w:space="0" w:color="auto"/>
            </w:tcBorders>
          </w:tcPr>
          <w:p w:rsidR="00AF2508" w:rsidRDefault="00AF2508">
            <w:pPr>
              <w:pStyle w:val="TableColHd"/>
            </w:pPr>
            <w:r>
              <w:rPr>
                <w:position w:val="4"/>
                <w:sz w:val="14"/>
              </w:rPr>
              <w:t>1</w:t>
            </w:r>
            <w:r>
              <w:t>/</w:t>
            </w:r>
            <w:r>
              <w:rPr>
                <w:sz w:val="14"/>
              </w:rPr>
              <w:t>2</w:t>
            </w:r>
            <w:r>
              <w:t xml:space="preserve"> endurance range for average stress zero (t/in</w:t>
            </w:r>
            <w:r>
              <w:rPr>
                <w:vertAlign w:val="superscript"/>
              </w:rPr>
              <w:t>2</w:t>
            </w:r>
            <w:r>
              <w:t>)</w:t>
            </w:r>
          </w:p>
        </w:tc>
        <w:tc>
          <w:tcPr>
            <w:tcW w:w="1080" w:type="dxa"/>
            <w:vMerge w:val="restart"/>
            <w:tcBorders>
              <w:top w:val="single" w:sz="6" w:space="0" w:color="auto"/>
              <w:left w:val="single" w:sz="2" w:space="0" w:color="auto"/>
              <w:right w:val="single" w:sz="2" w:space="0" w:color="auto"/>
            </w:tcBorders>
          </w:tcPr>
          <w:p w:rsidR="00AF2508" w:rsidRDefault="00AF2508">
            <w:pPr>
              <w:pStyle w:val="TableColHd"/>
            </w:pPr>
            <w:r>
              <w:t>modulus of elasticity (t/in</w:t>
            </w:r>
            <w:r>
              <w:rPr>
                <w:vertAlign w:val="superscript"/>
              </w:rPr>
              <w:t>2</w:t>
            </w:r>
            <w:r>
              <w:t>)</w:t>
            </w:r>
          </w:p>
        </w:tc>
        <w:tc>
          <w:tcPr>
            <w:tcW w:w="1040" w:type="dxa"/>
            <w:vMerge w:val="restart"/>
            <w:tcBorders>
              <w:top w:val="single" w:sz="6" w:space="0" w:color="auto"/>
              <w:left w:val="single" w:sz="2" w:space="0" w:color="auto"/>
              <w:right w:val="single" w:sz="2" w:space="0" w:color="auto"/>
            </w:tcBorders>
          </w:tcPr>
          <w:p w:rsidR="00AF2508" w:rsidRDefault="00AF2508">
            <w:pPr>
              <w:pStyle w:val="TableColHd"/>
            </w:pPr>
            <w:r>
              <w:t>modulus of rigidity (t/in</w:t>
            </w:r>
            <w:r>
              <w:rPr>
                <w:vertAlign w:val="superscript"/>
              </w:rPr>
              <w:t>2</w:t>
            </w:r>
            <w:r>
              <w:t>)</w:t>
            </w:r>
          </w:p>
        </w:tc>
        <w:tc>
          <w:tcPr>
            <w:tcW w:w="1560" w:type="dxa"/>
            <w:vMerge w:val="restart"/>
            <w:tcBorders>
              <w:top w:val="single" w:sz="6" w:space="0" w:color="auto"/>
            </w:tcBorders>
          </w:tcPr>
          <w:p w:rsidR="00AF2508" w:rsidRDefault="00AF2508">
            <w:pPr>
              <w:pStyle w:val="TableColHd"/>
            </w:pPr>
            <w:r>
              <w:t>minimum nominal ultimate tensile strength (t/in</w:t>
            </w:r>
            <w:r>
              <w:rPr>
                <w:vertAlign w:val="superscript"/>
              </w:rPr>
              <w:t>2</w:t>
            </w:r>
            <w:r>
              <w:t>)</w:t>
            </w:r>
          </w:p>
        </w:tc>
      </w:tr>
      <w:tr w:rsidR="00AF2508">
        <w:trPr>
          <w:cantSplit/>
          <w:tblHeader/>
        </w:trPr>
        <w:tc>
          <w:tcPr>
            <w:tcW w:w="3860" w:type="dxa"/>
            <w:tcBorders>
              <w:bottom w:val="single" w:sz="2" w:space="0" w:color="auto"/>
            </w:tcBorders>
          </w:tcPr>
          <w:p w:rsidR="00AF2508" w:rsidRDefault="00AF2508">
            <w:pPr>
              <w:pStyle w:val="TableColHd"/>
            </w:pPr>
            <w:r>
              <w:t>material</w:t>
            </w:r>
          </w:p>
        </w:tc>
        <w:tc>
          <w:tcPr>
            <w:tcW w:w="900" w:type="dxa"/>
            <w:tcBorders>
              <w:left w:val="single" w:sz="2" w:space="0" w:color="auto"/>
              <w:bottom w:val="single" w:sz="2" w:space="0" w:color="auto"/>
            </w:tcBorders>
          </w:tcPr>
          <w:p w:rsidR="00AF2508" w:rsidRDefault="00AF2508">
            <w:pPr>
              <w:pStyle w:val="TableColHd"/>
              <w:rPr>
                <w:sz w:val="16"/>
              </w:rPr>
            </w:pPr>
            <w:r>
              <w:rPr>
                <w:sz w:val="16"/>
              </w:rPr>
              <w:t>tensile</w:t>
            </w:r>
          </w:p>
        </w:tc>
        <w:tc>
          <w:tcPr>
            <w:tcW w:w="720" w:type="dxa"/>
            <w:tcBorders>
              <w:bottom w:val="single" w:sz="2" w:space="0" w:color="auto"/>
              <w:right w:val="single" w:sz="2" w:space="0" w:color="auto"/>
            </w:tcBorders>
          </w:tcPr>
          <w:p w:rsidR="00AF2508" w:rsidRDefault="00AF2508">
            <w:pPr>
              <w:pStyle w:val="TableColHd"/>
              <w:rPr>
                <w:sz w:val="16"/>
              </w:rPr>
            </w:pPr>
            <w:r>
              <w:rPr>
                <w:sz w:val="16"/>
              </w:rPr>
              <w:t>shear</w:t>
            </w:r>
          </w:p>
        </w:tc>
        <w:tc>
          <w:tcPr>
            <w:tcW w:w="1080" w:type="dxa"/>
            <w:tcBorders>
              <w:left w:val="single" w:sz="2" w:space="0" w:color="auto"/>
              <w:bottom w:val="single" w:sz="2" w:space="0" w:color="auto"/>
              <w:right w:val="single" w:sz="2" w:space="0" w:color="auto"/>
            </w:tcBorders>
          </w:tcPr>
          <w:p w:rsidR="00AF2508" w:rsidRDefault="00AF2508">
            <w:pPr>
              <w:pStyle w:val="TableColHd"/>
              <w:rPr>
                <w:sz w:val="16"/>
              </w:rPr>
            </w:pPr>
            <w:r>
              <w:rPr>
                <w:sz w:val="16"/>
              </w:rPr>
              <w:t>transverse*</w:t>
            </w:r>
          </w:p>
        </w:tc>
        <w:tc>
          <w:tcPr>
            <w:tcW w:w="1020" w:type="dxa"/>
            <w:tcBorders>
              <w:left w:val="single" w:sz="2" w:space="0" w:color="auto"/>
              <w:bottom w:val="single" w:sz="2" w:space="0" w:color="auto"/>
              <w:right w:val="single" w:sz="2" w:space="0" w:color="auto"/>
            </w:tcBorders>
          </w:tcPr>
          <w:p w:rsidR="00AF2508" w:rsidRDefault="00AF2508">
            <w:pPr>
              <w:pStyle w:val="TableColHd"/>
              <w:rPr>
                <w:sz w:val="16"/>
              </w:rPr>
            </w:pPr>
            <w:r>
              <w:rPr>
                <w:sz w:val="16"/>
              </w:rPr>
              <w:t>torsional†</w:t>
            </w:r>
          </w:p>
        </w:tc>
        <w:tc>
          <w:tcPr>
            <w:tcW w:w="1080" w:type="dxa"/>
            <w:vMerge/>
            <w:tcBorders>
              <w:left w:val="single" w:sz="2" w:space="0" w:color="auto"/>
              <w:bottom w:val="single" w:sz="2" w:space="0" w:color="auto"/>
              <w:right w:val="single" w:sz="2" w:space="0" w:color="auto"/>
            </w:tcBorders>
          </w:tcPr>
          <w:p w:rsidR="00AF2508" w:rsidRDefault="00AF2508">
            <w:pPr>
              <w:rPr>
                <w:sz w:val="18"/>
              </w:rPr>
            </w:pPr>
          </w:p>
        </w:tc>
        <w:tc>
          <w:tcPr>
            <w:tcW w:w="1040" w:type="dxa"/>
            <w:vMerge/>
            <w:tcBorders>
              <w:left w:val="single" w:sz="2" w:space="0" w:color="auto"/>
              <w:bottom w:val="single" w:sz="2" w:space="0" w:color="auto"/>
              <w:right w:val="single" w:sz="2" w:space="0" w:color="auto"/>
            </w:tcBorders>
          </w:tcPr>
          <w:p w:rsidR="00AF2508" w:rsidRDefault="00AF2508">
            <w:pPr>
              <w:rPr>
                <w:sz w:val="18"/>
              </w:rPr>
            </w:pPr>
          </w:p>
        </w:tc>
        <w:tc>
          <w:tcPr>
            <w:tcW w:w="1560" w:type="dxa"/>
            <w:vMerge/>
            <w:tcBorders>
              <w:bottom w:val="single" w:sz="2" w:space="0" w:color="auto"/>
            </w:tcBorders>
          </w:tcPr>
          <w:p w:rsidR="00AF2508" w:rsidRDefault="00AF2508">
            <w:pPr>
              <w:jc w:val="right"/>
              <w:rPr>
                <w:sz w:val="18"/>
              </w:rPr>
            </w:pPr>
          </w:p>
        </w:tc>
      </w:tr>
      <w:tr w:rsidR="00AF2508">
        <w:trPr>
          <w:cantSplit/>
        </w:trPr>
        <w:tc>
          <w:tcPr>
            <w:tcW w:w="3860" w:type="dxa"/>
            <w:tcBorders>
              <w:top w:val="single" w:sz="2" w:space="0" w:color="auto"/>
            </w:tcBorders>
          </w:tcPr>
          <w:p w:rsidR="00AF2508" w:rsidRDefault="00AF2508">
            <w:pPr>
              <w:pStyle w:val="TableText"/>
              <w:rPr>
                <w:sz w:val="20"/>
              </w:rPr>
            </w:pPr>
            <w:r>
              <w:rPr>
                <w:sz w:val="20"/>
              </w:rPr>
              <w:t>mild steel</w:t>
            </w:r>
          </w:p>
        </w:tc>
        <w:tc>
          <w:tcPr>
            <w:tcW w:w="900" w:type="dxa"/>
            <w:tcBorders>
              <w:top w:val="single" w:sz="2" w:space="0" w:color="auto"/>
              <w:left w:val="single" w:sz="2" w:space="0" w:color="auto"/>
            </w:tcBorders>
          </w:tcPr>
          <w:p w:rsidR="00AF2508" w:rsidRDefault="00AF2508">
            <w:pPr>
              <w:pStyle w:val="TableText"/>
            </w:pPr>
            <w:r>
              <w:t>17</w:t>
            </w:r>
          </w:p>
        </w:tc>
        <w:tc>
          <w:tcPr>
            <w:tcW w:w="720" w:type="dxa"/>
            <w:tcBorders>
              <w:top w:val="single" w:sz="2" w:space="0" w:color="auto"/>
              <w:right w:val="single" w:sz="2" w:space="0" w:color="auto"/>
            </w:tcBorders>
          </w:tcPr>
          <w:p w:rsidR="00AF2508" w:rsidRDefault="00AF2508">
            <w:pPr>
              <w:pStyle w:val="TableText"/>
            </w:pPr>
            <w:r>
              <w:t>10.2</w:t>
            </w:r>
          </w:p>
        </w:tc>
        <w:tc>
          <w:tcPr>
            <w:tcW w:w="1080" w:type="dxa"/>
            <w:tcBorders>
              <w:top w:val="single" w:sz="2" w:space="0" w:color="auto"/>
              <w:left w:val="single" w:sz="2" w:space="0" w:color="auto"/>
              <w:right w:val="single" w:sz="2" w:space="0" w:color="auto"/>
            </w:tcBorders>
          </w:tcPr>
          <w:p w:rsidR="00AF2508" w:rsidRDefault="00AF2508">
            <w:pPr>
              <w:pStyle w:val="TableText"/>
            </w:pPr>
            <w:r>
              <w:t>12.5</w:t>
            </w:r>
          </w:p>
        </w:tc>
        <w:tc>
          <w:tcPr>
            <w:tcW w:w="1020" w:type="dxa"/>
            <w:tcBorders>
              <w:top w:val="single" w:sz="2" w:space="0" w:color="auto"/>
              <w:left w:val="single" w:sz="2" w:space="0" w:color="auto"/>
              <w:right w:val="single" w:sz="2" w:space="0" w:color="auto"/>
            </w:tcBorders>
          </w:tcPr>
          <w:p w:rsidR="00AF2508" w:rsidRDefault="00AF2508">
            <w:pPr>
              <w:pStyle w:val="TableText"/>
            </w:pPr>
            <w:r>
              <w:t>6.3</w:t>
            </w:r>
          </w:p>
        </w:tc>
        <w:tc>
          <w:tcPr>
            <w:tcW w:w="1080" w:type="dxa"/>
            <w:tcBorders>
              <w:top w:val="single" w:sz="2" w:space="0" w:color="auto"/>
              <w:left w:val="single" w:sz="2" w:space="0" w:color="auto"/>
              <w:right w:val="single" w:sz="2" w:space="0" w:color="auto"/>
            </w:tcBorders>
          </w:tcPr>
          <w:p w:rsidR="00AF2508" w:rsidRDefault="00AF2508">
            <w:pPr>
              <w:pStyle w:val="TableText"/>
            </w:pPr>
            <w:r>
              <w:t>13 000</w:t>
            </w:r>
          </w:p>
        </w:tc>
        <w:tc>
          <w:tcPr>
            <w:tcW w:w="1040" w:type="dxa"/>
            <w:tcBorders>
              <w:top w:val="single" w:sz="2" w:space="0" w:color="auto"/>
              <w:left w:val="single" w:sz="2" w:space="0" w:color="auto"/>
              <w:right w:val="single" w:sz="2" w:space="0" w:color="auto"/>
            </w:tcBorders>
          </w:tcPr>
          <w:p w:rsidR="00AF2508" w:rsidRDefault="00AF2508">
            <w:pPr>
              <w:pStyle w:val="TableText"/>
            </w:pPr>
            <w:r>
              <w:t>5 200</w:t>
            </w:r>
          </w:p>
        </w:tc>
        <w:tc>
          <w:tcPr>
            <w:tcW w:w="1560" w:type="dxa"/>
            <w:tcBorders>
              <w:top w:val="single" w:sz="2" w:space="0" w:color="auto"/>
            </w:tcBorders>
          </w:tcPr>
          <w:p w:rsidR="00AF2508" w:rsidRDefault="00AF2508">
            <w:pPr>
              <w:pStyle w:val="TableText"/>
            </w:pPr>
            <w:r>
              <w:t>28</w:t>
            </w:r>
          </w:p>
        </w:tc>
      </w:tr>
      <w:tr w:rsidR="00AF2508">
        <w:trPr>
          <w:cantSplit/>
        </w:trPr>
        <w:tc>
          <w:tcPr>
            <w:tcW w:w="3860" w:type="dxa"/>
          </w:tcPr>
          <w:p w:rsidR="00AF2508" w:rsidRDefault="00AF2508">
            <w:pPr>
              <w:pStyle w:val="TableText"/>
              <w:rPr>
                <w:sz w:val="20"/>
              </w:rPr>
            </w:pPr>
            <w:r>
              <w:rPr>
                <w:sz w:val="20"/>
              </w:rPr>
              <w:t>high tensile structural steel conforming to British Standard Specification No 548—1934</w:t>
            </w:r>
          </w:p>
        </w:tc>
        <w:tc>
          <w:tcPr>
            <w:tcW w:w="900" w:type="dxa"/>
            <w:tcBorders>
              <w:left w:val="single" w:sz="2" w:space="0" w:color="auto"/>
            </w:tcBorders>
          </w:tcPr>
          <w:p w:rsidR="00AF2508" w:rsidRDefault="00AF2508">
            <w:pPr>
              <w:pStyle w:val="TableText"/>
            </w:pPr>
            <w:r>
              <w:t>20</w:t>
            </w:r>
          </w:p>
        </w:tc>
        <w:tc>
          <w:tcPr>
            <w:tcW w:w="720" w:type="dxa"/>
            <w:tcBorders>
              <w:right w:val="single" w:sz="2" w:space="0" w:color="auto"/>
            </w:tcBorders>
          </w:tcPr>
          <w:p w:rsidR="00AF2508" w:rsidRDefault="00AF2508">
            <w:pPr>
              <w:pStyle w:val="TableText"/>
            </w:pPr>
            <w:r>
              <w:t>12</w:t>
            </w:r>
          </w:p>
        </w:tc>
        <w:tc>
          <w:tcPr>
            <w:tcW w:w="1080" w:type="dxa"/>
            <w:tcBorders>
              <w:left w:val="single" w:sz="2" w:space="0" w:color="auto"/>
              <w:right w:val="single" w:sz="2" w:space="0" w:color="auto"/>
            </w:tcBorders>
          </w:tcPr>
          <w:p w:rsidR="00AF2508" w:rsidRDefault="00AF2508">
            <w:pPr>
              <w:pStyle w:val="TableText"/>
            </w:pPr>
            <w:r>
              <w:t>15</w:t>
            </w:r>
          </w:p>
        </w:tc>
        <w:tc>
          <w:tcPr>
            <w:tcW w:w="1020" w:type="dxa"/>
            <w:tcBorders>
              <w:left w:val="single" w:sz="2" w:space="0" w:color="auto"/>
              <w:right w:val="single" w:sz="2" w:space="0" w:color="auto"/>
            </w:tcBorders>
          </w:tcPr>
          <w:p w:rsidR="00AF2508" w:rsidRDefault="00AF2508">
            <w:pPr>
              <w:pStyle w:val="TableText"/>
            </w:pPr>
            <w:r>
              <w:t>7.5</w:t>
            </w:r>
          </w:p>
        </w:tc>
        <w:tc>
          <w:tcPr>
            <w:tcW w:w="1080" w:type="dxa"/>
            <w:tcBorders>
              <w:left w:val="single" w:sz="2" w:space="0" w:color="auto"/>
              <w:right w:val="single" w:sz="2" w:space="0" w:color="auto"/>
            </w:tcBorders>
          </w:tcPr>
          <w:p w:rsidR="00AF2508" w:rsidRDefault="00AF2508">
            <w:pPr>
              <w:pStyle w:val="TableText"/>
            </w:pPr>
            <w:r>
              <w:t xml:space="preserve">13 000 </w:t>
            </w:r>
          </w:p>
        </w:tc>
        <w:tc>
          <w:tcPr>
            <w:tcW w:w="1040" w:type="dxa"/>
            <w:tcBorders>
              <w:left w:val="single" w:sz="2" w:space="0" w:color="auto"/>
              <w:right w:val="single" w:sz="2" w:space="0" w:color="auto"/>
            </w:tcBorders>
          </w:tcPr>
          <w:p w:rsidR="00AF2508" w:rsidRDefault="00AF2508">
            <w:pPr>
              <w:pStyle w:val="TableText"/>
            </w:pPr>
            <w:r>
              <w:t>5 200</w:t>
            </w:r>
          </w:p>
        </w:tc>
        <w:tc>
          <w:tcPr>
            <w:tcW w:w="1560" w:type="dxa"/>
          </w:tcPr>
          <w:p w:rsidR="00AF2508" w:rsidRDefault="00AF2508">
            <w:pPr>
              <w:pStyle w:val="TableText"/>
            </w:pPr>
            <w:r>
              <w:t>37</w:t>
            </w:r>
          </w:p>
        </w:tc>
      </w:tr>
      <w:tr w:rsidR="00AF2508">
        <w:trPr>
          <w:cantSplit/>
        </w:trPr>
        <w:tc>
          <w:tcPr>
            <w:tcW w:w="3860" w:type="dxa"/>
          </w:tcPr>
          <w:p w:rsidR="00AF2508" w:rsidRDefault="00AF2508">
            <w:pPr>
              <w:pStyle w:val="TableText"/>
              <w:rPr>
                <w:sz w:val="20"/>
              </w:rPr>
            </w:pPr>
            <w:r>
              <w:rPr>
                <w:sz w:val="20"/>
              </w:rPr>
              <w:t>high tensile structural steel conforming to British Standard Specification No 968—1941</w:t>
            </w:r>
          </w:p>
        </w:tc>
        <w:tc>
          <w:tcPr>
            <w:tcW w:w="900" w:type="dxa"/>
            <w:tcBorders>
              <w:left w:val="single" w:sz="2" w:space="0" w:color="auto"/>
            </w:tcBorders>
          </w:tcPr>
          <w:p w:rsidR="00AF2508" w:rsidRDefault="00AF2508">
            <w:pPr>
              <w:pStyle w:val="TableText"/>
            </w:pPr>
            <w:r>
              <w:t>18</w:t>
            </w:r>
          </w:p>
        </w:tc>
        <w:tc>
          <w:tcPr>
            <w:tcW w:w="720" w:type="dxa"/>
            <w:tcBorders>
              <w:right w:val="single" w:sz="2" w:space="0" w:color="auto"/>
            </w:tcBorders>
          </w:tcPr>
          <w:p w:rsidR="00AF2508" w:rsidRDefault="00AF2508">
            <w:pPr>
              <w:pStyle w:val="TableText"/>
            </w:pPr>
            <w:r>
              <w:t>10.8</w:t>
            </w:r>
          </w:p>
        </w:tc>
        <w:tc>
          <w:tcPr>
            <w:tcW w:w="1080" w:type="dxa"/>
            <w:tcBorders>
              <w:left w:val="single" w:sz="2" w:space="0" w:color="auto"/>
              <w:right w:val="single" w:sz="2" w:space="0" w:color="auto"/>
            </w:tcBorders>
          </w:tcPr>
          <w:p w:rsidR="00AF2508" w:rsidRDefault="00AF2508">
            <w:pPr>
              <w:pStyle w:val="TableText"/>
            </w:pPr>
            <w:r>
              <w:t>13.25</w:t>
            </w:r>
          </w:p>
        </w:tc>
        <w:tc>
          <w:tcPr>
            <w:tcW w:w="1020" w:type="dxa"/>
            <w:tcBorders>
              <w:left w:val="single" w:sz="2" w:space="0" w:color="auto"/>
              <w:right w:val="single" w:sz="2" w:space="0" w:color="auto"/>
            </w:tcBorders>
          </w:tcPr>
          <w:p w:rsidR="00AF2508" w:rsidRDefault="00AF2508">
            <w:pPr>
              <w:pStyle w:val="TableText"/>
            </w:pPr>
            <w:r>
              <w:t>6.6</w:t>
            </w:r>
          </w:p>
        </w:tc>
        <w:tc>
          <w:tcPr>
            <w:tcW w:w="1080" w:type="dxa"/>
            <w:tcBorders>
              <w:left w:val="single" w:sz="2" w:space="0" w:color="auto"/>
              <w:right w:val="single" w:sz="2" w:space="0" w:color="auto"/>
            </w:tcBorders>
          </w:tcPr>
          <w:p w:rsidR="00AF2508" w:rsidRDefault="00AF2508">
            <w:pPr>
              <w:pStyle w:val="TableText"/>
            </w:pPr>
            <w:r>
              <w:t>13 000</w:t>
            </w:r>
          </w:p>
        </w:tc>
        <w:tc>
          <w:tcPr>
            <w:tcW w:w="1040" w:type="dxa"/>
            <w:tcBorders>
              <w:left w:val="single" w:sz="2" w:space="0" w:color="auto"/>
              <w:right w:val="single" w:sz="2" w:space="0" w:color="auto"/>
            </w:tcBorders>
          </w:tcPr>
          <w:p w:rsidR="00AF2508" w:rsidRDefault="00AF2508">
            <w:pPr>
              <w:pStyle w:val="TableText"/>
            </w:pPr>
            <w:r>
              <w:t>5 200</w:t>
            </w:r>
          </w:p>
        </w:tc>
        <w:tc>
          <w:tcPr>
            <w:tcW w:w="1560" w:type="dxa"/>
          </w:tcPr>
          <w:p w:rsidR="00AF2508" w:rsidRDefault="00AF2508">
            <w:pPr>
              <w:pStyle w:val="TableText"/>
            </w:pPr>
            <w:r>
              <w:t>33</w:t>
            </w:r>
          </w:p>
        </w:tc>
      </w:tr>
      <w:tr w:rsidR="00AF2508">
        <w:trPr>
          <w:cantSplit/>
        </w:trPr>
        <w:tc>
          <w:tcPr>
            <w:tcW w:w="3860" w:type="dxa"/>
          </w:tcPr>
          <w:p w:rsidR="00AF2508" w:rsidRDefault="00AF2508">
            <w:pPr>
              <w:pStyle w:val="TableText"/>
              <w:rPr>
                <w:sz w:val="20"/>
              </w:rPr>
            </w:pPr>
            <w:r>
              <w:rPr>
                <w:sz w:val="20"/>
              </w:rPr>
              <w:t>cast steel (annealed)</w:t>
            </w:r>
          </w:p>
        </w:tc>
        <w:tc>
          <w:tcPr>
            <w:tcW w:w="900" w:type="dxa"/>
            <w:tcBorders>
              <w:left w:val="single" w:sz="2" w:space="0" w:color="auto"/>
            </w:tcBorders>
          </w:tcPr>
          <w:p w:rsidR="00AF2508" w:rsidRDefault="00AF2508">
            <w:pPr>
              <w:pStyle w:val="TableText"/>
            </w:pPr>
            <w:r>
              <w:t>17.5</w:t>
            </w:r>
          </w:p>
        </w:tc>
        <w:tc>
          <w:tcPr>
            <w:tcW w:w="720" w:type="dxa"/>
            <w:tcBorders>
              <w:right w:val="single" w:sz="2" w:space="0" w:color="auto"/>
            </w:tcBorders>
          </w:tcPr>
          <w:p w:rsidR="00AF2508" w:rsidRDefault="00AF2508">
            <w:pPr>
              <w:pStyle w:val="TableText"/>
            </w:pPr>
            <w:r>
              <w:t>10.5</w:t>
            </w:r>
          </w:p>
        </w:tc>
        <w:tc>
          <w:tcPr>
            <w:tcW w:w="1080" w:type="dxa"/>
            <w:tcBorders>
              <w:left w:val="single" w:sz="2" w:space="0" w:color="auto"/>
              <w:right w:val="single" w:sz="2" w:space="0" w:color="auto"/>
            </w:tcBorders>
          </w:tcPr>
          <w:p w:rsidR="00AF2508" w:rsidRDefault="00AF2508">
            <w:pPr>
              <w:pStyle w:val="TableText"/>
            </w:pPr>
            <w:r>
              <w:t>15</w:t>
            </w:r>
          </w:p>
        </w:tc>
        <w:tc>
          <w:tcPr>
            <w:tcW w:w="1020" w:type="dxa"/>
            <w:tcBorders>
              <w:left w:val="single" w:sz="2" w:space="0" w:color="auto"/>
              <w:right w:val="single" w:sz="2" w:space="0" w:color="auto"/>
            </w:tcBorders>
          </w:tcPr>
          <w:p w:rsidR="00AF2508" w:rsidRDefault="00AF2508">
            <w:pPr>
              <w:pStyle w:val="TableText"/>
            </w:pPr>
            <w:r>
              <w:t>7.5</w:t>
            </w:r>
          </w:p>
        </w:tc>
        <w:tc>
          <w:tcPr>
            <w:tcW w:w="1080" w:type="dxa"/>
            <w:tcBorders>
              <w:left w:val="single" w:sz="2" w:space="0" w:color="auto"/>
              <w:right w:val="single" w:sz="2" w:space="0" w:color="auto"/>
            </w:tcBorders>
          </w:tcPr>
          <w:p w:rsidR="00AF2508" w:rsidRDefault="00AF2508">
            <w:pPr>
              <w:pStyle w:val="TableText"/>
            </w:pPr>
            <w:r>
              <w:t>13 000</w:t>
            </w:r>
          </w:p>
        </w:tc>
        <w:tc>
          <w:tcPr>
            <w:tcW w:w="1040" w:type="dxa"/>
            <w:tcBorders>
              <w:left w:val="single" w:sz="2" w:space="0" w:color="auto"/>
              <w:right w:val="single" w:sz="2" w:space="0" w:color="auto"/>
            </w:tcBorders>
          </w:tcPr>
          <w:p w:rsidR="00AF2508" w:rsidRDefault="00AF2508">
            <w:pPr>
              <w:pStyle w:val="TableText"/>
            </w:pPr>
            <w:r>
              <w:t>5 200</w:t>
            </w:r>
          </w:p>
        </w:tc>
        <w:tc>
          <w:tcPr>
            <w:tcW w:w="1560" w:type="dxa"/>
          </w:tcPr>
          <w:p w:rsidR="00AF2508" w:rsidRDefault="00AF2508">
            <w:pPr>
              <w:pStyle w:val="TableText"/>
            </w:pPr>
            <w:r>
              <w:t>35</w:t>
            </w:r>
          </w:p>
        </w:tc>
      </w:tr>
      <w:tr w:rsidR="00AF2508">
        <w:trPr>
          <w:cantSplit/>
        </w:trPr>
        <w:tc>
          <w:tcPr>
            <w:tcW w:w="3860" w:type="dxa"/>
          </w:tcPr>
          <w:p w:rsidR="00AF2508" w:rsidRDefault="00AF2508">
            <w:pPr>
              <w:pStyle w:val="TableText"/>
              <w:rPr>
                <w:sz w:val="20"/>
              </w:rPr>
            </w:pPr>
            <w:r>
              <w:rPr>
                <w:sz w:val="20"/>
              </w:rPr>
              <w:t>malleable cast iron (‘black heart’)</w:t>
            </w:r>
          </w:p>
        </w:tc>
        <w:tc>
          <w:tcPr>
            <w:tcW w:w="900" w:type="dxa"/>
            <w:tcBorders>
              <w:left w:val="single" w:sz="2" w:space="0" w:color="auto"/>
            </w:tcBorders>
          </w:tcPr>
          <w:p w:rsidR="00AF2508" w:rsidRDefault="00AF2508">
            <w:pPr>
              <w:pStyle w:val="TableText"/>
            </w:pPr>
            <w:r>
              <w:t>9</w:t>
            </w:r>
          </w:p>
        </w:tc>
        <w:tc>
          <w:tcPr>
            <w:tcW w:w="720" w:type="dxa"/>
            <w:tcBorders>
              <w:right w:val="single" w:sz="2" w:space="0" w:color="auto"/>
            </w:tcBorders>
          </w:tcPr>
          <w:p w:rsidR="00AF2508" w:rsidRDefault="00AF2508">
            <w:pPr>
              <w:pStyle w:val="TableText"/>
            </w:pPr>
            <w:r>
              <w:t>4.5</w:t>
            </w:r>
          </w:p>
        </w:tc>
        <w:tc>
          <w:tcPr>
            <w:tcW w:w="1080" w:type="dxa"/>
            <w:tcBorders>
              <w:left w:val="single" w:sz="2" w:space="0" w:color="auto"/>
              <w:right w:val="single" w:sz="2" w:space="0" w:color="auto"/>
            </w:tcBorders>
          </w:tcPr>
          <w:p w:rsidR="00AF2508" w:rsidRDefault="00AF2508">
            <w:pPr>
              <w:pStyle w:val="TableText"/>
            </w:pPr>
            <w:r>
              <w:t>11</w:t>
            </w:r>
          </w:p>
        </w:tc>
        <w:tc>
          <w:tcPr>
            <w:tcW w:w="1020" w:type="dxa"/>
            <w:tcBorders>
              <w:left w:val="single" w:sz="2" w:space="0" w:color="auto"/>
              <w:right w:val="single" w:sz="2" w:space="0" w:color="auto"/>
            </w:tcBorders>
          </w:tcPr>
          <w:p w:rsidR="00AF2508" w:rsidRDefault="00AF2508">
            <w:pPr>
              <w:pStyle w:val="TableText"/>
            </w:pPr>
            <w:r>
              <w:t>5.5</w:t>
            </w:r>
          </w:p>
        </w:tc>
        <w:tc>
          <w:tcPr>
            <w:tcW w:w="1080" w:type="dxa"/>
            <w:tcBorders>
              <w:left w:val="single" w:sz="2" w:space="0" w:color="auto"/>
              <w:right w:val="single" w:sz="2" w:space="0" w:color="auto"/>
            </w:tcBorders>
          </w:tcPr>
          <w:p w:rsidR="00AF2508" w:rsidRDefault="00AF2508">
            <w:pPr>
              <w:pStyle w:val="TableText"/>
            </w:pPr>
            <w:r>
              <w:t>11 200</w:t>
            </w:r>
          </w:p>
        </w:tc>
        <w:tc>
          <w:tcPr>
            <w:tcW w:w="1040" w:type="dxa"/>
            <w:tcBorders>
              <w:left w:val="single" w:sz="2" w:space="0" w:color="auto"/>
              <w:right w:val="single" w:sz="2" w:space="0" w:color="auto"/>
            </w:tcBorders>
          </w:tcPr>
          <w:p w:rsidR="00AF2508" w:rsidRDefault="00AF2508">
            <w:pPr>
              <w:pStyle w:val="TableText"/>
            </w:pPr>
            <w:r>
              <w:t>4 480</w:t>
            </w:r>
          </w:p>
        </w:tc>
        <w:tc>
          <w:tcPr>
            <w:tcW w:w="1560" w:type="dxa"/>
          </w:tcPr>
          <w:p w:rsidR="00AF2508" w:rsidRDefault="00AF2508">
            <w:pPr>
              <w:pStyle w:val="TableText"/>
            </w:pPr>
            <w:r>
              <w:t>22.3</w:t>
            </w:r>
          </w:p>
        </w:tc>
      </w:tr>
      <w:tr w:rsidR="00AF2508">
        <w:trPr>
          <w:cantSplit/>
        </w:trPr>
        <w:tc>
          <w:tcPr>
            <w:tcW w:w="3860" w:type="dxa"/>
          </w:tcPr>
          <w:p w:rsidR="00AF2508" w:rsidRDefault="00AF2508">
            <w:pPr>
              <w:pStyle w:val="TableText"/>
              <w:rPr>
                <w:sz w:val="20"/>
              </w:rPr>
            </w:pPr>
            <w:r>
              <w:rPr>
                <w:sz w:val="20"/>
              </w:rPr>
              <w:t>good grey cast iron</w:t>
            </w:r>
          </w:p>
        </w:tc>
        <w:tc>
          <w:tcPr>
            <w:tcW w:w="900" w:type="dxa"/>
            <w:tcBorders>
              <w:left w:val="single" w:sz="2" w:space="0" w:color="auto"/>
            </w:tcBorders>
          </w:tcPr>
          <w:p w:rsidR="00AF2508" w:rsidRDefault="00AF2508">
            <w:pPr>
              <w:pStyle w:val="TableText"/>
            </w:pPr>
            <w:r>
              <w:t>3</w:t>
            </w:r>
          </w:p>
        </w:tc>
        <w:tc>
          <w:tcPr>
            <w:tcW w:w="720" w:type="dxa"/>
            <w:tcBorders>
              <w:right w:val="single" w:sz="2" w:space="0" w:color="auto"/>
            </w:tcBorders>
          </w:tcPr>
          <w:p w:rsidR="00AF2508" w:rsidRDefault="00AF2508">
            <w:pPr>
              <w:pStyle w:val="TableText"/>
            </w:pPr>
            <w:r>
              <w:t>2.9</w:t>
            </w:r>
          </w:p>
        </w:tc>
        <w:tc>
          <w:tcPr>
            <w:tcW w:w="1080" w:type="dxa"/>
            <w:tcBorders>
              <w:left w:val="single" w:sz="2" w:space="0" w:color="auto"/>
              <w:right w:val="single" w:sz="2" w:space="0" w:color="auto"/>
            </w:tcBorders>
          </w:tcPr>
          <w:p w:rsidR="00AF2508" w:rsidRDefault="00AF2508">
            <w:pPr>
              <w:pStyle w:val="TableText"/>
            </w:pPr>
            <w:r>
              <w:t>5.3</w:t>
            </w:r>
          </w:p>
        </w:tc>
        <w:tc>
          <w:tcPr>
            <w:tcW w:w="1020" w:type="dxa"/>
            <w:tcBorders>
              <w:left w:val="single" w:sz="2" w:space="0" w:color="auto"/>
              <w:right w:val="single" w:sz="2" w:space="0" w:color="auto"/>
            </w:tcBorders>
          </w:tcPr>
          <w:p w:rsidR="00AF2508" w:rsidRDefault="00AF2508">
            <w:pPr>
              <w:pStyle w:val="TableText"/>
            </w:pPr>
            <w:r>
              <w:t>4.25</w:t>
            </w:r>
          </w:p>
        </w:tc>
        <w:tc>
          <w:tcPr>
            <w:tcW w:w="1080" w:type="dxa"/>
            <w:tcBorders>
              <w:left w:val="single" w:sz="2" w:space="0" w:color="auto"/>
              <w:right w:val="single" w:sz="2" w:space="0" w:color="auto"/>
            </w:tcBorders>
          </w:tcPr>
          <w:p w:rsidR="00AF2508" w:rsidRDefault="00AF2508">
            <w:pPr>
              <w:pStyle w:val="TableText"/>
            </w:pPr>
            <w:r>
              <w:t>6 700</w:t>
            </w:r>
          </w:p>
        </w:tc>
        <w:tc>
          <w:tcPr>
            <w:tcW w:w="1040" w:type="dxa"/>
            <w:tcBorders>
              <w:left w:val="single" w:sz="2" w:space="0" w:color="auto"/>
              <w:right w:val="single" w:sz="2" w:space="0" w:color="auto"/>
            </w:tcBorders>
          </w:tcPr>
          <w:p w:rsidR="00AF2508" w:rsidRDefault="00AF2508">
            <w:pPr>
              <w:pStyle w:val="TableText"/>
            </w:pPr>
            <w:r>
              <w:t>2 680</w:t>
            </w:r>
          </w:p>
        </w:tc>
        <w:tc>
          <w:tcPr>
            <w:tcW w:w="1560" w:type="dxa"/>
          </w:tcPr>
          <w:p w:rsidR="00AF2508" w:rsidRDefault="00AF2508">
            <w:pPr>
              <w:pStyle w:val="TableText"/>
            </w:pPr>
            <w:r>
              <w:t>10</w:t>
            </w:r>
          </w:p>
        </w:tc>
      </w:tr>
      <w:tr w:rsidR="00AF2508">
        <w:trPr>
          <w:cantSplit/>
        </w:trPr>
        <w:tc>
          <w:tcPr>
            <w:tcW w:w="3860" w:type="dxa"/>
          </w:tcPr>
          <w:p w:rsidR="00AF2508" w:rsidRDefault="00AF2508">
            <w:pPr>
              <w:pStyle w:val="TableText"/>
              <w:rPr>
                <w:sz w:val="20"/>
              </w:rPr>
            </w:pPr>
            <w:r>
              <w:rPr>
                <w:sz w:val="20"/>
              </w:rPr>
              <w:t>phospur bronze (89 copper 11 tin)</w:t>
            </w:r>
          </w:p>
        </w:tc>
        <w:tc>
          <w:tcPr>
            <w:tcW w:w="900" w:type="dxa"/>
            <w:tcBorders>
              <w:left w:val="single" w:sz="2" w:space="0" w:color="auto"/>
            </w:tcBorders>
          </w:tcPr>
          <w:p w:rsidR="00AF2508" w:rsidRDefault="00AF2508">
            <w:pPr>
              <w:pStyle w:val="TableText"/>
            </w:pPr>
            <w:r>
              <w:t>8.7</w:t>
            </w:r>
          </w:p>
        </w:tc>
        <w:tc>
          <w:tcPr>
            <w:tcW w:w="720" w:type="dxa"/>
            <w:tcBorders>
              <w:right w:val="single" w:sz="2" w:space="0" w:color="auto"/>
            </w:tcBorders>
          </w:tcPr>
          <w:p w:rsidR="00AF2508" w:rsidRDefault="00AF2508">
            <w:pPr>
              <w:pStyle w:val="TableText"/>
            </w:pPr>
            <w:r>
              <w:t>5.2</w:t>
            </w:r>
          </w:p>
        </w:tc>
        <w:tc>
          <w:tcPr>
            <w:tcW w:w="1080" w:type="dxa"/>
            <w:tcBorders>
              <w:left w:val="single" w:sz="2" w:space="0" w:color="auto"/>
              <w:right w:val="single" w:sz="2" w:space="0" w:color="auto"/>
            </w:tcBorders>
          </w:tcPr>
          <w:p w:rsidR="00AF2508" w:rsidRDefault="00AF2508">
            <w:pPr>
              <w:pStyle w:val="TableText"/>
            </w:pPr>
            <w:r>
              <w:t>10.7</w:t>
            </w:r>
          </w:p>
        </w:tc>
        <w:tc>
          <w:tcPr>
            <w:tcW w:w="1020" w:type="dxa"/>
            <w:tcBorders>
              <w:left w:val="single" w:sz="2" w:space="0" w:color="auto"/>
              <w:right w:val="single" w:sz="2" w:space="0" w:color="auto"/>
            </w:tcBorders>
          </w:tcPr>
          <w:p w:rsidR="00AF2508" w:rsidRDefault="00AF2508">
            <w:pPr>
              <w:pStyle w:val="TableText"/>
            </w:pPr>
            <w:r>
              <w:t>8.5</w:t>
            </w:r>
          </w:p>
        </w:tc>
        <w:tc>
          <w:tcPr>
            <w:tcW w:w="1080" w:type="dxa"/>
            <w:tcBorders>
              <w:left w:val="single" w:sz="2" w:space="0" w:color="auto"/>
              <w:right w:val="single" w:sz="2" w:space="0" w:color="auto"/>
            </w:tcBorders>
          </w:tcPr>
          <w:p w:rsidR="00AF2508" w:rsidRDefault="00AF2508">
            <w:pPr>
              <w:pStyle w:val="TableText"/>
            </w:pPr>
            <w:r>
              <w:t>5 540</w:t>
            </w:r>
          </w:p>
        </w:tc>
        <w:tc>
          <w:tcPr>
            <w:tcW w:w="1040" w:type="dxa"/>
            <w:tcBorders>
              <w:left w:val="single" w:sz="2" w:space="0" w:color="auto"/>
              <w:right w:val="single" w:sz="2" w:space="0" w:color="auto"/>
            </w:tcBorders>
          </w:tcPr>
          <w:p w:rsidR="00AF2508" w:rsidRDefault="00AF2508">
            <w:pPr>
              <w:pStyle w:val="TableText"/>
            </w:pPr>
            <w:r>
              <w:t>2 220</w:t>
            </w:r>
          </w:p>
        </w:tc>
        <w:tc>
          <w:tcPr>
            <w:tcW w:w="1560" w:type="dxa"/>
          </w:tcPr>
          <w:p w:rsidR="00AF2508" w:rsidRDefault="00AF2508">
            <w:pPr>
              <w:pStyle w:val="TableText"/>
            </w:pPr>
            <w:r>
              <w:t>15.5</w:t>
            </w:r>
          </w:p>
        </w:tc>
      </w:tr>
      <w:tr w:rsidR="00AF2508">
        <w:trPr>
          <w:cantSplit/>
        </w:trPr>
        <w:tc>
          <w:tcPr>
            <w:tcW w:w="3860" w:type="dxa"/>
          </w:tcPr>
          <w:p w:rsidR="00AF2508" w:rsidRDefault="00AF2508">
            <w:pPr>
              <w:pStyle w:val="TableText"/>
              <w:rPr>
                <w:sz w:val="20"/>
              </w:rPr>
            </w:pPr>
            <w:r>
              <w:rPr>
                <w:sz w:val="20"/>
              </w:rPr>
              <w:t>gunmetal (‘admiralty bronze’)</w:t>
            </w:r>
          </w:p>
        </w:tc>
        <w:tc>
          <w:tcPr>
            <w:tcW w:w="900" w:type="dxa"/>
            <w:tcBorders>
              <w:left w:val="single" w:sz="2" w:space="0" w:color="auto"/>
            </w:tcBorders>
          </w:tcPr>
          <w:p w:rsidR="00AF2508" w:rsidRDefault="00AF2508">
            <w:pPr>
              <w:pStyle w:val="TableText"/>
            </w:pPr>
            <w:r>
              <w:t>7.5</w:t>
            </w:r>
          </w:p>
        </w:tc>
        <w:tc>
          <w:tcPr>
            <w:tcW w:w="720" w:type="dxa"/>
            <w:tcBorders>
              <w:right w:val="single" w:sz="2" w:space="0" w:color="auto"/>
            </w:tcBorders>
          </w:tcPr>
          <w:p w:rsidR="00AF2508" w:rsidRDefault="00AF2508">
            <w:pPr>
              <w:pStyle w:val="TableText"/>
            </w:pPr>
            <w:r>
              <w:t>4.5</w:t>
            </w:r>
          </w:p>
        </w:tc>
        <w:tc>
          <w:tcPr>
            <w:tcW w:w="1080" w:type="dxa"/>
            <w:tcBorders>
              <w:left w:val="single" w:sz="2" w:space="0" w:color="auto"/>
              <w:right w:val="single" w:sz="2" w:space="0" w:color="auto"/>
            </w:tcBorders>
          </w:tcPr>
          <w:p w:rsidR="00AF2508" w:rsidRDefault="00AF2508">
            <w:pPr>
              <w:pStyle w:val="TableText"/>
            </w:pPr>
            <w:r>
              <w:t>5</w:t>
            </w:r>
          </w:p>
        </w:tc>
        <w:tc>
          <w:tcPr>
            <w:tcW w:w="1020" w:type="dxa"/>
            <w:tcBorders>
              <w:left w:val="single" w:sz="2" w:space="0" w:color="auto"/>
              <w:right w:val="single" w:sz="2" w:space="0" w:color="auto"/>
            </w:tcBorders>
          </w:tcPr>
          <w:p w:rsidR="00AF2508" w:rsidRDefault="00AF2508">
            <w:pPr>
              <w:pStyle w:val="TableText"/>
            </w:pPr>
            <w:r>
              <w:t>4</w:t>
            </w:r>
          </w:p>
        </w:tc>
        <w:tc>
          <w:tcPr>
            <w:tcW w:w="1080" w:type="dxa"/>
            <w:tcBorders>
              <w:left w:val="single" w:sz="2" w:space="0" w:color="auto"/>
              <w:right w:val="single" w:sz="2" w:space="0" w:color="auto"/>
            </w:tcBorders>
          </w:tcPr>
          <w:p w:rsidR="00AF2508" w:rsidRDefault="00AF2508">
            <w:pPr>
              <w:pStyle w:val="TableText"/>
            </w:pPr>
            <w:r>
              <w:t>5 700</w:t>
            </w:r>
          </w:p>
        </w:tc>
        <w:tc>
          <w:tcPr>
            <w:tcW w:w="1040" w:type="dxa"/>
            <w:tcBorders>
              <w:left w:val="single" w:sz="2" w:space="0" w:color="auto"/>
              <w:right w:val="single" w:sz="2" w:space="0" w:color="auto"/>
            </w:tcBorders>
          </w:tcPr>
          <w:p w:rsidR="00AF2508" w:rsidRDefault="00AF2508">
            <w:pPr>
              <w:pStyle w:val="TableText"/>
            </w:pPr>
            <w:r>
              <w:t>2 280</w:t>
            </w:r>
          </w:p>
        </w:tc>
        <w:tc>
          <w:tcPr>
            <w:tcW w:w="1560" w:type="dxa"/>
          </w:tcPr>
          <w:p w:rsidR="00AF2508" w:rsidRDefault="00AF2508">
            <w:pPr>
              <w:pStyle w:val="TableText"/>
            </w:pPr>
            <w:r>
              <w:t>13.4</w:t>
            </w:r>
          </w:p>
        </w:tc>
      </w:tr>
      <w:tr w:rsidR="00AF2508">
        <w:trPr>
          <w:cantSplit/>
        </w:trPr>
        <w:tc>
          <w:tcPr>
            <w:tcW w:w="3860" w:type="dxa"/>
          </w:tcPr>
          <w:p w:rsidR="00AF2508" w:rsidRDefault="00AF2508">
            <w:pPr>
              <w:pStyle w:val="TableText"/>
              <w:rPr>
                <w:sz w:val="20"/>
              </w:rPr>
            </w:pPr>
            <w:r>
              <w:rPr>
                <w:sz w:val="20"/>
              </w:rPr>
              <w:t>cast aluminium bronze (90 copper, 10 aluminium)</w:t>
            </w:r>
          </w:p>
        </w:tc>
        <w:tc>
          <w:tcPr>
            <w:tcW w:w="900" w:type="dxa"/>
            <w:tcBorders>
              <w:left w:val="single" w:sz="2" w:space="0" w:color="auto"/>
            </w:tcBorders>
          </w:tcPr>
          <w:p w:rsidR="00AF2508" w:rsidRDefault="00AF2508">
            <w:pPr>
              <w:pStyle w:val="TableText"/>
            </w:pPr>
            <w:r>
              <w:t>11.1</w:t>
            </w:r>
          </w:p>
        </w:tc>
        <w:tc>
          <w:tcPr>
            <w:tcW w:w="720" w:type="dxa"/>
            <w:tcBorders>
              <w:right w:val="single" w:sz="2" w:space="0" w:color="auto"/>
            </w:tcBorders>
          </w:tcPr>
          <w:p w:rsidR="00AF2508" w:rsidRDefault="00AF2508">
            <w:pPr>
              <w:pStyle w:val="TableText"/>
            </w:pPr>
            <w:r>
              <w:t>6.7</w:t>
            </w:r>
          </w:p>
        </w:tc>
        <w:tc>
          <w:tcPr>
            <w:tcW w:w="1080" w:type="dxa"/>
            <w:tcBorders>
              <w:left w:val="single" w:sz="2" w:space="0" w:color="auto"/>
              <w:right w:val="single" w:sz="2" w:space="0" w:color="auto"/>
            </w:tcBorders>
          </w:tcPr>
          <w:p w:rsidR="00AF2508" w:rsidRDefault="00AF2508">
            <w:pPr>
              <w:pStyle w:val="TableText"/>
            </w:pPr>
            <w:r>
              <w:t>11.6</w:t>
            </w:r>
          </w:p>
        </w:tc>
        <w:tc>
          <w:tcPr>
            <w:tcW w:w="1020" w:type="dxa"/>
            <w:tcBorders>
              <w:left w:val="single" w:sz="2" w:space="0" w:color="auto"/>
              <w:right w:val="single" w:sz="2" w:space="0" w:color="auto"/>
            </w:tcBorders>
          </w:tcPr>
          <w:p w:rsidR="00AF2508" w:rsidRDefault="00AF2508">
            <w:pPr>
              <w:pStyle w:val="TableText"/>
            </w:pPr>
            <w:r>
              <w:t>9.3</w:t>
            </w:r>
          </w:p>
        </w:tc>
        <w:tc>
          <w:tcPr>
            <w:tcW w:w="1080" w:type="dxa"/>
            <w:tcBorders>
              <w:left w:val="single" w:sz="2" w:space="0" w:color="auto"/>
              <w:right w:val="single" w:sz="2" w:space="0" w:color="auto"/>
            </w:tcBorders>
          </w:tcPr>
          <w:p w:rsidR="00AF2508" w:rsidRDefault="00AF2508">
            <w:pPr>
              <w:pStyle w:val="TableText"/>
            </w:pPr>
            <w:r>
              <w:t>6 700</w:t>
            </w:r>
          </w:p>
        </w:tc>
        <w:tc>
          <w:tcPr>
            <w:tcW w:w="1040" w:type="dxa"/>
            <w:tcBorders>
              <w:left w:val="single" w:sz="2" w:space="0" w:color="auto"/>
              <w:right w:val="single" w:sz="2" w:space="0" w:color="auto"/>
            </w:tcBorders>
          </w:tcPr>
          <w:p w:rsidR="00AF2508" w:rsidRDefault="00AF2508">
            <w:pPr>
              <w:pStyle w:val="TableText"/>
            </w:pPr>
            <w:r>
              <w:t>2 680</w:t>
            </w:r>
          </w:p>
        </w:tc>
        <w:tc>
          <w:tcPr>
            <w:tcW w:w="1560" w:type="dxa"/>
          </w:tcPr>
          <w:p w:rsidR="00AF2508" w:rsidRDefault="00AF2508">
            <w:pPr>
              <w:pStyle w:val="TableText"/>
            </w:pPr>
            <w:r>
              <w:t>35</w:t>
            </w:r>
          </w:p>
        </w:tc>
      </w:tr>
      <w:tr w:rsidR="00AF2508">
        <w:trPr>
          <w:cantSplit/>
        </w:trPr>
        <w:tc>
          <w:tcPr>
            <w:tcW w:w="3860" w:type="dxa"/>
            <w:tcBorders>
              <w:bottom w:val="single" w:sz="6" w:space="0" w:color="auto"/>
            </w:tcBorders>
          </w:tcPr>
          <w:p w:rsidR="00AF2508" w:rsidRDefault="00AF2508">
            <w:pPr>
              <w:pStyle w:val="TableText"/>
              <w:rPr>
                <w:sz w:val="20"/>
              </w:rPr>
            </w:pPr>
            <w:r>
              <w:rPr>
                <w:sz w:val="20"/>
              </w:rPr>
              <w:t>phenolic laminated material‡</w:t>
            </w:r>
          </w:p>
        </w:tc>
        <w:tc>
          <w:tcPr>
            <w:tcW w:w="900" w:type="dxa"/>
            <w:tcBorders>
              <w:left w:val="single" w:sz="2" w:space="0" w:color="auto"/>
              <w:bottom w:val="single" w:sz="6" w:space="0" w:color="auto"/>
            </w:tcBorders>
          </w:tcPr>
          <w:p w:rsidR="00AF2508" w:rsidRDefault="00AF2508">
            <w:pPr>
              <w:pStyle w:val="TableText"/>
            </w:pPr>
            <w:r>
              <w:t xml:space="preserve"> . .</w:t>
            </w:r>
          </w:p>
        </w:tc>
        <w:tc>
          <w:tcPr>
            <w:tcW w:w="720" w:type="dxa"/>
            <w:tcBorders>
              <w:bottom w:val="single" w:sz="6" w:space="0" w:color="auto"/>
              <w:right w:val="single" w:sz="2" w:space="0" w:color="auto"/>
            </w:tcBorders>
          </w:tcPr>
          <w:p w:rsidR="00AF2508" w:rsidRDefault="00AF2508">
            <w:pPr>
              <w:pStyle w:val="TableText"/>
            </w:pPr>
            <w:r>
              <w:t xml:space="preserve">  . .</w:t>
            </w:r>
          </w:p>
        </w:tc>
        <w:tc>
          <w:tcPr>
            <w:tcW w:w="1080" w:type="dxa"/>
            <w:tcBorders>
              <w:left w:val="single" w:sz="2" w:space="0" w:color="auto"/>
              <w:bottom w:val="single" w:sz="6" w:space="0" w:color="auto"/>
              <w:right w:val="single" w:sz="2" w:space="0" w:color="auto"/>
            </w:tcBorders>
          </w:tcPr>
          <w:p w:rsidR="00AF2508" w:rsidRDefault="00AF2508">
            <w:pPr>
              <w:pStyle w:val="TableText"/>
            </w:pPr>
            <w:r>
              <w:t xml:space="preserve">  2.68</w:t>
            </w:r>
          </w:p>
        </w:tc>
        <w:tc>
          <w:tcPr>
            <w:tcW w:w="1020" w:type="dxa"/>
            <w:tcBorders>
              <w:left w:val="single" w:sz="2" w:space="0" w:color="auto"/>
              <w:bottom w:val="single" w:sz="6" w:space="0" w:color="auto"/>
              <w:right w:val="single" w:sz="2" w:space="0" w:color="auto"/>
            </w:tcBorders>
          </w:tcPr>
          <w:p w:rsidR="00AF2508" w:rsidRDefault="00AF2508">
            <w:pPr>
              <w:pStyle w:val="TableText"/>
            </w:pPr>
            <w:r>
              <w:t xml:space="preserve">  . .</w:t>
            </w:r>
          </w:p>
        </w:tc>
        <w:tc>
          <w:tcPr>
            <w:tcW w:w="1080" w:type="dxa"/>
            <w:tcBorders>
              <w:left w:val="single" w:sz="2" w:space="0" w:color="auto"/>
              <w:bottom w:val="single" w:sz="6" w:space="0" w:color="auto"/>
              <w:right w:val="single" w:sz="2" w:space="0" w:color="auto"/>
            </w:tcBorders>
          </w:tcPr>
          <w:p w:rsidR="00AF2508" w:rsidRDefault="00AF2508">
            <w:pPr>
              <w:pStyle w:val="TableText"/>
            </w:pPr>
            <w:r>
              <w:t>400</w:t>
            </w:r>
          </w:p>
        </w:tc>
        <w:tc>
          <w:tcPr>
            <w:tcW w:w="1040" w:type="dxa"/>
            <w:tcBorders>
              <w:left w:val="single" w:sz="2" w:space="0" w:color="auto"/>
              <w:bottom w:val="single" w:sz="6" w:space="0" w:color="auto"/>
              <w:right w:val="single" w:sz="2" w:space="0" w:color="auto"/>
            </w:tcBorders>
          </w:tcPr>
          <w:p w:rsidR="00AF2508" w:rsidRDefault="00AF2508">
            <w:pPr>
              <w:pStyle w:val="TableText"/>
            </w:pPr>
            <w:r>
              <w:t>. .</w:t>
            </w:r>
          </w:p>
        </w:tc>
        <w:tc>
          <w:tcPr>
            <w:tcW w:w="1560" w:type="dxa"/>
            <w:tcBorders>
              <w:bottom w:val="single" w:sz="6" w:space="0" w:color="auto"/>
            </w:tcBorders>
          </w:tcPr>
          <w:p w:rsidR="00AF2508" w:rsidRDefault="00AF2508">
            <w:pPr>
              <w:pStyle w:val="TableText"/>
            </w:pPr>
            <w:r>
              <w:t>2.9</w:t>
            </w:r>
          </w:p>
        </w:tc>
      </w:tr>
    </w:tbl>
    <w:p w:rsidR="00AF2508" w:rsidRDefault="00AF2508">
      <w:pPr>
        <w:spacing w:before="60"/>
        <w:ind w:left="399" w:hanging="399"/>
        <w:rPr>
          <w:sz w:val="20"/>
        </w:rPr>
      </w:pPr>
      <w:r>
        <w:rPr>
          <w:sz w:val="20"/>
        </w:rPr>
        <w:t>*</w:t>
      </w:r>
      <w:r>
        <w:rPr>
          <w:sz w:val="20"/>
        </w:rPr>
        <w:tab/>
        <w:t>As determined by rotating bar test on 10 million cycle basis.</w:t>
      </w:r>
    </w:p>
    <w:p w:rsidR="00AF2508" w:rsidRDefault="00AF2508">
      <w:pPr>
        <w:spacing w:before="60"/>
        <w:ind w:left="399" w:hanging="399"/>
        <w:rPr>
          <w:sz w:val="20"/>
        </w:rPr>
      </w:pPr>
      <w:r>
        <w:rPr>
          <w:sz w:val="20"/>
        </w:rPr>
        <w:t>†</w:t>
      </w:r>
      <w:r>
        <w:rPr>
          <w:sz w:val="20"/>
        </w:rPr>
        <w:tab/>
        <w:t>As determined by reciprocating bar test on 10 million cycle basis.</w:t>
      </w:r>
    </w:p>
    <w:p w:rsidR="00AF2508" w:rsidRDefault="00AF2508">
      <w:pPr>
        <w:spacing w:before="60"/>
        <w:ind w:left="399" w:hanging="399"/>
        <w:rPr>
          <w:sz w:val="20"/>
        </w:rPr>
      </w:pPr>
      <w:r>
        <w:rPr>
          <w:sz w:val="20"/>
        </w:rPr>
        <w:t>‡</w:t>
      </w:r>
      <w:r>
        <w:rPr>
          <w:sz w:val="20"/>
        </w:rPr>
        <w:tab/>
        <w:t>If approved by chief inspector.</w:t>
      </w:r>
    </w:p>
    <w:p w:rsidR="00AF2508" w:rsidRDefault="00AF2508">
      <w:pPr>
        <w:pStyle w:val="02TextLandscape"/>
        <w:sectPr w:rsidR="00AF2508">
          <w:headerReference w:type="even" r:id="rId46"/>
          <w:headerReference w:type="default" r:id="rId47"/>
          <w:footerReference w:type="even" r:id="rId48"/>
          <w:footerReference w:type="default" r:id="rId49"/>
          <w:pgSz w:w="16839" w:h="11907" w:orient="landscape" w:code="9"/>
          <w:pgMar w:top="2300" w:right="3000" w:bottom="1900" w:left="2500" w:header="2480" w:footer="2100" w:gutter="0"/>
          <w:cols w:space="720"/>
          <w:docGrid w:linePitch="254"/>
        </w:sectPr>
      </w:pPr>
    </w:p>
    <w:p w:rsidR="00AF2508" w:rsidRDefault="00AF2508">
      <w:pPr>
        <w:pStyle w:val="Amain"/>
      </w:pPr>
      <w:r>
        <w:tab/>
        <w:t>(5)</w:t>
      </w:r>
      <w:r>
        <w:tab/>
        <w:t>If the stresses include those due to wind loads, they may exceed the maximum mentioned by 25% provided—</w:t>
      </w:r>
    </w:p>
    <w:p w:rsidR="00AF2508" w:rsidRDefault="00AF2508">
      <w:pPr>
        <w:pStyle w:val="Apara"/>
      </w:pPr>
      <w:r>
        <w:tab/>
        <w:t>(a)</w:t>
      </w:r>
      <w:r>
        <w:tab/>
        <w:t>that the increase is solely due to wind loading; and</w:t>
      </w:r>
    </w:p>
    <w:p w:rsidR="00AF2508" w:rsidRDefault="00AF2508">
      <w:pPr>
        <w:pStyle w:val="Apara"/>
      </w:pPr>
      <w:r>
        <w:tab/>
        <w:t>(b)</w:t>
      </w:r>
      <w:r>
        <w:tab/>
        <w:t>that the strength of the structure so determined will not be less than it would have been if wind loading had been disregarded.</w:t>
      </w:r>
    </w:p>
    <w:p w:rsidR="00AF2508" w:rsidRDefault="00AF2508">
      <w:pPr>
        <w:pStyle w:val="Amain"/>
      </w:pPr>
      <w:r>
        <w:tab/>
        <w:t>(6)</w:t>
      </w:r>
      <w:r>
        <w:tab/>
        <w:t>If a mild steel member of H, T or I section is used as a beam or cantilever, the stress imposed or developed in the tension flange shall not exceed 12 tons per square inch.</w:t>
      </w:r>
    </w:p>
    <w:p w:rsidR="00AF2508" w:rsidRDefault="00AF2508">
      <w:pPr>
        <w:pStyle w:val="Amain"/>
      </w:pPr>
      <w:r>
        <w:tab/>
        <w:t>(7)</w:t>
      </w:r>
      <w:r>
        <w:tab/>
        <w:t>The stress imposed or developed in the compression flange of a cantilever shall not exceed that prescribed for a beam of twice the length of the cantilever; each half length of the beam shall be assumed loaded with identical loading and incidence of loading to that on the cantilever.</w:t>
      </w:r>
    </w:p>
    <w:p w:rsidR="00AF2508" w:rsidRDefault="00AF2508">
      <w:pPr>
        <w:pStyle w:val="Amain"/>
      </w:pPr>
      <w:r>
        <w:tab/>
        <w:t>(8)</w:t>
      </w:r>
      <w:r>
        <w:tab/>
        <w:t>The beam thus loaded will have a central reaction equal in magnitude to twice the algebraic sum of the loads on the cantilever, and the position of the point of application of this reaction shall determine whether the beam load is applied to the compression flange, or tension flange, or centroid of the beam section.</w:t>
      </w:r>
    </w:p>
    <w:p w:rsidR="00AF2508" w:rsidRDefault="00AF2508">
      <w:pPr>
        <w:pStyle w:val="Amain"/>
      </w:pPr>
      <w:r>
        <w:tab/>
        <w:t>(9)</w:t>
      </w:r>
      <w:r>
        <w:tab/>
        <w:t>If the principal external loading is concentrated and is applied to the compression flange of a beam of the section, the stress imposed or developed in the flange shall not exceed the lesser of the following stresses:</w:t>
      </w:r>
    </w:p>
    <w:p w:rsidR="00AF2508" w:rsidRDefault="00AF2508">
      <w:pPr>
        <w:pStyle w:val="Apara"/>
      </w:pPr>
      <w:r>
        <w:tab/>
        <w:t>(a)</w:t>
      </w:r>
      <w:r>
        <w:tab/>
        <w:t>14</w:t>
      </w:r>
      <w:r>
        <w:rPr>
          <w:position w:val="6"/>
          <w:sz w:val="18"/>
        </w:rPr>
        <w:t>4</w:t>
      </w:r>
      <w:r>
        <w:t>/</w:t>
      </w:r>
      <w:r>
        <w:rPr>
          <w:sz w:val="18"/>
        </w:rPr>
        <w:t>10</w:t>
      </w:r>
      <w:r>
        <w:t xml:space="preserve"> tons per square inch, or</w:t>
      </w:r>
    </w:p>
    <w:p w:rsidR="00AF2508" w:rsidRDefault="00AF2508">
      <w:pPr>
        <w:pStyle w:val="Apara"/>
      </w:pPr>
      <w:r>
        <w:tab/>
        <w:t>(b)</w:t>
      </w:r>
      <w:r>
        <w:tab/>
        <w:t xml:space="preserve">that determined by the formula </w:t>
      </w:r>
      <w:r>
        <w:rPr>
          <w:position w:val="-24"/>
        </w:rPr>
        <w:object w:dxaOrig="680" w:dyaOrig="620">
          <v:shape id="_x0000_i1026" type="#_x0000_t75" style="width:33.75pt;height:30.75pt" o:ole="" fillcolor="window">
            <v:imagedata r:id="rId50" o:title=""/>
          </v:shape>
          <o:OLEObject Type="Embed" ProgID="Equation.2" ShapeID="_x0000_i1026" DrawAspect="Content" ObjectID="_1595940251" r:id="rId51"/>
        </w:object>
      </w:r>
      <w:r>
        <w:t xml:space="preserve"> tons per square inch.</w:t>
      </w:r>
    </w:p>
    <w:p w:rsidR="00AF2508" w:rsidRDefault="00AF2508">
      <w:pPr>
        <w:pStyle w:val="Amain"/>
        <w:keepNext/>
      </w:pPr>
      <w:r>
        <w:tab/>
        <w:t>(10)</w:t>
      </w:r>
      <w:r>
        <w:tab/>
        <w:t>In subsection (9):</w:t>
      </w:r>
    </w:p>
    <w:p w:rsidR="00AF2508" w:rsidRDefault="00AF2508">
      <w:pPr>
        <w:pStyle w:val="aDef"/>
      </w:pPr>
      <w:r>
        <w:rPr>
          <w:rStyle w:val="charBoldItals"/>
        </w:rPr>
        <w:t>b</w:t>
      </w:r>
      <w:r>
        <w:t xml:space="preserve"> means the least breadth of the compression flange that can be measured within a distance of </w:t>
      </w:r>
      <w:r>
        <w:rPr>
          <w:position w:val="6"/>
          <w:sz w:val="18"/>
        </w:rPr>
        <w:t>1</w:t>
      </w:r>
      <w:r>
        <w:t>/</w:t>
      </w:r>
      <w:r>
        <w:rPr>
          <w:sz w:val="18"/>
        </w:rPr>
        <w:t>4</w:t>
      </w:r>
      <w:r>
        <w:t xml:space="preserve"> of the span of the beam of the section at which the stress is determined.</w:t>
      </w:r>
    </w:p>
    <w:p w:rsidR="00AF2508" w:rsidRDefault="00AF2508">
      <w:pPr>
        <w:pStyle w:val="aDef"/>
      </w:pPr>
      <w:r>
        <w:rPr>
          <w:rStyle w:val="charBoldItals"/>
        </w:rPr>
        <w:t>d</w:t>
      </w:r>
      <w:r>
        <w:t xml:space="preserve"> means the overall depth of the section of the beam at which the stress is determined, exclusive of any track rail laid on it.</w:t>
      </w:r>
    </w:p>
    <w:p w:rsidR="00AF2508" w:rsidRDefault="00AF2508">
      <w:pPr>
        <w:pStyle w:val="aDef"/>
      </w:pPr>
      <w:r>
        <w:rPr>
          <w:rStyle w:val="charBoldItals"/>
        </w:rPr>
        <w:t>l</w:t>
      </w:r>
      <w:r>
        <w:t xml:space="preserve"> means the maximum length of compression flange that is not supported laterally by adequate external means.</w:t>
      </w:r>
    </w:p>
    <w:p w:rsidR="00AF2508" w:rsidRDefault="00AF2508">
      <w:pPr>
        <w:pStyle w:val="aDef"/>
      </w:pPr>
      <w:r>
        <w:rPr>
          <w:rStyle w:val="charBoldItals"/>
        </w:rPr>
        <w:t>t</w:t>
      </w:r>
      <w:r>
        <w:t xml:space="preserve"> means the thickness of the compression flange measured as provided for flange thickness of Australian Standard Beam Sections by Australian Standard Specification No AI—1940, for structural steel.</w:t>
      </w:r>
    </w:p>
    <w:p w:rsidR="00AF2508" w:rsidRDefault="00AF2508">
      <w:pPr>
        <w:pStyle w:val="Amain"/>
      </w:pPr>
      <w:r>
        <w:tab/>
        <w:t>(11)</w:t>
      </w:r>
      <w:r>
        <w:tab/>
        <w:t xml:space="preserve">If the compression and tension flanges of a beam are of different sections, or if the beam is of the single plate web girder type, the flange thickness </w:t>
      </w:r>
      <w:r>
        <w:rPr>
          <w:rStyle w:val="charItals"/>
          <w:b/>
        </w:rPr>
        <w:t>t</w:t>
      </w:r>
      <w:r>
        <w:t xml:space="preserve"> must be determined from the formula—</w:t>
      </w:r>
    </w:p>
    <w:p w:rsidR="00AF2508" w:rsidRDefault="00AF2508">
      <w:pPr>
        <w:pStyle w:val="Formula"/>
      </w:pPr>
      <w:r>
        <w:rPr>
          <w:rStyle w:val="charItals"/>
        </w:rPr>
        <w:t xml:space="preserve">t </w:t>
      </w:r>
      <w:r>
        <w:t xml:space="preserve">= </w:t>
      </w:r>
      <w:r>
        <w:fldChar w:fldCharType="begin"/>
      </w:r>
      <w:r>
        <w:instrText xml:space="preserve"> EQ \F(5I</w:instrText>
      </w:r>
      <w:r>
        <w:rPr>
          <w:i/>
        </w:rPr>
        <w:instrText>y</w:instrText>
      </w:r>
      <w:r>
        <w:instrText>,</w:instrText>
      </w:r>
      <w:r>
        <w:rPr>
          <w:i/>
        </w:rPr>
        <w:instrText>b</w:instrText>
      </w:r>
      <w:r>
        <w:rPr>
          <w:position w:val="12"/>
          <w:sz w:val="12"/>
        </w:rPr>
        <w:instrText>3</w:instrText>
      </w:r>
      <w:r>
        <w:instrText xml:space="preserve">) </w:instrText>
      </w:r>
      <w:r>
        <w:fldChar w:fldCharType="end"/>
      </w:r>
      <w:r>
        <w:t>.</w:t>
      </w:r>
    </w:p>
    <w:p w:rsidR="00AF2508" w:rsidRDefault="00AF2508">
      <w:pPr>
        <w:pStyle w:val="Amain"/>
      </w:pPr>
      <w:r>
        <w:tab/>
        <w:t>(12)</w:t>
      </w:r>
      <w:r>
        <w:tab/>
        <w:t>In subsection (11):</w:t>
      </w:r>
    </w:p>
    <w:p w:rsidR="00AF2508" w:rsidRDefault="00AF2508">
      <w:pPr>
        <w:pStyle w:val="aDef"/>
      </w:pPr>
      <w:r>
        <w:rPr>
          <w:rStyle w:val="charItals"/>
          <w:b/>
        </w:rPr>
        <w:t>b</w:t>
      </w:r>
      <w:r>
        <w:t>—see subsection (10).</w:t>
      </w:r>
    </w:p>
    <w:p w:rsidR="00AF2508" w:rsidRDefault="00AF2508">
      <w:pPr>
        <w:pStyle w:val="aDef"/>
      </w:pPr>
      <w:r>
        <w:rPr>
          <w:b/>
        </w:rPr>
        <w:t>I</w:t>
      </w:r>
      <w:r>
        <w:rPr>
          <w:rStyle w:val="charItals"/>
          <w:b/>
        </w:rPr>
        <w:t>y</w:t>
      </w:r>
      <w:r>
        <w:t xml:space="preserve"> means the moment of inertia of the cross-section of the beam about its minor rectilinear axis, provided that if the compression and tension flanges are of different section.</w:t>
      </w:r>
    </w:p>
    <w:p w:rsidR="00AF2508" w:rsidRDefault="00AF2508">
      <w:pPr>
        <w:pStyle w:val="Amain"/>
      </w:pPr>
      <w:r>
        <w:tab/>
        <w:t>(13)</w:t>
      </w:r>
      <w:r>
        <w:tab/>
      </w:r>
      <w:r>
        <w:rPr>
          <w:b/>
        </w:rPr>
        <w:t>I</w:t>
      </w:r>
      <w:r>
        <w:rPr>
          <w:rStyle w:val="charItals"/>
          <w:b/>
        </w:rPr>
        <w:t>y</w:t>
      </w:r>
      <w:r>
        <w:t xml:space="preserve"> must be taken as equal to twice the moment of inertia of the compression flange about the aforesaid axis, and provided that if the compression flange of an Australian Standard Beam Section is not compounded, </w:t>
      </w:r>
      <w:r>
        <w:rPr>
          <w:rStyle w:val="charItals"/>
          <w:b/>
        </w:rPr>
        <w:t>t</w:t>
      </w:r>
      <w:r>
        <w:t xml:space="preserve"> may be determined as prescribed in this section for the standard beam section.</w:t>
      </w:r>
    </w:p>
    <w:p w:rsidR="00AF2508" w:rsidRDefault="00AF2508">
      <w:pPr>
        <w:pStyle w:val="Amain"/>
      </w:pPr>
      <w:r>
        <w:tab/>
        <w:t>(14)</w:t>
      </w:r>
      <w:r>
        <w:tab/>
        <w:t xml:space="preserve">Track rails need not be included when determining flange thicknesses, </w:t>
      </w:r>
      <w:r>
        <w:rPr>
          <w:rStyle w:val="charItals"/>
          <w:b/>
        </w:rPr>
        <w:t>t</w:t>
      </w:r>
      <w:r>
        <w:t>.</w:t>
      </w:r>
    </w:p>
    <w:p w:rsidR="00AF2508" w:rsidRDefault="00AF2508">
      <w:pPr>
        <w:pStyle w:val="Amain"/>
      </w:pPr>
      <w:r>
        <w:tab/>
        <w:t>(15)</w:t>
      </w:r>
      <w:r>
        <w:tab/>
        <w:t xml:space="preserve">If the principal external loading is concentrated and is applied at the centroid axis of the beam, the formula </w:t>
      </w:r>
      <w:r>
        <w:rPr>
          <w:position w:val="-24"/>
        </w:rPr>
        <w:object w:dxaOrig="660" w:dyaOrig="620">
          <v:shape id="_x0000_i1027" type="#_x0000_t75" style="width:33pt;height:30.75pt" o:ole="" fillcolor="window">
            <v:imagedata r:id="rId52" o:title=""/>
          </v:shape>
          <o:OLEObject Type="Embed" ProgID="Equation.2" ShapeID="_x0000_i1027" DrawAspect="Content" ObjectID="_1595940252" r:id="rId53"/>
        </w:object>
      </w:r>
      <w:r>
        <w:t xml:space="preserve"> tons per square inch may be substituted for the formula stated in subsection (9) (b).</w:t>
      </w:r>
    </w:p>
    <w:p w:rsidR="00AF2508" w:rsidRDefault="00AF2508">
      <w:pPr>
        <w:pStyle w:val="Amain"/>
      </w:pPr>
      <w:r>
        <w:tab/>
        <w:t>(16)</w:t>
      </w:r>
      <w:r>
        <w:tab/>
        <w:t xml:space="preserve">If the principal external loading is concentrated and is applied to the tension flange of the beam, the formula </w:t>
      </w:r>
      <w:r>
        <w:rPr>
          <w:position w:val="-24"/>
        </w:rPr>
        <w:object w:dxaOrig="680" w:dyaOrig="620">
          <v:shape id="_x0000_i1028" type="#_x0000_t75" style="width:33.75pt;height:30.75pt" o:ole="" fillcolor="window">
            <v:imagedata r:id="rId54" o:title=""/>
          </v:shape>
          <o:OLEObject Type="Embed" ProgID="Equation.2" ShapeID="_x0000_i1028" DrawAspect="Content" ObjectID="_1595940253" r:id="rId55"/>
        </w:object>
      </w:r>
      <w:r>
        <w:t xml:space="preserve"> tons per square inch may be substituted for the formula stated in subsection (9) (b).</w:t>
      </w:r>
    </w:p>
    <w:p w:rsidR="00AF2508" w:rsidRDefault="00AF2508">
      <w:pPr>
        <w:pStyle w:val="Amain"/>
      </w:pPr>
      <w:r>
        <w:tab/>
        <w:t>(17)</w:t>
      </w:r>
      <w:r>
        <w:tab/>
        <w:t>These maximum stresses are permissible only for beams or cantilevers of mild steel conforming to Australian Standard Specification No A.I—1940, ‘Rolled Steel Sections for Structural Purposes’.</w:t>
      </w:r>
    </w:p>
    <w:p w:rsidR="00AF2508" w:rsidRDefault="00AF2508">
      <w:pPr>
        <w:pStyle w:val="Amain"/>
      </w:pPr>
      <w:r>
        <w:tab/>
        <w:t>(18)</w:t>
      </w:r>
      <w:r>
        <w:tab/>
        <w:t>For a beam or cantilever of the same type but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stress imposed or developed in the tension flange shall not exceed 15 tons per square inch, and in the compression flange of the beam, the lesser of the following stresses:</w:t>
      </w:r>
    </w:p>
    <w:p w:rsidR="00AF2508" w:rsidRDefault="00AF2508">
      <w:pPr>
        <w:pStyle w:val="Apara"/>
      </w:pPr>
      <w:r>
        <w:tab/>
        <w:t>(a)</w:t>
      </w:r>
      <w:r>
        <w:tab/>
        <w:t>17</w:t>
      </w:r>
      <w:r>
        <w:rPr>
          <w:position w:val="6"/>
          <w:sz w:val="18"/>
        </w:rPr>
        <w:t>6</w:t>
      </w:r>
      <w:r>
        <w:t>/</w:t>
      </w:r>
      <w:r>
        <w:rPr>
          <w:sz w:val="18"/>
        </w:rPr>
        <w:t>10</w:t>
      </w:r>
      <w:r>
        <w:t xml:space="preserve"> tons per square inch; or</w:t>
      </w:r>
    </w:p>
    <w:p w:rsidR="00AF2508" w:rsidRDefault="00AF2508">
      <w:pPr>
        <w:pStyle w:val="Apara"/>
      </w:pPr>
      <w:r>
        <w:tab/>
        <w:t>(b)</w:t>
      </w:r>
      <w:r>
        <w:tab/>
        <w:t>that determined by the formula stated in subsection (9) (b) or the alternative provided in subsection (15) or (16).</w:t>
      </w:r>
    </w:p>
    <w:p w:rsidR="00AF2508" w:rsidRDefault="00AF2508">
      <w:pPr>
        <w:pStyle w:val="Amain"/>
        <w:keepLines/>
      </w:pPr>
      <w:r>
        <w:tab/>
        <w:t>(19)</w:t>
      </w:r>
      <w:r>
        <w:tab/>
        <w:t>If a member of H, T or I section is used as a beam and the principal external loading is applied to the compression flange, and if the loading is evenly distributed throughout the span of the beam and is greater in magnitude than any concentrated loading that may be simultaneously applied, the stress imposed or developed in the flange shall not exceed the lesser of the following stresses—</w:t>
      </w:r>
    </w:p>
    <w:p w:rsidR="00AF2508" w:rsidRDefault="00AF2508">
      <w:pPr>
        <w:pStyle w:val="Apara"/>
      </w:pPr>
      <w:r>
        <w:tab/>
        <w:t>(a)</w:t>
      </w:r>
      <w:r>
        <w:tab/>
        <w:t>14</w:t>
      </w:r>
      <w:r>
        <w:rPr>
          <w:position w:val="6"/>
          <w:sz w:val="18"/>
        </w:rPr>
        <w:t>4</w:t>
      </w:r>
      <w:r>
        <w:t>/</w:t>
      </w:r>
      <w:r>
        <w:rPr>
          <w:sz w:val="18"/>
        </w:rPr>
        <w:t>10</w:t>
      </w:r>
      <w:r>
        <w:t xml:space="preserve"> tons per square inch, or</w:t>
      </w:r>
    </w:p>
    <w:p w:rsidR="00AF2508" w:rsidRDefault="00AF2508">
      <w:pPr>
        <w:pStyle w:val="Apara"/>
      </w:pPr>
      <w:r>
        <w:tab/>
        <w:t>(b)</w:t>
      </w:r>
      <w:r>
        <w:tab/>
        <w:t xml:space="preserve">that determined by the formula </w:t>
      </w:r>
      <w:r>
        <w:rPr>
          <w:position w:val="-24"/>
        </w:rPr>
        <w:object w:dxaOrig="660" w:dyaOrig="620">
          <v:shape id="_x0000_i1029" type="#_x0000_t75" style="width:33pt;height:30.75pt" o:ole="" fillcolor="window">
            <v:imagedata r:id="rId56" o:title=""/>
          </v:shape>
          <o:OLEObject Type="Embed" ProgID="Equation.2" ShapeID="_x0000_i1029" DrawAspect="Content" ObjectID="_1595940254" r:id="rId57"/>
        </w:object>
      </w:r>
      <w:r>
        <w:t xml:space="preserve"> tons per square inch.</w:t>
      </w:r>
    </w:p>
    <w:p w:rsidR="00AF2508" w:rsidRDefault="00AF2508">
      <w:pPr>
        <w:pStyle w:val="Amain"/>
        <w:keepNext/>
      </w:pPr>
      <w:r>
        <w:tab/>
        <w:t>(20)</w:t>
      </w:r>
      <w:r>
        <w:tab/>
        <w:t>In subsection (19):</w:t>
      </w:r>
    </w:p>
    <w:p w:rsidR="00AF2508" w:rsidRDefault="00AF2508">
      <w:pPr>
        <w:pStyle w:val="aDef"/>
        <w:rPr>
          <w:rStyle w:val="charItals"/>
          <w:i w:val="0"/>
        </w:rPr>
      </w:pPr>
      <w:r>
        <w:rPr>
          <w:rStyle w:val="charItals"/>
          <w:b/>
        </w:rPr>
        <w:t>b</w:t>
      </w:r>
      <w:r>
        <w:rPr>
          <w:rStyle w:val="charItals"/>
          <w:i w:val="0"/>
        </w:rPr>
        <w:t>—see subsection (10).</w:t>
      </w:r>
    </w:p>
    <w:p w:rsidR="00AF2508" w:rsidRDefault="00AF2508">
      <w:pPr>
        <w:pStyle w:val="aDef"/>
        <w:rPr>
          <w:rStyle w:val="charItals"/>
          <w:i w:val="0"/>
        </w:rPr>
      </w:pPr>
      <w:r>
        <w:rPr>
          <w:rStyle w:val="charItals"/>
          <w:b/>
        </w:rPr>
        <w:t>d</w:t>
      </w:r>
      <w:r>
        <w:rPr>
          <w:rStyle w:val="charItals"/>
          <w:i w:val="0"/>
        </w:rPr>
        <w:t>—see subsection (10).</w:t>
      </w:r>
    </w:p>
    <w:p w:rsidR="00AF2508" w:rsidRDefault="00AF2508">
      <w:pPr>
        <w:pStyle w:val="aDef"/>
        <w:rPr>
          <w:rStyle w:val="charItals"/>
          <w:i w:val="0"/>
        </w:rPr>
      </w:pPr>
      <w:r>
        <w:rPr>
          <w:rStyle w:val="charItals"/>
          <w:b/>
        </w:rPr>
        <w:t>l</w:t>
      </w:r>
      <w:r>
        <w:rPr>
          <w:rStyle w:val="charItals"/>
          <w:i w:val="0"/>
        </w:rPr>
        <w:t>—see subsection (10).</w:t>
      </w:r>
    </w:p>
    <w:p w:rsidR="00AF2508" w:rsidRDefault="00AF2508">
      <w:pPr>
        <w:pStyle w:val="aDef"/>
        <w:rPr>
          <w:rStyle w:val="charItals"/>
          <w:i w:val="0"/>
        </w:rPr>
      </w:pPr>
      <w:r>
        <w:rPr>
          <w:rStyle w:val="charItals"/>
          <w:b/>
        </w:rPr>
        <w:t>t</w:t>
      </w:r>
      <w:r>
        <w:rPr>
          <w:rStyle w:val="charItals"/>
          <w:i w:val="0"/>
        </w:rPr>
        <w:t>—see subsection (10).</w:t>
      </w:r>
    </w:p>
    <w:p w:rsidR="00AF2508" w:rsidRDefault="00AF2508">
      <w:pPr>
        <w:pStyle w:val="Amain"/>
      </w:pPr>
      <w:r>
        <w:tab/>
        <w:t>(21)</w:t>
      </w:r>
      <w:r>
        <w:tab/>
        <w:t xml:space="preserve">If the external loading is applied at the centroid axis of the beam, the formula </w:t>
      </w:r>
      <w:r>
        <w:rPr>
          <w:position w:val="-24"/>
        </w:rPr>
        <w:object w:dxaOrig="660" w:dyaOrig="620">
          <v:shape id="_x0000_i1030" type="#_x0000_t75" style="width:33pt;height:30.75pt" o:ole="" fillcolor="window">
            <v:imagedata r:id="rId58" o:title=""/>
          </v:shape>
          <o:OLEObject Type="Embed" ProgID="Equation.2" ShapeID="_x0000_i1030" DrawAspect="Content" ObjectID="_1595940255" r:id="rId59"/>
        </w:object>
      </w:r>
      <w:r>
        <w:t xml:space="preserve"> tons per square inch may be substituted for that stated in subsection (19) (b), and if the loading is applied to the tension flange of the beam, the formula </w:t>
      </w:r>
      <w:r>
        <w:rPr>
          <w:position w:val="-24"/>
        </w:rPr>
        <w:object w:dxaOrig="660" w:dyaOrig="620">
          <v:shape id="_x0000_i1031" type="#_x0000_t75" style="width:33pt;height:30.75pt" o:ole="" fillcolor="window">
            <v:imagedata r:id="rId60" o:title=""/>
          </v:shape>
          <o:OLEObject Type="Embed" ProgID="Equation.2" ShapeID="_x0000_i1031" DrawAspect="Content" ObjectID="_1595940256" r:id="rId61"/>
        </w:object>
      </w:r>
      <w:r>
        <w:t xml:space="preserve"> tons per square inch may be so substituted.</w:t>
      </w:r>
    </w:p>
    <w:p w:rsidR="00AF2508" w:rsidRDefault="00AF2508">
      <w:pPr>
        <w:pStyle w:val="Amain"/>
      </w:pPr>
      <w:r>
        <w:tab/>
        <w:t>(22)</w:t>
      </w:r>
      <w:r>
        <w:tab/>
        <w:t>These maximum stresses are permissible only for beams or cantilevers of mild steel conforming to Australian Standard Specification No A.I.—1940, ‘Rolled Steel Sections for Structural Purposes’.</w:t>
      </w:r>
    </w:p>
    <w:p w:rsidR="00AF2508" w:rsidRDefault="00AF2508">
      <w:pPr>
        <w:pStyle w:val="Amain"/>
        <w:keepLines/>
      </w:pPr>
      <w:r>
        <w:tab/>
        <w:t>(23)</w:t>
      </w:r>
      <w:r>
        <w:tab/>
        <w:t>For a beam or cantilever of the same type, but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stress imposed or developed in the tension flange shall not exceed 15 tons per square inch, and in the compression flange of the beam, the lesser of the following stresses:</w:t>
      </w:r>
    </w:p>
    <w:p w:rsidR="00AF2508" w:rsidRDefault="00AF2508">
      <w:pPr>
        <w:pStyle w:val="Apara"/>
      </w:pPr>
      <w:r>
        <w:tab/>
        <w:t>(a)</w:t>
      </w:r>
      <w:r>
        <w:tab/>
        <w:t>17</w:t>
      </w:r>
      <w:r>
        <w:rPr>
          <w:position w:val="6"/>
          <w:sz w:val="18"/>
        </w:rPr>
        <w:t>6</w:t>
      </w:r>
      <w:r>
        <w:t>/</w:t>
      </w:r>
      <w:r>
        <w:rPr>
          <w:sz w:val="18"/>
        </w:rPr>
        <w:t>10</w:t>
      </w:r>
      <w:r>
        <w:t xml:space="preserve"> tons per square inch; or</w:t>
      </w:r>
    </w:p>
    <w:p w:rsidR="00AF2508" w:rsidRDefault="00AF2508">
      <w:pPr>
        <w:pStyle w:val="Apara"/>
      </w:pPr>
      <w:r>
        <w:tab/>
        <w:t>(b)</w:t>
      </w:r>
      <w:r>
        <w:tab/>
        <w:t>that determined by the formula stated in subsection (19) (b) or the alternative provided in subsection (21).</w:t>
      </w:r>
    </w:p>
    <w:p w:rsidR="00AF2508" w:rsidRDefault="00AF2508">
      <w:pPr>
        <w:pStyle w:val="Amain"/>
      </w:pPr>
      <w:r>
        <w:tab/>
        <w:t>(24)</w:t>
      </w:r>
      <w:r>
        <w:tab/>
        <w:t xml:space="preserve">The computed deflection of a steel beam in the direction of either the major or minor rectilinear axis of any cross-section shall not exceed </w:t>
      </w:r>
      <w:r>
        <w:rPr>
          <w:position w:val="6"/>
          <w:sz w:val="18"/>
        </w:rPr>
        <w:t>1</w:t>
      </w:r>
      <w:r>
        <w:t>/</w:t>
      </w:r>
      <w:r>
        <w:rPr>
          <w:sz w:val="18"/>
        </w:rPr>
        <w:t>380</w:t>
      </w:r>
      <w:r>
        <w:t xml:space="preserve"> part of the span of the beam.</w:t>
      </w:r>
    </w:p>
    <w:p w:rsidR="00AF2508" w:rsidRDefault="00AF2508">
      <w:pPr>
        <w:pStyle w:val="Amain"/>
      </w:pPr>
      <w:r>
        <w:tab/>
        <w:t>(25)</w:t>
      </w:r>
      <w:r>
        <w:tab/>
        <w:t xml:space="preserve">The computed deflection at the extremity of a steel cantilever shall not, when measured in the direction of either the major or minor rectilinear axis of any cross-section, exceed </w:t>
      </w:r>
      <w:r>
        <w:rPr>
          <w:position w:val="6"/>
          <w:sz w:val="18"/>
        </w:rPr>
        <w:t>1</w:t>
      </w:r>
      <w:r>
        <w:t>/</w:t>
      </w:r>
      <w:r>
        <w:rPr>
          <w:sz w:val="18"/>
        </w:rPr>
        <w:t>190</w:t>
      </w:r>
      <w:r>
        <w:t xml:space="preserve"> part of the length of the cantilever.</w:t>
      </w:r>
    </w:p>
    <w:p w:rsidR="00AF2508" w:rsidRDefault="00AF2508">
      <w:pPr>
        <w:pStyle w:val="Amain"/>
      </w:pPr>
      <w:r>
        <w:tab/>
        <w:t>(26)</w:t>
      </w:r>
      <w:r>
        <w:tab/>
        <w:t>For the purpose of computing the deflections, the modulus of elasticity of steel shall be deemed to be 13 000 tons per square inch.</w:t>
      </w:r>
    </w:p>
    <w:p w:rsidR="00AF2508" w:rsidRDefault="00AF2508">
      <w:pPr>
        <w:pStyle w:val="Amain"/>
      </w:pPr>
      <w:r>
        <w:tab/>
        <w:t>(27)</w:t>
      </w:r>
      <w:r>
        <w:tab/>
        <w:t>In computing deflections it shall be necessary to increase the forces producing the deflections in the way provided by section 125.</w:t>
      </w:r>
    </w:p>
    <w:p w:rsidR="00AF2508" w:rsidRDefault="00AF2508">
      <w:pPr>
        <w:pStyle w:val="Amain"/>
      </w:pPr>
      <w:r>
        <w:tab/>
        <w:t>(28)</w:t>
      </w:r>
      <w:r>
        <w:tab/>
        <w:t>Forces shall be considered to act simultaneously, and the horizontal forces referred to in section 124 shall be included.</w:t>
      </w:r>
    </w:p>
    <w:p w:rsidR="00AF2508" w:rsidRDefault="00AF2508">
      <w:pPr>
        <w:pStyle w:val="Amain"/>
      </w:pPr>
      <w:r>
        <w:tab/>
        <w:t>(29)</w:t>
      </w:r>
      <w:r>
        <w:tab/>
        <w:t>The maximum vertical shearing stress in the webs of rolled steel joists, channels or plate-web girders of mild steel conforming to Australian Standard Specification No A.I—1940 ‘Rolled Steel Sections for Structural Purposes’ shall not exceed 6 tons per square inch.</w:t>
      </w:r>
    </w:p>
    <w:p w:rsidR="00AF2508" w:rsidRDefault="00AF2508">
      <w:pPr>
        <w:pStyle w:val="Amain"/>
      </w:pPr>
      <w:r>
        <w:tab/>
        <w:t>(30)</w:t>
      </w:r>
      <w:r>
        <w:tab/>
        <w:t>If the members are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maximum vertical shearing stresses in the webs shall not exceed 7</w:t>
      </w:r>
      <w:r>
        <w:rPr>
          <w:position w:val="6"/>
          <w:sz w:val="18"/>
        </w:rPr>
        <w:t>1</w:t>
      </w:r>
      <w:r>
        <w:t>/</w:t>
      </w:r>
      <w:r>
        <w:rPr>
          <w:sz w:val="18"/>
        </w:rPr>
        <w:t>4</w:t>
      </w:r>
      <w:r>
        <w:t xml:space="preserve"> tons per square inch.</w:t>
      </w:r>
    </w:p>
    <w:p w:rsidR="00AF2508" w:rsidRDefault="00AF2508">
      <w:pPr>
        <w:pStyle w:val="Amain"/>
        <w:keepNext/>
      </w:pPr>
      <w:r>
        <w:tab/>
        <w:t>(31)</w:t>
      </w:r>
      <w:r>
        <w:tab/>
        <w:t>The shearing stresses mentioned in subsections (29) and (30) are permissible only if the ratio—</w:t>
      </w:r>
    </w:p>
    <w:p w:rsidR="00AF2508" w:rsidRDefault="00AF2508">
      <w:pPr>
        <w:pStyle w:val="Formula"/>
        <w:keepNext/>
      </w:pPr>
      <w:r>
        <w:rPr>
          <w:position w:val="-24"/>
        </w:rPr>
        <w:object w:dxaOrig="1740" w:dyaOrig="620">
          <v:shape id="_x0000_i1032" type="#_x0000_t75" style="width:87pt;height:30.75pt" o:ole="" fillcolor="window">
            <v:imagedata r:id="rId62" o:title=""/>
          </v:shape>
          <o:OLEObject Type="Embed" ProgID="Equation.3" ShapeID="_x0000_i1032" DrawAspect="Content" ObjectID="_1595940257" r:id="rId63"/>
        </w:object>
      </w:r>
    </w:p>
    <w:p w:rsidR="00AF2508" w:rsidRDefault="00AF2508">
      <w:pPr>
        <w:pStyle w:val="Amainreturn"/>
      </w:pPr>
      <w:r>
        <w:t>does not exceed 83 for the mild steel or 75 for the high tensile steel members.</w:t>
      </w:r>
    </w:p>
    <w:p w:rsidR="00AF2508" w:rsidRDefault="00AF2508">
      <w:pPr>
        <w:pStyle w:val="Amain"/>
      </w:pPr>
      <w:r>
        <w:tab/>
        <w:t>(32)</w:t>
      </w:r>
      <w:r>
        <w:tab/>
        <w:t>For the purposes of web-shearing computations the depth of web of a rolled steel joist or channel may be taken as the full depth of the joist or channel, and the depth of web of a plate girder may be taken as the depth of the girder, measured between the centroid axes of the respective compression and tension flanges.</w:t>
      </w:r>
    </w:p>
    <w:p w:rsidR="00AF2508" w:rsidRDefault="00AF2508">
      <w:pPr>
        <w:pStyle w:val="Amain"/>
      </w:pPr>
      <w:r>
        <w:tab/>
        <w:t>(33)</w:t>
      </w:r>
      <w:r>
        <w:tab/>
        <w:t>If the ratios of depth to web thickness mentioned in subsection (31) are exceeded, the maximum vertical shearing stress shall not exceed that determined by the formula—</w:t>
      </w:r>
    </w:p>
    <w:p w:rsidR="00AF2508" w:rsidRDefault="00AF2508">
      <w:pPr>
        <w:pStyle w:val="Formula"/>
      </w:pPr>
      <w:r>
        <w:rPr>
          <w:position w:val="-30"/>
        </w:rPr>
        <w:object w:dxaOrig="5000" w:dyaOrig="720">
          <v:shape id="_x0000_i1033" type="#_x0000_t75" style="width:249.75pt;height:36pt" o:ole="" fillcolor="window">
            <v:imagedata r:id="rId64" o:title=""/>
          </v:shape>
          <o:OLEObject Type="Embed" ProgID="Equation.3" ShapeID="_x0000_i1033" DrawAspect="Content" ObjectID="_1595940258" r:id="rId65"/>
        </w:object>
      </w:r>
    </w:p>
    <w:p w:rsidR="00AF2508" w:rsidRDefault="00AF2508">
      <w:pPr>
        <w:pStyle w:val="Amain"/>
      </w:pPr>
      <w:r>
        <w:tab/>
        <w:t>(34)</w:t>
      </w:r>
      <w:r>
        <w:tab/>
        <w:t xml:space="preserve">For subsection (33), the value of </w:t>
      </w:r>
      <w:r>
        <w:rPr>
          <w:b/>
        </w:rPr>
        <w:t>K</w:t>
      </w:r>
      <w:r>
        <w:t xml:space="preserve"> shall be selected from table 126.3 in conformity with, and as appropriate to the ratio </w:t>
      </w:r>
      <w:r>
        <w:rPr>
          <w:position w:val="-24"/>
        </w:rPr>
        <w:object w:dxaOrig="340" w:dyaOrig="620">
          <v:shape id="_x0000_i1034" type="#_x0000_t75" style="width:17.25pt;height:30.75pt" o:ole="" fillcolor="window">
            <v:imagedata r:id="rId66" o:title=""/>
          </v:shape>
          <o:OLEObject Type="Embed" ProgID="Equation.2" ShapeID="_x0000_i1034" DrawAspect="Content" ObjectID="_1595940259" r:id="rId67"/>
        </w:object>
      </w:r>
      <w:r>
        <w:t xml:space="preserve"> where </w:t>
      </w:r>
      <w:r>
        <w:rPr>
          <w:rStyle w:val="charItals"/>
          <w:b/>
        </w:rPr>
        <w:t>d</w:t>
      </w:r>
      <w:r>
        <w:rPr>
          <w:b/>
          <w:position w:val="-6"/>
          <w:sz w:val="12"/>
        </w:rPr>
        <w:t>1</w:t>
      </w:r>
      <w:r>
        <w:t xml:space="preserve"> is the longer and </w:t>
      </w:r>
      <w:r>
        <w:rPr>
          <w:rStyle w:val="charItals"/>
          <w:b/>
        </w:rPr>
        <w:t>d</w:t>
      </w:r>
      <w:r>
        <w:t xml:space="preserve"> the lesser rectilinear dimensions of the panels into which the web is divided by effective stiffeners, measured in the vicinity of the stress assessed.</w:t>
      </w:r>
    </w:p>
    <w:p w:rsidR="00AF2508" w:rsidRDefault="00AF2508">
      <w:pPr>
        <w:pStyle w:val="TableHd"/>
      </w:pPr>
      <w:r>
        <w:t>Table 126.3</w:t>
      </w:r>
    </w:p>
    <w:tbl>
      <w:tblPr>
        <w:tblW w:w="7178" w:type="dxa"/>
        <w:tblInd w:w="80" w:type="dxa"/>
        <w:tblLayout w:type="fixed"/>
        <w:tblCellMar>
          <w:left w:w="80" w:type="dxa"/>
          <w:right w:w="80" w:type="dxa"/>
        </w:tblCellMar>
        <w:tblLook w:val="0000" w:firstRow="0" w:lastRow="0" w:firstColumn="0" w:lastColumn="0" w:noHBand="0" w:noVBand="0"/>
      </w:tblPr>
      <w:tblGrid>
        <w:gridCol w:w="1311"/>
        <w:gridCol w:w="684"/>
        <w:gridCol w:w="570"/>
        <w:gridCol w:w="570"/>
        <w:gridCol w:w="570"/>
        <w:gridCol w:w="570"/>
        <w:gridCol w:w="570"/>
        <w:gridCol w:w="570"/>
        <w:gridCol w:w="570"/>
        <w:gridCol w:w="570"/>
        <w:gridCol w:w="623"/>
      </w:tblGrid>
      <w:tr w:rsidR="00AF2508">
        <w:trPr>
          <w:cantSplit/>
        </w:trPr>
        <w:tc>
          <w:tcPr>
            <w:tcW w:w="1311" w:type="dxa"/>
            <w:tcBorders>
              <w:top w:val="single" w:sz="6" w:space="0" w:color="auto"/>
            </w:tcBorders>
          </w:tcPr>
          <w:p w:rsidR="00AF2508" w:rsidRDefault="00AF2508">
            <w:r>
              <w:t xml:space="preserve">ratio   </w:t>
            </w:r>
            <w:r>
              <w:fldChar w:fldCharType="begin"/>
            </w:r>
            <w:r>
              <w:instrText xml:space="preserve"> EQ \F(</w:instrText>
            </w:r>
            <w:r>
              <w:rPr>
                <w:i/>
              </w:rPr>
              <w:instrText>d</w:instrText>
            </w:r>
            <w:r>
              <w:rPr>
                <w:position w:val="-6"/>
                <w:sz w:val="10"/>
              </w:rPr>
              <w:instrText>1</w:instrText>
            </w:r>
            <w:r>
              <w:instrText>,</w:instrText>
            </w:r>
            <w:r>
              <w:rPr>
                <w:i/>
              </w:rPr>
              <w:instrText>d</w:instrText>
            </w:r>
            <w:r>
              <w:instrText xml:space="preserve">) </w:instrText>
            </w:r>
            <w:r>
              <w:fldChar w:fldCharType="end"/>
            </w:r>
          </w:p>
        </w:tc>
        <w:tc>
          <w:tcPr>
            <w:tcW w:w="684" w:type="dxa"/>
            <w:tcBorders>
              <w:top w:val="single" w:sz="6" w:space="0" w:color="auto"/>
            </w:tcBorders>
          </w:tcPr>
          <w:p w:rsidR="00AF2508" w:rsidRDefault="00AF2508">
            <w:pPr>
              <w:pStyle w:val="TableText"/>
              <w:spacing w:before="180"/>
            </w:pPr>
            <w:r>
              <w:t>1.0</w:t>
            </w:r>
          </w:p>
        </w:tc>
        <w:tc>
          <w:tcPr>
            <w:tcW w:w="570" w:type="dxa"/>
            <w:tcBorders>
              <w:top w:val="single" w:sz="6" w:space="0" w:color="auto"/>
            </w:tcBorders>
          </w:tcPr>
          <w:p w:rsidR="00AF2508" w:rsidRDefault="00AF2508">
            <w:pPr>
              <w:pStyle w:val="TableText"/>
              <w:spacing w:before="180"/>
            </w:pPr>
            <w:r>
              <w:t>1.2</w:t>
            </w:r>
          </w:p>
        </w:tc>
        <w:tc>
          <w:tcPr>
            <w:tcW w:w="570" w:type="dxa"/>
            <w:tcBorders>
              <w:top w:val="single" w:sz="6" w:space="0" w:color="auto"/>
            </w:tcBorders>
          </w:tcPr>
          <w:p w:rsidR="00AF2508" w:rsidRDefault="00AF2508">
            <w:pPr>
              <w:pStyle w:val="TableText"/>
              <w:spacing w:before="180"/>
            </w:pPr>
            <w:r>
              <w:t>1.4</w:t>
            </w:r>
          </w:p>
        </w:tc>
        <w:tc>
          <w:tcPr>
            <w:tcW w:w="570" w:type="dxa"/>
            <w:tcBorders>
              <w:top w:val="single" w:sz="6" w:space="0" w:color="auto"/>
            </w:tcBorders>
          </w:tcPr>
          <w:p w:rsidR="00AF2508" w:rsidRDefault="00AF2508">
            <w:pPr>
              <w:pStyle w:val="TableText"/>
              <w:spacing w:before="180"/>
            </w:pPr>
            <w:r>
              <w:t>1.5</w:t>
            </w:r>
          </w:p>
        </w:tc>
        <w:tc>
          <w:tcPr>
            <w:tcW w:w="570" w:type="dxa"/>
            <w:tcBorders>
              <w:top w:val="single" w:sz="6" w:space="0" w:color="auto"/>
            </w:tcBorders>
          </w:tcPr>
          <w:p w:rsidR="00AF2508" w:rsidRDefault="00AF2508">
            <w:pPr>
              <w:pStyle w:val="TableText"/>
              <w:spacing w:before="180"/>
            </w:pPr>
            <w:r>
              <w:t>1.6</w:t>
            </w:r>
          </w:p>
        </w:tc>
        <w:tc>
          <w:tcPr>
            <w:tcW w:w="570" w:type="dxa"/>
            <w:tcBorders>
              <w:top w:val="single" w:sz="6" w:space="0" w:color="auto"/>
            </w:tcBorders>
          </w:tcPr>
          <w:p w:rsidR="00AF2508" w:rsidRDefault="00AF2508">
            <w:pPr>
              <w:pStyle w:val="TableText"/>
              <w:spacing w:before="180"/>
            </w:pPr>
            <w:r>
              <w:t>1.8</w:t>
            </w:r>
          </w:p>
        </w:tc>
        <w:tc>
          <w:tcPr>
            <w:tcW w:w="570" w:type="dxa"/>
            <w:tcBorders>
              <w:top w:val="single" w:sz="6" w:space="0" w:color="auto"/>
            </w:tcBorders>
          </w:tcPr>
          <w:p w:rsidR="00AF2508" w:rsidRDefault="00AF2508">
            <w:pPr>
              <w:pStyle w:val="TableText"/>
              <w:spacing w:before="180"/>
            </w:pPr>
            <w:r>
              <w:t>2.0</w:t>
            </w:r>
          </w:p>
        </w:tc>
        <w:tc>
          <w:tcPr>
            <w:tcW w:w="570" w:type="dxa"/>
            <w:tcBorders>
              <w:top w:val="single" w:sz="6" w:space="0" w:color="auto"/>
            </w:tcBorders>
          </w:tcPr>
          <w:p w:rsidR="00AF2508" w:rsidRDefault="00AF2508">
            <w:pPr>
              <w:pStyle w:val="TableText"/>
              <w:spacing w:before="180"/>
            </w:pPr>
            <w:r>
              <w:t>2.5</w:t>
            </w:r>
          </w:p>
        </w:tc>
        <w:tc>
          <w:tcPr>
            <w:tcW w:w="570" w:type="dxa"/>
            <w:tcBorders>
              <w:top w:val="single" w:sz="6" w:space="0" w:color="auto"/>
            </w:tcBorders>
          </w:tcPr>
          <w:p w:rsidR="00AF2508" w:rsidRDefault="00AF2508">
            <w:pPr>
              <w:pStyle w:val="TableText"/>
              <w:spacing w:before="180"/>
            </w:pPr>
            <w:r>
              <w:t>3.0</w:t>
            </w:r>
          </w:p>
        </w:tc>
        <w:tc>
          <w:tcPr>
            <w:tcW w:w="623" w:type="dxa"/>
            <w:tcBorders>
              <w:top w:val="single" w:sz="6" w:space="0" w:color="auto"/>
            </w:tcBorders>
          </w:tcPr>
          <w:p w:rsidR="00AF2508" w:rsidRDefault="00AF2508">
            <w:pPr>
              <w:spacing w:before="180"/>
            </w:pPr>
            <w:r>
              <w:rPr>
                <w:position w:val="-4"/>
              </w:rPr>
              <w:object w:dxaOrig="240" w:dyaOrig="200">
                <v:shape id="_x0000_i1035" type="#_x0000_t75" style="width:12pt;height:9.75pt" o:ole="" fillcolor="window">
                  <v:imagedata r:id="rId68" o:title=""/>
                </v:shape>
                <o:OLEObject Type="Embed" ProgID="Equation.3" ShapeID="_x0000_i1035" DrawAspect="Content" ObjectID="_1595940260" r:id="rId69"/>
              </w:object>
            </w:r>
          </w:p>
        </w:tc>
      </w:tr>
      <w:tr w:rsidR="00AF2508">
        <w:trPr>
          <w:cantSplit/>
        </w:trPr>
        <w:tc>
          <w:tcPr>
            <w:tcW w:w="1311" w:type="dxa"/>
            <w:tcBorders>
              <w:top w:val="single" w:sz="6" w:space="0" w:color="auto"/>
              <w:bottom w:val="single" w:sz="6" w:space="0" w:color="auto"/>
            </w:tcBorders>
          </w:tcPr>
          <w:p w:rsidR="00AF2508" w:rsidRDefault="00AF2508">
            <w:pPr>
              <w:pStyle w:val="TableText"/>
            </w:pPr>
            <w:r>
              <w:t>K</w:t>
            </w:r>
            <w:r>
              <w:tab/>
            </w:r>
          </w:p>
        </w:tc>
        <w:tc>
          <w:tcPr>
            <w:tcW w:w="684" w:type="dxa"/>
            <w:tcBorders>
              <w:top w:val="single" w:sz="6" w:space="0" w:color="auto"/>
              <w:bottom w:val="single" w:sz="6" w:space="0" w:color="auto"/>
            </w:tcBorders>
          </w:tcPr>
          <w:p w:rsidR="00AF2508" w:rsidRDefault="00AF2508">
            <w:pPr>
              <w:pStyle w:val="TableText"/>
            </w:pPr>
            <w:r>
              <w:t>9.42</w:t>
            </w:r>
          </w:p>
        </w:tc>
        <w:tc>
          <w:tcPr>
            <w:tcW w:w="570" w:type="dxa"/>
            <w:tcBorders>
              <w:top w:val="single" w:sz="6" w:space="0" w:color="auto"/>
              <w:bottom w:val="single" w:sz="6" w:space="0" w:color="auto"/>
            </w:tcBorders>
          </w:tcPr>
          <w:p w:rsidR="00AF2508" w:rsidRDefault="00AF2508">
            <w:pPr>
              <w:pStyle w:val="TableText"/>
            </w:pPr>
            <w:r>
              <w:t>8.0</w:t>
            </w:r>
          </w:p>
        </w:tc>
        <w:tc>
          <w:tcPr>
            <w:tcW w:w="570" w:type="dxa"/>
            <w:tcBorders>
              <w:top w:val="single" w:sz="6" w:space="0" w:color="auto"/>
              <w:bottom w:val="single" w:sz="6" w:space="0" w:color="auto"/>
            </w:tcBorders>
          </w:tcPr>
          <w:p w:rsidR="00AF2508" w:rsidRDefault="00AF2508">
            <w:pPr>
              <w:pStyle w:val="TableText"/>
            </w:pPr>
            <w:r>
              <w:t>7.3</w:t>
            </w:r>
          </w:p>
        </w:tc>
        <w:tc>
          <w:tcPr>
            <w:tcW w:w="570" w:type="dxa"/>
            <w:tcBorders>
              <w:top w:val="single" w:sz="6" w:space="0" w:color="auto"/>
              <w:bottom w:val="single" w:sz="6" w:space="0" w:color="auto"/>
            </w:tcBorders>
          </w:tcPr>
          <w:p w:rsidR="00AF2508" w:rsidRDefault="00AF2508">
            <w:pPr>
              <w:pStyle w:val="TableText"/>
            </w:pPr>
            <w:r>
              <w:t>7.1</w:t>
            </w:r>
          </w:p>
        </w:tc>
        <w:tc>
          <w:tcPr>
            <w:tcW w:w="570" w:type="dxa"/>
            <w:tcBorders>
              <w:top w:val="single" w:sz="6" w:space="0" w:color="auto"/>
              <w:bottom w:val="single" w:sz="6" w:space="0" w:color="auto"/>
            </w:tcBorders>
          </w:tcPr>
          <w:p w:rsidR="00AF2508" w:rsidRDefault="00AF2508">
            <w:pPr>
              <w:pStyle w:val="TableText"/>
            </w:pPr>
            <w:r>
              <w:t>7.0</w:t>
            </w:r>
          </w:p>
        </w:tc>
        <w:tc>
          <w:tcPr>
            <w:tcW w:w="570" w:type="dxa"/>
            <w:tcBorders>
              <w:top w:val="single" w:sz="6" w:space="0" w:color="auto"/>
              <w:bottom w:val="single" w:sz="6" w:space="0" w:color="auto"/>
            </w:tcBorders>
          </w:tcPr>
          <w:p w:rsidR="00AF2508" w:rsidRDefault="00AF2508">
            <w:pPr>
              <w:pStyle w:val="TableText"/>
            </w:pPr>
            <w:r>
              <w:t>6.8</w:t>
            </w:r>
          </w:p>
        </w:tc>
        <w:tc>
          <w:tcPr>
            <w:tcW w:w="570" w:type="dxa"/>
            <w:tcBorders>
              <w:top w:val="single" w:sz="6" w:space="0" w:color="auto"/>
              <w:bottom w:val="single" w:sz="6" w:space="0" w:color="auto"/>
            </w:tcBorders>
          </w:tcPr>
          <w:p w:rsidR="00AF2508" w:rsidRDefault="00AF2508">
            <w:pPr>
              <w:pStyle w:val="TableText"/>
            </w:pPr>
            <w:r>
              <w:t>6.6</w:t>
            </w:r>
          </w:p>
        </w:tc>
        <w:tc>
          <w:tcPr>
            <w:tcW w:w="570" w:type="dxa"/>
            <w:tcBorders>
              <w:top w:val="single" w:sz="6" w:space="0" w:color="auto"/>
              <w:bottom w:val="single" w:sz="6" w:space="0" w:color="auto"/>
            </w:tcBorders>
          </w:tcPr>
          <w:p w:rsidR="00AF2508" w:rsidRDefault="00AF2508">
            <w:pPr>
              <w:pStyle w:val="TableText"/>
            </w:pPr>
            <w:r>
              <w:t>6.3</w:t>
            </w:r>
          </w:p>
        </w:tc>
        <w:tc>
          <w:tcPr>
            <w:tcW w:w="570" w:type="dxa"/>
            <w:tcBorders>
              <w:top w:val="single" w:sz="6" w:space="0" w:color="auto"/>
              <w:bottom w:val="single" w:sz="6" w:space="0" w:color="auto"/>
            </w:tcBorders>
          </w:tcPr>
          <w:p w:rsidR="00AF2508" w:rsidRDefault="00AF2508">
            <w:pPr>
              <w:pStyle w:val="TableText"/>
            </w:pPr>
            <w:r>
              <w:t>6.1</w:t>
            </w:r>
          </w:p>
        </w:tc>
        <w:tc>
          <w:tcPr>
            <w:tcW w:w="623" w:type="dxa"/>
            <w:tcBorders>
              <w:top w:val="single" w:sz="6" w:space="0" w:color="auto"/>
              <w:bottom w:val="single" w:sz="6" w:space="0" w:color="auto"/>
            </w:tcBorders>
          </w:tcPr>
          <w:p w:rsidR="00AF2508" w:rsidRDefault="00AF2508">
            <w:pPr>
              <w:pStyle w:val="TableText"/>
            </w:pPr>
            <w:r>
              <w:t>5.35</w:t>
            </w:r>
          </w:p>
        </w:tc>
      </w:tr>
    </w:tbl>
    <w:p w:rsidR="00AF2508" w:rsidRDefault="00AF2508"/>
    <w:p w:rsidR="00AF2508" w:rsidRDefault="00AF2508">
      <w:pPr>
        <w:pStyle w:val="Amain"/>
      </w:pPr>
      <w:r>
        <w:tab/>
        <w:t>(35)</w:t>
      </w:r>
      <w:r>
        <w:tab/>
        <w:t>If vertical shearing stresses are low and the depth of web is less than 132 times the web thickness for mild, or 120 times the web thickness for high tensile steels as mentioned in subsections (29) and (30), the following compressive stresses shall not be exceeded at any section of the web:</w:t>
      </w:r>
    </w:p>
    <w:p w:rsidR="00AF2508" w:rsidRDefault="00AF2508">
      <w:pPr>
        <w:pStyle w:val="Apara"/>
      </w:pPr>
      <w:r>
        <w:tab/>
        <w:t>(a)</w:t>
      </w:r>
      <w:r>
        <w:tab/>
        <w:t>for such mild steel—8 tons per square inch;</w:t>
      </w:r>
    </w:p>
    <w:p w:rsidR="00AF2508" w:rsidRDefault="00AF2508">
      <w:pPr>
        <w:pStyle w:val="Apara"/>
      </w:pPr>
      <w:r>
        <w:tab/>
        <w:t>(b)</w:t>
      </w:r>
      <w:r>
        <w:tab/>
        <w:t>for such high tensile steel—9 tons per square inch.</w:t>
      </w:r>
    </w:p>
    <w:p w:rsidR="00AF2508" w:rsidRDefault="00AF2508">
      <w:pPr>
        <w:pStyle w:val="Amain"/>
      </w:pPr>
      <w:r>
        <w:tab/>
        <w:t>(36)</w:t>
      </w:r>
      <w:r>
        <w:tab/>
        <w:t>If relationships of web depths to thicknesses mentioned in subsection (35) are exceeded, the compressive stress in the web shall not exceed that determined by the formula—</w:t>
      </w:r>
    </w:p>
    <w:p w:rsidR="00AF2508" w:rsidRDefault="00AF2508">
      <w:pPr>
        <w:pStyle w:val="Formula"/>
      </w:pPr>
      <w:r>
        <w:rPr>
          <w:position w:val="-30"/>
        </w:rPr>
        <w:object w:dxaOrig="5000" w:dyaOrig="720">
          <v:shape id="_x0000_i1036" type="#_x0000_t75" style="width:249.75pt;height:36pt" o:ole="" fillcolor="window">
            <v:imagedata r:id="rId70" o:title=""/>
          </v:shape>
          <o:OLEObject Type="Embed" ProgID="Equation.3" ShapeID="_x0000_i1036" DrawAspect="Content" ObjectID="_1595940261" r:id="rId71"/>
        </w:object>
      </w:r>
    </w:p>
    <w:p w:rsidR="00AF2508" w:rsidRDefault="00AF2508">
      <w:pPr>
        <w:pStyle w:val="Amain"/>
      </w:pPr>
      <w:r>
        <w:tab/>
        <w:t>(37)</w:t>
      </w:r>
      <w:r>
        <w:tab/>
        <w:t xml:space="preserve">For subsection (36), the value of </w:t>
      </w:r>
      <w:r>
        <w:rPr>
          <w:b/>
        </w:rPr>
        <w:t>K</w:t>
      </w:r>
      <w:r>
        <w:t xml:space="preserve"> shall be selected from table 126.4 in conformity with, and appropriate to the ratio </w:t>
      </w:r>
      <w:r>
        <w:rPr>
          <w:position w:val="-24"/>
        </w:rPr>
        <w:object w:dxaOrig="340" w:dyaOrig="620">
          <v:shape id="_x0000_i1037" type="#_x0000_t75" style="width:17.25pt;height:30.75pt" o:ole="" fillcolor="window">
            <v:imagedata r:id="rId66" o:title=""/>
          </v:shape>
          <o:OLEObject Type="Embed" ProgID="Equation.2" ShapeID="_x0000_i1037" DrawAspect="Content" ObjectID="_1595940262" r:id="rId72"/>
        </w:object>
      </w:r>
      <w:r>
        <w:t xml:space="preserve"> with the same meaning as mentioned in subsection (34).</w:t>
      </w:r>
    </w:p>
    <w:p w:rsidR="00AF2508" w:rsidRDefault="00AF2508">
      <w:pPr>
        <w:pStyle w:val="TableHd"/>
        <w:ind w:hanging="1542"/>
      </w:pPr>
      <w:r>
        <w:t>Table 126.4</w:t>
      </w:r>
    </w:p>
    <w:tbl>
      <w:tblPr>
        <w:tblW w:w="8892" w:type="dxa"/>
        <w:tblInd w:w="-262" w:type="dxa"/>
        <w:tblLayout w:type="fixed"/>
        <w:tblCellMar>
          <w:left w:w="80" w:type="dxa"/>
          <w:right w:w="80" w:type="dxa"/>
        </w:tblCellMar>
        <w:tblLook w:val="0000" w:firstRow="0" w:lastRow="0" w:firstColumn="0" w:lastColumn="0" w:noHBand="0" w:noVBand="0"/>
      </w:tblPr>
      <w:tblGrid>
        <w:gridCol w:w="1311"/>
        <w:gridCol w:w="627"/>
        <w:gridCol w:w="627"/>
        <w:gridCol w:w="627"/>
        <w:gridCol w:w="627"/>
        <w:gridCol w:w="627"/>
        <w:gridCol w:w="627"/>
        <w:gridCol w:w="627"/>
        <w:gridCol w:w="627"/>
        <w:gridCol w:w="627"/>
        <w:gridCol w:w="627"/>
        <w:gridCol w:w="627"/>
        <w:gridCol w:w="684"/>
      </w:tblGrid>
      <w:tr w:rsidR="00AF2508">
        <w:trPr>
          <w:cantSplit/>
        </w:trPr>
        <w:tc>
          <w:tcPr>
            <w:tcW w:w="1311" w:type="dxa"/>
            <w:tcBorders>
              <w:top w:val="single" w:sz="6" w:space="0" w:color="auto"/>
            </w:tcBorders>
          </w:tcPr>
          <w:p w:rsidR="00AF2508" w:rsidRDefault="00AF2508">
            <w:r>
              <w:t xml:space="preserve">ratio    </w:t>
            </w:r>
            <w:r>
              <w:fldChar w:fldCharType="begin"/>
            </w:r>
            <w:r>
              <w:instrText xml:space="preserve"> EQ \F(d1,d) </w:instrText>
            </w:r>
            <w:r>
              <w:fldChar w:fldCharType="end"/>
            </w:r>
          </w:p>
        </w:tc>
        <w:tc>
          <w:tcPr>
            <w:tcW w:w="627" w:type="dxa"/>
            <w:tcBorders>
              <w:top w:val="single" w:sz="6" w:space="0" w:color="auto"/>
            </w:tcBorders>
          </w:tcPr>
          <w:p w:rsidR="00AF2508" w:rsidRDefault="00AF2508">
            <w:pPr>
              <w:pStyle w:val="TableText"/>
              <w:spacing w:before="180"/>
            </w:pPr>
            <w:r>
              <w:t>0.4</w:t>
            </w:r>
          </w:p>
        </w:tc>
        <w:tc>
          <w:tcPr>
            <w:tcW w:w="627" w:type="dxa"/>
            <w:tcBorders>
              <w:top w:val="single" w:sz="6" w:space="0" w:color="auto"/>
            </w:tcBorders>
          </w:tcPr>
          <w:p w:rsidR="00AF2508" w:rsidRDefault="00AF2508">
            <w:pPr>
              <w:pStyle w:val="TableText"/>
              <w:spacing w:before="180"/>
            </w:pPr>
            <w:r>
              <w:t>0.5</w:t>
            </w:r>
          </w:p>
        </w:tc>
        <w:tc>
          <w:tcPr>
            <w:tcW w:w="627" w:type="dxa"/>
            <w:tcBorders>
              <w:top w:val="single" w:sz="6" w:space="0" w:color="auto"/>
            </w:tcBorders>
          </w:tcPr>
          <w:p w:rsidR="00AF2508" w:rsidRDefault="00AF2508">
            <w:pPr>
              <w:pStyle w:val="TableText"/>
              <w:spacing w:before="180"/>
            </w:pPr>
            <w:r>
              <w:t>0.6</w:t>
            </w:r>
          </w:p>
        </w:tc>
        <w:tc>
          <w:tcPr>
            <w:tcW w:w="627" w:type="dxa"/>
            <w:tcBorders>
              <w:top w:val="single" w:sz="6" w:space="0" w:color="auto"/>
            </w:tcBorders>
          </w:tcPr>
          <w:p w:rsidR="00AF2508" w:rsidRDefault="00AF2508">
            <w:pPr>
              <w:pStyle w:val="TableText"/>
              <w:spacing w:before="180"/>
            </w:pPr>
            <w:r>
              <w:t>0.67</w:t>
            </w:r>
          </w:p>
        </w:tc>
        <w:tc>
          <w:tcPr>
            <w:tcW w:w="627" w:type="dxa"/>
            <w:tcBorders>
              <w:top w:val="single" w:sz="6" w:space="0" w:color="auto"/>
            </w:tcBorders>
          </w:tcPr>
          <w:p w:rsidR="00AF2508" w:rsidRDefault="00AF2508">
            <w:pPr>
              <w:pStyle w:val="TableText"/>
              <w:spacing w:before="180"/>
            </w:pPr>
            <w:r>
              <w:t>0.75</w:t>
            </w:r>
          </w:p>
        </w:tc>
        <w:tc>
          <w:tcPr>
            <w:tcW w:w="627" w:type="dxa"/>
            <w:tcBorders>
              <w:top w:val="single" w:sz="6" w:space="0" w:color="auto"/>
            </w:tcBorders>
          </w:tcPr>
          <w:p w:rsidR="00AF2508" w:rsidRDefault="00AF2508">
            <w:pPr>
              <w:pStyle w:val="TableText"/>
              <w:spacing w:before="180"/>
            </w:pPr>
            <w:r>
              <w:t>0.8</w:t>
            </w:r>
          </w:p>
        </w:tc>
        <w:tc>
          <w:tcPr>
            <w:tcW w:w="627" w:type="dxa"/>
            <w:tcBorders>
              <w:top w:val="single" w:sz="6" w:space="0" w:color="auto"/>
            </w:tcBorders>
          </w:tcPr>
          <w:p w:rsidR="00AF2508" w:rsidRDefault="00AF2508">
            <w:pPr>
              <w:pStyle w:val="TableText"/>
              <w:spacing w:before="180"/>
            </w:pPr>
            <w:r>
              <w:t>0.9</w:t>
            </w:r>
          </w:p>
        </w:tc>
        <w:tc>
          <w:tcPr>
            <w:tcW w:w="627" w:type="dxa"/>
            <w:tcBorders>
              <w:top w:val="single" w:sz="6" w:space="0" w:color="auto"/>
            </w:tcBorders>
          </w:tcPr>
          <w:p w:rsidR="00AF2508" w:rsidRDefault="00AF2508">
            <w:pPr>
              <w:pStyle w:val="TableText"/>
              <w:spacing w:before="180"/>
            </w:pPr>
            <w:r>
              <w:t>1.0</w:t>
            </w:r>
          </w:p>
        </w:tc>
        <w:tc>
          <w:tcPr>
            <w:tcW w:w="627" w:type="dxa"/>
            <w:tcBorders>
              <w:top w:val="single" w:sz="6" w:space="0" w:color="auto"/>
            </w:tcBorders>
          </w:tcPr>
          <w:p w:rsidR="00AF2508" w:rsidRDefault="00AF2508">
            <w:pPr>
              <w:pStyle w:val="TableText"/>
              <w:spacing w:before="180"/>
            </w:pPr>
            <w:r>
              <w:t>1.5</w:t>
            </w:r>
          </w:p>
        </w:tc>
        <w:tc>
          <w:tcPr>
            <w:tcW w:w="627" w:type="dxa"/>
            <w:tcBorders>
              <w:top w:val="single" w:sz="6" w:space="0" w:color="auto"/>
            </w:tcBorders>
          </w:tcPr>
          <w:p w:rsidR="00AF2508" w:rsidRDefault="00AF2508">
            <w:pPr>
              <w:pStyle w:val="TableText"/>
              <w:spacing w:before="180"/>
            </w:pPr>
            <w:r>
              <w:t>2.0</w:t>
            </w:r>
          </w:p>
        </w:tc>
        <w:tc>
          <w:tcPr>
            <w:tcW w:w="627" w:type="dxa"/>
            <w:tcBorders>
              <w:top w:val="single" w:sz="6" w:space="0" w:color="auto"/>
            </w:tcBorders>
          </w:tcPr>
          <w:p w:rsidR="00AF2508" w:rsidRDefault="00AF2508">
            <w:pPr>
              <w:pStyle w:val="TableText"/>
              <w:spacing w:before="180"/>
            </w:pPr>
            <w:r>
              <w:t>3.0</w:t>
            </w:r>
          </w:p>
        </w:tc>
        <w:tc>
          <w:tcPr>
            <w:tcW w:w="684" w:type="dxa"/>
            <w:tcBorders>
              <w:top w:val="single" w:sz="6" w:space="0" w:color="auto"/>
            </w:tcBorders>
          </w:tcPr>
          <w:p w:rsidR="00AF2508" w:rsidRDefault="00AF2508">
            <w:pPr>
              <w:pStyle w:val="TableText"/>
              <w:spacing w:before="180"/>
            </w:pPr>
            <w:r>
              <w:t>8</w:t>
            </w:r>
          </w:p>
        </w:tc>
      </w:tr>
      <w:tr w:rsidR="00AF2508">
        <w:trPr>
          <w:cantSplit/>
        </w:trPr>
        <w:tc>
          <w:tcPr>
            <w:tcW w:w="1311" w:type="dxa"/>
            <w:tcBorders>
              <w:top w:val="single" w:sz="6" w:space="0" w:color="auto"/>
              <w:bottom w:val="single" w:sz="6" w:space="0" w:color="auto"/>
            </w:tcBorders>
          </w:tcPr>
          <w:p w:rsidR="00AF2508" w:rsidRDefault="00AF2508">
            <w:pPr>
              <w:pStyle w:val="TableText"/>
            </w:pPr>
            <w:r>
              <w:t>K</w:t>
            </w:r>
            <w:r>
              <w:tab/>
            </w:r>
          </w:p>
        </w:tc>
        <w:tc>
          <w:tcPr>
            <w:tcW w:w="627" w:type="dxa"/>
            <w:tcBorders>
              <w:top w:val="single" w:sz="6" w:space="0" w:color="auto"/>
              <w:bottom w:val="single" w:sz="6" w:space="0" w:color="auto"/>
            </w:tcBorders>
          </w:tcPr>
          <w:p w:rsidR="00AF2508" w:rsidRDefault="00AF2508">
            <w:pPr>
              <w:pStyle w:val="TableText"/>
            </w:pPr>
            <w:r>
              <w:t>23.9</w:t>
            </w:r>
          </w:p>
        </w:tc>
        <w:tc>
          <w:tcPr>
            <w:tcW w:w="627" w:type="dxa"/>
            <w:tcBorders>
              <w:top w:val="single" w:sz="6" w:space="0" w:color="auto"/>
              <w:bottom w:val="single" w:sz="6" w:space="0" w:color="auto"/>
            </w:tcBorders>
          </w:tcPr>
          <w:p w:rsidR="00AF2508" w:rsidRDefault="00AF2508">
            <w:pPr>
              <w:pStyle w:val="TableText"/>
            </w:pPr>
            <w:r>
              <w:t>21.1</w:t>
            </w:r>
          </w:p>
        </w:tc>
        <w:tc>
          <w:tcPr>
            <w:tcW w:w="627" w:type="dxa"/>
            <w:tcBorders>
              <w:top w:val="single" w:sz="6" w:space="0" w:color="auto"/>
              <w:bottom w:val="single" w:sz="6" w:space="0" w:color="auto"/>
            </w:tcBorders>
          </w:tcPr>
          <w:p w:rsidR="00AF2508" w:rsidRDefault="00AF2508">
            <w:pPr>
              <w:pStyle w:val="TableText"/>
            </w:pPr>
            <w:r>
              <w:t>19.8</w:t>
            </w:r>
          </w:p>
        </w:tc>
        <w:tc>
          <w:tcPr>
            <w:tcW w:w="627" w:type="dxa"/>
            <w:tcBorders>
              <w:top w:val="single" w:sz="6" w:space="0" w:color="auto"/>
              <w:bottom w:val="single" w:sz="6" w:space="0" w:color="auto"/>
            </w:tcBorders>
          </w:tcPr>
          <w:p w:rsidR="00AF2508" w:rsidRDefault="00AF2508">
            <w:pPr>
              <w:pStyle w:val="TableText"/>
            </w:pPr>
            <w:r>
              <w:t>19.7</w:t>
            </w:r>
          </w:p>
        </w:tc>
        <w:tc>
          <w:tcPr>
            <w:tcW w:w="627" w:type="dxa"/>
            <w:tcBorders>
              <w:top w:val="single" w:sz="6" w:space="0" w:color="auto"/>
              <w:bottom w:val="single" w:sz="6" w:space="0" w:color="auto"/>
            </w:tcBorders>
          </w:tcPr>
          <w:p w:rsidR="00AF2508" w:rsidRDefault="00AF2508">
            <w:pPr>
              <w:pStyle w:val="TableText"/>
            </w:pPr>
            <w:r>
              <w:t>19.8</w:t>
            </w:r>
          </w:p>
        </w:tc>
        <w:tc>
          <w:tcPr>
            <w:tcW w:w="627" w:type="dxa"/>
            <w:tcBorders>
              <w:top w:val="single" w:sz="6" w:space="0" w:color="auto"/>
              <w:bottom w:val="single" w:sz="6" w:space="0" w:color="auto"/>
            </w:tcBorders>
          </w:tcPr>
          <w:p w:rsidR="00AF2508" w:rsidRDefault="00AF2508">
            <w:pPr>
              <w:pStyle w:val="TableText"/>
            </w:pPr>
            <w:r>
              <w:t>20.1</w:t>
            </w:r>
          </w:p>
        </w:tc>
        <w:tc>
          <w:tcPr>
            <w:tcW w:w="627" w:type="dxa"/>
            <w:tcBorders>
              <w:top w:val="single" w:sz="6" w:space="0" w:color="auto"/>
              <w:bottom w:val="single" w:sz="6" w:space="0" w:color="auto"/>
            </w:tcBorders>
          </w:tcPr>
          <w:p w:rsidR="00AF2508" w:rsidRDefault="00AF2508">
            <w:pPr>
              <w:pStyle w:val="TableText"/>
            </w:pPr>
            <w:r>
              <w:t>21.1</w:t>
            </w:r>
          </w:p>
        </w:tc>
        <w:tc>
          <w:tcPr>
            <w:tcW w:w="627" w:type="dxa"/>
            <w:tcBorders>
              <w:top w:val="single" w:sz="6" w:space="0" w:color="auto"/>
              <w:bottom w:val="single" w:sz="6" w:space="0" w:color="auto"/>
            </w:tcBorders>
          </w:tcPr>
          <w:p w:rsidR="00AF2508" w:rsidRDefault="00AF2508">
            <w:pPr>
              <w:pStyle w:val="TableText"/>
            </w:pPr>
            <w:r>
              <w:t>21.1</w:t>
            </w:r>
          </w:p>
        </w:tc>
        <w:tc>
          <w:tcPr>
            <w:tcW w:w="627" w:type="dxa"/>
            <w:tcBorders>
              <w:top w:val="single" w:sz="6" w:space="0" w:color="auto"/>
              <w:bottom w:val="single" w:sz="6" w:space="0" w:color="auto"/>
            </w:tcBorders>
          </w:tcPr>
          <w:p w:rsidR="00AF2508" w:rsidRDefault="00AF2508">
            <w:pPr>
              <w:pStyle w:val="TableText"/>
            </w:pPr>
            <w:r>
              <w:t>19.8</w:t>
            </w:r>
          </w:p>
        </w:tc>
        <w:tc>
          <w:tcPr>
            <w:tcW w:w="627" w:type="dxa"/>
            <w:tcBorders>
              <w:top w:val="single" w:sz="6" w:space="0" w:color="auto"/>
              <w:bottom w:val="single" w:sz="6" w:space="0" w:color="auto"/>
            </w:tcBorders>
          </w:tcPr>
          <w:p w:rsidR="00AF2508" w:rsidRDefault="00AF2508">
            <w:pPr>
              <w:pStyle w:val="TableText"/>
            </w:pPr>
            <w:r>
              <w:t>19.7</w:t>
            </w:r>
          </w:p>
        </w:tc>
        <w:tc>
          <w:tcPr>
            <w:tcW w:w="627" w:type="dxa"/>
            <w:tcBorders>
              <w:top w:val="single" w:sz="6" w:space="0" w:color="auto"/>
              <w:bottom w:val="single" w:sz="6" w:space="0" w:color="auto"/>
            </w:tcBorders>
          </w:tcPr>
          <w:p w:rsidR="00AF2508" w:rsidRDefault="00AF2508">
            <w:pPr>
              <w:pStyle w:val="TableText"/>
            </w:pPr>
            <w:r>
              <w:t>19.8</w:t>
            </w:r>
          </w:p>
        </w:tc>
        <w:tc>
          <w:tcPr>
            <w:tcW w:w="684" w:type="dxa"/>
            <w:tcBorders>
              <w:top w:val="single" w:sz="6" w:space="0" w:color="auto"/>
              <w:bottom w:val="single" w:sz="6" w:space="0" w:color="auto"/>
            </w:tcBorders>
          </w:tcPr>
          <w:p w:rsidR="00AF2508" w:rsidRDefault="00AF2508">
            <w:pPr>
              <w:pStyle w:val="TableText"/>
            </w:pPr>
            <w:r>
              <w:t>19.7</w:t>
            </w:r>
          </w:p>
        </w:tc>
      </w:tr>
    </w:tbl>
    <w:p w:rsidR="00AF2508" w:rsidRDefault="00AF2508"/>
    <w:p w:rsidR="00AF2508" w:rsidRDefault="00AF2508">
      <w:pPr>
        <w:pStyle w:val="Amain"/>
      </w:pPr>
      <w:r>
        <w:tab/>
        <w:t>(38)</w:t>
      </w:r>
      <w:r>
        <w:tab/>
        <w:t>The stress at the bottom of the Whitworth thread of a bolt or tie rod or other threaded member of mild steel shall not exceed—</w:t>
      </w:r>
    </w:p>
    <w:p w:rsidR="00AF2508" w:rsidRDefault="00AF2508">
      <w:pPr>
        <w:pStyle w:val="Apara"/>
      </w:pPr>
      <w:r>
        <w:tab/>
        <w:t>(a)</w:t>
      </w:r>
      <w:r>
        <w:tab/>
        <w:t xml:space="preserve">8 000 pounds per square inch for threads up to and including </w:t>
      </w:r>
      <w:r>
        <w:rPr>
          <w:position w:val="6"/>
          <w:sz w:val="18"/>
        </w:rPr>
        <w:t>1</w:t>
      </w:r>
      <w:r>
        <w:t>/</w:t>
      </w:r>
      <w:r>
        <w:rPr>
          <w:sz w:val="18"/>
        </w:rPr>
        <w:t>2</w:t>
      </w:r>
      <w:r>
        <w:t xml:space="preserve"> an inch in diameter;</w:t>
      </w:r>
    </w:p>
    <w:p w:rsidR="00AF2508" w:rsidRDefault="00AF2508">
      <w:pPr>
        <w:pStyle w:val="Apara"/>
        <w:rPr>
          <w:color w:val="000000"/>
        </w:rPr>
      </w:pPr>
      <w:r>
        <w:rPr>
          <w:color w:val="000000"/>
        </w:rPr>
        <w:tab/>
        <w:t>(b)</w:t>
      </w:r>
      <w:r>
        <w:rPr>
          <w:color w:val="000000"/>
        </w:rPr>
        <w:tab/>
        <w:t xml:space="preserve">12 000 </w:t>
      </w:r>
      <w:r>
        <w:t>pounds</w:t>
      </w:r>
      <w:r>
        <w:rPr>
          <w:color w:val="000000"/>
        </w:rPr>
        <w:t xml:space="preserve"> per square inch for threads </w:t>
      </w:r>
      <w:r>
        <w:rPr>
          <w:color w:val="000000"/>
          <w:position w:val="6"/>
          <w:sz w:val="18"/>
        </w:rPr>
        <w:t>5</w:t>
      </w:r>
      <w:r>
        <w:rPr>
          <w:color w:val="000000"/>
        </w:rPr>
        <w:t>/</w:t>
      </w:r>
      <w:r>
        <w:rPr>
          <w:color w:val="000000"/>
          <w:sz w:val="18"/>
        </w:rPr>
        <w:t>8</w:t>
      </w:r>
      <w:r>
        <w:rPr>
          <w:color w:val="000000"/>
        </w:rPr>
        <w:t xml:space="preserve"> of an inch in diameter;</w:t>
      </w:r>
    </w:p>
    <w:p w:rsidR="00AF2508" w:rsidRDefault="00AF2508">
      <w:pPr>
        <w:pStyle w:val="Apara"/>
        <w:rPr>
          <w:color w:val="000000"/>
        </w:rPr>
      </w:pPr>
      <w:r>
        <w:rPr>
          <w:color w:val="000000"/>
        </w:rPr>
        <w:tab/>
        <w:t>(c)</w:t>
      </w:r>
      <w:r>
        <w:rPr>
          <w:color w:val="000000"/>
        </w:rPr>
        <w:tab/>
        <w:t xml:space="preserve">16 000 </w:t>
      </w:r>
      <w:r>
        <w:t>pounds</w:t>
      </w:r>
      <w:r>
        <w:rPr>
          <w:color w:val="000000"/>
        </w:rPr>
        <w:t xml:space="preserve"> per square inch for threads </w:t>
      </w:r>
      <w:r>
        <w:rPr>
          <w:color w:val="000000"/>
          <w:position w:val="6"/>
          <w:sz w:val="18"/>
        </w:rPr>
        <w:t>3</w:t>
      </w:r>
      <w:r>
        <w:rPr>
          <w:color w:val="000000"/>
        </w:rPr>
        <w:t>/</w:t>
      </w:r>
      <w:r>
        <w:rPr>
          <w:color w:val="000000"/>
          <w:sz w:val="18"/>
        </w:rPr>
        <w:t>4</w:t>
      </w:r>
      <w:r>
        <w:rPr>
          <w:color w:val="000000"/>
        </w:rPr>
        <w:t xml:space="preserve"> of an inch in diameter;</w:t>
      </w:r>
    </w:p>
    <w:p w:rsidR="00AF2508" w:rsidRDefault="00AF2508">
      <w:pPr>
        <w:pStyle w:val="Apara"/>
        <w:rPr>
          <w:color w:val="000000"/>
        </w:rPr>
      </w:pPr>
      <w:r>
        <w:rPr>
          <w:color w:val="000000"/>
        </w:rPr>
        <w:tab/>
        <w:t>(d)</w:t>
      </w:r>
      <w:r>
        <w:rPr>
          <w:color w:val="000000"/>
        </w:rPr>
        <w:tab/>
        <w:t xml:space="preserve">20 000 </w:t>
      </w:r>
      <w:r>
        <w:t>pounds</w:t>
      </w:r>
      <w:r>
        <w:rPr>
          <w:color w:val="000000"/>
        </w:rPr>
        <w:t xml:space="preserve"> per square inch for threads </w:t>
      </w:r>
      <w:r>
        <w:rPr>
          <w:color w:val="000000"/>
          <w:position w:val="6"/>
          <w:sz w:val="18"/>
        </w:rPr>
        <w:t>7</w:t>
      </w:r>
      <w:r>
        <w:rPr>
          <w:color w:val="000000"/>
        </w:rPr>
        <w:t>/</w:t>
      </w:r>
      <w:r>
        <w:rPr>
          <w:color w:val="000000"/>
          <w:sz w:val="18"/>
        </w:rPr>
        <w:t>8</w:t>
      </w:r>
      <w:r>
        <w:rPr>
          <w:color w:val="000000"/>
        </w:rPr>
        <w:t xml:space="preserve"> of an inch in diameter;</w:t>
      </w:r>
    </w:p>
    <w:p w:rsidR="00AF2508" w:rsidRDefault="00AF2508">
      <w:pPr>
        <w:pStyle w:val="Apara"/>
        <w:rPr>
          <w:color w:val="000000"/>
        </w:rPr>
      </w:pPr>
      <w:r>
        <w:rPr>
          <w:color w:val="000000"/>
        </w:rPr>
        <w:tab/>
        <w:t>(e)</w:t>
      </w:r>
      <w:r>
        <w:rPr>
          <w:color w:val="000000"/>
        </w:rPr>
        <w:tab/>
        <w:t xml:space="preserve">24 000 </w:t>
      </w:r>
      <w:r>
        <w:t>pounds</w:t>
      </w:r>
      <w:r>
        <w:rPr>
          <w:color w:val="000000"/>
        </w:rPr>
        <w:t xml:space="preserve"> per square inch for threads 1 inch in diameter;</w:t>
      </w:r>
    </w:p>
    <w:p w:rsidR="00AF2508" w:rsidRDefault="00AF2508">
      <w:pPr>
        <w:pStyle w:val="Apara"/>
        <w:rPr>
          <w:color w:val="000000"/>
        </w:rPr>
      </w:pPr>
      <w:r>
        <w:rPr>
          <w:color w:val="000000"/>
        </w:rPr>
        <w:tab/>
        <w:t>(f)</w:t>
      </w:r>
      <w:r>
        <w:rPr>
          <w:color w:val="000000"/>
        </w:rPr>
        <w:tab/>
        <w:t xml:space="preserve">25 000 </w:t>
      </w:r>
      <w:r>
        <w:t>pounds</w:t>
      </w:r>
      <w:r>
        <w:rPr>
          <w:color w:val="000000"/>
        </w:rPr>
        <w:t xml:space="preserve"> per square inch for threads 1</w:t>
      </w:r>
      <w:r>
        <w:rPr>
          <w:color w:val="000000"/>
          <w:position w:val="6"/>
          <w:sz w:val="18"/>
        </w:rPr>
        <w:t>1</w:t>
      </w:r>
      <w:r>
        <w:rPr>
          <w:color w:val="000000"/>
        </w:rPr>
        <w:t>/</w:t>
      </w:r>
      <w:r>
        <w:rPr>
          <w:color w:val="000000"/>
          <w:sz w:val="18"/>
        </w:rPr>
        <w:t>8</w:t>
      </w:r>
      <w:r>
        <w:rPr>
          <w:color w:val="000000"/>
        </w:rPr>
        <w:t xml:space="preserve"> inches in diameter;</w:t>
      </w:r>
    </w:p>
    <w:p w:rsidR="00AF2508" w:rsidRDefault="00AF2508">
      <w:pPr>
        <w:pStyle w:val="Apara"/>
        <w:rPr>
          <w:color w:val="000000"/>
        </w:rPr>
      </w:pPr>
      <w:r>
        <w:rPr>
          <w:color w:val="000000"/>
        </w:rPr>
        <w:tab/>
        <w:t>(g)</w:t>
      </w:r>
      <w:r>
        <w:rPr>
          <w:color w:val="000000"/>
        </w:rPr>
        <w:tab/>
        <w:t>26 000 pounds per square inch for threads 1</w:t>
      </w:r>
      <w:r>
        <w:rPr>
          <w:color w:val="000000"/>
          <w:position w:val="6"/>
          <w:sz w:val="18"/>
        </w:rPr>
        <w:t>1</w:t>
      </w:r>
      <w:r>
        <w:rPr>
          <w:color w:val="000000"/>
        </w:rPr>
        <w:t>/</w:t>
      </w:r>
      <w:r>
        <w:rPr>
          <w:color w:val="000000"/>
          <w:sz w:val="18"/>
        </w:rPr>
        <w:t>4</w:t>
      </w:r>
      <w:r>
        <w:rPr>
          <w:color w:val="000000"/>
        </w:rPr>
        <w:t xml:space="preserve"> inches in </w:t>
      </w:r>
      <w:r>
        <w:t>diameter</w:t>
      </w:r>
      <w:r>
        <w:rPr>
          <w:color w:val="000000"/>
        </w:rPr>
        <w:t>;</w:t>
      </w:r>
    </w:p>
    <w:p w:rsidR="00AF2508" w:rsidRDefault="00AF2508">
      <w:pPr>
        <w:pStyle w:val="Apara"/>
        <w:rPr>
          <w:color w:val="000000"/>
        </w:rPr>
      </w:pPr>
      <w:r>
        <w:rPr>
          <w:color w:val="000000"/>
        </w:rPr>
        <w:tab/>
        <w:t>(h)</w:t>
      </w:r>
      <w:r>
        <w:rPr>
          <w:color w:val="000000"/>
        </w:rPr>
        <w:tab/>
        <w:t xml:space="preserve">27 000 </w:t>
      </w:r>
      <w:r>
        <w:t>pounds</w:t>
      </w:r>
      <w:r>
        <w:rPr>
          <w:color w:val="000000"/>
        </w:rPr>
        <w:t xml:space="preserve"> per square inch for threads 1</w:t>
      </w:r>
      <w:r>
        <w:rPr>
          <w:color w:val="000000"/>
          <w:position w:val="6"/>
          <w:sz w:val="18"/>
        </w:rPr>
        <w:t>3</w:t>
      </w:r>
      <w:r>
        <w:rPr>
          <w:color w:val="000000"/>
        </w:rPr>
        <w:t>/</w:t>
      </w:r>
      <w:r>
        <w:rPr>
          <w:color w:val="000000"/>
          <w:sz w:val="18"/>
        </w:rPr>
        <w:t>8</w:t>
      </w:r>
      <w:r>
        <w:rPr>
          <w:color w:val="000000"/>
        </w:rPr>
        <w:t xml:space="preserve"> inches in diameter;</w:t>
      </w:r>
    </w:p>
    <w:p w:rsidR="00AF2508" w:rsidRDefault="00AF2508">
      <w:pPr>
        <w:pStyle w:val="Apara"/>
        <w:rPr>
          <w:color w:val="000000"/>
        </w:rPr>
      </w:pPr>
      <w:r>
        <w:rPr>
          <w:color w:val="000000"/>
        </w:rPr>
        <w:tab/>
        <w:t>(i)</w:t>
      </w:r>
      <w:r>
        <w:rPr>
          <w:color w:val="000000"/>
        </w:rPr>
        <w:tab/>
        <w:t xml:space="preserve">28 000 </w:t>
      </w:r>
      <w:r>
        <w:t>pounds</w:t>
      </w:r>
      <w:r>
        <w:rPr>
          <w:color w:val="000000"/>
        </w:rPr>
        <w:t xml:space="preserve"> per square inch for threads 1</w:t>
      </w:r>
      <w:r>
        <w:rPr>
          <w:color w:val="000000"/>
          <w:position w:val="6"/>
          <w:sz w:val="18"/>
        </w:rPr>
        <w:t>1</w:t>
      </w:r>
      <w:r>
        <w:rPr>
          <w:color w:val="000000"/>
        </w:rPr>
        <w:t>/</w:t>
      </w:r>
      <w:r>
        <w:rPr>
          <w:color w:val="000000"/>
          <w:sz w:val="18"/>
        </w:rPr>
        <w:t>2</w:t>
      </w:r>
      <w:r>
        <w:rPr>
          <w:color w:val="000000"/>
        </w:rPr>
        <w:t xml:space="preserve"> inches and over in diameter.</w:t>
      </w:r>
    </w:p>
    <w:p w:rsidR="00AF2508" w:rsidRDefault="00AF2508">
      <w:pPr>
        <w:pStyle w:val="Amain"/>
      </w:pPr>
      <w:r>
        <w:tab/>
        <w:t>(39)</w:t>
      </w:r>
      <w:r>
        <w:tab/>
        <w:t>The stress in a compression member, or strut, of mild steel shall not exceed that shown in table 126.5, relevant and appropriate to the ratio of slenderness of the member.</w:t>
      </w:r>
    </w:p>
    <w:p w:rsidR="00AF2508" w:rsidRDefault="00AF2508">
      <w:pPr>
        <w:pStyle w:val="Amain"/>
        <w:keepNext/>
      </w:pPr>
      <w:r>
        <w:tab/>
        <w:t>(40)</w:t>
      </w:r>
      <w:r>
        <w:tab/>
        <w:t>If the member is of high tensile structural steel, the stress shall not exceed that shown in table 126.6 relevant and appropriate to the ratio of slenderness of the member.</w:t>
      </w:r>
    </w:p>
    <w:p w:rsidR="00AF2508" w:rsidRDefault="00AF2508">
      <w:pPr>
        <w:pStyle w:val="Amain"/>
        <w:keepLines/>
      </w:pPr>
      <w:r>
        <w:tab/>
        <w:t>(41)</w:t>
      </w:r>
      <w:r>
        <w:tab/>
        <w:t xml:space="preserve">The ratio shall be determined by dividing the greatest length of member that is not supported effectively against lateral deflection, by the least radius of gyration of any cross-section of the member within the central </w:t>
      </w:r>
      <w:r>
        <w:rPr>
          <w:position w:val="6"/>
          <w:sz w:val="18"/>
        </w:rPr>
        <w:t>1</w:t>
      </w:r>
      <w:r>
        <w:t>/</w:t>
      </w:r>
      <w:r>
        <w:rPr>
          <w:sz w:val="18"/>
        </w:rPr>
        <w:t>2</w:t>
      </w:r>
      <w:r>
        <w:t xml:space="preserve"> of the length of the member.</w:t>
      </w:r>
    </w:p>
    <w:p w:rsidR="00AF2508" w:rsidRDefault="00AF2508">
      <w:pPr>
        <w:pStyle w:val="Amain"/>
      </w:pPr>
      <w:r>
        <w:tab/>
        <w:t>(42)</w:t>
      </w:r>
      <w:r>
        <w:tab/>
        <w:t xml:space="preserve">If 1 end of the member is fixed and the other end free, the ratio of slenderness shall be determined by dividing twice the length of the member by the least radius of gyration of any cross-section within </w:t>
      </w:r>
      <w:r>
        <w:rPr>
          <w:position w:val="6"/>
          <w:sz w:val="18"/>
        </w:rPr>
        <w:t>1</w:t>
      </w:r>
      <w:r>
        <w:t>/</w:t>
      </w:r>
      <w:r>
        <w:rPr>
          <w:sz w:val="18"/>
        </w:rPr>
        <w:t>2</w:t>
      </w:r>
      <w:r>
        <w:t xml:space="preserve"> of the length of the member of the fixed end.</w:t>
      </w:r>
    </w:p>
    <w:p w:rsidR="00AF2508" w:rsidRDefault="00AF2508">
      <w:pPr>
        <w:pStyle w:val="TableHd"/>
      </w:pPr>
      <w:r>
        <w:t>Table 126.5</w:t>
      </w:r>
      <w:r>
        <w:tab/>
        <w:t>Maximum stresses permissible in mild steel*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2100"/>
        <w:gridCol w:w="860"/>
        <w:gridCol w:w="860"/>
        <w:gridCol w:w="860"/>
        <w:gridCol w:w="20"/>
        <w:gridCol w:w="840"/>
        <w:gridCol w:w="880"/>
        <w:gridCol w:w="20"/>
        <w:gridCol w:w="860"/>
      </w:tblGrid>
      <w:tr w:rsidR="00AF2508">
        <w:trPr>
          <w:cantSplit/>
          <w:tblHeader/>
        </w:trPr>
        <w:tc>
          <w:tcPr>
            <w:tcW w:w="2100" w:type="dxa"/>
            <w:tcBorders>
              <w:top w:val="single" w:sz="6" w:space="0" w:color="auto"/>
              <w:right w:val="single" w:sz="6" w:space="0" w:color="auto"/>
            </w:tcBorders>
          </w:tcPr>
          <w:p w:rsidR="00AF2508" w:rsidRDefault="00AF2508">
            <w:pPr>
              <w:pStyle w:val="TableColHd"/>
            </w:pPr>
          </w:p>
        </w:tc>
        <w:tc>
          <w:tcPr>
            <w:tcW w:w="5200" w:type="dxa"/>
            <w:gridSpan w:val="8"/>
            <w:tcBorders>
              <w:top w:val="single" w:sz="6" w:space="0" w:color="auto"/>
            </w:tcBorders>
          </w:tcPr>
          <w:p w:rsidR="00AF2508" w:rsidRDefault="00AF2508">
            <w:pPr>
              <w:pStyle w:val="TableColHd"/>
              <w:jc w:val="center"/>
            </w:pPr>
            <w:r>
              <w:t>maximum permissible stress in t/in</w:t>
            </w:r>
            <w:r>
              <w:rPr>
                <w:vertAlign w:val="superscript"/>
              </w:rPr>
              <w:t>2</w:t>
            </w:r>
          </w:p>
        </w:tc>
      </w:tr>
      <w:tr w:rsidR="00AF2508">
        <w:trPr>
          <w:cantSplit/>
          <w:tblHeader/>
        </w:trPr>
        <w:tc>
          <w:tcPr>
            <w:tcW w:w="2100" w:type="dxa"/>
            <w:vMerge w:val="restart"/>
            <w:tcBorders>
              <w:right w:val="single" w:sz="6" w:space="0" w:color="auto"/>
            </w:tcBorders>
          </w:tcPr>
          <w:p w:rsidR="00AF2508" w:rsidRDefault="00AF2508">
            <w:pPr>
              <w:pStyle w:val="TableColHd"/>
            </w:pPr>
            <w:r>
              <w:t>ratio of slenderness</w:t>
            </w:r>
          </w:p>
        </w:tc>
        <w:tc>
          <w:tcPr>
            <w:tcW w:w="1720" w:type="dxa"/>
            <w:gridSpan w:val="2"/>
            <w:tcBorders>
              <w:top w:val="single" w:sz="6" w:space="0" w:color="auto"/>
              <w:bottom w:val="single" w:sz="6" w:space="0" w:color="auto"/>
            </w:tcBorders>
          </w:tcPr>
          <w:p w:rsidR="00AF2508" w:rsidRDefault="00AF2508">
            <w:pPr>
              <w:pStyle w:val="TableColHd"/>
              <w:rPr>
                <w:sz w:val="16"/>
              </w:rPr>
            </w:pPr>
            <w:r>
              <w:rPr>
                <w:sz w:val="16"/>
              </w:rPr>
              <w:t>members having both ends hinged</w:t>
            </w:r>
          </w:p>
        </w:tc>
        <w:tc>
          <w:tcPr>
            <w:tcW w:w="1720"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ColHd"/>
              <w:rPr>
                <w:sz w:val="16"/>
              </w:rPr>
            </w:pPr>
            <w:r>
              <w:rPr>
                <w:sz w:val="16"/>
              </w:rPr>
              <w:t>members having 1 end fixed and 1 end hinged</w:t>
            </w:r>
          </w:p>
        </w:tc>
        <w:tc>
          <w:tcPr>
            <w:tcW w:w="1760" w:type="dxa"/>
            <w:gridSpan w:val="3"/>
            <w:tcBorders>
              <w:top w:val="single" w:sz="6" w:space="0" w:color="auto"/>
              <w:bottom w:val="single" w:sz="6" w:space="0" w:color="auto"/>
            </w:tcBorders>
          </w:tcPr>
          <w:p w:rsidR="00AF2508" w:rsidRDefault="00AF2508">
            <w:pPr>
              <w:pStyle w:val="TableColHd"/>
              <w:rPr>
                <w:sz w:val="16"/>
              </w:rPr>
            </w:pPr>
            <w:r>
              <w:rPr>
                <w:sz w:val="16"/>
              </w:rPr>
              <w:t>members having both ends fixed</w:t>
            </w:r>
          </w:p>
        </w:tc>
      </w:tr>
      <w:tr w:rsidR="00AF2508">
        <w:trPr>
          <w:cantSplit/>
          <w:tblHeader/>
        </w:trPr>
        <w:tc>
          <w:tcPr>
            <w:tcW w:w="2100" w:type="dxa"/>
            <w:vMerge/>
            <w:tcBorders>
              <w:bottom w:val="single" w:sz="6" w:space="0" w:color="auto"/>
              <w:right w:val="single" w:sz="6" w:space="0" w:color="auto"/>
            </w:tcBorders>
          </w:tcPr>
          <w:p w:rsidR="00AF2508" w:rsidRDefault="00AF2508">
            <w:pPr>
              <w:pStyle w:val="TableColHd"/>
            </w:pPr>
          </w:p>
        </w:tc>
        <w:tc>
          <w:tcPr>
            <w:tcW w:w="860" w:type="dxa"/>
            <w:tcBorders>
              <w:top w:val="single" w:sz="6" w:space="0" w:color="auto"/>
              <w:bottom w:val="single" w:sz="6" w:space="0" w:color="auto"/>
            </w:tcBorders>
          </w:tcPr>
          <w:p w:rsidR="00AF2508" w:rsidRDefault="00AF2508">
            <w:pPr>
              <w:pStyle w:val="TableColHd"/>
              <w:tabs>
                <w:tab w:val="left" w:pos="1140"/>
              </w:tabs>
              <w:ind w:left="300" w:hanging="300"/>
              <w:jc w:val="center"/>
            </w:pPr>
            <w:r>
              <w:t>A</w:t>
            </w:r>
          </w:p>
        </w:tc>
        <w:tc>
          <w:tcPr>
            <w:tcW w:w="860" w:type="dxa"/>
            <w:tcBorders>
              <w:top w:val="single" w:sz="6" w:space="0" w:color="auto"/>
              <w:bottom w:val="single" w:sz="6" w:space="0" w:color="auto"/>
            </w:tcBorders>
          </w:tcPr>
          <w:p w:rsidR="00AF2508" w:rsidRDefault="00AF2508">
            <w:pPr>
              <w:pStyle w:val="TableColHd"/>
              <w:tabs>
                <w:tab w:val="left" w:pos="1140"/>
              </w:tabs>
              <w:ind w:left="300" w:hanging="300"/>
              <w:jc w:val="center"/>
            </w:pPr>
            <w:r>
              <w:t>B</w:t>
            </w:r>
          </w:p>
        </w:tc>
        <w:tc>
          <w:tcPr>
            <w:tcW w:w="860" w:type="dxa"/>
            <w:tcBorders>
              <w:top w:val="single" w:sz="6" w:space="0" w:color="auto"/>
              <w:left w:val="single" w:sz="6" w:space="0" w:color="auto"/>
              <w:bottom w:val="single" w:sz="6" w:space="0" w:color="auto"/>
              <w:right w:val="single" w:sz="6" w:space="0" w:color="auto"/>
            </w:tcBorders>
          </w:tcPr>
          <w:p w:rsidR="00AF2508" w:rsidRDefault="00AF2508">
            <w:pPr>
              <w:pStyle w:val="TableColHd"/>
              <w:jc w:val="center"/>
            </w:pPr>
            <w:r>
              <w:t>A</w:t>
            </w:r>
          </w:p>
        </w:tc>
        <w:tc>
          <w:tcPr>
            <w:tcW w:w="86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ColHd"/>
              <w:jc w:val="center"/>
            </w:pPr>
            <w:r>
              <w:t>B</w:t>
            </w:r>
          </w:p>
        </w:tc>
        <w:tc>
          <w:tcPr>
            <w:tcW w:w="880" w:type="dxa"/>
            <w:tcBorders>
              <w:top w:val="single" w:sz="6" w:space="0" w:color="auto"/>
              <w:bottom w:val="single" w:sz="6" w:space="0" w:color="auto"/>
            </w:tcBorders>
          </w:tcPr>
          <w:p w:rsidR="00AF2508" w:rsidRDefault="00AF2508">
            <w:pPr>
              <w:pStyle w:val="TableColHd"/>
              <w:jc w:val="center"/>
            </w:pPr>
            <w:r>
              <w:t>A</w:t>
            </w:r>
          </w:p>
        </w:tc>
        <w:tc>
          <w:tcPr>
            <w:tcW w:w="880" w:type="dxa"/>
            <w:gridSpan w:val="2"/>
            <w:tcBorders>
              <w:top w:val="single" w:sz="6" w:space="0" w:color="auto"/>
              <w:bottom w:val="single" w:sz="6" w:space="0" w:color="auto"/>
            </w:tcBorders>
          </w:tcPr>
          <w:p w:rsidR="00AF2508" w:rsidRDefault="00AF2508">
            <w:pPr>
              <w:pStyle w:val="TableColHd"/>
              <w:jc w:val="center"/>
            </w:pPr>
            <w:r>
              <w:t>B</w:t>
            </w:r>
          </w:p>
        </w:tc>
      </w:tr>
      <w:tr w:rsidR="00AF2508">
        <w:trPr>
          <w:cantSplit/>
        </w:trPr>
        <w:tc>
          <w:tcPr>
            <w:tcW w:w="2100" w:type="dxa"/>
            <w:tcBorders>
              <w:right w:val="single" w:sz="6" w:space="0" w:color="auto"/>
            </w:tcBorders>
          </w:tcPr>
          <w:p w:rsidR="00AF2508" w:rsidRDefault="00AF2508">
            <w:pPr>
              <w:pStyle w:val="TableText"/>
            </w:pPr>
            <w:r>
              <w:t>10</w:t>
            </w:r>
          </w:p>
        </w:tc>
        <w:tc>
          <w:tcPr>
            <w:tcW w:w="860" w:type="dxa"/>
          </w:tcPr>
          <w:p w:rsidR="00AF2508" w:rsidRDefault="00AF2508">
            <w:pPr>
              <w:pStyle w:val="TableText"/>
              <w:jc w:val="center"/>
            </w:pPr>
            <w:r>
              <w:t>14.2</w:t>
            </w:r>
          </w:p>
        </w:tc>
        <w:tc>
          <w:tcPr>
            <w:tcW w:w="860" w:type="dxa"/>
          </w:tcPr>
          <w:p w:rsidR="00AF2508" w:rsidRDefault="00AF2508">
            <w:pPr>
              <w:pStyle w:val="TableText"/>
              <w:jc w:val="center"/>
            </w:pPr>
            <w:r>
              <w:t>10.8</w:t>
            </w:r>
          </w:p>
        </w:tc>
        <w:tc>
          <w:tcPr>
            <w:tcW w:w="880" w:type="dxa"/>
            <w:gridSpan w:val="2"/>
            <w:tcBorders>
              <w:left w:val="single" w:sz="6" w:space="0" w:color="auto"/>
            </w:tcBorders>
          </w:tcPr>
          <w:p w:rsidR="00AF2508" w:rsidRDefault="00AF2508">
            <w:pPr>
              <w:pStyle w:val="TableText"/>
              <w:jc w:val="center"/>
            </w:pPr>
            <w:r>
              <w:t>14.2</w:t>
            </w:r>
          </w:p>
        </w:tc>
        <w:tc>
          <w:tcPr>
            <w:tcW w:w="840" w:type="dxa"/>
          </w:tcPr>
          <w:p w:rsidR="00AF2508" w:rsidRDefault="00AF2508">
            <w:pPr>
              <w:pStyle w:val="TableText"/>
              <w:jc w:val="center"/>
            </w:pPr>
            <w:r>
              <w:t>12.5</w:t>
            </w:r>
          </w:p>
        </w:tc>
        <w:tc>
          <w:tcPr>
            <w:tcW w:w="900" w:type="dxa"/>
            <w:gridSpan w:val="2"/>
            <w:tcBorders>
              <w:left w:val="single" w:sz="6" w:space="0" w:color="auto"/>
            </w:tcBorders>
          </w:tcPr>
          <w:p w:rsidR="00AF2508" w:rsidRDefault="00AF2508">
            <w:pPr>
              <w:pStyle w:val="TableText"/>
              <w:jc w:val="center"/>
            </w:pPr>
            <w:r>
              <w:t>12.5</w:t>
            </w:r>
          </w:p>
        </w:tc>
        <w:tc>
          <w:tcPr>
            <w:tcW w:w="860" w:type="dxa"/>
          </w:tcPr>
          <w:p w:rsidR="00AF2508" w:rsidRDefault="00AF2508">
            <w:pPr>
              <w:pStyle w:val="TableText"/>
              <w:jc w:val="center"/>
            </w:pPr>
            <w:r>
              <w:t>14.3</w:t>
            </w:r>
          </w:p>
        </w:tc>
      </w:tr>
      <w:tr w:rsidR="00AF2508">
        <w:trPr>
          <w:cantSplit/>
        </w:trPr>
        <w:tc>
          <w:tcPr>
            <w:tcW w:w="2100" w:type="dxa"/>
            <w:tcBorders>
              <w:right w:val="single" w:sz="6" w:space="0" w:color="auto"/>
            </w:tcBorders>
          </w:tcPr>
          <w:p w:rsidR="00AF2508" w:rsidRDefault="00AF2508">
            <w:pPr>
              <w:pStyle w:val="TableText"/>
            </w:pPr>
            <w:r>
              <w:t>20</w:t>
            </w:r>
          </w:p>
        </w:tc>
        <w:tc>
          <w:tcPr>
            <w:tcW w:w="860" w:type="dxa"/>
          </w:tcPr>
          <w:p w:rsidR="00AF2508" w:rsidRDefault="00AF2508">
            <w:pPr>
              <w:pStyle w:val="TableText"/>
              <w:jc w:val="center"/>
            </w:pPr>
            <w:r>
              <w:t>13.8</w:t>
            </w:r>
          </w:p>
        </w:tc>
        <w:tc>
          <w:tcPr>
            <w:tcW w:w="860" w:type="dxa"/>
          </w:tcPr>
          <w:p w:rsidR="00AF2508" w:rsidRDefault="00AF2508">
            <w:pPr>
              <w:pStyle w:val="TableText"/>
              <w:jc w:val="center"/>
            </w:pPr>
            <w:r>
              <w:t>10.7</w:t>
            </w:r>
          </w:p>
        </w:tc>
        <w:tc>
          <w:tcPr>
            <w:tcW w:w="880" w:type="dxa"/>
            <w:gridSpan w:val="2"/>
            <w:tcBorders>
              <w:left w:val="single" w:sz="6" w:space="0" w:color="auto"/>
            </w:tcBorders>
          </w:tcPr>
          <w:p w:rsidR="00AF2508" w:rsidRDefault="00AF2508">
            <w:pPr>
              <w:pStyle w:val="TableText"/>
              <w:jc w:val="center"/>
            </w:pPr>
            <w:r>
              <w:t>14.0</w:t>
            </w:r>
          </w:p>
        </w:tc>
        <w:tc>
          <w:tcPr>
            <w:tcW w:w="840" w:type="dxa"/>
          </w:tcPr>
          <w:p w:rsidR="00AF2508" w:rsidRDefault="00AF2508">
            <w:pPr>
              <w:pStyle w:val="TableText"/>
              <w:jc w:val="center"/>
            </w:pPr>
            <w:r>
              <w:t>12.4</w:t>
            </w:r>
          </w:p>
        </w:tc>
        <w:tc>
          <w:tcPr>
            <w:tcW w:w="900" w:type="dxa"/>
            <w:gridSpan w:val="2"/>
            <w:tcBorders>
              <w:left w:val="single" w:sz="6" w:space="0" w:color="auto"/>
            </w:tcBorders>
          </w:tcPr>
          <w:p w:rsidR="00AF2508" w:rsidRDefault="00AF2508">
            <w:pPr>
              <w:pStyle w:val="TableText"/>
              <w:jc w:val="center"/>
            </w:pPr>
            <w:r>
              <w:t>12.4</w:t>
            </w:r>
          </w:p>
        </w:tc>
        <w:tc>
          <w:tcPr>
            <w:tcW w:w="860" w:type="dxa"/>
          </w:tcPr>
          <w:p w:rsidR="00AF2508" w:rsidRDefault="00AF2508">
            <w:pPr>
              <w:pStyle w:val="TableText"/>
              <w:jc w:val="center"/>
            </w:pPr>
            <w:r>
              <w:t>14.2</w:t>
            </w:r>
          </w:p>
        </w:tc>
      </w:tr>
      <w:tr w:rsidR="00AF2508">
        <w:trPr>
          <w:cantSplit/>
        </w:trPr>
        <w:tc>
          <w:tcPr>
            <w:tcW w:w="2100" w:type="dxa"/>
            <w:tcBorders>
              <w:right w:val="single" w:sz="6" w:space="0" w:color="auto"/>
            </w:tcBorders>
          </w:tcPr>
          <w:p w:rsidR="00AF2508" w:rsidRDefault="00AF2508">
            <w:pPr>
              <w:pStyle w:val="TableText"/>
            </w:pPr>
            <w:r>
              <w:t>30</w:t>
            </w:r>
          </w:p>
        </w:tc>
        <w:tc>
          <w:tcPr>
            <w:tcW w:w="860" w:type="dxa"/>
          </w:tcPr>
          <w:p w:rsidR="00AF2508" w:rsidRDefault="00AF2508">
            <w:pPr>
              <w:pStyle w:val="TableText"/>
              <w:jc w:val="center"/>
            </w:pPr>
            <w:r>
              <w:t>13.2</w:t>
            </w:r>
          </w:p>
        </w:tc>
        <w:tc>
          <w:tcPr>
            <w:tcW w:w="860" w:type="dxa"/>
          </w:tcPr>
          <w:p w:rsidR="00AF2508" w:rsidRDefault="00AF2508">
            <w:pPr>
              <w:pStyle w:val="TableText"/>
              <w:jc w:val="center"/>
            </w:pPr>
            <w:r>
              <w:t>10.6</w:t>
            </w:r>
          </w:p>
        </w:tc>
        <w:tc>
          <w:tcPr>
            <w:tcW w:w="880" w:type="dxa"/>
            <w:gridSpan w:val="2"/>
            <w:tcBorders>
              <w:left w:val="single" w:sz="6" w:space="0" w:color="auto"/>
            </w:tcBorders>
          </w:tcPr>
          <w:p w:rsidR="00AF2508" w:rsidRDefault="00AF2508">
            <w:pPr>
              <w:pStyle w:val="TableText"/>
              <w:jc w:val="center"/>
            </w:pPr>
            <w:r>
              <w:t>13.6</w:t>
            </w:r>
          </w:p>
        </w:tc>
        <w:tc>
          <w:tcPr>
            <w:tcW w:w="840" w:type="dxa"/>
          </w:tcPr>
          <w:p w:rsidR="00AF2508" w:rsidRDefault="00AF2508">
            <w:pPr>
              <w:pStyle w:val="TableText"/>
              <w:jc w:val="center"/>
            </w:pPr>
            <w:r>
              <w:t>12.3</w:t>
            </w:r>
          </w:p>
        </w:tc>
        <w:tc>
          <w:tcPr>
            <w:tcW w:w="900" w:type="dxa"/>
            <w:gridSpan w:val="2"/>
            <w:tcBorders>
              <w:left w:val="single" w:sz="6" w:space="0" w:color="auto"/>
            </w:tcBorders>
          </w:tcPr>
          <w:p w:rsidR="00AF2508" w:rsidRDefault="00AF2508">
            <w:pPr>
              <w:pStyle w:val="TableText"/>
              <w:jc w:val="center"/>
            </w:pPr>
            <w:r>
              <w:t>12.3</w:t>
            </w:r>
          </w:p>
        </w:tc>
        <w:tc>
          <w:tcPr>
            <w:tcW w:w="860" w:type="dxa"/>
          </w:tcPr>
          <w:p w:rsidR="00AF2508" w:rsidRDefault="00AF2508">
            <w:pPr>
              <w:pStyle w:val="TableText"/>
              <w:jc w:val="center"/>
            </w:pPr>
            <w:r>
              <w:t>14.0</w:t>
            </w:r>
          </w:p>
        </w:tc>
      </w:tr>
      <w:tr w:rsidR="00AF2508">
        <w:trPr>
          <w:cantSplit/>
        </w:trPr>
        <w:tc>
          <w:tcPr>
            <w:tcW w:w="2100" w:type="dxa"/>
            <w:tcBorders>
              <w:right w:val="single" w:sz="6" w:space="0" w:color="auto"/>
            </w:tcBorders>
          </w:tcPr>
          <w:p w:rsidR="00AF2508" w:rsidRDefault="00AF2508">
            <w:pPr>
              <w:pStyle w:val="TableText"/>
            </w:pPr>
            <w:r>
              <w:t>40</w:t>
            </w:r>
          </w:p>
        </w:tc>
        <w:tc>
          <w:tcPr>
            <w:tcW w:w="860" w:type="dxa"/>
          </w:tcPr>
          <w:p w:rsidR="00AF2508" w:rsidRDefault="00AF2508">
            <w:pPr>
              <w:pStyle w:val="TableText"/>
              <w:jc w:val="center"/>
            </w:pPr>
            <w:r>
              <w:t>12.4</w:t>
            </w:r>
          </w:p>
        </w:tc>
        <w:tc>
          <w:tcPr>
            <w:tcW w:w="860" w:type="dxa"/>
          </w:tcPr>
          <w:p w:rsidR="00AF2508" w:rsidRDefault="00AF2508">
            <w:pPr>
              <w:pStyle w:val="TableText"/>
              <w:jc w:val="center"/>
            </w:pPr>
            <w:r>
              <w:t>10.4</w:t>
            </w:r>
          </w:p>
        </w:tc>
        <w:tc>
          <w:tcPr>
            <w:tcW w:w="880" w:type="dxa"/>
            <w:gridSpan w:val="2"/>
            <w:tcBorders>
              <w:left w:val="single" w:sz="6" w:space="0" w:color="auto"/>
            </w:tcBorders>
          </w:tcPr>
          <w:p w:rsidR="00AF2508" w:rsidRDefault="00AF2508">
            <w:pPr>
              <w:pStyle w:val="TableText"/>
              <w:jc w:val="center"/>
            </w:pPr>
            <w:r>
              <w:t>13.0</w:t>
            </w:r>
          </w:p>
        </w:tc>
        <w:tc>
          <w:tcPr>
            <w:tcW w:w="840" w:type="dxa"/>
          </w:tcPr>
          <w:p w:rsidR="00AF2508" w:rsidRDefault="00AF2508">
            <w:pPr>
              <w:pStyle w:val="TableText"/>
              <w:jc w:val="center"/>
            </w:pPr>
            <w:r>
              <w:t>12.0</w:t>
            </w:r>
          </w:p>
        </w:tc>
        <w:tc>
          <w:tcPr>
            <w:tcW w:w="900" w:type="dxa"/>
            <w:gridSpan w:val="2"/>
            <w:tcBorders>
              <w:left w:val="single" w:sz="6" w:space="0" w:color="auto"/>
            </w:tcBorders>
          </w:tcPr>
          <w:p w:rsidR="00AF2508" w:rsidRDefault="00AF2508">
            <w:pPr>
              <w:pStyle w:val="TableText"/>
              <w:jc w:val="center"/>
            </w:pPr>
            <w:r>
              <w:t>12.0</w:t>
            </w:r>
          </w:p>
        </w:tc>
        <w:tc>
          <w:tcPr>
            <w:tcW w:w="860" w:type="dxa"/>
          </w:tcPr>
          <w:p w:rsidR="00AF2508" w:rsidRDefault="00AF2508">
            <w:pPr>
              <w:pStyle w:val="TableText"/>
              <w:jc w:val="center"/>
            </w:pPr>
            <w:r>
              <w:t>13.6</w:t>
            </w:r>
          </w:p>
        </w:tc>
      </w:tr>
      <w:tr w:rsidR="00AF2508">
        <w:trPr>
          <w:cantSplit/>
        </w:trPr>
        <w:tc>
          <w:tcPr>
            <w:tcW w:w="2100" w:type="dxa"/>
            <w:tcBorders>
              <w:right w:val="single" w:sz="6" w:space="0" w:color="auto"/>
            </w:tcBorders>
          </w:tcPr>
          <w:p w:rsidR="00AF2508" w:rsidRDefault="00AF2508">
            <w:pPr>
              <w:pStyle w:val="TableText"/>
            </w:pPr>
            <w:r>
              <w:t>50</w:t>
            </w:r>
          </w:p>
        </w:tc>
        <w:tc>
          <w:tcPr>
            <w:tcW w:w="860" w:type="dxa"/>
          </w:tcPr>
          <w:p w:rsidR="00AF2508" w:rsidRDefault="00AF2508">
            <w:pPr>
              <w:pStyle w:val="TableText"/>
              <w:jc w:val="center"/>
            </w:pPr>
            <w:r>
              <w:t>11.4</w:t>
            </w:r>
          </w:p>
        </w:tc>
        <w:tc>
          <w:tcPr>
            <w:tcW w:w="860" w:type="dxa"/>
          </w:tcPr>
          <w:p w:rsidR="00AF2508" w:rsidRDefault="00AF2508">
            <w:pPr>
              <w:pStyle w:val="TableText"/>
              <w:jc w:val="center"/>
            </w:pPr>
            <w:r>
              <w:t>10.0</w:t>
            </w:r>
          </w:p>
        </w:tc>
        <w:tc>
          <w:tcPr>
            <w:tcW w:w="880" w:type="dxa"/>
            <w:gridSpan w:val="2"/>
            <w:tcBorders>
              <w:left w:val="single" w:sz="6" w:space="0" w:color="auto"/>
            </w:tcBorders>
          </w:tcPr>
          <w:p w:rsidR="00AF2508" w:rsidRDefault="00AF2508">
            <w:pPr>
              <w:pStyle w:val="TableText"/>
              <w:jc w:val="center"/>
            </w:pPr>
            <w:r>
              <w:t>12.3</w:t>
            </w:r>
          </w:p>
        </w:tc>
        <w:tc>
          <w:tcPr>
            <w:tcW w:w="840" w:type="dxa"/>
          </w:tcPr>
          <w:p w:rsidR="00AF2508" w:rsidRDefault="00AF2508">
            <w:pPr>
              <w:pStyle w:val="TableText"/>
              <w:jc w:val="center"/>
            </w:pPr>
            <w:r>
              <w:t>11.6</w:t>
            </w:r>
          </w:p>
        </w:tc>
        <w:tc>
          <w:tcPr>
            <w:tcW w:w="900" w:type="dxa"/>
            <w:gridSpan w:val="2"/>
            <w:tcBorders>
              <w:left w:val="single" w:sz="6" w:space="0" w:color="auto"/>
            </w:tcBorders>
          </w:tcPr>
          <w:p w:rsidR="00AF2508" w:rsidRDefault="00AF2508">
            <w:pPr>
              <w:pStyle w:val="TableText"/>
              <w:jc w:val="center"/>
            </w:pPr>
            <w:r>
              <w:t>11.6</w:t>
            </w:r>
          </w:p>
        </w:tc>
        <w:tc>
          <w:tcPr>
            <w:tcW w:w="860" w:type="dxa"/>
          </w:tcPr>
          <w:p w:rsidR="00AF2508" w:rsidRDefault="00AF2508">
            <w:pPr>
              <w:pStyle w:val="TableText"/>
              <w:jc w:val="center"/>
            </w:pPr>
            <w:r>
              <w:t>13.2</w:t>
            </w:r>
          </w:p>
        </w:tc>
      </w:tr>
      <w:tr w:rsidR="00AF2508">
        <w:trPr>
          <w:cantSplit/>
        </w:trPr>
        <w:tc>
          <w:tcPr>
            <w:tcW w:w="2100" w:type="dxa"/>
            <w:tcBorders>
              <w:right w:val="single" w:sz="6" w:space="0" w:color="auto"/>
            </w:tcBorders>
          </w:tcPr>
          <w:p w:rsidR="00AF2508" w:rsidRDefault="00AF2508">
            <w:pPr>
              <w:pStyle w:val="TableText"/>
            </w:pPr>
            <w:r>
              <w:t>60</w:t>
            </w:r>
          </w:p>
        </w:tc>
        <w:tc>
          <w:tcPr>
            <w:tcW w:w="860" w:type="dxa"/>
          </w:tcPr>
          <w:p w:rsidR="00AF2508" w:rsidRDefault="00AF2508">
            <w:pPr>
              <w:pStyle w:val="TableText"/>
              <w:jc w:val="center"/>
            </w:pPr>
            <w:r>
              <w:t>10.1</w:t>
            </w:r>
          </w:p>
        </w:tc>
        <w:tc>
          <w:tcPr>
            <w:tcW w:w="860" w:type="dxa"/>
          </w:tcPr>
          <w:p w:rsidR="00AF2508" w:rsidRDefault="00AF2508">
            <w:pPr>
              <w:pStyle w:val="TableText"/>
              <w:jc w:val="center"/>
            </w:pPr>
            <w:r>
              <w:t>9.5</w:t>
            </w:r>
          </w:p>
        </w:tc>
        <w:tc>
          <w:tcPr>
            <w:tcW w:w="880" w:type="dxa"/>
            <w:gridSpan w:val="2"/>
            <w:tcBorders>
              <w:left w:val="single" w:sz="6" w:space="0" w:color="auto"/>
            </w:tcBorders>
          </w:tcPr>
          <w:p w:rsidR="00AF2508" w:rsidRDefault="00AF2508">
            <w:pPr>
              <w:pStyle w:val="TableText"/>
              <w:jc w:val="center"/>
            </w:pPr>
            <w:r>
              <w:t>11.4</w:t>
            </w:r>
          </w:p>
        </w:tc>
        <w:tc>
          <w:tcPr>
            <w:tcW w:w="840" w:type="dxa"/>
          </w:tcPr>
          <w:p w:rsidR="00AF2508" w:rsidRDefault="00AF2508">
            <w:pPr>
              <w:pStyle w:val="TableText"/>
              <w:jc w:val="center"/>
            </w:pPr>
            <w:r>
              <w:t>11.1</w:t>
            </w:r>
          </w:p>
        </w:tc>
        <w:tc>
          <w:tcPr>
            <w:tcW w:w="900" w:type="dxa"/>
            <w:gridSpan w:val="2"/>
            <w:tcBorders>
              <w:left w:val="single" w:sz="6" w:space="0" w:color="auto"/>
            </w:tcBorders>
          </w:tcPr>
          <w:p w:rsidR="00AF2508" w:rsidRDefault="00AF2508">
            <w:pPr>
              <w:pStyle w:val="TableText"/>
              <w:jc w:val="center"/>
            </w:pPr>
            <w:r>
              <w:t>11.1</w:t>
            </w:r>
          </w:p>
        </w:tc>
        <w:tc>
          <w:tcPr>
            <w:tcW w:w="860" w:type="dxa"/>
          </w:tcPr>
          <w:p w:rsidR="00AF2508" w:rsidRDefault="00AF2508">
            <w:pPr>
              <w:pStyle w:val="TableText"/>
              <w:jc w:val="center"/>
            </w:pPr>
            <w:r>
              <w:t>12.7</w:t>
            </w:r>
          </w:p>
        </w:tc>
      </w:tr>
      <w:tr w:rsidR="00AF2508">
        <w:trPr>
          <w:cantSplit/>
        </w:trPr>
        <w:tc>
          <w:tcPr>
            <w:tcW w:w="2100" w:type="dxa"/>
            <w:tcBorders>
              <w:right w:val="single" w:sz="6" w:space="0" w:color="auto"/>
            </w:tcBorders>
          </w:tcPr>
          <w:p w:rsidR="00AF2508" w:rsidRDefault="00AF2508">
            <w:pPr>
              <w:pStyle w:val="TableText"/>
            </w:pPr>
            <w:r>
              <w:t>70</w:t>
            </w:r>
          </w:p>
        </w:tc>
        <w:tc>
          <w:tcPr>
            <w:tcW w:w="860" w:type="dxa"/>
          </w:tcPr>
          <w:p w:rsidR="00AF2508" w:rsidRDefault="00AF2508">
            <w:pPr>
              <w:pStyle w:val="TableText"/>
              <w:jc w:val="center"/>
            </w:pPr>
            <w:r>
              <w:t>9.0</w:t>
            </w:r>
          </w:p>
        </w:tc>
        <w:tc>
          <w:tcPr>
            <w:tcW w:w="860" w:type="dxa"/>
          </w:tcPr>
          <w:p w:rsidR="00AF2508" w:rsidRDefault="00AF2508">
            <w:pPr>
              <w:pStyle w:val="TableText"/>
              <w:jc w:val="center"/>
            </w:pPr>
            <w:r>
              <w:t>8.8</w:t>
            </w:r>
          </w:p>
        </w:tc>
        <w:tc>
          <w:tcPr>
            <w:tcW w:w="880" w:type="dxa"/>
            <w:gridSpan w:val="2"/>
            <w:tcBorders>
              <w:left w:val="single" w:sz="6" w:space="0" w:color="auto"/>
            </w:tcBorders>
          </w:tcPr>
          <w:p w:rsidR="00AF2508" w:rsidRDefault="00AF2508">
            <w:pPr>
              <w:pStyle w:val="TableText"/>
              <w:jc w:val="center"/>
            </w:pPr>
            <w:r>
              <w:t>10.6</w:t>
            </w:r>
          </w:p>
        </w:tc>
        <w:tc>
          <w:tcPr>
            <w:tcW w:w="840" w:type="dxa"/>
          </w:tcPr>
          <w:p w:rsidR="00AF2508" w:rsidRDefault="00AF2508">
            <w:pPr>
              <w:pStyle w:val="TableText"/>
              <w:jc w:val="center"/>
            </w:pPr>
            <w:r>
              <w:t>10.5</w:t>
            </w:r>
          </w:p>
        </w:tc>
        <w:tc>
          <w:tcPr>
            <w:tcW w:w="900" w:type="dxa"/>
            <w:gridSpan w:val="2"/>
            <w:tcBorders>
              <w:left w:val="single" w:sz="6" w:space="0" w:color="auto"/>
            </w:tcBorders>
          </w:tcPr>
          <w:p w:rsidR="00AF2508" w:rsidRDefault="00AF2508">
            <w:pPr>
              <w:pStyle w:val="TableText"/>
              <w:jc w:val="center"/>
            </w:pPr>
            <w:r>
              <w:t>10.5</w:t>
            </w:r>
          </w:p>
        </w:tc>
        <w:tc>
          <w:tcPr>
            <w:tcW w:w="860" w:type="dxa"/>
          </w:tcPr>
          <w:p w:rsidR="00AF2508" w:rsidRDefault="00AF2508">
            <w:pPr>
              <w:pStyle w:val="TableText"/>
              <w:jc w:val="center"/>
            </w:pPr>
            <w:r>
              <w:t>12.2</w:t>
            </w:r>
          </w:p>
        </w:tc>
      </w:tr>
      <w:tr w:rsidR="00AF2508">
        <w:trPr>
          <w:cantSplit/>
        </w:trPr>
        <w:tc>
          <w:tcPr>
            <w:tcW w:w="2100" w:type="dxa"/>
            <w:tcBorders>
              <w:right w:val="single" w:sz="6" w:space="0" w:color="auto"/>
            </w:tcBorders>
          </w:tcPr>
          <w:p w:rsidR="00AF2508" w:rsidRDefault="00AF2508">
            <w:pPr>
              <w:pStyle w:val="TableText"/>
            </w:pPr>
            <w:r>
              <w:t>80</w:t>
            </w:r>
          </w:p>
        </w:tc>
        <w:tc>
          <w:tcPr>
            <w:tcW w:w="860" w:type="dxa"/>
          </w:tcPr>
          <w:p w:rsidR="00AF2508" w:rsidRDefault="00AF2508">
            <w:pPr>
              <w:pStyle w:val="TableText"/>
              <w:jc w:val="center"/>
            </w:pPr>
            <w:r>
              <w:t>7.8</w:t>
            </w:r>
          </w:p>
        </w:tc>
        <w:tc>
          <w:tcPr>
            <w:tcW w:w="860" w:type="dxa"/>
          </w:tcPr>
          <w:p w:rsidR="00AF2508" w:rsidRDefault="00AF2508">
            <w:pPr>
              <w:pStyle w:val="TableText"/>
              <w:jc w:val="center"/>
            </w:pPr>
            <w:r>
              <w:t>7.8</w:t>
            </w:r>
          </w:p>
        </w:tc>
        <w:tc>
          <w:tcPr>
            <w:tcW w:w="880" w:type="dxa"/>
            <w:gridSpan w:val="2"/>
            <w:tcBorders>
              <w:left w:val="single" w:sz="6" w:space="0" w:color="auto"/>
            </w:tcBorders>
          </w:tcPr>
          <w:p w:rsidR="00AF2508" w:rsidRDefault="00AF2508">
            <w:pPr>
              <w:pStyle w:val="TableText"/>
              <w:jc w:val="center"/>
            </w:pPr>
            <w:r>
              <w:t>9.7</w:t>
            </w:r>
          </w:p>
        </w:tc>
        <w:tc>
          <w:tcPr>
            <w:tcW w:w="840" w:type="dxa"/>
          </w:tcPr>
          <w:p w:rsidR="00AF2508" w:rsidRDefault="00AF2508">
            <w:pPr>
              <w:pStyle w:val="TableText"/>
              <w:jc w:val="center"/>
            </w:pPr>
            <w:r>
              <w:t>9.7</w:t>
            </w:r>
          </w:p>
        </w:tc>
        <w:tc>
          <w:tcPr>
            <w:tcW w:w="900" w:type="dxa"/>
            <w:gridSpan w:val="2"/>
            <w:tcBorders>
              <w:left w:val="single" w:sz="6" w:space="0" w:color="auto"/>
            </w:tcBorders>
          </w:tcPr>
          <w:p w:rsidR="00AF2508" w:rsidRDefault="00AF2508">
            <w:pPr>
              <w:pStyle w:val="TableText"/>
              <w:jc w:val="center"/>
            </w:pPr>
            <w:r>
              <w:t>9.7</w:t>
            </w:r>
          </w:p>
        </w:tc>
        <w:tc>
          <w:tcPr>
            <w:tcW w:w="860" w:type="dxa"/>
          </w:tcPr>
          <w:p w:rsidR="00AF2508" w:rsidRDefault="00AF2508">
            <w:pPr>
              <w:pStyle w:val="TableText"/>
              <w:jc w:val="center"/>
            </w:pPr>
            <w:r>
              <w:t>11.6</w:t>
            </w:r>
          </w:p>
        </w:tc>
      </w:tr>
      <w:tr w:rsidR="00AF2508">
        <w:trPr>
          <w:cantSplit/>
        </w:trPr>
        <w:tc>
          <w:tcPr>
            <w:tcW w:w="2100" w:type="dxa"/>
            <w:tcBorders>
              <w:right w:val="single" w:sz="6" w:space="0" w:color="auto"/>
            </w:tcBorders>
          </w:tcPr>
          <w:p w:rsidR="00AF2508" w:rsidRDefault="00AF2508">
            <w:pPr>
              <w:pStyle w:val="TableText"/>
            </w:pPr>
            <w:r>
              <w:t>90</w:t>
            </w:r>
          </w:p>
        </w:tc>
        <w:tc>
          <w:tcPr>
            <w:tcW w:w="860" w:type="dxa"/>
          </w:tcPr>
          <w:p w:rsidR="00AF2508" w:rsidRDefault="00AF2508">
            <w:pPr>
              <w:pStyle w:val="TableText"/>
              <w:jc w:val="center"/>
            </w:pPr>
            <w:r>
              <w:t>6.8</w:t>
            </w:r>
          </w:p>
        </w:tc>
        <w:tc>
          <w:tcPr>
            <w:tcW w:w="860" w:type="dxa"/>
          </w:tcPr>
          <w:p w:rsidR="00AF2508" w:rsidRDefault="00AF2508">
            <w:pPr>
              <w:pStyle w:val="TableText"/>
              <w:jc w:val="center"/>
            </w:pPr>
            <w:r>
              <w:t>6.8</w:t>
            </w:r>
          </w:p>
        </w:tc>
        <w:tc>
          <w:tcPr>
            <w:tcW w:w="880" w:type="dxa"/>
            <w:gridSpan w:val="2"/>
            <w:tcBorders>
              <w:left w:val="single" w:sz="6" w:space="0" w:color="auto"/>
            </w:tcBorders>
          </w:tcPr>
          <w:p w:rsidR="00AF2508" w:rsidRDefault="00AF2508">
            <w:pPr>
              <w:pStyle w:val="TableText"/>
              <w:jc w:val="center"/>
            </w:pPr>
            <w:r>
              <w:t>8.9</w:t>
            </w:r>
          </w:p>
        </w:tc>
        <w:tc>
          <w:tcPr>
            <w:tcW w:w="840" w:type="dxa"/>
          </w:tcPr>
          <w:p w:rsidR="00AF2508" w:rsidRDefault="00AF2508">
            <w:pPr>
              <w:pStyle w:val="TableText"/>
              <w:jc w:val="center"/>
            </w:pPr>
            <w:r>
              <w:t>8.9</w:t>
            </w:r>
          </w:p>
        </w:tc>
        <w:tc>
          <w:tcPr>
            <w:tcW w:w="900" w:type="dxa"/>
            <w:gridSpan w:val="2"/>
            <w:tcBorders>
              <w:left w:val="single" w:sz="6" w:space="0" w:color="auto"/>
            </w:tcBorders>
          </w:tcPr>
          <w:p w:rsidR="00AF2508" w:rsidRDefault="00AF2508">
            <w:pPr>
              <w:pStyle w:val="TableText"/>
              <w:jc w:val="center"/>
            </w:pPr>
            <w:r>
              <w:t>8.9</w:t>
            </w:r>
          </w:p>
        </w:tc>
        <w:tc>
          <w:tcPr>
            <w:tcW w:w="860" w:type="dxa"/>
          </w:tcPr>
          <w:p w:rsidR="00AF2508" w:rsidRDefault="00AF2508">
            <w:pPr>
              <w:pStyle w:val="TableText"/>
              <w:jc w:val="center"/>
            </w:pPr>
            <w:r>
              <w:t>11.0</w:t>
            </w:r>
          </w:p>
        </w:tc>
      </w:tr>
      <w:tr w:rsidR="00AF2508">
        <w:trPr>
          <w:cantSplit/>
        </w:trPr>
        <w:tc>
          <w:tcPr>
            <w:tcW w:w="2100" w:type="dxa"/>
            <w:tcBorders>
              <w:right w:val="single" w:sz="6" w:space="0" w:color="auto"/>
            </w:tcBorders>
          </w:tcPr>
          <w:p w:rsidR="00AF2508" w:rsidRDefault="00AF2508">
            <w:pPr>
              <w:pStyle w:val="TableText"/>
            </w:pPr>
            <w:r>
              <w:t>100</w:t>
            </w:r>
          </w:p>
        </w:tc>
        <w:tc>
          <w:tcPr>
            <w:tcW w:w="860" w:type="dxa"/>
          </w:tcPr>
          <w:p w:rsidR="00AF2508" w:rsidRDefault="00AF2508">
            <w:pPr>
              <w:pStyle w:val="TableText"/>
              <w:jc w:val="center"/>
            </w:pPr>
            <w:r>
              <w:t>5.8</w:t>
            </w:r>
          </w:p>
        </w:tc>
        <w:tc>
          <w:tcPr>
            <w:tcW w:w="860" w:type="dxa"/>
          </w:tcPr>
          <w:p w:rsidR="00AF2508" w:rsidRDefault="00AF2508">
            <w:pPr>
              <w:pStyle w:val="TableText"/>
              <w:jc w:val="center"/>
            </w:pPr>
            <w:r>
              <w:t>5.8</w:t>
            </w:r>
          </w:p>
        </w:tc>
        <w:tc>
          <w:tcPr>
            <w:tcW w:w="880" w:type="dxa"/>
            <w:gridSpan w:val="2"/>
            <w:tcBorders>
              <w:left w:val="single" w:sz="6" w:space="0" w:color="auto"/>
            </w:tcBorders>
          </w:tcPr>
          <w:p w:rsidR="00AF2508" w:rsidRDefault="00AF2508">
            <w:pPr>
              <w:pStyle w:val="TableText"/>
              <w:jc w:val="center"/>
            </w:pPr>
            <w:r>
              <w:t>8.0</w:t>
            </w:r>
          </w:p>
        </w:tc>
        <w:tc>
          <w:tcPr>
            <w:tcW w:w="840" w:type="dxa"/>
          </w:tcPr>
          <w:p w:rsidR="00AF2508" w:rsidRDefault="00AF2508">
            <w:pPr>
              <w:pStyle w:val="TableText"/>
              <w:jc w:val="center"/>
            </w:pPr>
            <w:r>
              <w:t>8.0</w:t>
            </w:r>
          </w:p>
        </w:tc>
        <w:tc>
          <w:tcPr>
            <w:tcW w:w="900" w:type="dxa"/>
            <w:gridSpan w:val="2"/>
            <w:tcBorders>
              <w:left w:val="single" w:sz="6" w:space="0" w:color="auto"/>
            </w:tcBorders>
          </w:tcPr>
          <w:p w:rsidR="00AF2508" w:rsidRDefault="00AF2508">
            <w:pPr>
              <w:pStyle w:val="TableText"/>
              <w:jc w:val="center"/>
            </w:pPr>
            <w:r>
              <w:t>8.0</w:t>
            </w:r>
          </w:p>
        </w:tc>
        <w:tc>
          <w:tcPr>
            <w:tcW w:w="860" w:type="dxa"/>
          </w:tcPr>
          <w:p w:rsidR="00AF2508" w:rsidRDefault="00AF2508">
            <w:pPr>
              <w:pStyle w:val="TableText"/>
              <w:jc w:val="center"/>
            </w:pPr>
            <w:r>
              <w:t>10.3</w:t>
            </w:r>
          </w:p>
        </w:tc>
      </w:tr>
      <w:tr w:rsidR="00AF2508">
        <w:trPr>
          <w:cantSplit/>
        </w:trPr>
        <w:tc>
          <w:tcPr>
            <w:tcW w:w="2100" w:type="dxa"/>
            <w:tcBorders>
              <w:right w:val="single" w:sz="6" w:space="0" w:color="auto"/>
            </w:tcBorders>
          </w:tcPr>
          <w:p w:rsidR="00AF2508" w:rsidRDefault="00AF2508">
            <w:pPr>
              <w:pStyle w:val="TableText"/>
            </w:pPr>
            <w:r>
              <w:t>110</w:t>
            </w:r>
          </w:p>
        </w:tc>
        <w:tc>
          <w:tcPr>
            <w:tcW w:w="860" w:type="dxa"/>
          </w:tcPr>
          <w:p w:rsidR="00AF2508" w:rsidRDefault="00AF2508">
            <w:pPr>
              <w:pStyle w:val="TableText"/>
              <w:jc w:val="center"/>
            </w:pPr>
            <w:r>
              <w:t>5.1</w:t>
            </w:r>
          </w:p>
        </w:tc>
        <w:tc>
          <w:tcPr>
            <w:tcW w:w="860" w:type="dxa"/>
          </w:tcPr>
          <w:p w:rsidR="00AF2508" w:rsidRDefault="00AF2508">
            <w:pPr>
              <w:pStyle w:val="TableText"/>
              <w:jc w:val="center"/>
            </w:pPr>
            <w:r>
              <w:t>5.1</w:t>
            </w:r>
          </w:p>
        </w:tc>
        <w:tc>
          <w:tcPr>
            <w:tcW w:w="880" w:type="dxa"/>
            <w:gridSpan w:val="2"/>
            <w:tcBorders>
              <w:left w:val="single" w:sz="6" w:space="0" w:color="auto"/>
            </w:tcBorders>
          </w:tcPr>
          <w:p w:rsidR="00AF2508" w:rsidRDefault="00AF2508">
            <w:pPr>
              <w:pStyle w:val="TableText"/>
              <w:jc w:val="center"/>
            </w:pPr>
            <w:r>
              <w:t>7.3</w:t>
            </w:r>
          </w:p>
        </w:tc>
        <w:tc>
          <w:tcPr>
            <w:tcW w:w="840" w:type="dxa"/>
          </w:tcPr>
          <w:p w:rsidR="00AF2508" w:rsidRDefault="00AF2508">
            <w:pPr>
              <w:pStyle w:val="TableText"/>
              <w:jc w:val="center"/>
            </w:pPr>
            <w:r>
              <w:t>7.3</w:t>
            </w:r>
          </w:p>
        </w:tc>
        <w:tc>
          <w:tcPr>
            <w:tcW w:w="900" w:type="dxa"/>
            <w:gridSpan w:val="2"/>
            <w:tcBorders>
              <w:left w:val="single" w:sz="6" w:space="0" w:color="auto"/>
            </w:tcBorders>
          </w:tcPr>
          <w:p w:rsidR="00AF2508" w:rsidRDefault="00AF2508">
            <w:pPr>
              <w:pStyle w:val="TableText"/>
              <w:jc w:val="center"/>
            </w:pPr>
            <w:r>
              <w:t>7.3</w:t>
            </w:r>
          </w:p>
        </w:tc>
        <w:tc>
          <w:tcPr>
            <w:tcW w:w="860" w:type="dxa"/>
          </w:tcPr>
          <w:p w:rsidR="00AF2508" w:rsidRDefault="00AF2508">
            <w:pPr>
              <w:pStyle w:val="TableText"/>
              <w:jc w:val="center"/>
            </w:pPr>
            <w:r>
              <w:t>9.5</w:t>
            </w:r>
          </w:p>
        </w:tc>
      </w:tr>
      <w:tr w:rsidR="00AF2508">
        <w:trPr>
          <w:cantSplit/>
        </w:trPr>
        <w:tc>
          <w:tcPr>
            <w:tcW w:w="2100" w:type="dxa"/>
            <w:tcBorders>
              <w:right w:val="single" w:sz="6" w:space="0" w:color="auto"/>
            </w:tcBorders>
          </w:tcPr>
          <w:p w:rsidR="00AF2508" w:rsidRDefault="00AF2508">
            <w:pPr>
              <w:pStyle w:val="TableText"/>
            </w:pPr>
            <w:r>
              <w:t>120</w:t>
            </w:r>
          </w:p>
        </w:tc>
        <w:tc>
          <w:tcPr>
            <w:tcW w:w="860" w:type="dxa"/>
          </w:tcPr>
          <w:p w:rsidR="00AF2508" w:rsidRDefault="00AF2508">
            <w:pPr>
              <w:pStyle w:val="TableText"/>
              <w:jc w:val="center"/>
            </w:pPr>
            <w:r>
              <w:t>4.5</w:t>
            </w:r>
          </w:p>
        </w:tc>
        <w:tc>
          <w:tcPr>
            <w:tcW w:w="860" w:type="dxa"/>
          </w:tcPr>
          <w:p w:rsidR="00AF2508" w:rsidRDefault="00AF2508">
            <w:pPr>
              <w:pStyle w:val="TableText"/>
              <w:jc w:val="center"/>
            </w:pPr>
            <w:r>
              <w:t>4.5</w:t>
            </w:r>
          </w:p>
        </w:tc>
        <w:tc>
          <w:tcPr>
            <w:tcW w:w="880" w:type="dxa"/>
            <w:gridSpan w:val="2"/>
            <w:tcBorders>
              <w:left w:val="single" w:sz="6" w:space="0" w:color="auto"/>
            </w:tcBorders>
          </w:tcPr>
          <w:p w:rsidR="00AF2508" w:rsidRDefault="00AF2508">
            <w:pPr>
              <w:pStyle w:val="TableText"/>
              <w:jc w:val="center"/>
            </w:pPr>
            <w:r>
              <w:t>6.6</w:t>
            </w:r>
          </w:p>
        </w:tc>
        <w:tc>
          <w:tcPr>
            <w:tcW w:w="840" w:type="dxa"/>
          </w:tcPr>
          <w:p w:rsidR="00AF2508" w:rsidRDefault="00AF2508">
            <w:pPr>
              <w:pStyle w:val="TableText"/>
              <w:jc w:val="center"/>
            </w:pPr>
            <w:r>
              <w:t>6.6</w:t>
            </w:r>
          </w:p>
        </w:tc>
        <w:tc>
          <w:tcPr>
            <w:tcW w:w="900" w:type="dxa"/>
            <w:gridSpan w:val="2"/>
            <w:tcBorders>
              <w:left w:val="single" w:sz="6" w:space="0" w:color="auto"/>
            </w:tcBorders>
          </w:tcPr>
          <w:p w:rsidR="00AF2508" w:rsidRDefault="00AF2508">
            <w:pPr>
              <w:pStyle w:val="TableText"/>
              <w:jc w:val="center"/>
            </w:pPr>
            <w:r>
              <w:t>6.6</w:t>
            </w:r>
          </w:p>
        </w:tc>
        <w:tc>
          <w:tcPr>
            <w:tcW w:w="860" w:type="dxa"/>
          </w:tcPr>
          <w:p w:rsidR="00AF2508" w:rsidRDefault="00AF2508">
            <w:pPr>
              <w:pStyle w:val="TableText"/>
              <w:jc w:val="center"/>
            </w:pPr>
            <w:r>
              <w:t>8.7</w:t>
            </w:r>
          </w:p>
        </w:tc>
      </w:tr>
      <w:tr w:rsidR="00AF2508">
        <w:trPr>
          <w:cantSplit/>
        </w:trPr>
        <w:tc>
          <w:tcPr>
            <w:tcW w:w="2100" w:type="dxa"/>
            <w:tcBorders>
              <w:right w:val="single" w:sz="6" w:space="0" w:color="auto"/>
            </w:tcBorders>
          </w:tcPr>
          <w:p w:rsidR="00AF2508" w:rsidRDefault="00AF2508">
            <w:pPr>
              <w:pStyle w:val="TableText"/>
            </w:pPr>
            <w:r>
              <w:t>130</w:t>
            </w:r>
          </w:p>
        </w:tc>
        <w:tc>
          <w:tcPr>
            <w:tcW w:w="860" w:type="dxa"/>
          </w:tcPr>
          <w:p w:rsidR="00AF2508" w:rsidRDefault="00AF2508">
            <w:pPr>
              <w:pStyle w:val="TableText"/>
              <w:jc w:val="center"/>
            </w:pPr>
            <w:r>
              <w:t>4.0</w:t>
            </w:r>
          </w:p>
        </w:tc>
        <w:tc>
          <w:tcPr>
            <w:tcW w:w="860" w:type="dxa"/>
          </w:tcPr>
          <w:p w:rsidR="00AF2508" w:rsidRDefault="00AF2508">
            <w:pPr>
              <w:pStyle w:val="TableText"/>
              <w:jc w:val="center"/>
            </w:pPr>
            <w:r>
              <w:t>4.0</w:t>
            </w:r>
          </w:p>
        </w:tc>
        <w:tc>
          <w:tcPr>
            <w:tcW w:w="880" w:type="dxa"/>
            <w:gridSpan w:val="2"/>
            <w:tcBorders>
              <w:left w:val="single" w:sz="6" w:space="0" w:color="auto"/>
            </w:tcBorders>
          </w:tcPr>
          <w:p w:rsidR="00AF2508" w:rsidRDefault="00AF2508">
            <w:pPr>
              <w:pStyle w:val="TableText"/>
              <w:jc w:val="center"/>
            </w:pPr>
            <w:r>
              <w:t>6.0</w:t>
            </w:r>
          </w:p>
        </w:tc>
        <w:tc>
          <w:tcPr>
            <w:tcW w:w="840" w:type="dxa"/>
          </w:tcPr>
          <w:p w:rsidR="00AF2508" w:rsidRDefault="00AF2508">
            <w:pPr>
              <w:pStyle w:val="TableText"/>
              <w:jc w:val="center"/>
            </w:pPr>
            <w:r>
              <w:t>6.0</w:t>
            </w:r>
          </w:p>
        </w:tc>
        <w:tc>
          <w:tcPr>
            <w:tcW w:w="900" w:type="dxa"/>
            <w:gridSpan w:val="2"/>
            <w:tcBorders>
              <w:left w:val="single" w:sz="6" w:space="0" w:color="auto"/>
            </w:tcBorders>
          </w:tcPr>
          <w:p w:rsidR="00AF2508" w:rsidRDefault="00AF2508">
            <w:pPr>
              <w:pStyle w:val="TableText"/>
              <w:jc w:val="center"/>
            </w:pPr>
            <w:r>
              <w:t>6.0</w:t>
            </w:r>
          </w:p>
        </w:tc>
        <w:tc>
          <w:tcPr>
            <w:tcW w:w="860" w:type="dxa"/>
          </w:tcPr>
          <w:p w:rsidR="00AF2508" w:rsidRDefault="00AF2508">
            <w:pPr>
              <w:pStyle w:val="TableText"/>
              <w:jc w:val="center"/>
            </w:pPr>
            <w:r>
              <w:t>7.9</w:t>
            </w:r>
          </w:p>
        </w:tc>
      </w:tr>
      <w:tr w:rsidR="00AF2508">
        <w:trPr>
          <w:cantSplit/>
        </w:trPr>
        <w:tc>
          <w:tcPr>
            <w:tcW w:w="2100" w:type="dxa"/>
            <w:tcBorders>
              <w:right w:val="single" w:sz="6" w:space="0" w:color="auto"/>
            </w:tcBorders>
          </w:tcPr>
          <w:p w:rsidR="00AF2508" w:rsidRDefault="00AF2508">
            <w:pPr>
              <w:pStyle w:val="TableText"/>
            </w:pPr>
            <w:r>
              <w:t>140</w:t>
            </w:r>
          </w:p>
        </w:tc>
        <w:tc>
          <w:tcPr>
            <w:tcW w:w="860" w:type="dxa"/>
          </w:tcPr>
          <w:p w:rsidR="00AF2508" w:rsidRDefault="00AF2508">
            <w:pPr>
              <w:pStyle w:val="TableText"/>
              <w:jc w:val="center"/>
            </w:pPr>
            <w:r>
              <w:t>3.5</w:t>
            </w:r>
          </w:p>
        </w:tc>
        <w:tc>
          <w:tcPr>
            <w:tcW w:w="860" w:type="dxa"/>
          </w:tcPr>
          <w:p w:rsidR="00AF2508" w:rsidRDefault="00AF2508">
            <w:pPr>
              <w:pStyle w:val="TableText"/>
              <w:jc w:val="center"/>
            </w:pPr>
            <w:r>
              <w:t>3.5</w:t>
            </w:r>
          </w:p>
        </w:tc>
        <w:tc>
          <w:tcPr>
            <w:tcW w:w="880" w:type="dxa"/>
            <w:gridSpan w:val="2"/>
            <w:tcBorders>
              <w:left w:val="single" w:sz="6" w:space="0" w:color="auto"/>
            </w:tcBorders>
          </w:tcPr>
          <w:p w:rsidR="00AF2508" w:rsidRDefault="00AF2508">
            <w:pPr>
              <w:pStyle w:val="TableText"/>
              <w:jc w:val="center"/>
            </w:pPr>
            <w:r>
              <w:t>5.4</w:t>
            </w:r>
          </w:p>
        </w:tc>
        <w:tc>
          <w:tcPr>
            <w:tcW w:w="840" w:type="dxa"/>
          </w:tcPr>
          <w:p w:rsidR="00AF2508" w:rsidRDefault="00AF2508">
            <w:pPr>
              <w:pStyle w:val="TableText"/>
              <w:jc w:val="center"/>
            </w:pPr>
            <w:r>
              <w:t>5.3</w:t>
            </w:r>
          </w:p>
        </w:tc>
        <w:tc>
          <w:tcPr>
            <w:tcW w:w="900" w:type="dxa"/>
            <w:gridSpan w:val="2"/>
            <w:tcBorders>
              <w:left w:val="single" w:sz="6" w:space="0" w:color="auto"/>
            </w:tcBorders>
          </w:tcPr>
          <w:p w:rsidR="00AF2508" w:rsidRDefault="00AF2508">
            <w:pPr>
              <w:pStyle w:val="TableText"/>
              <w:jc w:val="center"/>
            </w:pPr>
            <w:r>
              <w:t>5.3</w:t>
            </w:r>
          </w:p>
        </w:tc>
        <w:tc>
          <w:tcPr>
            <w:tcW w:w="860" w:type="dxa"/>
          </w:tcPr>
          <w:p w:rsidR="00AF2508" w:rsidRDefault="00AF2508">
            <w:pPr>
              <w:pStyle w:val="TableText"/>
              <w:jc w:val="center"/>
            </w:pPr>
            <w:r>
              <w:t>7.2</w:t>
            </w:r>
          </w:p>
        </w:tc>
      </w:tr>
      <w:tr w:rsidR="00AF2508">
        <w:trPr>
          <w:cantSplit/>
        </w:trPr>
        <w:tc>
          <w:tcPr>
            <w:tcW w:w="2100" w:type="dxa"/>
            <w:tcBorders>
              <w:right w:val="single" w:sz="6" w:space="0" w:color="auto"/>
            </w:tcBorders>
          </w:tcPr>
          <w:p w:rsidR="00AF2508" w:rsidRDefault="00AF2508">
            <w:pPr>
              <w:pStyle w:val="TableText"/>
            </w:pPr>
            <w:r>
              <w:t>150</w:t>
            </w:r>
          </w:p>
        </w:tc>
        <w:tc>
          <w:tcPr>
            <w:tcW w:w="860" w:type="dxa"/>
          </w:tcPr>
          <w:p w:rsidR="00AF2508" w:rsidRDefault="00AF2508">
            <w:pPr>
              <w:pStyle w:val="TableText"/>
              <w:jc w:val="center"/>
            </w:pPr>
            <w:r>
              <w:t>3.1</w:t>
            </w:r>
          </w:p>
        </w:tc>
        <w:tc>
          <w:tcPr>
            <w:tcW w:w="860" w:type="dxa"/>
          </w:tcPr>
          <w:p w:rsidR="00AF2508" w:rsidRDefault="00AF2508">
            <w:pPr>
              <w:pStyle w:val="TableText"/>
              <w:jc w:val="center"/>
            </w:pPr>
            <w:r>
              <w:t>3.1</w:t>
            </w:r>
          </w:p>
        </w:tc>
        <w:tc>
          <w:tcPr>
            <w:tcW w:w="880" w:type="dxa"/>
            <w:gridSpan w:val="2"/>
            <w:tcBorders>
              <w:left w:val="single" w:sz="6" w:space="0" w:color="auto"/>
            </w:tcBorders>
          </w:tcPr>
          <w:p w:rsidR="00AF2508" w:rsidRDefault="00AF2508">
            <w:pPr>
              <w:pStyle w:val="TableText"/>
              <w:jc w:val="center"/>
            </w:pPr>
            <w:r>
              <w:t>4.9</w:t>
            </w:r>
          </w:p>
        </w:tc>
        <w:tc>
          <w:tcPr>
            <w:tcW w:w="840" w:type="dxa"/>
          </w:tcPr>
          <w:p w:rsidR="00AF2508" w:rsidRDefault="00AF2508">
            <w:pPr>
              <w:pStyle w:val="TableText"/>
              <w:jc w:val="center"/>
            </w:pPr>
            <w:r>
              <w:t>4.7</w:t>
            </w:r>
          </w:p>
        </w:tc>
        <w:tc>
          <w:tcPr>
            <w:tcW w:w="900" w:type="dxa"/>
            <w:gridSpan w:val="2"/>
            <w:tcBorders>
              <w:left w:val="single" w:sz="6" w:space="0" w:color="auto"/>
            </w:tcBorders>
          </w:tcPr>
          <w:p w:rsidR="00AF2508" w:rsidRDefault="00AF2508">
            <w:pPr>
              <w:pStyle w:val="TableText"/>
              <w:jc w:val="center"/>
            </w:pPr>
            <w:r>
              <w:t>4.7</w:t>
            </w:r>
          </w:p>
        </w:tc>
        <w:tc>
          <w:tcPr>
            <w:tcW w:w="860" w:type="dxa"/>
          </w:tcPr>
          <w:p w:rsidR="00AF2508" w:rsidRDefault="00AF2508">
            <w:pPr>
              <w:pStyle w:val="TableText"/>
              <w:jc w:val="center"/>
            </w:pPr>
            <w:r>
              <w:t>6.4</w:t>
            </w:r>
          </w:p>
        </w:tc>
      </w:tr>
      <w:tr w:rsidR="00AF2508">
        <w:trPr>
          <w:cantSplit/>
        </w:trPr>
        <w:tc>
          <w:tcPr>
            <w:tcW w:w="2100" w:type="dxa"/>
            <w:tcBorders>
              <w:right w:val="single" w:sz="6" w:space="0" w:color="auto"/>
            </w:tcBorders>
          </w:tcPr>
          <w:p w:rsidR="00AF2508" w:rsidRDefault="00AF2508">
            <w:pPr>
              <w:pStyle w:val="TableText"/>
            </w:pPr>
            <w:r>
              <w:t>160</w:t>
            </w:r>
          </w:p>
        </w:tc>
        <w:tc>
          <w:tcPr>
            <w:tcW w:w="860" w:type="dxa"/>
          </w:tcPr>
          <w:p w:rsidR="00AF2508" w:rsidRDefault="00AF2508">
            <w:pPr>
              <w:pStyle w:val="TableText"/>
              <w:jc w:val="center"/>
            </w:pPr>
            <w:r>
              <w:t>2.8</w:t>
            </w:r>
          </w:p>
        </w:tc>
        <w:tc>
          <w:tcPr>
            <w:tcW w:w="860" w:type="dxa"/>
          </w:tcPr>
          <w:p w:rsidR="00AF2508" w:rsidRDefault="00AF2508">
            <w:pPr>
              <w:pStyle w:val="TableText"/>
              <w:jc w:val="center"/>
            </w:pPr>
            <w:r>
              <w:t>2.8</w:t>
            </w:r>
          </w:p>
        </w:tc>
        <w:tc>
          <w:tcPr>
            <w:tcW w:w="880" w:type="dxa"/>
            <w:gridSpan w:val="2"/>
            <w:tcBorders>
              <w:left w:val="single" w:sz="6" w:space="0" w:color="auto"/>
            </w:tcBorders>
          </w:tcPr>
          <w:p w:rsidR="00AF2508" w:rsidRDefault="00AF2508">
            <w:pPr>
              <w:pStyle w:val="TableText"/>
              <w:jc w:val="center"/>
            </w:pPr>
            <w:r>
              <w:t>4.5</w:t>
            </w:r>
          </w:p>
        </w:tc>
        <w:tc>
          <w:tcPr>
            <w:tcW w:w="840" w:type="dxa"/>
          </w:tcPr>
          <w:p w:rsidR="00AF2508" w:rsidRDefault="00AF2508">
            <w:pPr>
              <w:pStyle w:val="TableText"/>
              <w:jc w:val="center"/>
            </w:pPr>
            <w:r>
              <w:t>4.2</w:t>
            </w:r>
          </w:p>
        </w:tc>
        <w:tc>
          <w:tcPr>
            <w:tcW w:w="900" w:type="dxa"/>
            <w:gridSpan w:val="2"/>
            <w:tcBorders>
              <w:left w:val="single" w:sz="6" w:space="0" w:color="auto"/>
            </w:tcBorders>
          </w:tcPr>
          <w:p w:rsidR="00AF2508" w:rsidRDefault="00AF2508">
            <w:pPr>
              <w:pStyle w:val="TableText"/>
              <w:jc w:val="center"/>
            </w:pPr>
            <w:r>
              <w:t>4.2</w:t>
            </w:r>
          </w:p>
        </w:tc>
        <w:tc>
          <w:tcPr>
            <w:tcW w:w="860" w:type="dxa"/>
          </w:tcPr>
          <w:p w:rsidR="00AF2508" w:rsidRDefault="00AF2508">
            <w:pPr>
              <w:pStyle w:val="TableText"/>
              <w:jc w:val="center"/>
            </w:pPr>
            <w:r>
              <w:t>5.6</w:t>
            </w:r>
          </w:p>
        </w:tc>
      </w:tr>
      <w:tr w:rsidR="00AF2508">
        <w:trPr>
          <w:cantSplit/>
        </w:trPr>
        <w:tc>
          <w:tcPr>
            <w:tcW w:w="2100" w:type="dxa"/>
            <w:tcBorders>
              <w:right w:val="single" w:sz="6" w:space="0" w:color="auto"/>
            </w:tcBorders>
          </w:tcPr>
          <w:p w:rsidR="00AF2508" w:rsidRDefault="00AF2508">
            <w:pPr>
              <w:pStyle w:val="TableText"/>
            </w:pPr>
            <w:r>
              <w:t>170</w:t>
            </w:r>
          </w:p>
        </w:tc>
        <w:tc>
          <w:tcPr>
            <w:tcW w:w="860" w:type="dxa"/>
          </w:tcPr>
          <w:p w:rsidR="00AF2508" w:rsidRDefault="00AF2508">
            <w:pPr>
              <w:pStyle w:val="TableText"/>
              <w:jc w:val="center"/>
            </w:pPr>
            <w:r>
              <w:t>2.5</w:t>
            </w:r>
          </w:p>
        </w:tc>
        <w:tc>
          <w:tcPr>
            <w:tcW w:w="860" w:type="dxa"/>
          </w:tcPr>
          <w:p w:rsidR="00AF2508" w:rsidRDefault="00AF2508">
            <w:pPr>
              <w:pStyle w:val="TableText"/>
              <w:jc w:val="center"/>
            </w:pPr>
            <w:r>
              <w:t>2.5</w:t>
            </w:r>
          </w:p>
        </w:tc>
        <w:tc>
          <w:tcPr>
            <w:tcW w:w="880" w:type="dxa"/>
            <w:gridSpan w:val="2"/>
            <w:tcBorders>
              <w:left w:val="single" w:sz="6" w:space="0" w:color="auto"/>
            </w:tcBorders>
          </w:tcPr>
          <w:p w:rsidR="00AF2508" w:rsidRDefault="00AF2508">
            <w:pPr>
              <w:pStyle w:val="TableText"/>
              <w:jc w:val="center"/>
            </w:pPr>
            <w:r>
              <w:t>4.1</w:t>
            </w:r>
          </w:p>
        </w:tc>
        <w:tc>
          <w:tcPr>
            <w:tcW w:w="840" w:type="dxa"/>
          </w:tcPr>
          <w:p w:rsidR="00AF2508" w:rsidRDefault="00AF2508">
            <w:pPr>
              <w:pStyle w:val="TableText"/>
              <w:jc w:val="center"/>
            </w:pPr>
            <w:r>
              <w:t>3.7</w:t>
            </w:r>
          </w:p>
        </w:tc>
        <w:tc>
          <w:tcPr>
            <w:tcW w:w="900" w:type="dxa"/>
            <w:gridSpan w:val="2"/>
            <w:tcBorders>
              <w:left w:val="single" w:sz="6" w:space="0" w:color="auto"/>
            </w:tcBorders>
          </w:tcPr>
          <w:p w:rsidR="00AF2508" w:rsidRDefault="00AF2508">
            <w:pPr>
              <w:pStyle w:val="TableText"/>
              <w:jc w:val="center"/>
            </w:pPr>
            <w:r>
              <w:t>3.7</w:t>
            </w:r>
          </w:p>
        </w:tc>
        <w:tc>
          <w:tcPr>
            <w:tcW w:w="860" w:type="dxa"/>
          </w:tcPr>
          <w:p w:rsidR="00AF2508" w:rsidRDefault="00AF2508">
            <w:pPr>
              <w:pStyle w:val="TableText"/>
              <w:jc w:val="center"/>
            </w:pPr>
            <w:r>
              <w:t>4.9</w:t>
            </w:r>
          </w:p>
        </w:tc>
      </w:tr>
      <w:tr w:rsidR="00AF2508">
        <w:trPr>
          <w:cantSplit/>
        </w:trPr>
        <w:tc>
          <w:tcPr>
            <w:tcW w:w="2100" w:type="dxa"/>
            <w:tcBorders>
              <w:right w:val="single" w:sz="6" w:space="0" w:color="auto"/>
            </w:tcBorders>
          </w:tcPr>
          <w:p w:rsidR="00AF2508" w:rsidRDefault="00AF2508">
            <w:pPr>
              <w:pStyle w:val="TableText"/>
            </w:pPr>
            <w:r>
              <w:t>180</w:t>
            </w:r>
          </w:p>
        </w:tc>
        <w:tc>
          <w:tcPr>
            <w:tcW w:w="860" w:type="dxa"/>
          </w:tcPr>
          <w:p w:rsidR="00AF2508" w:rsidRDefault="00AF2508">
            <w:pPr>
              <w:pStyle w:val="TableText"/>
              <w:jc w:val="center"/>
            </w:pPr>
            <w:r>
              <w:t>2.3</w:t>
            </w:r>
          </w:p>
        </w:tc>
        <w:tc>
          <w:tcPr>
            <w:tcW w:w="860" w:type="dxa"/>
          </w:tcPr>
          <w:p w:rsidR="00AF2508" w:rsidRDefault="00AF2508">
            <w:pPr>
              <w:pStyle w:val="TableText"/>
              <w:jc w:val="center"/>
            </w:pPr>
            <w:r>
              <w:t>2.3</w:t>
            </w:r>
          </w:p>
        </w:tc>
        <w:tc>
          <w:tcPr>
            <w:tcW w:w="880" w:type="dxa"/>
            <w:gridSpan w:val="2"/>
            <w:tcBorders>
              <w:left w:val="single" w:sz="6" w:space="0" w:color="auto"/>
            </w:tcBorders>
          </w:tcPr>
          <w:p w:rsidR="00AF2508" w:rsidRDefault="00AF2508">
            <w:pPr>
              <w:pStyle w:val="TableText"/>
              <w:jc w:val="center"/>
            </w:pPr>
            <w:r>
              <w:t>3.8</w:t>
            </w:r>
          </w:p>
        </w:tc>
        <w:tc>
          <w:tcPr>
            <w:tcW w:w="840" w:type="dxa"/>
          </w:tcPr>
          <w:p w:rsidR="00AF2508" w:rsidRDefault="00AF2508">
            <w:pPr>
              <w:pStyle w:val="TableText"/>
              <w:jc w:val="center"/>
            </w:pPr>
            <w:r>
              <w:t>3.3</w:t>
            </w:r>
          </w:p>
        </w:tc>
        <w:tc>
          <w:tcPr>
            <w:tcW w:w="900" w:type="dxa"/>
            <w:gridSpan w:val="2"/>
            <w:tcBorders>
              <w:left w:val="single" w:sz="6" w:space="0" w:color="auto"/>
            </w:tcBorders>
          </w:tcPr>
          <w:p w:rsidR="00AF2508" w:rsidRDefault="00AF2508">
            <w:pPr>
              <w:pStyle w:val="TableText"/>
              <w:jc w:val="center"/>
            </w:pPr>
            <w:r>
              <w:t>3.3</w:t>
            </w:r>
          </w:p>
        </w:tc>
        <w:tc>
          <w:tcPr>
            <w:tcW w:w="860" w:type="dxa"/>
          </w:tcPr>
          <w:p w:rsidR="00AF2508" w:rsidRDefault="00AF2508">
            <w:pPr>
              <w:pStyle w:val="TableText"/>
              <w:jc w:val="center"/>
            </w:pPr>
            <w:r>
              <w:t>4.3</w:t>
            </w:r>
          </w:p>
        </w:tc>
      </w:tr>
      <w:tr w:rsidR="00AF2508">
        <w:trPr>
          <w:cantSplit/>
        </w:trPr>
        <w:tc>
          <w:tcPr>
            <w:tcW w:w="2100" w:type="dxa"/>
            <w:tcBorders>
              <w:right w:val="single" w:sz="6" w:space="0" w:color="auto"/>
            </w:tcBorders>
          </w:tcPr>
          <w:p w:rsidR="00AF2508" w:rsidRDefault="00AF2508">
            <w:pPr>
              <w:pStyle w:val="TableText"/>
            </w:pPr>
            <w:r>
              <w:t>190</w:t>
            </w:r>
          </w:p>
        </w:tc>
        <w:tc>
          <w:tcPr>
            <w:tcW w:w="860" w:type="dxa"/>
          </w:tcPr>
          <w:p w:rsidR="00AF2508" w:rsidRDefault="00AF2508">
            <w:pPr>
              <w:pStyle w:val="TableText"/>
              <w:jc w:val="center"/>
            </w:pPr>
            <w:r>
              <w:t>2.2</w:t>
            </w:r>
          </w:p>
        </w:tc>
        <w:tc>
          <w:tcPr>
            <w:tcW w:w="860" w:type="dxa"/>
          </w:tcPr>
          <w:p w:rsidR="00AF2508" w:rsidRDefault="00AF2508">
            <w:pPr>
              <w:pStyle w:val="TableText"/>
              <w:jc w:val="center"/>
            </w:pPr>
            <w:r>
              <w:t>2.2</w:t>
            </w:r>
          </w:p>
        </w:tc>
        <w:tc>
          <w:tcPr>
            <w:tcW w:w="880" w:type="dxa"/>
            <w:gridSpan w:val="2"/>
            <w:tcBorders>
              <w:left w:val="single" w:sz="6" w:space="0" w:color="auto"/>
            </w:tcBorders>
          </w:tcPr>
          <w:p w:rsidR="00AF2508" w:rsidRDefault="00AF2508">
            <w:pPr>
              <w:pStyle w:val="TableText"/>
              <w:jc w:val="center"/>
            </w:pPr>
            <w:r>
              <w:t>3.5</w:t>
            </w:r>
          </w:p>
        </w:tc>
        <w:tc>
          <w:tcPr>
            <w:tcW w:w="840" w:type="dxa"/>
          </w:tcPr>
          <w:p w:rsidR="00AF2508" w:rsidRDefault="00AF2508">
            <w:pPr>
              <w:pStyle w:val="TableText"/>
              <w:jc w:val="center"/>
            </w:pPr>
            <w:r>
              <w:t>3.0</w:t>
            </w:r>
          </w:p>
        </w:tc>
        <w:tc>
          <w:tcPr>
            <w:tcW w:w="900" w:type="dxa"/>
            <w:gridSpan w:val="2"/>
            <w:tcBorders>
              <w:left w:val="single" w:sz="6" w:space="0" w:color="auto"/>
            </w:tcBorders>
          </w:tcPr>
          <w:p w:rsidR="00AF2508" w:rsidRDefault="00AF2508">
            <w:pPr>
              <w:pStyle w:val="TableText"/>
              <w:jc w:val="center"/>
            </w:pPr>
            <w:r>
              <w:t>3.0</w:t>
            </w:r>
          </w:p>
        </w:tc>
        <w:tc>
          <w:tcPr>
            <w:tcW w:w="860" w:type="dxa"/>
          </w:tcPr>
          <w:p w:rsidR="00AF2508" w:rsidRDefault="00AF2508">
            <w:pPr>
              <w:pStyle w:val="TableText"/>
              <w:jc w:val="center"/>
            </w:pPr>
            <w:r>
              <w:t>3.8</w:t>
            </w:r>
          </w:p>
        </w:tc>
      </w:tr>
      <w:tr w:rsidR="00AF2508">
        <w:trPr>
          <w:cantSplit/>
        </w:trPr>
        <w:tc>
          <w:tcPr>
            <w:tcW w:w="2100" w:type="dxa"/>
            <w:tcBorders>
              <w:right w:val="single" w:sz="6" w:space="0" w:color="auto"/>
            </w:tcBorders>
          </w:tcPr>
          <w:p w:rsidR="00AF2508" w:rsidRDefault="00AF2508">
            <w:pPr>
              <w:pStyle w:val="TableText"/>
            </w:pPr>
            <w:r>
              <w:t>200</w:t>
            </w:r>
          </w:p>
        </w:tc>
        <w:tc>
          <w:tcPr>
            <w:tcW w:w="860" w:type="dxa"/>
          </w:tcPr>
          <w:p w:rsidR="00AF2508" w:rsidRDefault="00AF2508">
            <w:pPr>
              <w:pStyle w:val="TableText"/>
              <w:jc w:val="center"/>
            </w:pPr>
            <w:r>
              <w:t>2.1</w:t>
            </w:r>
          </w:p>
        </w:tc>
        <w:tc>
          <w:tcPr>
            <w:tcW w:w="860" w:type="dxa"/>
          </w:tcPr>
          <w:p w:rsidR="00AF2508" w:rsidRDefault="00AF2508">
            <w:pPr>
              <w:pStyle w:val="TableText"/>
              <w:jc w:val="center"/>
            </w:pPr>
            <w:r>
              <w:t>2.1</w:t>
            </w:r>
          </w:p>
        </w:tc>
        <w:tc>
          <w:tcPr>
            <w:tcW w:w="880" w:type="dxa"/>
            <w:gridSpan w:val="2"/>
            <w:tcBorders>
              <w:left w:val="single" w:sz="6" w:space="0" w:color="auto"/>
            </w:tcBorders>
          </w:tcPr>
          <w:p w:rsidR="00AF2508" w:rsidRDefault="00AF2508">
            <w:pPr>
              <w:pStyle w:val="TableText"/>
              <w:jc w:val="center"/>
            </w:pPr>
            <w:r>
              <w:t>3.3</w:t>
            </w:r>
          </w:p>
        </w:tc>
        <w:tc>
          <w:tcPr>
            <w:tcW w:w="840" w:type="dxa"/>
          </w:tcPr>
          <w:p w:rsidR="00AF2508" w:rsidRDefault="00AF2508">
            <w:pPr>
              <w:pStyle w:val="TableText"/>
              <w:jc w:val="center"/>
            </w:pPr>
            <w:r>
              <w:t>2.7</w:t>
            </w:r>
          </w:p>
        </w:tc>
        <w:tc>
          <w:tcPr>
            <w:tcW w:w="900" w:type="dxa"/>
            <w:gridSpan w:val="2"/>
            <w:tcBorders>
              <w:left w:val="single" w:sz="6" w:space="0" w:color="auto"/>
            </w:tcBorders>
          </w:tcPr>
          <w:p w:rsidR="00AF2508" w:rsidRDefault="00AF2508">
            <w:pPr>
              <w:pStyle w:val="TableText"/>
              <w:jc w:val="center"/>
            </w:pPr>
            <w:r>
              <w:t>2.7</w:t>
            </w:r>
          </w:p>
        </w:tc>
        <w:tc>
          <w:tcPr>
            <w:tcW w:w="860" w:type="dxa"/>
          </w:tcPr>
          <w:p w:rsidR="00AF2508" w:rsidRDefault="00AF2508">
            <w:pPr>
              <w:pStyle w:val="TableText"/>
              <w:jc w:val="center"/>
            </w:pPr>
            <w:r>
              <w:t>3.4</w:t>
            </w:r>
          </w:p>
        </w:tc>
      </w:tr>
      <w:tr w:rsidR="00AF2508">
        <w:trPr>
          <w:cantSplit/>
        </w:trPr>
        <w:tc>
          <w:tcPr>
            <w:tcW w:w="2100" w:type="dxa"/>
            <w:tcBorders>
              <w:right w:val="single" w:sz="6" w:space="0" w:color="auto"/>
            </w:tcBorders>
          </w:tcPr>
          <w:p w:rsidR="00AF2508" w:rsidRDefault="00AF2508">
            <w:pPr>
              <w:pStyle w:val="TableText"/>
            </w:pPr>
            <w:r>
              <w:t>210</w:t>
            </w:r>
          </w:p>
        </w:tc>
        <w:tc>
          <w:tcPr>
            <w:tcW w:w="860" w:type="dxa"/>
          </w:tcPr>
          <w:p w:rsidR="00AF2508" w:rsidRDefault="00AF2508">
            <w:pPr>
              <w:pStyle w:val="TableText"/>
              <w:jc w:val="center"/>
            </w:pPr>
            <w:r>
              <w:t>2.0</w:t>
            </w:r>
          </w:p>
        </w:tc>
        <w:tc>
          <w:tcPr>
            <w:tcW w:w="860" w:type="dxa"/>
          </w:tcPr>
          <w:p w:rsidR="00AF2508" w:rsidRDefault="00AF2508">
            <w:pPr>
              <w:pStyle w:val="TableText"/>
              <w:jc w:val="center"/>
            </w:pPr>
            <w:r>
              <w:t>2.0</w:t>
            </w:r>
          </w:p>
        </w:tc>
        <w:tc>
          <w:tcPr>
            <w:tcW w:w="880" w:type="dxa"/>
            <w:gridSpan w:val="2"/>
            <w:tcBorders>
              <w:left w:val="single" w:sz="6" w:space="0" w:color="auto"/>
            </w:tcBorders>
          </w:tcPr>
          <w:p w:rsidR="00AF2508" w:rsidRDefault="00AF2508">
            <w:pPr>
              <w:pStyle w:val="TableText"/>
              <w:jc w:val="center"/>
            </w:pPr>
            <w:r>
              <w:t>3.1</w:t>
            </w:r>
          </w:p>
        </w:tc>
        <w:tc>
          <w:tcPr>
            <w:tcW w:w="840" w:type="dxa"/>
          </w:tcPr>
          <w:p w:rsidR="00AF2508" w:rsidRDefault="00AF2508">
            <w:pPr>
              <w:pStyle w:val="TableText"/>
              <w:jc w:val="center"/>
            </w:pPr>
            <w:r>
              <w:t>2.5</w:t>
            </w:r>
          </w:p>
        </w:tc>
        <w:tc>
          <w:tcPr>
            <w:tcW w:w="900" w:type="dxa"/>
            <w:gridSpan w:val="2"/>
            <w:tcBorders>
              <w:left w:val="single" w:sz="6" w:space="0" w:color="auto"/>
            </w:tcBorders>
          </w:tcPr>
          <w:p w:rsidR="00AF2508" w:rsidRDefault="00AF2508">
            <w:pPr>
              <w:pStyle w:val="TableText"/>
              <w:jc w:val="center"/>
            </w:pPr>
            <w:r>
              <w:t>2.5</w:t>
            </w:r>
          </w:p>
        </w:tc>
        <w:tc>
          <w:tcPr>
            <w:tcW w:w="860" w:type="dxa"/>
          </w:tcPr>
          <w:p w:rsidR="00AF2508" w:rsidRDefault="00AF2508">
            <w:pPr>
              <w:pStyle w:val="TableText"/>
              <w:jc w:val="center"/>
            </w:pPr>
            <w:r>
              <w:t>3.1</w:t>
            </w:r>
          </w:p>
        </w:tc>
      </w:tr>
      <w:tr w:rsidR="00AF2508">
        <w:trPr>
          <w:cantSplit/>
        </w:trPr>
        <w:tc>
          <w:tcPr>
            <w:tcW w:w="2100" w:type="dxa"/>
            <w:tcBorders>
              <w:bottom w:val="single" w:sz="6" w:space="0" w:color="auto"/>
              <w:right w:val="single" w:sz="6" w:space="0" w:color="auto"/>
            </w:tcBorders>
          </w:tcPr>
          <w:p w:rsidR="00AF2508" w:rsidRDefault="00AF2508">
            <w:pPr>
              <w:pStyle w:val="TableText"/>
            </w:pPr>
            <w:r>
              <w:t>220</w:t>
            </w:r>
          </w:p>
        </w:tc>
        <w:tc>
          <w:tcPr>
            <w:tcW w:w="860" w:type="dxa"/>
            <w:tcBorders>
              <w:bottom w:val="single" w:sz="6" w:space="0" w:color="auto"/>
            </w:tcBorders>
          </w:tcPr>
          <w:p w:rsidR="00AF2508" w:rsidRDefault="00AF2508">
            <w:pPr>
              <w:pStyle w:val="TableText"/>
              <w:jc w:val="center"/>
            </w:pPr>
            <w:r>
              <w:t>1.9</w:t>
            </w:r>
          </w:p>
        </w:tc>
        <w:tc>
          <w:tcPr>
            <w:tcW w:w="860" w:type="dxa"/>
            <w:tcBorders>
              <w:bottom w:val="single" w:sz="6" w:space="0" w:color="auto"/>
            </w:tcBorders>
          </w:tcPr>
          <w:p w:rsidR="00AF2508" w:rsidRDefault="00AF2508">
            <w:pPr>
              <w:pStyle w:val="TableText"/>
              <w:jc w:val="center"/>
            </w:pPr>
            <w:r>
              <w:t>1.9</w:t>
            </w:r>
          </w:p>
        </w:tc>
        <w:tc>
          <w:tcPr>
            <w:tcW w:w="880" w:type="dxa"/>
            <w:gridSpan w:val="2"/>
            <w:tcBorders>
              <w:left w:val="single" w:sz="6" w:space="0" w:color="auto"/>
              <w:bottom w:val="single" w:sz="6" w:space="0" w:color="auto"/>
            </w:tcBorders>
          </w:tcPr>
          <w:p w:rsidR="00AF2508" w:rsidRDefault="00AF2508">
            <w:pPr>
              <w:pStyle w:val="TableText"/>
              <w:jc w:val="center"/>
            </w:pPr>
            <w:r>
              <w:t>2.9</w:t>
            </w:r>
          </w:p>
        </w:tc>
        <w:tc>
          <w:tcPr>
            <w:tcW w:w="840" w:type="dxa"/>
            <w:tcBorders>
              <w:bottom w:val="single" w:sz="6" w:space="0" w:color="auto"/>
            </w:tcBorders>
          </w:tcPr>
          <w:p w:rsidR="00AF2508" w:rsidRDefault="00AF2508">
            <w:pPr>
              <w:pStyle w:val="TableText"/>
              <w:jc w:val="center"/>
            </w:pPr>
            <w:r>
              <w:t>2.4</w:t>
            </w:r>
          </w:p>
        </w:tc>
        <w:tc>
          <w:tcPr>
            <w:tcW w:w="900" w:type="dxa"/>
            <w:gridSpan w:val="2"/>
            <w:tcBorders>
              <w:left w:val="single" w:sz="6" w:space="0" w:color="auto"/>
              <w:bottom w:val="single" w:sz="6" w:space="0" w:color="auto"/>
            </w:tcBorders>
          </w:tcPr>
          <w:p w:rsidR="00AF2508" w:rsidRDefault="00AF2508">
            <w:pPr>
              <w:pStyle w:val="TableText"/>
              <w:jc w:val="center"/>
            </w:pPr>
            <w:r>
              <w:t>2.4</w:t>
            </w:r>
          </w:p>
        </w:tc>
        <w:tc>
          <w:tcPr>
            <w:tcW w:w="860" w:type="dxa"/>
            <w:tcBorders>
              <w:bottom w:val="single" w:sz="6" w:space="0" w:color="auto"/>
            </w:tcBorders>
          </w:tcPr>
          <w:p w:rsidR="00AF2508" w:rsidRDefault="00AF2508">
            <w:pPr>
              <w:pStyle w:val="TableText"/>
              <w:jc w:val="center"/>
            </w:pPr>
            <w:r>
              <w:t>2.9</w:t>
            </w:r>
          </w:p>
        </w:tc>
      </w:tr>
    </w:tbl>
    <w:p w:rsidR="00AF2508" w:rsidRDefault="00AF2508">
      <w:pPr>
        <w:pStyle w:val="Amain"/>
        <w:ind w:left="228" w:hanging="312"/>
        <w:rPr>
          <w:color w:val="000000"/>
          <w:sz w:val="20"/>
        </w:rPr>
      </w:pPr>
      <w:r>
        <w:rPr>
          <w:color w:val="000000"/>
          <w:sz w:val="20"/>
        </w:rPr>
        <w:t>*</w:t>
      </w:r>
      <w:r>
        <w:rPr>
          <w:color w:val="000000"/>
          <w:sz w:val="20"/>
        </w:rPr>
        <w:tab/>
        <w:t>Mild steel conforming to Australian Standard Specification No A1—1940, ‘Rolled Steel Sections for Structural Purposes’.  Column ‘B’ is applicable to members of angle, tee or tube section, and to members of latticed, battened or other framed construction.</w:t>
      </w:r>
    </w:p>
    <w:p w:rsidR="00AF2508" w:rsidRDefault="00AF2508">
      <w:pPr>
        <w:pStyle w:val="Amain"/>
        <w:ind w:left="228" w:hanging="312"/>
        <w:rPr>
          <w:color w:val="000000"/>
          <w:sz w:val="20"/>
        </w:rPr>
      </w:pPr>
      <w:r>
        <w:rPr>
          <w:color w:val="000000"/>
          <w:sz w:val="20"/>
        </w:rPr>
        <w:tab/>
        <w:t>Permissible stresses for intermediate ratios of slenderness should be interpolated.</w:t>
      </w:r>
    </w:p>
    <w:p w:rsidR="00AF2508" w:rsidRDefault="00AF2508"/>
    <w:p w:rsidR="00AF2508" w:rsidRDefault="00AF2508">
      <w:pPr>
        <w:pStyle w:val="TableHd"/>
      </w:pPr>
      <w:r>
        <w:t>Table 126.6</w:t>
      </w:r>
      <w:r>
        <w:tab/>
        <w:t>Maximum stresses permissible in high tensile* steel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2100"/>
        <w:gridCol w:w="860"/>
        <w:gridCol w:w="860"/>
        <w:gridCol w:w="860"/>
        <w:gridCol w:w="20"/>
        <w:gridCol w:w="840"/>
        <w:gridCol w:w="840"/>
        <w:gridCol w:w="40"/>
        <w:gridCol w:w="880"/>
      </w:tblGrid>
      <w:tr w:rsidR="00AF2508">
        <w:trPr>
          <w:cantSplit/>
          <w:tblHeader/>
        </w:trPr>
        <w:tc>
          <w:tcPr>
            <w:tcW w:w="2100" w:type="dxa"/>
            <w:tcBorders>
              <w:top w:val="single" w:sz="6" w:space="0" w:color="auto"/>
              <w:right w:val="single" w:sz="6" w:space="0" w:color="auto"/>
            </w:tcBorders>
          </w:tcPr>
          <w:p w:rsidR="00AF2508" w:rsidRDefault="00AF2508">
            <w:pPr>
              <w:pStyle w:val="TableColHd"/>
            </w:pPr>
          </w:p>
        </w:tc>
        <w:tc>
          <w:tcPr>
            <w:tcW w:w="5200" w:type="dxa"/>
            <w:gridSpan w:val="8"/>
            <w:tcBorders>
              <w:top w:val="single" w:sz="6" w:space="0" w:color="auto"/>
            </w:tcBorders>
          </w:tcPr>
          <w:p w:rsidR="00AF2508" w:rsidRDefault="00AF2508">
            <w:pPr>
              <w:pStyle w:val="TableColHd"/>
              <w:jc w:val="center"/>
            </w:pPr>
            <w:r>
              <w:t>maximum permissible stress in t/in</w:t>
            </w:r>
            <w:r>
              <w:rPr>
                <w:vertAlign w:val="superscript"/>
              </w:rPr>
              <w:t>2</w:t>
            </w:r>
          </w:p>
        </w:tc>
      </w:tr>
      <w:tr w:rsidR="00AF2508">
        <w:trPr>
          <w:cantSplit/>
          <w:tblHeader/>
        </w:trPr>
        <w:tc>
          <w:tcPr>
            <w:tcW w:w="2100" w:type="dxa"/>
            <w:vMerge w:val="restart"/>
            <w:tcBorders>
              <w:right w:val="single" w:sz="6" w:space="0" w:color="auto"/>
            </w:tcBorders>
          </w:tcPr>
          <w:p w:rsidR="00AF2508" w:rsidRDefault="00AF2508">
            <w:pPr>
              <w:pStyle w:val="TableColHd"/>
            </w:pPr>
            <w:r>
              <w:t>ratio of slenderness</w:t>
            </w:r>
          </w:p>
        </w:tc>
        <w:tc>
          <w:tcPr>
            <w:tcW w:w="1720" w:type="dxa"/>
            <w:gridSpan w:val="2"/>
            <w:tcBorders>
              <w:top w:val="single" w:sz="6" w:space="0" w:color="auto"/>
              <w:bottom w:val="single" w:sz="6" w:space="0" w:color="auto"/>
            </w:tcBorders>
          </w:tcPr>
          <w:p w:rsidR="00AF2508" w:rsidRDefault="00AF2508">
            <w:pPr>
              <w:pStyle w:val="TableColHd"/>
              <w:rPr>
                <w:sz w:val="16"/>
              </w:rPr>
            </w:pPr>
            <w:r>
              <w:rPr>
                <w:sz w:val="16"/>
              </w:rPr>
              <w:t>members having both ends hinged</w:t>
            </w:r>
          </w:p>
        </w:tc>
        <w:tc>
          <w:tcPr>
            <w:tcW w:w="1720"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ColHd"/>
              <w:rPr>
                <w:sz w:val="16"/>
              </w:rPr>
            </w:pPr>
            <w:r>
              <w:rPr>
                <w:sz w:val="16"/>
              </w:rPr>
              <w:t>members having 1 end fixed and 1 end hinged</w:t>
            </w:r>
          </w:p>
        </w:tc>
        <w:tc>
          <w:tcPr>
            <w:tcW w:w="1760" w:type="dxa"/>
            <w:gridSpan w:val="3"/>
            <w:tcBorders>
              <w:top w:val="single" w:sz="6" w:space="0" w:color="auto"/>
              <w:bottom w:val="single" w:sz="6" w:space="0" w:color="auto"/>
            </w:tcBorders>
          </w:tcPr>
          <w:p w:rsidR="00AF2508" w:rsidRDefault="00AF2508">
            <w:pPr>
              <w:pStyle w:val="TableColHd"/>
              <w:rPr>
                <w:sz w:val="16"/>
              </w:rPr>
            </w:pPr>
            <w:r>
              <w:rPr>
                <w:sz w:val="16"/>
              </w:rPr>
              <w:t>members having both ends fixed</w:t>
            </w:r>
          </w:p>
        </w:tc>
      </w:tr>
      <w:tr w:rsidR="00AF2508">
        <w:trPr>
          <w:cantSplit/>
          <w:tblHeader/>
        </w:trPr>
        <w:tc>
          <w:tcPr>
            <w:tcW w:w="2100" w:type="dxa"/>
            <w:vMerge/>
            <w:tcBorders>
              <w:bottom w:val="single" w:sz="6" w:space="0" w:color="auto"/>
              <w:right w:val="single" w:sz="6" w:space="0" w:color="auto"/>
            </w:tcBorders>
          </w:tcPr>
          <w:p w:rsidR="00AF2508" w:rsidRDefault="00AF2508">
            <w:pPr>
              <w:pStyle w:val="TableColHd"/>
            </w:pPr>
          </w:p>
        </w:tc>
        <w:tc>
          <w:tcPr>
            <w:tcW w:w="860" w:type="dxa"/>
            <w:tcBorders>
              <w:top w:val="single" w:sz="6" w:space="0" w:color="auto"/>
              <w:bottom w:val="single" w:sz="6" w:space="0" w:color="auto"/>
            </w:tcBorders>
          </w:tcPr>
          <w:p w:rsidR="00AF2508" w:rsidRDefault="00AF2508">
            <w:pPr>
              <w:pStyle w:val="TableColHd"/>
              <w:tabs>
                <w:tab w:val="left" w:pos="1140"/>
              </w:tabs>
              <w:ind w:left="300" w:hanging="300"/>
              <w:jc w:val="center"/>
            </w:pPr>
            <w:r>
              <w:t>A</w:t>
            </w:r>
          </w:p>
        </w:tc>
        <w:tc>
          <w:tcPr>
            <w:tcW w:w="860" w:type="dxa"/>
            <w:tcBorders>
              <w:top w:val="single" w:sz="6" w:space="0" w:color="auto"/>
              <w:bottom w:val="single" w:sz="6" w:space="0" w:color="auto"/>
            </w:tcBorders>
          </w:tcPr>
          <w:p w:rsidR="00AF2508" w:rsidRDefault="00AF2508">
            <w:pPr>
              <w:pStyle w:val="TableColHd"/>
              <w:tabs>
                <w:tab w:val="left" w:pos="1140"/>
              </w:tabs>
              <w:ind w:left="300" w:hanging="300"/>
              <w:jc w:val="center"/>
            </w:pPr>
            <w:r>
              <w:t>B</w:t>
            </w:r>
          </w:p>
        </w:tc>
        <w:tc>
          <w:tcPr>
            <w:tcW w:w="860" w:type="dxa"/>
            <w:tcBorders>
              <w:top w:val="single" w:sz="6" w:space="0" w:color="auto"/>
              <w:left w:val="single" w:sz="6" w:space="0" w:color="auto"/>
              <w:bottom w:val="single" w:sz="6" w:space="0" w:color="auto"/>
              <w:right w:val="single" w:sz="6" w:space="0" w:color="auto"/>
            </w:tcBorders>
          </w:tcPr>
          <w:p w:rsidR="00AF2508" w:rsidRDefault="00AF2508">
            <w:pPr>
              <w:pStyle w:val="TableColHd"/>
              <w:jc w:val="center"/>
            </w:pPr>
            <w:r>
              <w:t>A</w:t>
            </w:r>
          </w:p>
        </w:tc>
        <w:tc>
          <w:tcPr>
            <w:tcW w:w="86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ColHd"/>
              <w:jc w:val="center"/>
            </w:pPr>
            <w:r>
              <w:t>B</w:t>
            </w:r>
          </w:p>
        </w:tc>
        <w:tc>
          <w:tcPr>
            <w:tcW w:w="880" w:type="dxa"/>
            <w:gridSpan w:val="2"/>
            <w:tcBorders>
              <w:top w:val="single" w:sz="6" w:space="0" w:color="auto"/>
              <w:bottom w:val="single" w:sz="6" w:space="0" w:color="auto"/>
            </w:tcBorders>
          </w:tcPr>
          <w:p w:rsidR="00AF2508" w:rsidRDefault="00AF2508">
            <w:pPr>
              <w:pStyle w:val="TableColHd"/>
              <w:jc w:val="center"/>
            </w:pPr>
            <w:r>
              <w:t>A</w:t>
            </w:r>
          </w:p>
        </w:tc>
        <w:tc>
          <w:tcPr>
            <w:tcW w:w="880" w:type="dxa"/>
            <w:tcBorders>
              <w:top w:val="single" w:sz="6" w:space="0" w:color="auto"/>
              <w:bottom w:val="single" w:sz="6" w:space="0" w:color="auto"/>
            </w:tcBorders>
          </w:tcPr>
          <w:p w:rsidR="00AF2508" w:rsidRDefault="00AF2508">
            <w:pPr>
              <w:pStyle w:val="TableColHd"/>
              <w:jc w:val="center"/>
            </w:pPr>
            <w:r>
              <w:t>B</w:t>
            </w:r>
          </w:p>
        </w:tc>
      </w:tr>
      <w:tr w:rsidR="00AF2508">
        <w:trPr>
          <w:cantSplit/>
        </w:trPr>
        <w:tc>
          <w:tcPr>
            <w:tcW w:w="2100" w:type="dxa"/>
            <w:tcBorders>
              <w:right w:val="single" w:sz="6" w:space="0" w:color="auto"/>
            </w:tcBorders>
          </w:tcPr>
          <w:p w:rsidR="00AF2508" w:rsidRDefault="00AF2508">
            <w:pPr>
              <w:pStyle w:val="TableText"/>
            </w:pPr>
            <w:r>
              <w:t>10</w:t>
            </w:r>
          </w:p>
        </w:tc>
        <w:tc>
          <w:tcPr>
            <w:tcW w:w="860" w:type="dxa"/>
          </w:tcPr>
          <w:p w:rsidR="00AF2508" w:rsidRDefault="00AF2508">
            <w:pPr>
              <w:pStyle w:val="TableText"/>
              <w:jc w:val="center"/>
            </w:pPr>
            <w:r>
              <w:t>17.9</w:t>
            </w:r>
          </w:p>
        </w:tc>
        <w:tc>
          <w:tcPr>
            <w:tcW w:w="860" w:type="dxa"/>
          </w:tcPr>
          <w:p w:rsidR="00AF2508" w:rsidRDefault="00AF2508">
            <w:pPr>
              <w:pStyle w:val="TableText"/>
              <w:jc w:val="center"/>
            </w:pPr>
            <w:r>
              <w:t>13.7</w:t>
            </w:r>
          </w:p>
        </w:tc>
        <w:tc>
          <w:tcPr>
            <w:tcW w:w="880" w:type="dxa"/>
            <w:gridSpan w:val="2"/>
            <w:tcBorders>
              <w:left w:val="single" w:sz="6" w:space="0" w:color="auto"/>
            </w:tcBorders>
          </w:tcPr>
          <w:p w:rsidR="00AF2508" w:rsidRDefault="00AF2508">
            <w:pPr>
              <w:pStyle w:val="TableText"/>
              <w:jc w:val="center"/>
            </w:pPr>
            <w:r>
              <w:t>18.0</w:t>
            </w:r>
          </w:p>
        </w:tc>
        <w:tc>
          <w:tcPr>
            <w:tcW w:w="840" w:type="dxa"/>
          </w:tcPr>
          <w:p w:rsidR="00AF2508" w:rsidRDefault="00AF2508">
            <w:pPr>
              <w:pStyle w:val="TableText"/>
              <w:jc w:val="center"/>
            </w:pPr>
            <w:r>
              <w:t>16.0</w:t>
            </w:r>
          </w:p>
        </w:tc>
        <w:tc>
          <w:tcPr>
            <w:tcW w:w="840" w:type="dxa"/>
            <w:tcBorders>
              <w:left w:val="single" w:sz="6" w:space="0" w:color="auto"/>
            </w:tcBorders>
          </w:tcPr>
          <w:p w:rsidR="00AF2508" w:rsidRDefault="00AF2508">
            <w:pPr>
              <w:pStyle w:val="TableText"/>
              <w:jc w:val="center"/>
            </w:pPr>
            <w:r>
              <w:t>18.2</w:t>
            </w:r>
          </w:p>
        </w:tc>
        <w:tc>
          <w:tcPr>
            <w:tcW w:w="920" w:type="dxa"/>
            <w:gridSpan w:val="2"/>
          </w:tcPr>
          <w:p w:rsidR="00AF2508" w:rsidRDefault="00AF2508">
            <w:pPr>
              <w:pStyle w:val="TableText"/>
              <w:jc w:val="center"/>
            </w:pPr>
            <w:r>
              <w:t>18.2</w:t>
            </w:r>
          </w:p>
        </w:tc>
      </w:tr>
      <w:tr w:rsidR="00AF2508">
        <w:trPr>
          <w:cantSplit/>
        </w:trPr>
        <w:tc>
          <w:tcPr>
            <w:tcW w:w="2100" w:type="dxa"/>
            <w:tcBorders>
              <w:right w:val="single" w:sz="6" w:space="0" w:color="auto"/>
            </w:tcBorders>
          </w:tcPr>
          <w:p w:rsidR="00AF2508" w:rsidRDefault="00AF2508">
            <w:pPr>
              <w:pStyle w:val="TableText"/>
            </w:pPr>
            <w:r>
              <w:t>20</w:t>
            </w:r>
          </w:p>
        </w:tc>
        <w:tc>
          <w:tcPr>
            <w:tcW w:w="860" w:type="dxa"/>
          </w:tcPr>
          <w:p w:rsidR="00AF2508" w:rsidRDefault="00AF2508">
            <w:pPr>
              <w:pStyle w:val="TableText"/>
              <w:jc w:val="center"/>
            </w:pPr>
            <w:r>
              <w:t>17.6</w:t>
            </w:r>
          </w:p>
        </w:tc>
        <w:tc>
          <w:tcPr>
            <w:tcW w:w="860" w:type="dxa"/>
          </w:tcPr>
          <w:p w:rsidR="00AF2508" w:rsidRDefault="00AF2508">
            <w:pPr>
              <w:pStyle w:val="TableText"/>
              <w:jc w:val="center"/>
            </w:pPr>
            <w:r>
              <w:t>13.6</w:t>
            </w:r>
          </w:p>
        </w:tc>
        <w:tc>
          <w:tcPr>
            <w:tcW w:w="880" w:type="dxa"/>
            <w:gridSpan w:val="2"/>
            <w:tcBorders>
              <w:left w:val="single" w:sz="6" w:space="0" w:color="auto"/>
            </w:tcBorders>
          </w:tcPr>
          <w:p w:rsidR="00AF2508" w:rsidRDefault="00AF2508">
            <w:pPr>
              <w:pStyle w:val="TableText"/>
              <w:jc w:val="center"/>
            </w:pPr>
            <w:r>
              <w:t>17.8</w:t>
            </w:r>
          </w:p>
        </w:tc>
        <w:tc>
          <w:tcPr>
            <w:tcW w:w="840" w:type="dxa"/>
          </w:tcPr>
          <w:p w:rsidR="00AF2508" w:rsidRDefault="00AF2508">
            <w:pPr>
              <w:pStyle w:val="TableText"/>
              <w:jc w:val="center"/>
            </w:pPr>
            <w:r>
              <w:t>15.9</w:t>
            </w:r>
          </w:p>
        </w:tc>
        <w:tc>
          <w:tcPr>
            <w:tcW w:w="840" w:type="dxa"/>
            <w:tcBorders>
              <w:left w:val="single" w:sz="6" w:space="0" w:color="auto"/>
            </w:tcBorders>
          </w:tcPr>
          <w:p w:rsidR="00AF2508" w:rsidRDefault="00AF2508">
            <w:pPr>
              <w:pStyle w:val="TableText"/>
              <w:jc w:val="center"/>
            </w:pPr>
            <w:r>
              <w:t>18.1</w:t>
            </w:r>
          </w:p>
        </w:tc>
        <w:tc>
          <w:tcPr>
            <w:tcW w:w="920" w:type="dxa"/>
            <w:gridSpan w:val="2"/>
          </w:tcPr>
          <w:p w:rsidR="00AF2508" w:rsidRDefault="00AF2508">
            <w:pPr>
              <w:pStyle w:val="TableText"/>
              <w:jc w:val="center"/>
            </w:pPr>
            <w:r>
              <w:t>18.1</w:t>
            </w:r>
          </w:p>
        </w:tc>
      </w:tr>
      <w:tr w:rsidR="00AF2508">
        <w:trPr>
          <w:cantSplit/>
        </w:trPr>
        <w:tc>
          <w:tcPr>
            <w:tcW w:w="2100" w:type="dxa"/>
            <w:tcBorders>
              <w:right w:val="single" w:sz="6" w:space="0" w:color="auto"/>
            </w:tcBorders>
          </w:tcPr>
          <w:p w:rsidR="00AF2508" w:rsidRDefault="00AF2508">
            <w:pPr>
              <w:pStyle w:val="TableText"/>
            </w:pPr>
            <w:r>
              <w:t>30</w:t>
            </w:r>
          </w:p>
        </w:tc>
        <w:tc>
          <w:tcPr>
            <w:tcW w:w="860" w:type="dxa"/>
          </w:tcPr>
          <w:p w:rsidR="00AF2508" w:rsidRDefault="00AF2508">
            <w:pPr>
              <w:pStyle w:val="TableText"/>
              <w:jc w:val="center"/>
            </w:pPr>
            <w:r>
              <w:t>16.9</w:t>
            </w:r>
          </w:p>
        </w:tc>
        <w:tc>
          <w:tcPr>
            <w:tcW w:w="860" w:type="dxa"/>
          </w:tcPr>
          <w:p w:rsidR="00AF2508" w:rsidRDefault="00AF2508">
            <w:pPr>
              <w:pStyle w:val="TableText"/>
              <w:jc w:val="center"/>
            </w:pPr>
            <w:r>
              <w:t>13.5</w:t>
            </w:r>
          </w:p>
        </w:tc>
        <w:tc>
          <w:tcPr>
            <w:tcW w:w="880" w:type="dxa"/>
            <w:gridSpan w:val="2"/>
            <w:tcBorders>
              <w:left w:val="single" w:sz="6" w:space="0" w:color="auto"/>
            </w:tcBorders>
          </w:tcPr>
          <w:p w:rsidR="00AF2508" w:rsidRDefault="00AF2508">
            <w:pPr>
              <w:pStyle w:val="TableText"/>
              <w:jc w:val="center"/>
            </w:pPr>
            <w:r>
              <w:t>17.4</w:t>
            </w:r>
          </w:p>
        </w:tc>
        <w:tc>
          <w:tcPr>
            <w:tcW w:w="840" w:type="dxa"/>
          </w:tcPr>
          <w:p w:rsidR="00AF2508" w:rsidRDefault="00AF2508">
            <w:pPr>
              <w:pStyle w:val="TableText"/>
              <w:jc w:val="center"/>
            </w:pPr>
            <w:r>
              <w:t>15.7</w:t>
            </w:r>
          </w:p>
        </w:tc>
        <w:tc>
          <w:tcPr>
            <w:tcW w:w="840" w:type="dxa"/>
            <w:tcBorders>
              <w:left w:val="single" w:sz="6" w:space="0" w:color="auto"/>
            </w:tcBorders>
          </w:tcPr>
          <w:p w:rsidR="00AF2508" w:rsidRDefault="00AF2508">
            <w:pPr>
              <w:pStyle w:val="TableText"/>
              <w:jc w:val="center"/>
            </w:pPr>
            <w:r>
              <w:t>17.9</w:t>
            </w:r>
          </w:p>
        </w:tc>
        <w:tc>
          <w:tcPr>
            <w:tcW w:w="920" w:type="dxa"/>
            <w:gridSpan w:val="2"/>
          </w:tcPr>
          <w:p w:rsidR="00AF2508" w:rsidRDefault="00AF2508">
            <w:pPr>
              <w:pStyle w:val="TableText"/>
              <w:jc w:val="center"/>
            </w:pPr>
            <w:r>
              <w:t>17.9</w:t>
            </w:r>
          </w:p>
        </w:tc>
      </w:tr>
      <w:tr w:rsidR="00AF2508">
        <w:trPr>
          <w:cantSplit/>
        </w:trPr>
        <w:tc>
          <w:tcPr>
            <w:tcW w:w="2100" w:type="dxa"/>
            <w:tcBorders>
              <w:right w:val="single" w:sz="6" w:space="0" w:color="auto"/>
            </w:tcBorders>
          </w:tcPr>
          <w:p w:rsidR="00AF2508" w:rsidRDefault="00AF2508">
            <w:pPr>
              <w:pStyle w:val="TableText"/>
            </w:pPr>
            <w:r>
              <w:t>40</w:t>
            </w:r>
          </w:p>
        </w:tc>
        <w:tc>
          <w:tcPr>
            <w:tcW w:w="860" w:type="dxa"/>
          </w:tcPr>
          <w:p w:rsidR="00AF2508" w:rsidRDefault="00AF2508">
            <w:pPr>
              <w:pStyle w:val="TableText"/>
              <w:jc w:val="center"/>
            </w:pPr>
            <w:r>
              <w:t>16.0</w:t>
            </w:r>
          </w:p>
        </w:tc>
        <w:tc>
          <w:tcPr>
            <w:tcW w:w="860" w:type="dxa"/>
          </w:tcPr>
          <w:p w:rsidR="00AF2508" w:rsidRDefault="00AF2508">
            <w:pPr>
              <w:pStyle w:val="TableText"/>
              <w:jc w:val="center"/>
            </w:pPr>
            <w:r>
              <w:t>13.1</w:t>
            </w:r>
          </w:p>
        </w:tc>
        <w:tc>
          <w:tcPr>
            <w:tcW w:w="880" w:type="dxa"/>
            <w:gridSpan w:val="2"/>
            <w:tcBorders>
              <w:left w:val="single" w:sz="6" w:space="0" w:color="auto"/>
            </w:tcBorders>
          </w:tcPr>
          <w:p w:rsidR="00AF2508" w:rsidRDefault="00AF2508">
            <w:pPr>
              <w:pStyle w:val="TableText"/>
              <w:jc w:val="center"/>
            </w:pPr>
            <w:r>
              <w:t>16.7</w:t>
            </w:r>
          </w:p>
        </w:tc>
        <w:tc>
          <w:tcPr>
            <w:tcW w:w="840" w:type="dxa"/>
          </w:tcPr>
          <w:p w:rsidR="00AF2508" w:rsidRDefault="00AF2508">
            <w:pPr>
              <w:pStyle w:val="TableText"/>
              <w:jc w:val="center"/>
            </w:pPr>
            <w:r>
              <w:t>15.4</w:t>
            </w:r>
          </w:p>
        </w:tc>
        <w:tc>
          <w:tcPr>
            <w:tcW w:w="840" w:type="dxa"/>
            <w:tcBorders>
              <w:left w:val="single" w:sz="6" w:space="0" w:color="auto"/>
            </w:tcBorders>
          </w:tcPr>
          <w:p w:rsidR="00AF2508" w:rsidRDefault="00AF2508">
            <w:pPr>
              <w:pStyle w:val="TableText"/>
              <w:jc w:val="center"/>
            </w:pPr>
            <w:r>
              <w:t>17.5</w:t>
            </w:r>
          </w:p>
        </w:tc>
        <w:tc>
          <w:tcPr>
            <w:tcW w:w="920" w:type="dxa"/>
            <w:gridSpan w:val="2"/>
          </w:tcPr>
          <w:p w:rsidR="00AF2508" w:rsidRDefault="00AF2508">
            <w:pPr>
              <w:pStyle w:val="TableText"/>
              <w:jc w:val="center"/>
            </w:pPr>
            <w:r>
              <w:t>17.5</w:t>
            </w:r>
          </w:p>
        </w:tc>
      </w:tr>
      <w:tr w:rsidR="00AF2508">
        <w:trPr>
          <w:cantSplit/>
        </w:trPr>
        <w:tc>
          <w:tcPr>
            <w:tcW w:w="2100" w:type="dxa"/>
            <w:tcBorders>
              <w:right w:val="single" w:sz="6" w:space="0" w:color="auto"/>
            </w:tcBorders>
          </w:tcPr>
          <w:p w:rsidR="00AF2508" w:rsidRDefault="00AF2508">
            <w:pPr>
              <w:pStyle w:val="TableText"/>
            </w:pPr>
            <w:r>
              <w:t>50</w:t>
            </w:r>
          </w:p>
        </w:tc>
        <w:tc>
          <w:tcPr>
            <w:tcW w:w="860" w:type="dxa"/>
          </w:tcPr>
          <w:p w:rsidR="00AF2508" w:rsidRDefault="00AF2508">
            <w:pPr>
              <w:pStyle w:val="TableText"/>
              <w:jc w:val="center"/>
            </w:pPr>
            <w:r>
              <w:t>14.7</w:t>
            </w:r>
          </w:p>
        </w:tc>
        <w:tc>
          <w:tcPr>
            <w:tcW w:w="860" w:type="dxa"/>
          </w:tcPr>
          <w:p w:rsidR="00AF2508" w:rsidRDefault="00AF2508">
            <w:pPr>
              <w:pStyle w:val="TableText"/>
              <w:jc w:val="center"/>
            </w:pPr>
            <w:r>
              <w:t>12.5</w:t>
            </w:r>
          </w:p>
        </w:tc>
        <w:tc>
          <w:tcPr>
            <w:tcW w:w="880" w:type="dxa"/>
            <w:gridSpan w:val="2"/>
            <w:tcBorders>
              <w:left w:val="single" w:sz="6" w:space="0" w:color="auto"/>
            </w:tcBorders>
          </w:tcPr>
          <w:p w:rsidR="00AF2508" w:rsidRDefault="00AF2508">
            <w:pPr>
              <w:pStyle w:val="TableText"/>
              <w:jc w:val="center"/>
            </w:pPr>
            <w:r>
              <w:t>15.8</w:t>
            </w:r>
          </w:p>
        </w:tc>
        <w:tc>
          <w:tcPr>
            <w:tcW w:w="840" w:type="dxa"/>
          </w:tcPr>
          <w:p w:rsidR="00AF2508" w:rsidRDefault="00AF2508">
            <w:pPr>
              <w:pStyle w:val="TableText"/>
              <w:jc w:val="center"/>
            </w:pPr>
            <w:r>
              <w:t>14.7</w:t>
            </w:r>
          </w:p>
        </w:tc>
        <w:tc>
          <w:tcPr>
            <w:tcW w:w="840" w:type="dxa"/>
            <w:tcBorders>
              <w:left w:val="single" w:sz="6" w:space="0" w:color="auto"/>
            </w:tcBorders>
          </w:tcPr>
          <w:p w:rsidR="00AF2508" w:rsidRDefault="00AF2508">
            <w:pPr>
              <w:pStyle w:val="TableText"/>
              <w:jc w:val="center"/>
            </w:pPr>
            <w:r>
              <w:t>17.0</w:t>
            </w:r>
          </w:p>
        </w:tc>
        <w:tc>
          <w:tcPr>
            <w:tcW w:w="920" w:type="dxa"/>
            <w:gridSpan w:val="2"/>
          </w:tcPr>
          <w:p w:rsidR="00AF2508" w:rsidRDefault="00AF2508">
            <w:pPr>
              <w:pStyle w:val="TableText"/>
              <w:jc w:val="center"/>
            </w:pPr>
            <w:r>
              <w:t>17.0</w:t>
            </w:r>
          </w:p>
        </w:tc>
      </w:tr>
      <w:tr w:rsidR="00AF2508">
        <w:trPr>
          <w:cantSplit/>
        </w:trPr>
        <w:tc>
          <w:tcPr>
            <w:tcW w:w="2100" w:type="dxa"/>
            <w:tcBorders>
              <w:right w:val="single" w:sz="6" w:space="0" w:color="auto"/>
            </w:tcBorders>
          </w:tcPr>
          <w:p w:rsidR="00AF2508" w:rsidRDefault="00AF2508">
            <w:pPr>
              <w:pStyle w:val="TableText"/>
            </w:pPr>
            <w:r>
              <w:t>60</w:t>
            </w:r>
          </w:p>
        </w:tc>
        <w:tc>
          <w:tcPr>
            <w:tcW w:w="860" w:type="dxa"/>
          </w:tcPr>
          <w:p w:rsidR="00AF2508" w:rsidRDefault="00AF2508">
            <w:pPr>
              <w:pStyle w:val="TableText"/>
              <w:jc w:val="center"/>
            </w:pPr>
            <w:r>
              <w:t>12.8</w:t>
            </w:r>
          </w:p>
        </w:tc>
        <w:tc>
          <w:tcPr>
            <w:tcW w:w="860" w:type="dxa"/>
          </w:tcPr>
          <w:p w:rsidR="00AF2508" w:rsidRDefault="00AF2508">
            <w:pPr>
              <w:pStyle w:val="TableText"/>
              <w:jc w:val="center"/>
            </w:pPr>
            <w:r>
              <w:t>11.5</w:t>
            </w:r>
          </w:p>
        </w:tc>
        <w:tc>
          <w:tcPr>
            <w:tcW w:w="880" w:type="dxa"/>
            <w:gridSpan w:val="2"/>
            <w:tcBorders>
              <w:left w:val="single" w:sz="6" w:space="0" w:color="auto"/>
            </w:tcBorders>
          </w:tcPr>
          <w:p w:rsidR="00AF2508" w:rsidRDefault="00AF2508">
            <w:pPr>
              <w:pStyle w:val="TableText"/>
              <w:jc w:val="center"/>
            </w:pPr>
            <w:r>
              <w:t>14.4</w:t>
            </w:r>
          </w:p>
        </w:tc>
        <w:tc>
          <w:tcPr>
            <w:tcW w:w="840" w:type="dxa"/>
          </w:tcPr>
          <w:p w:rsidR="00AF2508" w:rsidRDefault="00AF2508">
            <w:pPr>
              <w:pStyle w:val="TableText"/>
              <w:jc w:val="center"/>
            </w:pPr>
            <w:r>
              <w:t>13.8</w:t>
            </w:r>
          </w:p>
        </w:tc>
        <w:tc>
          <w:tcPr>
            <w:tcW w:w="840" w:type="dxa"/>
            <w:tcBorders>
              <w:left w:val="single" w:sz="6" w:space="0" w:color="auto"/>
            </w:tcBorders>
          </w:tcPr>
          <w:p w:rsidR="00AF2508" w:rsidRDefault="00AF2508">
            <w:pPr>
              <w:pStyle w:val="TableText"/>
              <w:jc w:val="center"/>
            </w:pPr>
            <w:r>
              <w:t>16.0</w:t>
            </w:r>
          </w:p>
        </w:tc>
        <w:tc>
          <w:tcPr>
            <w:tcW w:w="920" w:type="dxa"/>
            <w:gridSpan w:val="2"/>
          </w:tcPr>
          <w:p w:rsidR="00AF2508" w:rsidRDefault="00AF2508">
            <w:pPr>
              <w:pStyle w:val="TableText"/>
              <w:jc w:val="center"/>
            </w:pPr>
            <w:r>
              <w:t>16.0</w:t>
            </w:r>
          </w:p>
        </w:tc>
      </w:tr>
      <w:tr w:rsidR="00AF2508">
        <w:trPr>
          <w:cantSplit/>
        </w:trPr>
        <w:tc>
          <w:tcPr>
            <w:tcW w:w="2100" w:type="dxa"/>
            <w:tcBorders>
              <w:right w:val="single" w:sz="6" w:space="0" w:color="auto"/>
            </w:tcBorders>
          </w:tcPr>
          <w:p w:rsidR="00AF2508" w:rsidRDefault="00AF2508">
            <w:pPr>
              <w:pStyle w:val="TableText"/>
            </w:pPr>
            <w:r>
              <w:t>70</w:t>
            </w:r>
          </w:p>
        </w:tc>
        <w:tc>
          <w:tcPr>
            <w:tcW w:w="860" w:type="dxa"/>
          </w:tcPr>
          <w:p w:rsidR="00AF2508" w:rsidRDefault="00AF2508">
            <w:pPr>
              <w:pStyle w:val="TableText"/>
              <w:jc w:val="center"/>
            </w:pPr>
            <w:r>
              <w:t>10.6</w:t>
            </w:r>
          </w:p>
        </w:tc>
        <w:tc>
          <w:tcPr>
            <w:tcW w:w="860" w:type="dxa"/>
          </w:tcPr>
          <w:p w:rsidR="00AF2508" w:rsidRDefault="00AF2508">
            <w:pPr>
              <w:pStyle w:val="TableText"/>
              <w:jc w:val="center"/>
            </w:pPr>
            <w:r>
              <w:t>10.3</w:t>
            </w:r>
          </w:p>
        </w:tc>
        <w:tc>
          <w:tcPr>
            <w:tcW w:w="880" w:type="dxa"/>
            <w:gridSpan w:val="2"/>
            <w:tcBorders>
              <w:left w:val="single" w:sz="6" w:space="0" w:color="auto"/>
            </w:tcBorders>
          </w:tcPr>
          <w:p w:rsidR="00AF2508" w:rsidRDefault="00AF2508">
            <w:pPr>
              <w:pStyle w:val="TableText"/>
              <w:jc w:val="center"/>
            </w:pPr>
            <w:r>
              <w:t>12.5</w:t>
            </w:r>
          </w:p>
        </w:tc>
        <w:tc>
          <w:tcPr>
            <w:tcW w:w="840" w:type="dxa"/>
          </w:tcPr>
          <w:p w:rsidR="00AF2508" w:rsidRDefault="00AF2508">
            <w:pPr>
              <w:pStyle w:val="TableText"/>
              <w:jc w:val="center"/>
            </w:pPr>
            <w:r>
              <w:t>12.3</w:t>
            </w:r>
          </w:p>
        </w:tc>
        <w:tc>
          <w:tcPr>
            <w:tcW w:w="840" w:type="dxa"/>
            <w:tcBorders>
              <w:left w:val="single" w:sz="6" w:space="0" w:color="auto"/>
            </w:tcBorders>
          </w:tcPr>
          <w:p w:rsidR="00AF2508" w:rsidRDefault="00AF2508">
            <w:pPr>
              <w:pStyle w:val="TableText"/>
              <w:jc w:val="center"/>
            </w:pPr>
            <w:r>
              <w:t>14.4</w:t>
            </w:r>
          </w:p>
        </w:tc>
        <w:tc>
          <w:tcPr>
            <w:tcW w:w="920" w:type="dxa"/>
            <w:gridSpan w:val="2"/>
          </w:tcPr>
          <w:p w:rsidR="00AF2508" w:rsidRDefault="00AF2508">
            <w:pPr>
              <w:pStyle w:val="TableText"/>
              <w:jc w:val="center"/>
            </w:pPr>
            <w:r>
              <w:t>14.4</w:t>
            </w:r>
          </w:p>
        </w:tc>
      </w:tr>
      <w:tr w:rsidR="00AF2508">
        <w:trPr>
          <w:cantSplit/>
        </w:trPr>
        <w:tc>
          <w:tcPr>
            <w:tcW w:w="2100" w:type="dxa"/>
            <w:tcBorders>
              <w:right w:val="single" w:sz="6" w:space="0" w:color="auto"/>
            </w:tcBorders>
          </w:tcPr>
          <w:p w:rsidR="00AF2508" w:rsidRDefault="00AF2508">
            <w:pPr>
              <w:pStyle w:val="TableText"/>
            </w:pPr>
            <w:r>
              <w:t>80</w:t>
            </w:r>
          </w:p>
        </w:tc>
        <w:tc>
          <w:tcPr>
            <w:tcW w:w="860" w:type="dxa"/>
          </w:tcPr>
          <w:p w:rsidR="00AF2508" w:rsidRDefault="00AF2508">
            <w:pPr>
              <w:pStyle w:val="TableText"/>
              <w:jc w:val="center"/>
            </w:pPr>
            <w:r>
              <w:t>8.5</w:t>
            </w:r>
          </w:p>
        </w:tc>
        <w:tc>
          <w:tcPr>
            <w:tcW w:w="860" w:type="dxa"/>
          </w:tcPr>
          <w:p w:rsidR="00AF2508" w:rsidRDefault="00AF2508">
            <w:pPr>
              <w:pStyle w:val="TableText"/>
              <w:jc w:val="center"/>
            </w:pPr>
            <w:r>
              <w:t>8.5</w:t>
            </w:r>
          </w:p>
        </w:tc>
        <w:tc>
          <w:tcPr>
            <w:tcW w:w="880" w:type="dxa"/>
            <w:gridSpan w:val="2"/>
            <w:tcBorders>
              <w:left w:val="single" w:sz="6" w:space="0" w:color="auto"/>
            </w:tcBorders>
          </w:tcPr>
          <w:p w:rsidR="00AF2508" w:rsidRDefault="00AF2508">
            <w:pPr>
              <w:pStyle w:val="TableText"/>
              <w:jc w:val="center"/>
            </w:pPr>
            <w:r>
              <w:t>10.5</w:t>
            </w:r>
          </w:p>
        </w:tc>
        <w:tc>
          <w:tcPr>
            <w:tcW w:w="840" w:type="dxa"/>
          </w:tcPr>
          <w:p w:rsidR="00AF2508" w:rsidRDefault="00AF2508">
            <w:pPr>
              <w:pStyle w:val="TableText"/>
              <w:jc w:val="center"/>
            </w:pPr>
            <w:r>
              <w:t>10.5</w:t>
            </w:r>
          </w:p>
        </w:tc>
        <w:tc>
          <w:tcPr>
            <w:tcW w:w="840" w:type="dxa"/>
            <w:tcBorders>
              <w:left w:val="single" w:sz="6" w:space="0" w:color="auto"/>
            </w:tcBorders>
          </w:tcPr>
          <w:p w:rsidR="00AF2508" w:rsidRDefault="00AF2508">
            <w:pPr>
              <w:pStyle w:val="TableText"/>
              <w:jc w:val="center"/>
            </w:pPr>
            <w:r>
              <w:t>12.6</w:t>
            </w:r>
          </w:p>
        </w:tc>
        <w:tc>
          <w:tcPr>
            <w:tcW w:w="920" w:type="dxa"/>
            <w:gridSpan w:val="2"/>
          </w:tcPr>
          <w:p w:rsidR="00AF2508" w:rsidRDefault="00AF2508">
            <w:pPr>
              <w:pStyle w:val="TableText"/>
              <w:jc w:val="center"/>
            </w:pPr>
            <w:r>
              <w:t>12.6</w:t>
            </w:r>
          </w:p>
        </w:tc>
      </w:tr>
      <w:tr w:rsidR="00AF2508">
        <w:trPr>
          <w:cantSplit/>
        </w:trPr>
        <w:tc>
          <w:tcPr>
            <w:tcW w:w="2100" w:type="dxa"/>
            <w:tcBorders>
              <w:right w:val="single" w:sz="6" w:space="0" w:color="auto"/>
            </w:tcBorders>
          </w:tcPr>
          <w:p w:rsidR="00AF2508" w:rsidRDefault="00AF2508">
            <w:pPr>
              <w:pStyle w:val="TableText"/>
            </w:pPr>
            <w:r>
              <w:t>90</w:t>
            </w:r>
          </w:p>
        </w:tc>
        <w:tc>
          <w:tcPr>
            <w:tcW w:w="860" w:type="dxa"/>
          </w:tcPr>
          <w:p w:rsidR="00AF2508" w:rsidRDefault="00AF2508">
            <w:pPr>
              <w:pStyle w:val="TableText"/>
              <w:jc w:val="center"/>
            </w:pPr>
            <w:r>
              <w:t>7.0</w:t>
            </w:r>
          </w:p>
        </w:tc>
        <w:tc>
          <w:tcPr>
            <w:tcW w:w="860" w:type="dxa"/>
          </w:tcPr>
          <w:p w:rsidR="00AF2508" w:rsidRDefault="00AF2508">
            <w:pPr>
              <w:pStyle w:val="TableText"/>
              <w:jc w:val="center"/>
            </w:pPr>
            <w:r>
              <w:t>7.0</w:t>
            </w:r>
          </w:p>
        </w:tc>
        <w:tc>
          <w:tcPr>
            <w:tcW w:w="880" w:type="dxa"/>
            <w:gridSpan w:val="2"/>
            <w:tcBorders>
              <w:left w:val="single" w:sz="6" w:space="0" w:color="auto"/>
            </w:tcBorders>
          </w:tcPr>
          <w:p w:rsidR="00AF2508" w:rsidRDefault="00AF2508">
            <w:pPr>
              <w:pStyle w:val="TableText"/>
              <w:jc w:val="center"/>
            </w:pPr>
            <w:r>
              <w:t>9.1</w:t>
            </w:r>
          </w:p>
        </w:tc>
        <w:tc>
          <w:tcPr>
            <w:tcW w:w="840" w:type="dxa"/>
          </w:tcPr>
          <w:p w:rsidR="00AF2508" w:rsidRDefault="00AF2508">
            <w:pPr>
              <w:pStyle w:val="TableText"/>
              <w:jc w:val="center"/>
            </w:pPr>
            <w:r>
              <w:t>9.1</w:t>
            </w:r>
          </w:p>
        </w:tc>
        <w:tc>
          <w:tcPr>
            <w:tcW w:w="840" w:type="dxa"/>
            <w:tcBorders>
              <w:left w:val="single" w:sz="6" w:space="0" w:color="auto"/>
            </w:tcBorders>
          </w:tcPr>
          <w:p w:rsidR="00AF2508" w:rsidRDefault="00AF2508">
            <w:pPr>
              <w:pStyle w:val="TableText"/>
              <w:jc w:val="center"/>
            </w:pPr>
            <w:r>
              <w:t>11.3</w:t>
            </w:r>
          </w:p>
        </w:tc>
        <w:tc>
          <w:tcPr>
            <w:tcW w:w="920" w:type="dxa"/>
            <w:gridSpan w:val="2"/>
          </w:tcPr>
          <w:p w:rsidR="00AF2508" w:rsidRDefault="00AF2508">
            <w:pPr>
              <w:pStyle w:val="TableText"/>
              <w:jc w:val="center"/>
            </w:pPr>
            <w:r>
              <w:t>11.3</w:t>
            </w:r>
          </w:p>
        </w:tc>
      </w:tr>
      <w:tr w:rsidR="00AF2508">
        <w:trPr>
          <w:cantSplit/>
        </w:trPr>
        <w:tc>
          <w:tcPr>
            <w:tcW w:w="2100" w:type="dxa"/>
            <w:tcBorders>
              <w:right w:val="single" w:sz="6" w:space="0" w:color="auto"/>
            </w:tcBorders>
          </w:tcPr>
          <w:p w:rsidR="00AF2508" w:rsidRDefault="00AF2508">
            <w:pPr>
              <w:pStyle w:val="TableText"/>
            </w:pPr>
            <w:r>
              <w:t>100</w:t>
            </w:r>
          </w:p>
        </w:tc>
        <w:tc>
          <w:tcPr>
            <w:tcW w:w="860" w:type="dxa"/>
          </w:tcPr>
          <w:p w:rsidR="00AF2508" w:rsidRDefault="00AF2508">
            <w:pPr>
              <w:pStyle w:val="TableText"/>
              <w:jc w:val="center"/>
            </w:pPr>
            <w:r>
              <w:t>5.9</w:t>
            </w:r>
          </w:p>
        </w:tc>
        <w:tc>
          <w:tcPr>
            <w:tcW w:w="860" w:type="dxa"/>
          </w:tcPr>
          <w:p w:rsidR="00AF2508" w:rsidRDefault="00AF2508">
            <w:pPr>
              <w:pStyle w:val="TableText"/>
              <w:jc w:val="center"/>
            </w:pPr>
            <w:r>
              <w:t>5.9</w:t>
            </w:r>
          </w:p>
        </w:tc>
        <w:tc>
          <w:tcPr>
            <w:tcW w:w="880" w:type="dxa"/>
            <w:gridSpan w:val="2"/>
            <w:tcBorders>
              <w:left w:val="single" w:sz="6" w:space="0" w:color="auto"/>
            </w:tcBorders>
          </w:tcPr>
          <w:p w:rsidR="00AF2508" w:rsidRDefault="00AF2508">
            <w:pPr>
              <w:pStyle w:val="TableText"/>
              <w:jc w:val="center"/>
            </w:pPr>
            <w:r>
              <w:t>8.0</w:t>
            </w:r>
          </w:p>
        </w:tc>
        <w:tc>
          <w:tcPr>
            <w:tcW w:w="840" w:type="dxa"/>
          </w:tcPr>
          <w:p w:rsidR="00AF2508" w:rsidRDefault="00AF2508">
            <w:pPr>
              <w:pStyle w:val="TableText"/>
              <w:jc w:val="center"/>
            </w:pPr>
            <w:r>
              <w:t>8.0</w:t>
            </w:r>
          </w:p>
        </w:tc>
        <w:tc>
          <w:tcPr>
            <w:tcW w:w="840" w:type="dxa"/>
            <w:tcBorders>
              <w:left w:val="single" w:sz="6" w:space="0" w:color="auto"/>
            </w:tcBorders>
          </w:tcPr>
          <w:p w:rsidR="00AF2508" w:rsidRDefault="00AF2508">
            <w:pPr>
              <w:pStyle w:val="TableText"/>
              <w:jc w:val="center"/>
            </w:pPr>
            <w:r>
              <w:t>10.3</w:t>
            </w:r>
          </w:p>
        </w:tc>
        <w:tc>
          <w:tcPr>
            <w:tcW w:w="920" w:type="dxa"/>
            <w:gridSpan w:val="2"/>
          </w:tcPr>
          <w:p w:rsidR="00AF2508" w:rsidRDefault="00AF2508">
            <w:pPr>
              <w:pStyle w:val="TableText"/>
              <w:jc w:val="center"/>
            </w:pPr>
            <w:r>
              <w:t>10.3</w:t>
            </w:r>
          </w:p>
        </w:tc>
      </w:tr>
      <w:tr w:rsidR="00AF2508">
        <w:trPr>
          <w:cantSplit/>
        </w:trPr>
        <w:tc>
          <w:tcPr>
            <w:tcW w:w="2100" w:type="dxa"/>
            <w:tcBorders>
              <w:right w:val="single" w:sz="6" w:space="0" w:color="auto"/>
            </w:tcBorders>
          </w:tcPr>
          <w:p w:rsidR="00AF2508" w:rsidRDefault="00AF2508">
            <w:pPr>
              <w:pStyle w:val="TableText"/>
            </w:pPr>
            <w:r>
              <w:t>110</w:t>
            </w:r>
          </w:p>
        </w:tc>
        <w:tc>
          <w:tcPr>
            <w:tcW w:w="860" w:type="dxa"/>
          </w:tcPr>
          <w:p w:rsidR="00AF2508" w:rsidRDefault="00AF2508">
            <w:pPr>
              <w:pStyle w:val="TableText"/>
              <w:jc w:val="center"/>
            </w:pPr>
            <w:r>
              <w:t>5.1</w:t>
            </w:r>
          </w:p>
        </w:tc>
        <w:tc>
          <w:tcPr>
            <w:tcW w:w="860" w:type="dxa"/>
          </w:tcPr>
          <w:p w:rsidR="00AF2508" w:rsidRDefault="00AF2508">
            <w:pPr>
              <w:pStyle w:val="TableText"/>
              <w:jc w:val="center"/>
            </w:pPr>
            <w:r>
              <w:t>5.1</w:t>
            </w:r>
          </w:p>
        </w:tc>
        <w:tc>
          <w:tcPr>
            <w:tcW w:w="880" w:type="dxa"/>
            <w:gridSpan w:val="2"/>
            <w:tcBorders>
              <w:left w:val="single" w:sz="6" w:space="0" w:color="auto"/>
            </w:tcBorders>
          </w:tcPr>
          <w:p w:rsidR="00AF2508" w:rsidRDefault="00AF2508">
            <w:pPr>
              <w:pStyle w:val="TableText"/>
              <w:jc w:val="center"/>
            </w:pPr>
            <w:r>
              <w:t>7.3</w:t>
            </w:r>
          </w:p>
        </w:tc>
        <w:tc>
          <w:tcPr>
            <w:tcW w:w="840" w:type="dxa"/>
          </w:tcPr>
          <w:p w:rsidR="00AF2508" w:rsidRDefault="00AF2508">
            <w:pPr>
              <w:pStyle w:val="TableText"/>
              <w:jc w:val="center"/>
            </w:pPr>
            <w:r>
              <w:t>7.3</w:t>
            </w:r>
          </w:p>
        </w:tc>
        <w:tc>
          <w:tcPr>
            <w:tcW w:w="840" w:type="dxa"/>
            <w:tcBorders>
              <w:left w:val="single" w:sz="6" w:space="0" w:color="auto"/>
            </w:tcBorders>
          </w:tcPr>
          <w:p w:rsidR="00AF2508" w:rsidRDefault="00AF2508">
            <w:pPr>
              <w:pStyle w:val="TableText"/>
              <w:jc w:val="center"/>
            </w:pPr>
            <w:r>
              <w:t>9.5</w:t>
            </w:r>
          </w:p>
        </w:tc>
        <w:tc>
          <w:tcPr>
            <w:tcW w:w="920" w:type="dxa"/>
            <w:gridSpan w:val="2"/>
          </w:tcPr>
          <w:p w:rsidR="00AF2508" w:rsidRDefault="00AF2508">
            <w:pPr>
              <w:pStyle w:val="TableText"/>
              <w:jc w:val="center"/>
            </w:pPr>
            <w:r>
              <w:t>9.5</w:t>
            </w:r>
          </w:p>
        </w:tc>
      </w:tr>
      <w:tr w:rsidR="00AF2508">
        <w:trPr>
          <w:cantSplit/>
        </w:trPr>
        <w:tc>
          <w:tcPr>
            <w:tcW w:w="2100" w:type="dxa"/>
            <w:tcBorders>
              <w:right w:val="single" w:sz="6" w:space="0" w:color="auto"/>
            </w:tcBorders>
          </w:tcPr>
          <w:p w:rsidR="00AF2508" w:rsidRDefault="00AF2508">
            <w:pPr>
              <w:pStyle w:val="TableText"/>
            </w:pPr>
            <w:r>
              <w:t>120</w:t>
            </w:r>
          </w:p>
        </w:tc>
        <w:tc>
          <w:tcPr>
            <w:tcW w:w="860" w:type="dxa"/>
          </w:tcPr>
          <w:p w:rsidR="00AF2508" w:rsidRDefault="00AF2508">
            <w:pPr>
              <w:pStyle w:val="TableText"/>
              <w:jc w:val="center"/>
            </w:pPr>
            <w:r>
              <w:t>4.5</w:t>
            </w:r>
          </w:p>
        </w:tc>
        <w:tc>
          <w:tcPr>
            <w:tcW w:w="860" w:type="dxa"/>
          </w:tcPr>
          <w:p w:rsidR="00AF2508" w:rsidRDefault="00AF2508">
            <w:pPr>
              <w:pStyle w:val="TableText"/>
              <w:jc w:val="center"/>
            </w:pPr>
            <w:r>
              <w:t>4.5</w:t>
            </w:r>
          </w:p>
        </w:tc>
        <w:tc>
          <w:tcPr>
            <w:tcW w:w="880" w:type="dxa"/>
            <w:gridSpan w:val="2"/>
            <w:tcBorders>
              <w:left w:val="single" w:sz="6" w:space="0" w:color="auto"/>
            </w:tcBorders>
          </w:tcPr>
          <w:p w:rsidR="00AF2508" w:rsidRDefault="00AF2508">
            <w:pPr>
              <w:pStyle w:val="TableText"/>
              <w:jc w:val="center"/>
            </w:pPr>
            <w:r>
              <w:t>6.6</w:t>
            </w:r>
          </w:p>
        </w:tc>
        <w:tc>
          <w:tcPr>
            <w:tcW w:w="840" w:type="dxa"/>
          </w:tcPr>
          <w:p w:rsidR="00AF2508" w:rsidRDefault="00AF2508">
            <w:pPr>
              <w:pStyle w:val="TableText"/>
              <w:jc w:val="center"/>
            </w:pPr>
            <w:r>
              <w:t>6.6</w:t>
            </w:r>
          </w:p>
        </w:tc>
        <w:tc>
          <w:tcPr>
            <w:tcW w:w="840" w:type="dxa"/>
            <w:tcBorders>
              <w:left w:val="single" w:sz="6" w:space="0" w:color="auto"/>
            </w:tcBorders>
          </w:tcPr>
          <w:p w:rsidR="00AF2508" w:rsidRDefault="00AF2508">
            <w:pPr>
              <w:pStyle w:val="TableText"/>
              <w:jc w:val="center"/>
            </w:pPr>
            <w:r>
              <w:t>8.7</w:t>
            </w:r>
          </w:p>
        </w:tc>
        <w:tc>
          <w:tcPr>
            <w:tcW w:w="920" w:type="dxa"/>
            <w:gridSpan w:val="2"/>
          </w:tcPr>
          <w:p w:rsidR="00AF2508" w:rsidRDefault="00AF2508">
            <w:pPr>
              <w:pStyle w:val="TableText"/>
              <w:jc w:val="center"/>
            </w:pPr>
            <w:r>
              <w:t>8.7</w:t>
            </w:r>
          </w:p>
        </w:tc>
      </w:tr>
      <w:tr w:rsidR="00AF2508">
        <w:trPr>
          <w:cantSplit/>
        </w:trPr>
        <w:tc>
          <w:tcPr>
            <w:tcW w:w="2100" w:type="dxa"/>
            <w:tcBorders>
              <w:right w:val="single" w:sz="6" w:space="0" w:color="auto"/>
            </w:tcBorders>
          </w:tcPr>
          <w:p w:rsidR="00AF2508" w:rsidRDefault="00AF2508">
            <w:pPr>
              <w:pStyle w:val="TableText"/>
            </w:pPr>
            <w:r>
              <w:t>130</w:t>
            </w:r>
          </w:p>
        </w:tc>
        <w:tc>
          <w:tcPr>
            <w:tcW w:w="860" w:type="dxa"/>
          </w:tcPr>
          <w:p w:rsidR="00AF2508" w:rsidRDefault="00AF2508">
            <w:pPr>
              <w:pStyle w:val="TableText"/>
              <w:jc w:val="center"/>
            </w:pPr>
            <w:r>
              <w:t>4.0</w:t>
            </w:r>
          </w:p>
        </w:tc>
        <w:tc>
          <w:tcPr>
            <w:tcW w:w="860" w:type="dxa"/>
          </w:tcPr>
          <w:p w:rsidR="00AF2508" w:rsidRDefault="00AF2508">
            <w:pPr>
              <w:pStyle w:val="TableText"/>
              <w:jc w:val="center"/>
            </w:pPr>
            <w:r>
              <w:t>4.0</w:t>
            </w:r>
          </w:p>
        </w:tc>
        <w:tc>
          <w:tcPr>
            <w:tcW w:w="880" w:type="dxa"/>
            <w:gridSpan w:val="2"/>
            <w:tcBorders>
              <w:left w:val="single" w:sz="6" w:space="0" w:color="auto"/>
            </w:tcBorders>
          </w:tcPr>
          <w:p w:rsidR="00AF2508" w:rsidRDefault="00AF2508">
            <w:pPr>
              <w:pStyle w:val="TableText"/>
              <w:jc w:val="center"/>
            </w:pPr>
            <w:r>
              <w:t>6.0</w:t>
            </w:r>
          </w:p>
        </w:tc>
        <w:tc>
          <w:tcPr>
            <w:tcW w:w="840" w:type="dxa"/>
          </w:tcPr>
          <w:p w:rsidR="00AF2508" w:rsidRDefault="00AF2508">
            <w:pPr>
              <w:pStyle w:val="TableText"/>
              <w:jc w:val="center"/>
            </w:pPr>
            <w:r>
              <w:t>6.0</w:t>
            </w:r>
          </w:p>
        </w:tc>
        <w:tc>
          <w:tcPr>
            <w:tcW w:w="840" w:type="dxa"/>
            <w:tcBorders>
              <w:left w:val="single" w:sz="6" w:space="0" w:color="auto"/>
            </w:tcBorders>
          </w:tcPr>
          <w:p w:rsidR="00AF2508" w:rsidRDefault="00AF2508">
            <w:pPr>
              <w:pStyle w:val="TableText"/>
              <w:jc w:val="center"/>
            </w:pPr>
            <w:r>
              <w:t>8.0</w:t>
            </w:r>
          </w:p>
        </w:tc>
        <w:tc>
          <w:tcPr>
            <w:tcW w:w="920" w:type="dxa"/>
            <w:gridSpan w:val="2"/>
          </w:tcPr>
          <w:p w:rsidR="00AF2508" w:rsidRDefault="00AF2508">
            <w:pPr>
              <w:pStyle w:val="TableText"/>
              <w:jc w:val="center"/>
            </w:pPr>
            <w:r>
              <w:t>7.9</w:t>
            </w:r>
          </w:p>
        </w:tc>
      </w:tr>
      <w:tr w:rsidR="00AF2508">
        <w:trPr>
          <w:cantSplit/>
        </w:trPr>
        <w:tc>
          <w:tcPr>
            <w:tcW w:w="2100" w:type="dxa"/>
            <w:tcBorders>
              <w:right w:val="single" w:sz="6" w:space="0" w:color="auto"/>
            </w:tcBorders>
          </w:tcPr>
          <w:p w:rsidR="00AF2508" w:rsidRDefault="00AF2508">
            <w:pPr>
              <w:pStyle w:val="TableText"/>
            </w:pPr>
            <w:r>
              <w:t>140</w:t>
            </w:r>
          </w:p>
        </w:tc>
        <w:tc>
          <w:tcPr>
            <w:tcW w:w="860" w:type="dxa"/>
          </w:tcPr>
          <w:p w:rsidR="00AF2508" w:rsidRDefault="00AF2508">
            <w:pPr>
              <w:pStyle w:val="TableText"/>
              <w:jc w:val="center"/>
            </w:pPr>
            <w:r>
              <w:t>3.5</w:t>
            </w:r>
          </w:p>
        </w:tc>
        <w:tc>
          <w:tcPr>
            <w:tcW w:w="860" w:type="dxa"/>
          </w:tcPr>
          <w:p w:rsidR="00AF2508" w:rsidRDefault="00AF2508">
            <w:pPr>
              <w:pStyle w:val="TableText"/>
              <w:jc w:val="center"/>
            </w:pPr>
            <w:r>
              <w:t>3.5</w:t>
            </w:r>
          </w:p>
        </w:tc>
        <w:tc>
          <w:tcPr>
            <w:tcW w:w="880" w:type="dxa"/>
            <w:gridSpan w:val="2"/>
            <w:tcBorders>
              <w:left w:val="single" w:sz="6" w:space="0" w:color="auto"/>
            </w:tcBorders>
          </w:tcPr>
          <w:p w:rsidR="00AF2508" w:rsidRDefault="00AF2508">
            <w:pPr>
              <w:pStyle w:val="TableText"/>
              <w:jc w:val="center"/>
            </w:pPr>
            <w:r>
              <w:t>5.4</w:t>
            </w:r>
          </w:p>
        </w:tc>
        <w:tc>
          <w:tcPr>
            <w:tcW w:w="840" w:type="dxa"/>
          </w:tcPr>
          <w:p w:rsidR="00AF2508" w:rsidRDefault="00AF2508">
            <w:pPr>
              <w:pStyle w:val="TableText"/>
              <w:jc w:val="center"/>
            </w:pPr>
            <w:r>
              <w:t>5.3</w:t>
            </w:r>
          </w:p>
        </w:tc>
        <w:tc>
          <w:tcPr>
            <w:tcW w:w="840" w:type="dxa"/>
            <w:tcBorders>
              <w:left w:val="single" w:sz="6" w:space="0" w:color="auto"/>
            </w:tcBorders>
          </w:tcPr>
          <w:p w:rsidR="00AF2508" w:rsidRDefault="00AF2508">
            <w:pPr>
              <w:pStyle w:val="TableText"/>
              <w:jc w:val="center"/>
            </w:pPr>
            <w:r>
              <w:t>7.4</w:t>
            </w:r>
          </w:p>
        </w:tc>
        <w:tc>
          <w:tcPr>
            <w:tcW w:w="920" w:type="dxa"/>
            <w:gridSpan w:val="2"/>
          </w:tcPr>
          <w:p w:rsidR="00AF2508" w:rsidRDefault="00AF2508">
            <w:pPr>
              <w:pStyle w:val="TableText"/>
              <w:jc w:val="center"/>
            </w:pPr>
            <w:r>
              <w:t>7.2</w:t>
            </w:r>
          </w:p>
        </w:tc>
      </w:tr>
      <w:tr w:rsidR="00AF2508">
        <w:trPr>
          <w:cantSplit/>
        </w:trPr>
        <w:tc>
          <w:tcPr>
            <w:tcW w:w="2100" w:type="dxa"/>
            <w:tcBorders>
              <w:right w:val="single" w:sz="6" w:space="0" w:color="auto"/>
            </w:tcBorders>
          </w:tcPr>
          <w:p w:rsidR="00AF2508" w:rsidRDefault="00AF2508">
            <w:pPr>
              <w:pStyle w:val="TableText"/>
            </w:pPr>
            <w:r>
              <w:t>150</w:t>
            </w:r>
          </w:p>
        </w:tc>
        <w:tc>
          <w:tcPr>
            <w:tcW w:w="860" w:type="dxa"/>
          </w:tcPr>
          <w:p w:rsidR="00AF2508" w:rsidRDefault="00AF2508">
            <w:pPr>
              <w:pStyle w:val="TableText"/>
              <w:jc w:val="center"/>
            </w:pPr>
            <w:r>
              <w:t>3.1</w:t>
            </w:r>
          </w:p>
        </w:tc>
        <w:tc>
          <w:tcPr>
            <w:tcW w:w="860" w:type="dxa"/>
          </w:tcPr>
          <w:p w:rsidR="00AF2508" w:rsidRDefault="00AF2508">
            <w:pPr>
              <w:pStyle w:val="TableText"/>
              <w:jc w:val="center"/>
            </w:pPr>
            <w:r>
              <w:t>3.1</w:t>
            </w:r>
          </w:p>
        </w:tc>
        <w:tc>
          <w:tcPr>
            <w:tcW w:w="880" w:type="dxa"/>
            <w:gridSpan w:val="2"/>
            <w:tcBorders>
              <w:left w:val="single" w:sz="6" w:space="0" w:color="auto"/>
            </w:tcBorders>
          </w:tcPr>
          <w:p w:rsidR="00AF2508" w:rsidRDefault="00AF2508">
            <w:pPr>
              <w:pStyle w:val="TableText"/>
              <w:jc w:val="center"/>
            </w:pPr>
            <w:r>
              <w:t>4.9</w:t>
            </w:r>
          </w:p>
        </w:tc>
        <w:tc>
          <w:tcPr>
            <w:tcW w:w="840" w:type="dxa"/>
          </w:tcPr>
          <w:p w:rsidR="00AF2508" w:rsidRDefault="00AF2508">
            <w:pPr>
              <w:pStyle w:val="TableText"/>
              <w:jc w:val="center"/>
            </w:pPr>
            <w:r>
              <w:t>4.7</w:t>
            </w:r>
          </w:p>
        </w:tc>
        <w:tc>
          <w:tcPr>
            <w:tcW w:w="840" w:type="dxa"/>
            <w:tcBorders>
              <w:left w:val="single" w:sz="6" w:space="0" w:color="auto"/>
            </w:tcBorders>
          </w:tcPr>
          <w:p w:rsidR="00AF2508" w:rsidRDefault="00AF2508">
            <w:pPr>
              <w:pStyle w:val="TableText"/>
              <w:jc w:val="center"/>
            </w:pPr>
            <w:r>
              <w:t>6.8</w:t>
            </w:r>
          </w:p>
        </w:tc>
        <w:tc>
          <w:tcPr>
            <w:tcW w:w="920" w:type="dxa"/>
            <w:gridSpan w:val="2"/>
          </w:tcPr>
          <w:p w:rsidR="00AF2508" w:rsidRDefault="00AF2508">
            <w:pPr>
              <w:pStyle w:val="TableText"/>
              <w:jc w:val="center"/>
            </w:pPr>
            <w:r>
              <w:t>6.4</w:t>
            </w:r>
          </w:p>
        </w:tc>
      </w:tr>
      <w:tr w:rsidR="00AF2508">
        <w:trPr>
          <w:cantSplit/>
        </w:trPr>
        <w:tc>
          <w:tcPr>
            <w:tcW w:w="2100" w:type="dxa"/>
            <w:tcBorders>
              <w:right w:val="single" w:sz="6" w:space="0" w:color="auto"/>
            </w:tcBorders>
          </w:tcPr>
          <w:p w:rsidR="00AF2508" w:rsidRDefault="00AF2508">
            <w:pPr>
              <w:pStyle w:val="TableText"/>
            </w:pPr>
            <w:r>
              <w:t>160</w:t>
            </w:r>
          </w:p>
        </w:tc>
        <w:tc>
          <w:tcPr>
            <w:tcW w:w="860" w:type="dxa"/>
          </w:tcPr>
          <w:p w:rsidR="00AF2508" w:rsidRDefault="00AF2508">
            <w:pPr>
              <w:pStyle w:val="TableText"/>
              <w:jc w:val="center"/>
            </w:pPr>
            <w:r>
              <w:t>2.8</w:t>
            </w:r>
          </w:p>
        </w:tc>
        <w:tc>
          <w:tcPr>
            <w:tcW w:w="860" w:type="dxa"/>
          </w:tcPr>
          <w:p w:rsidR="00AF2508" w:rsidRDefault="00AF2508">
            <w:pPr>
              <w:pStyle w:val="TableText"/>
              <w:jc w:val="center"/>
            </w:pPr>
            <w:r>
              <w:t>2.8</w:t>
            </w:r>
          </w:p>
        </w:tc>
        <w:tc>
          <w:tcPr>
            <w:tcW w:w="880" w:type="dxa"/>
            <w:gridSpan w:val="2"/>
            <w:tcBorders>
              <w:left w:val="single" w:sz="6" w:space="0" w:color="auto"/>
            </w:tcBorders>
          </w:tcPr>
          <w:p w:rsidR="00AF2508" w:rsidRDefault="00AF2508">
            <w:pPr>
              <w:pStyle w:val="TableText"/>
              <w:jc w:val="center"/>
            </w:pPr>
            <w:r>
              <w:t>4.5</w:t>
            </w:r>
          </w:p>
        </w:tc>
        <w:tc>
          <w:tcPr>
            <w:tcW w:w="840" w:type="dxa"/>
          </w:tcPr>
          <w:p w:rsidR="00AF2508" w:rsidRDefault="00AF2508">
            <w:pPr>
              <w:pStyle w:val="TableText"/>
              <w:jc w:val="center"/>
            </w:pPr>
            <w:r>
              <w:t>4.2</w:t>
            </w:r>
          </w:p>
        </w:tc>
        <w:tc>
          <w:tcPr>
            <w:tcW w:w="840" w:type="dxa"/>
            <w:tcBorders>
              <w:left w:val="single" w:sz="6" w:space="0" w:color="auto"/>
            </w:tcBorders>
          </w:tcPr>
          <w:p w:rsidR="00AF2508" w:rsidRDefault="00AF2508">
            <w:pPr>
              <w:pStyle w:val="TableText"/>
              <w:jc w:val="center"/>
            </w:pPr>
            <w:r>
              <w:t>6.2</w:t>
            </w:r>
          </w:p>
        </w:tc>
        <w:tc>
          <w:tcPr>
            <w:tcW w:w="920" w:type="dxa"/>
            <w:gridSpan w:val="2"/>
          </w:tcPr>
          <w:p w:rsidR="00AF2508" w:rsidRDefault="00AF2508">
            <w:pPr>
              <w:pStyle w:val="TableText"/>
              <w:jc w:val="center"/>
            </w:pPr>
            <w:r>
              <w:t>5.6</w:t>
            </w:r>
          </w:p>
        </w:tc>
      </w:tr>
      <w:tr w:rsidR="00AF2508">
        <w:trPr>
          <w:cantSplit/>
        </w:trPr>
        <w:tc>
          <w:tcPr>
            <w:tcW w:w="2100" w:type="dxa"/>
            <w:tcBorders>
              <w:right w:val="single" w:sz="6" w:space="0" w:color="auto"/>
            </w:tcBorders>
          </w:tcPr>
          <w:p w:rsidR="00AF2508" w:rsidRDefault="00AF2508">
            <w:pPr>
              <w:pStyle w:val="TableText"/>
            </w:pPr>
            <w:r>
              <w:t>170</w:t>
            </w:r>
          </w:p>
        </w:tc>
        <w:tc>
          <w:tcPr>
            <w:tcW w:w="860" w:type="dxa"/>
          </w:tcPr>
          <w:p w:rsidR="00AF2508" w:rsidRDefault="00AF2508">
            <w:pPr>
              <w:pStyle w:val="TableText"/>
              <w:jc w:val="center"/>
            </w:pPr>
            <w:r>
              <w:t>2.5</w:t>
            </w:r>
          </w:p>
        </w:tc>
        <w:tc>
          <w:tcPr>
            <w:tcW w:w="860" w:type="dxa"/>
          </w:tcPr>
          <w:p w:rsidR="00AF2508" w:rsidRDefault="00AF2508">
            <w:pPr>
              <w:pStyle w:val="TableText"/>
              <w:jc w:val="center"/>
            </w:pPr>
            <w:r>
              <w:t>2.5</w:t>
            </w:r>
          </w:p>
        </w:tc>
        <w:tc>
          <w:tcPr>
            <w:tcW w:w="880" w:type="dxa"/>
            <w:gridSpan w:val="2"/>
            <w:tcBorders>
              <w:left w:val="single" w:sz="6" w:space="0" w:color="auto"/>
            </w:tcBorders>
          </w:tcPr>
          <w:p w:rsidR="00AF2508" w:rsidRDefault="00AF2508">
            <w:pPr>
              <w:pStyle w:val="TableText"/>
              <w:jc w:val="center"/>
            </w:pPr>
            <w:r>
              <w:t>4.1</w:t>
            </w:r>
          </w:p>
        </w:tc>
        <w:tc>
          <w:tcPr>
            <w:tcW w:w="840" w:type="dxa"/>
          </w:tcPr>
          <w:p w:rsidR="00AF2508" w:rsidRDefault="00AF2508">
            <w:pPr>
              <w:pStyle w:val="TableText"/>
              <w:jc w:val="center"/>
            </w:pPr>
            <w:r>
              <w:t>3.7</w:t>
            </w:r>
          </w:p>
        </w:tc>
        <w:tc>
          <w:tcPr>
            <w:tcW w:w="840" w:type="dxa"/>
            <w:tcBorders>
              <w:left w:val="single" w:sz="6" w:space="0" w:color="auto"/>
            </w:tcBorders>
          </w:tcPr>
          <w:p w:rsidR="00AF2508" w:rsidRDefault="00AF2508">
            <w:pPr>
              <w:pStyle w:val="TableText"/>
              <w:jc w:val="center"/>
            </w:pPr>
            <w:r>
              <w:t>5.7</w:t>
            </w:r>
          </w:p>
        </w:tc>
        <w:tc>
          <w:tcPr>
            <w:tcW w:w="920" w:type="dxa"/>
            <w:gridSpan w:val="2"/>
          </w:tcPr>
          <w:p w:rsidR="00AF2508" w:rsidRDefault="00AF2508">
            <w:pPr>
              <w:pStyle w:val="TableText"/>
              <w:jc w:val="center"/>
            </w:pPr>
            <w:r>
              <w:t>4.9</w:t>
            </w:r>
          </w:p>
        </w:tc>
      </w:tr>
      <w:tr w:rsidR="00AF2508">
        <w:trPr>
          <w:cantSplit/>
        </w:trPr>
        <w:tc>
          <w:tcPr>
            <w:tcW w:w="2100" w:type="dxa"/>
            <w:tcBorders>
              <w:right w:val="single" w:sz="6" w:space="0" w:color="auto"/>
            </w:tcBorders>
          </w:tcPr>
          <w:p w:rsidR="00AF2508" w:rsidRDefault="00AF2508">
            <w:pPr>
              <w:pStyle w:val="TableText"/>
            </w:pPr>
            <w:r>
              <w:t>180</w:t>
            </w:r>
          </w:p>
        </w:tc>
        <w:tc>
          <w:tcPr>
            <w:tcW w:w="860" w:type="dxa"/>
          </w:tcPr>
          <w:p w:rsidR="00AF2508" w:rsidRDefault="00AF2508">
            <w:pPr>
              <w:pStyle w:val="TableText"/>
              <w:jc w:val="center"/>
            </w:pPr>
            <w:r>
              <w:t>2.3</w:t>
            </w:r>
          </w:p>
        </w:tc>
        <w:tc>
          <w:tcPr>
            <w:tcW w:w="860" w:type="dxa"/>
          </w:tcPr>
          <w:p w:rsidR="00AF2508" w:rsidRDefault="00AF2508">
            <w:pPr>
              <w:pStyle w:val="TableText"/>
              <w:jc w:val="center"/>
            </w:pPr>
            <w:r>
              <w:t>2.3</w:t>
            </w:r>
          </w:p>
        </w:tc>
        <w:tc>
          <w:tcPr>
            <w:tcW w:w="880" w:type="dxa"/>
            <w:gridSpan w:val="2"/>
            <w:tcBorders>
              <w:left w:val="single" w:sz="6" w:space="0" w:color="auto"/>
            </w:tcBorders>
          </w:tcPr>
          <w:p w:rsidR="00AF2508" w:rsidRDefault="00AF2508">
            <w:pPr>
              <w:pStyle w:val="TableText"/>
              <w:jc w:val="center"/>
            </w:pPr>
            <w:r>
              <w:t>3.8</w:t>
            </w:r>
          </w:p>
        </w:tc>
        <w:tc>
          <w:tcPr>
            <w:tcW w:w="840" w:type="dxa"/>
          </w:tcPr>
          <w:p w:rsidR="00AF2508" w:rsidRDefault="00AF2508">
            <w:pPr>
              <w:pStyle w:val="TableText"/>
              <w:jc w:val="center"/>
            </w:pPr>
            <w:r>
              <w:t>3.3</w:t>
            </w:r>
          </w:p>
        </w:tc>
        <w:tc>
          <w:tcPr>
            <w:tcW w:w="840" w:type="dxa"/>
            <w:tcBorders>
              <w:left w:val="single" w:sz="6" w:space="0" w:color="auto"/>
            </w:tcBorders>
          </w:tcPr>
          <w:p w:rsidR="00AF2508" w:rsidRDefault="00AF2508">
            <w:pPr>
              <w:pStyle w:val="TableText"/>
              <w:jc w:val="center"/>
            </w:pPr>
            <w:r>
              <w:t>5.2</w:t>
            </w:r>
          </w:p>
        </w:tc>
        <w:tc>
          <w:tcPr>
            <w:tcW w:w="920" w:type="dxa"/>
            <w:gridSpan w:val="2"/>
          </w:tcPr>
          <w:p w:rsidR="00AF2508" w:rsidRDefault="00AF2508">
            <w:pPr>
              <w:pStyle w:val="TableText"/>
              <w:jc w:val="center"/>
            </w:pPr>
            <w:r>
              <w:t>4.3</w:t>
            </w:r>
          </w:p>
        </w:tc>
      </w:tr>
      <w:tr w:rsidR="00AF2508">
        <w:trPr>
          <w:cantSplit/>
        </w:trPr>
        <w:tc>
          <w:tcPr>
            <w:tcW w:w="2100" w:type="dxa"/>
            <w:tcBorders>
              <w:right w:val="single" w:sz="6" w:space="0" w:color="auto"/>
            </w:tcBorders>
          </w:tcPr>
          <w:p w:rsidR="00AF2508" w:rsidRDefault="00AF2508">
            <w:pPr>
              <w:pStyle w:val="TableText"/>
            </w:pPr>
            <w:r>
              <w:t>190</w:t>
            </w:r>
          </w:p>
        </w:tc>
        <w:tc>
          <w:tcPr>
            <w:tcW w:w="860" w:type="dxa"/>
          </w:tcPr>
          <w:p w:rsidR="00AF2508" w:rsidRDefault="00AF2508">
            <w:pPr>
              <w:pStyle w:val="TableText"/>
              <w:jc w:val="center"/>
            </w:pPr>
            <w:r>
              <w:t>2.2</w:t>
            </w:r>
          </w:p>
        </w:tc>
        <w:tc>
          <w:tcPr>
            <w:tcW w:w="860" w:type="dxa"/>
          </w:tcPr>
          <w:p w:rsidR="00AF2508" w:rsidRDefault="00AF2508">
            <w:pPr>
              <w:pStyle w:val="TableText"/>
              <w:jc w:val="center"/>
            </w:pPr>
            <w:r>
              <w:t>2.2</w:t>
            </w:r>
          </w:p>
        </w:tc>
        <w:tc>
          <w:tcPr>
            <w:tcW w:w="880" w:type="dxa"/>
            <w:gridSpan w:val="2"/>
            <w:tcBorders>
              <w:left w:val="single" w:sz="6" w:space="0" w:color="auto"/>
            </w:tcBorders>
          </w:tcPr>
          <w:p w:rsidR="00AF2508" w:rsidRDefault="00AF2508">
            <w:pPr>
              <w:pStyle w:val="TableText"/>
              <w:jc w:val="center"/>
            </w:pPr>
            <w:r>
              <w:t>3.5</w:t>
            </w:r>
          </w:p>
        </w:tc>
        <w:tc>
          <w:tcPr>
            <w:tcW w:w="840" w:type="dxa"/>
          </w:tcPr>
          <w:p w:rsidR="00AF2508" w:rsidRDefault="00AF2508">
            <w:pPr>
              <w:pStyle w:val="TableText"/>
              <w:jc w:val="center"/>
            </w:pPr>
            <w:r>
              <w:t>3.0</w:t>
            </w:r>
          </w:p>
        </w:tc>
        <w:tc>
          <w:tcPr>
            <w:tcW w:w="840" w:type="dxa"/>
            <w:tcBorders>
              <w:left w:val="single" w:sz="6" w:space="0" w:color="auto"/>
            </w:tcBorders>
          </w:tcPr>
          <w:p w:rsidR="00AF2508" w:rsidRDefault="00AF2508">
            <w:pPr>
              <w:pStyle w:val="TableText"/>
              <w:jc w:val="center"/>
            </w:pPr>
            <w:r>
              <w:t>4.8</w:t>
            </w:r>
          </w:p>
        </w:tc>
        <w:tc>
          <w:tcPr>
            <w:tcW w:w="920" w:type="dxa"/>
            <w:gridSpan w:val="2"/>
          </w:tcPr>
          <w:p w:rsidR="00AF2508" w:rsidRDefault="00AF2508">
            <w:pPr>
              <w:pStyle w:val="TableText"/>
              <w:jc w:val="center"/>
            </w:pPr>
            <w:r>
              <w:t>3.8</w:t>
            </w:r>
          </w:p>
        </w:tc>
      </w:tr>
      <w:tr w:rsidR="00AF2508">
        <w:trPr>
          <w:cantSplit/>
        </w:trPr>
        <w:tc>
          <w:tcPr>
            <w:tcW w:w="2100" w:type="dxa"/>
            <w:tcBorders>
              <w:right w:val="single" w:sz="6" w:space="0" w:color="auto"/>
            </w:tcBorders>
          </w:tcPr>
          <w:p w:rsidR="00AF2508" w:rsidRDefault="00AF2508">
            <w:pPr>
              <w:pStyle w:val="TableText"/>
            </w:pPr>
            <w:r>
              <w:t>200</w:t>
            </w:r>
          </w:p>
        </w:tc>
        <w:tc>
          <w:tcPr>
            <w:tcW w:w="860" w:type="dxa"/>
          </w:tcPr>
          <w:p w:rsidR="00AF2508" w:rsidRDefault="00AF2508">
            <w:pPr>
              <w:pStyle w:val="TableText"/>
              <w:jc w:val="center"/>
            </w:pPr>
            <w:r>
              <w:t>2.1</w:t>
            </w:r>
          </w:p>
        </w:tc>
        <w:tc>
          <w:tcPr>
            <w:tcW w:w="860" w:type="dxa"/>
          </w:tcPr>
          <w:p w:rsidR="00AF2508" w:rsidRDefault="00AF2508">
            <w:pPr>
              <w:pStyle w:val="TableText"/>
              <w:jc w:val="center"/>
            </w:pPr>
            <w:r>
              <w:t>2.1</w:t>
            </w:r>
          </w:p>
        </w:tc>
        <w:tc>
          <w:tcPr>
            <w:tcW w:w="880" w:type="dxa"/>
            <w:gridSpan w:val="2"/>
            <w:tcBorders>
              <w:left w:val="single" w:sz="6" w:space="0" w:color="auto"/>
            </w:tcBorders>
          </w:tcPr>
          <w:p w:rsidR="00AF2508" w:rsidRDefault="00AF2508">
            <w:pPr>
              <w:pStyle w:val="TableText"/>
              <w:jc w:val="center"/>
            </w:pPr>
            <w:r>
              <w:t>3.3</w:t>
            </w:r>
          </w:p>
        </w:tc>
        <w:tc>
          <w:tcPr>
            <w:tcW w:w="840" w:type="dxa"/>
          </w:tcPr>
          <w:p w:rsidR="00AF2508" w:rsidRDefault="00AF2508">
            <w:pPr>
              <w:pStyle w:val="TableText"/>
              <w:jc w:val="center"/>
            </w:pPr>
            <w:r>
              <w:t>2.7</w:t>
            </w:r>
          </w:p>
        </w:tc>
        <w:tc>
          <w:tcPr>
            <w:tcW w:w="840" w:type="dxa"/>
            <w:tcBorders>
              <w:left w:val="single" w:sz="6" w:space="0" w:color="auto"/>
            </w:tcBorders>
          </w:tcPr>
          <w:p w:rsidR="00AF2508" w:rsidRDefault="00AF2508">
            <w:pPr>
              <w:pStyle w:val="TableText"/>
              <w:jc w:val="center"/>
            </w:pPr>
            <w:r>
              <w:t>4.4</w:t>
            </w:r>
          </w:p>
        </w:tc>
        <w:tc>
          <w:tcPr>
            <w:tcW w:w="920" w:type="dxa"/>
            <w:gridSpan w:val="2"/>
          </w:tcPr>
          <w:p w:rsidR="00AF2508" w:rsidRDefault="00AF2508">
            <w:pPr>
              <w:pStyle w:val="TableText"/>
              <w:jc w:val="center"/>
            </w:pPr>
            <w:r>
              <w:t>3.4</w:t>
            </w:r>
          </w:p>
        </w:tc>
      </w:tr>
      <w:tr w:rsidR="00AF2508">
        <w:trPr>
          <w:cantSplit/>
        </w:trPr>
        <w:tc>
          <w:tcPr>
            <w:tcW w:w="2100" w:type="dxa"/>
            <w:tcBorders>
              <w:right w:val="single" w:sz="6" w:space="0" w:color="auto"/>
            </w:tcBorders>
          </w:tcPr>
          <w:p w:rsidR="00AF2508" w:rsidRDefault="00AF2508">
            <w:pPr>
              <w:pStyle w:val="TableText"/>
            </w:pPr>
            <w:r>
              <w:t>210</w:t>
            </w:r>
          </w:p>
        </w:tc>
        <w:tc>
          <w:tcPr>
            <w:tcW w:w="860" w:type="dxa"/>
          </w:tcPr>
          <w:p w:rsidR="00AF2508" w:rsidRDefault="00AF2508">
            <w:pPr>
              <w:pStyle w:val="TableText"/>
              <w:jc w:val="center"/>
            </w:pPr>
            <w:r>
              <w:t>2.0</w:t>
            </w:r>
          </w:p>
        </w:tc>
        <w:tc>
          <w:tcPr>
            <w:tcW w:w="860" w:type="dxa"/>
          </w:tcPr>
          <w:p w:rsidR="00AF2508" w:rsidRDefault="00AF2508">
            <w:pPr>
              <w:pStyle w:val="TableText"/>
              <w:jc w:val="center"/>
            </w:pPr>
            <w:r>
              <w:t>2.0</w:t>
            </w:r>
          </w:p>
        </w:tc>
        <w:tc>
          <w:tcPr>
            <w:tcW w:w="880" w:type="dxa"/>
            <w:gridSpan w:val="2"/>
            <w:tcBorders>
              <w:left w:val="single" w:sz="6" w:space="0" w:color="auto"/>
            </w:tcBorders>
          </w:tcPr>
          <w:p w:rsidR="00AF2508" w:rsidRDefault="00AF2508">
            <w:pPr>
              <w:pStyle w:val="TableText"/>
              <w:jc w:val="center"/>
            </w:pPr>
            <w:r>
              <w:t>3.1</w:t>
            </w:r>
          </w:p>
        </w:tc>
        <w:tc>
          <w:tcPr>
            <w:tcW w:w="840" w:type="dxa"/>
          </w:tcPr>
          <w:p w:rsidR="00AF2508" w:rsidRDefault="00AF2508">
            <w:pPr>
              <w:pStyle w:val="TableText"/>
              <w:jc w:val="center"/>
            </w:pPr>
            <w:r>
              <w:t>2.5</w:t>
            </w:r>
          </w:p>
        </w:tc>
        <w:tc>
          <w:tcPr>
            <w:tcW w:w="840" w:type="dxa"/>
            <w:tcBorders>
              <w:left w:val="single" w:sz="6" w:space="0" w:color="auto"/>
            </w:tcBorders>
          </w:tcPr>
          <w:p w:rsidR="00AF2508" w:rsidRDefault="00AF2508">
            <w:pPr>
              <w:pStyle w:val="TableText"/>
              <w:jc w:val="center"/>
            </w:pPr>
            <w:r>
              <w:t>4.2</w:t>
            </w:r>
          </w:p>
        </w:tc>
        <w:tc>
          <w:tcPr>
            <w:tcW w:w="920" w:type="dxa"/>
            <w:gridSpan w:val="2"/>
          </w:tcPr>
          <w:p w:rsidR="00AF2508" w:rsidRDefault="00AF2508">
            <w:pPr>
              <w:pStyle w:val="TableText"/>
              <w:jc w:val="center"/>
            </w:pPr>
            <w:r>
              <w:t>3.1</w:t>
            </w:r>
          </w:p>
        </w:tc>
      </w:tr>
      <w:tr w:rsidR="00AF2508">
        <w:trPr>
          <w:cantSplit/>
        </w:trPr>
        <w:tc>
          <w:tcPr>
            <w:tcW w:w="2100" w:type="dxa"/>
            <w:tcBorders>
              <w:bottom w:val="single" w:sz="6" w:space="0" w:color="auto"/>
              <w:right w:val="single" w:sz="6" w:space="0" w:color="auto"/>
            </w:tcBorders>
          </w:tcPr>
          <w:p w:rsidR="00AF2508" w:rsidRDefault="00AF2508">
            <w:pPr>
              <w:pStyle w:val="TableText"/>
            </w:pPr>
            <w:r>
              <w:t>220</w:t>
            </w:r>
          </w:p>
        </w:tc>
        <w:tc>
          <w:tcPr>
            <w:tcW w:w="860" w:type="dxa"/>
            <w:tcBorders>
              <w:bottom w:val="single" w:sz="6" w:space="0" w:color="auto"/>
            </w:tcBorders>
          </w:tcPr>
          <w:p w:rsidR="00AF2508" w:rsidRDefault="00AF2508">
            <w:pPr>
              <w:pStyle w:val="TableText"/>
              <w:jc w:val="center"/>
            </w:pPr>
            <w:r>
              <w:t>1.9</w:t>
            </w:r>
          </w:p>
        </w:tc>
        <w:tc>
          <w:tcPr>
            <w:tcW w:w="860" w:type="dxa"/>
            <w:tcBorders>
              <w:bottom w:val="single" w:sz="6" w:space="0" w:color="auto"/>
            </w:tcBorders>
          </w:tcPr>
          <w:p w:rsidR="00AF2508" w:rsidRDefault="00AF2508">
            <w:pPr>
              <w:pStyle w:val="TableText"/>
              <w:jc w:val="center"/>
            </w:pPr>
            <w:r>
              <w:t>1.9</w:t>
            </w:r>
          </w:p>
        </w:tc>
        <w:tc>
          <w:tcPr>
            <w:tcW w:w="880" w:type="dxa"/>
            <w:gridSpan w:val="2"/>
            <w:tcBorders>
              <w:left w:val="single" w:sz="6" w:space="0" w:color="auto"/>
              <w:bottom w:val="single" w:sz="6" w:space="0" w:color="auto"/>
            </w:tcBorders>
          </w:tcPr>
          <w:p w:rsidR="00AF2508" w:rsidRDefault="00AF2508">
            <w:pPr>
              <w:pStyle w:val="TableText"/>
              <w:jc w:val="center"/>
            </w:pPr>
            <w:r>
              <w:t>2.9</w:t>
            </w:r>
          </w:p>
        </w:tc>
        <w:tc>
          <w:tcPr>
            <w:tcW w:w="840" w:type="dxa"/>
            <w:tcBorders>
              <w:bottom w:val="single" w:sz="6" w:space="0" w:color="auto"/>
            </w:tcBorders>
          </w:tcPr>
          <w:p w:rsidR="00AF2508" w:rsidRDefault="00AF2508">
            <w:pPr>
              <w:pStyle w:val="TableText"/>
              <w:jc w:val="center"/>
            </w:pPr>
            <w:r>
              <w:t>2.4</w:t>
            </w:r>
          </w:p>
        </w:tc>
        <w:tc>
          <w:tcPr>
            <w:tcW w:w="840" w:type="dxa"/>
            <w:tcBorders>
              <w:left w:val="single" w:sz="6" w:space="0" w:color="auto"/>
              <w:bottom w:val="single" w:sz="6" w:space="0" w:color="auto"/>
            </w:tcBorders>
          </w:tcPr>
          <w:p w:rsidR="00AF2508" w:rsidRDefault="00AF2508">
            <w:pPr>
              <w:pStyle w:val="TableText"/>
              <w:jc w:val="center"/>
            </w:pPr>
            <w:r>
              <w:t>3.9</w:t>
            </w:r>
          </w:p>
        </w:tc>
        <w:tc>
          <w:tcPr>
            <w:tcW w:w="920" w:type="dxa"/>
            <w:gridSpan w:val="2"/>
            <w:tcBorders>
              <w:bottom w:val="single" w:sz="6" w:space="0" w:color="auto"/>
            </w:tcBorders>
          </w:tcPr>
          <w:p w:rsidR="00AF2508" w:rsidRDefault="00AF2508">
            <w:pPr>
              <w:pStyle w:val="TableText"/>
              <w:jc w:val="center"/>
            </w:pPr>
            <w:r>
              <w:t>2.9</w:t>
            </w:r>
          </w:p>
        </w:tc>
      </w:tr>
    </w:tbl>
    <w:p w:rsidR="00AF2508" w:rsidRDefault="00AF2508">
      <w:pPr>
        <w:pStyle w:val="Amain"/>
        <w:ind w:left="228" w:hanging="312"/>
        <w:rPr>
          <w:color w:val="000000"/>
          <w:sz w:val="20"/>
        </w:rPr>
      </w:pPr>
      <w:r>
        <w:rPr>
          <w:color w:val="000000"/>
          <w:sz w:val="20"/>
        </w:rPr>
        <w:t>*</w:t>
      </w:r>
      <w:r>
        <w:rPr>
          <w:color w:val="000000"/>
          <w:sz w:val="20"/>
        </w:rPr>
        <w:tab/>
        <w:t>High tensile steel conforming to British Standard Specification No 548—1934, ‘High Tensile Steel for Bridges, etc., and General Building Construction’, of British Standard Specification No 968—1941, ‘High Tensile (Fusion Welding Quality) Steel for Bridges, etc., for General Building Construction’.  Column ‘B’ is applicable to members of angle, tee, or tube sections and to members of latticed, battened or other framed construction.</w:t>
      </w:r>
    </w:p>
    <w:p w:rsidR="00AF2508" w:rsidRDefault="00AF2508">
      <w:pPr>
        <w:pStyle w:val="Amain"/>
        <w:ind w:left="228" w:hanging="312"/>
        <w:rPr>
          <w:color w:val="000000"/>
          <w:sz w:val="20"/>
        </w:rPr>
      </w:pPr>
      <w:r>
        <w:rPr>
          <w:color w:val="000000"/>
          <w:sz w:val="20"/>
        </w:rPr>
        <w:tab/>
        <w:t>Permissible stresses for intermediate ratios of slenderness should be interpolated.</w:t>
      </w:r>
    </w:p>
    <w:p w:rsidR="00AF2508" w:rsidRDefault="00AF2508"/>
    <w:p w:rsidR="00AF2508" w:rsidRDefault="00AF2508">
      <w:pPr>
        <w:pStyle w:val="Amain"/>
        <w:keepNext/>
      </w:pPr>
      <w:r>
        <w:rPr>
          <w:color w:val="000000"/>
        </w:rPr>
        <w:tab/>
        <w:t>(43)</w:t>
      </w:r>
      <w:r>
        <w:rPr>
          <w:color w:val="000000"/>
        </w:rPr>
        <w:tab/>
        <w:t>If the radius of gyration of the cross-section of a compression member or strut of metal or alloy is less near the ends of the member than in the vicinity of the half-length of the member, the radius of gyration of a cross-section at the half-length shall for the purpose of assessing the slenderness ratios, be reduced in the ratio—</w:t>
      </w:r>
    </w:p>
    <w:p w:rsidR="00AF2508" w:rsidRDefault="00AF2508">
      <w:pPr>
        <w:pStyle w:val="Amain"/>
        <w:jc w:val="center"/>
        <w:rPr>
          <w:color w:val="000000"/>
        </w:rPr>
      </w:pPr>
      <w:r>
        <w:rPr>
          <w:color w:val="000000"/>
        </w:rPr>
        <w:fldChar w:fldCharType="begin"/>
      </w:r>
      <w:r>
        <w:rPr>
          <w:color w:val="000000"/>
        </w:rPr>
        <w:instrText xml:space="preserve"> EQ \F(</w:instrText>
      </w:r>
      <w:r>
        <w:rPr>
          <w:b/>
          <w:color w:val="000000"/>
        </w:rPr>
        <w:instrText>K</w:instrText>
      </w:r>
      <w:r>
        <w:rPr>
          <w:i/>
          <w:color w:val="000000"/>
        </w:rPr>
        <w:instrText>q</w:instrText>
      </w:r>
      <w:r>
        <w:rPr>
          <w:color w:val="000000"/>
        </w:rPr>
        <w:instrText>,0.75.</w:instrText>
      </w:r>
      <w:r>
        <w:rPr>
          <w:b/>
          <w:color w:val="000000"/>
        </w:rPr>
        <w:instrText>K</w:instrText>
      </w:r>
      <w:r>
        <w:rPr>
          <w:color w:val="000000"/>
        </w:rPr>
        <w:instrText xml:space="preserve">) </w:instrText>
      </w:r>
      <w:r>
        <w:rPr>
          <w:color w:val="000000"/>
        </w:rPr>
        <w:fldChar w:fldCharType="end"/>
      </w:r>
      <w:r>
        <w:rPr>
          <w:color w:val="000000"/>
        </w:rPr>
        <w:t xml:space="preserve">  .</w:t>
      </w:r>
    </w:p>
    <w:p w:rsidR="00AF2508" w:rsidRDefault="00AF2508">
      <w:pPr>
        <w:pStyle w:val="Amain"/>
      </w:pPr>
      <w:r>
        <w:tab/>
        <w:t>(44)</w:t>
      </w:r>
      <w:r>
        <w:tab/>
        <w:t>In subsection (43):</w:t>
      </w:r>
    </w:p>
    <w:p w:rsidR="00AF2508" w:rsidRDefault="00AF2508">
      <w:pPr>
        <w:pStyle w:val="aDef"/>
      </w:pPr>
      <w:r>
        <w:rPr>
          <w:b/>
        </w:rPr>
        <w:t>K</w:t>
      </w:r>
      <w:r>
        <w:t xml:space="preserve"> is the least radius of gyration of a section at the half-length of the member.</w:t>
      </w:r>
    </w:p>
    <w:p w:rsidR="00AF2508" w:rsidRDefault="00AF2508">
      <w:pPr>
        <w:pStyle w:val="aDef"/>
      </w:pPr>
      <w:r>
        <w:rPr>
          <w:b/>
        </w:rPr>
        <w:t>K</w:t>
      </w:r>
      <w:r>
        <w:rPr>
          <w:rStyle w:val="charItals"/>
          <w:b/>
        </w:rPr>
        <w:t>q</w:t>
      </w:r>
      <w:r>
        <w:t xml:space="preserve"> is the least radius of gyration of the least section that is </w:t>
      </w:r>
      <w:r>
        <w:rPr>
          <w:position w:val="6"/>
          <w:sz w:val="18"/>
        </w:rPr>
        <w:t>1</w:t>
      </w:r>
      <w:r>
        <w:t>/</w:t>
      </w:r>
      <w:r>
        <w:rPr>
          <w:sz w:val="18"/>
        </w:rPr>
        <w:t>4</w:t>
      </w:r>
      <w:r>
        <w:t xml:space="preserve"> of the length of the member from either end.</w:t>
      </w:r>
    </w:p>
    <w:p w:rsidR="00AF2508" w:rsidRDefault="00AF2508">
      <w:pPr>
        <w:pStyle w:val="Amain"/>
        <w:keepLines/>
      </w:pPr>
      <w:r>
        <w:rPr>
          <w:color w:val="000000"/>
        </w:rPr>
        <w:tab/>
        <w:t>(45)</w:t>
      </w:r>
      <w:r>
        <w:rPr>
          <w:color w:val="000000"/>
        </w:rPr>
        <w:tab/>
        <w:t>If a steel member is subject to simultaneous axial compression and transverse stress it shall be designed as a beam, or if free at 1 end, a cantilever, in which the maximum transverse stress is determined by the formula—</w:t>
      </w:r>
    </w:p>
    <w:tbl>
      <w:tblPr>
        <w:tblW w:w="0" w:type="auto"/>
        <w:tblInd w:w="800" w:type="dxa"/>
        <w:tblLayout w:type="fixed"/>
        <w:tblCellMar>
          <w:left w:w="80" w:type="dxa"/>
          <w:right w:w="80" w:type="dxa"/>
        </w:tblCellMar>
        <w:tblLook w:val="0000" w:firstRow="0" w:lastRow="0" w:firstColumn="0" w:lastColumn="0" w:noHBand="0" w:noVBand="0"/>
      </w:tblPr>
      <w:tblGrid>
        <w:gridCol w:w="360"/>
        <w:gridCol w:w="820"/>
        <w:gridCol w:w="1100"/>
        <w:gridCol w:w="360"/>
        <w:gridCol w:w="4200"/>
      </w:tblGrid>
      <w:tr w:rsidR="00AF2508">
        <w:trPr>
          <w:cantSplit/>
        </w:trPr>
        <w:tc>
          <w:tcPr>
            <w:tcW w:w="360" w:type="dxa"/>
          </w:tcPr>
          <w:p w:rsidR="00AF2508" w:rsidRDefault="00AF2508">
            <w:pPr>
              <w:pStyle w:val="allsections"/>
              <w:ind w:firstLine="0"/>
              <w:jc w:val="left"/>
              <w:rPr>
                <w:color w:val="000000"/>
                <w:sz w:val="48"/>
              </w:rPr>
            </w:pPr>
            <w:r>
              <w:rPr>
                <w:color w:val="000000"/>
                <w:sz w:val="48"/>
              </w:rPr>
              <w:t>(</w:t>
            </w:r>
          </w:p>
        </w:tc>
        <w:tc>
          <w:tcPr>
            <w:tcW w:w="820" w:type="dxa"/>
          </w:tcPr>
          <w:p w:rsidR="00AF2508" w:rsidRDefault="00AF2508">
            <w:pPr>
              <w:pStyle w:val="allsections"/>
              <w:ind w:firstLine="0"/>
              <w:jc w:val="left"/>
              <w:rPr>
                <w:color w:val="000000"/>
              </w:rPr>
            </w:pPr>
            <w:r>
              <w:rPr>
                <w:color w:val="000000"/>
              </w:rPr>
              <w:fldChar w:fldCharType="begin"/>
            </w:r>
            <w:r>
              <w:rPr>
                <w:color w:val="000000"/>
              </w:rPr>
              <w:instrText xml:space="preserve"> EQ \F(</w:instrText>
            </w:r>
            <w:r>
              <w:rPr>
                <w:i/>
                <w:color w:val="000000"/>
              </w:rPr>
              <w:instrText>cf</w:instrText>
            </w:r>
            <w:r>
              <w:rPr>
                <w:color w:val="000000"/>
              </w:rPr>
              <w:instrText>,1.67</w:instrText>
            </w:r>
            <w:r>
              <w:rPr>
                <w:i/>
                <w:color w:val="000000"/>
              </w:rPr>
              <w:instrText>f</w:instrText>
            </w:r>
            <w:r>
              <w:rPr>
                <w:i/>
                <w:color w:val="000000"/>
                <w:sz w:val="12"/>
              </w:rPr>
              <w:instrText>p</w:instrText>
            </w:r>
            <w:r>
              <w:rPr>
                <w:color w:val="000000"/>
              </w:rPr>
              <w:instrText xml:space="preserve">) </w:instrText>
            </w:r>
            <w:r>
              <w:rPr>
                <w:color w:val="000000"/>
              </w:rPr>
              <w:fldChar w:fldCharType="end"/>
            </w:r>
          </w:p>
        </w:tc>
        <w:tc>
          <w:tcPr>
            <w:tcW w:w="1100" w:type="dxa"/>
          </w:tcPr>
          <w:p w:rsidR="00AF2508" w:rsidRDefault="00AF2508">
            <w:pPr>
              <w:pStyle w:val="allsections"/>
              <w:spacing w:before="160"/>
              <w:ind w:firstLine="0"/>
              <w:jc w:val="left"/>
              <w:rPr>
                <w:color w:val="000000"/>
              </w:rPr>
            </w:pPr>
            <w:r>
              <w:rPr>
                <w:color w:val="000000"/>
                <w:sz w:val="28"/>
              </w:rPr>
              <w:t>+</w:t>
            </w:r>
            <w:r>
              <w:rPr>
                <w:rStyle w:val="charItals"/>
              </w:rPr>
              <w:t xml:space="preserve">fx </w:t>
            </w:r>
            <w:r>
              <w:rPr>
                <w:color w:val="000000"/>
                <w:sz w:val="28"/>
              </w:rPr>
              <w:t>+</w:t>
            </w:r>
            <w:r>
              <w:rPr>
                <w:color w:val="000000"/>
              </w:rPr>
              <w:t xml:space="preserve"> </w:t>
            </w:r>
            <w:r>
              <w:rPr>
                <w:rStyle w:val="charItals"/>
              </w:rPr>
              <w:t>fy</w:t>
            </w:r>
          </w:p>
        </w:tc>
        <w:tc>
          <w:tcPr>
            <w:tcW w:w="360" w:type="dxa"/>
          </w:tcPr>
          <w:p w:rsidR="00AF2508" w:rsidRDefault="00AF2508">
            <w:pPr>
              <w:pStyle w:val="allsections"/>
              <w:ind w:firstLine="0"/>
              <w:jc w:val="left"/>
              <w:rPr>
                <w:color w:val="000000"/>
                <w:sz w:val="48"/>
              </w:rPr>
            </w:pPr>
            <w:r>
              <w:rPr>
                <w:color w:val="000000"/>
                <w:sz w:val="48"/>
              </w:rPr>
              <w:t>)</w:t>
            </w:r>
          </w:p>
        </w:tc>
        <w:tc>
          <w:tcPr>
            <w:tcW w:w="4200" w:type="dxa"/>
          </w:tcPr>
          <w:p w:rsidR="00AF2508" w:rsidRDefault="00AF2508">
            <w:pPr>
              <w:pStyle w:val="allsections"/>
              <w:tabs>
                <w:tab w:val="left" w:leader="dot" w:pos="1740"/>
              </w:tabs>
              <w:spacing w:before="160"/>
              <w:ind w:firstLine="0"/>
              <w:jc w:val="left"/>
              <w:rPr>
                <w:rFonts w:ascii="Times New Roman" w:hAnsi="Times New Roman"/>
                <w:color w:val="000000"/>
              </w:rPr>
            </w:pPr>
            <w:r>
              <w:rPr>
                <w:rFonts w:ascii="Times New Roman" w:hAnsi="Times New Roman"/>
                <w:color w:val="000000"/>
              </w:rPr>
              <w:t>tons per square inch</w:t>
            </w:r>
          </w:p>
        </w:tc>
      </w:tr>
    </w:tbl>
    <w:p w:rsidR="00AF2508" w:rsidRDefault="00AF2508">
      <w:pPr>
        <w:pStyle w:val="Amainreturn"/>
      </w:pPr>
      <w:r>
        <w:t>where, in relation to the section under consideration:</w:t>
      </w:r>
    </w:p>
    <w:p w:rsidR="00AF2508" w:rsidRDefault="00AF2508">
      <w:pPr>
        <w:pStyle w:val="aDef"/>
      </w:pPr>
      <w:r>
        <w:rPr>
          <w:rStyle w:val="charItals"/>
          <w:b/>
        </w:rPr>
        <w:t>c</w:t>
      </w:r>
      <w:r>
        <w:t xml:space="preserve"> is a constant, having the value 18 for mild steel, or 22 for high tensile structural steel.</w:t>
      </w:r>
    </w:p>
    <w:p w:rsidR="00AF2508" w:rsidRDefault="00AF2508">
      <w:pPr>
        <w:pStyle w:val="aDef"/>
      </w:pPr>
      <w:r>
        <w:rPr>
          <w:rStyle w:val="charItals"/>
          <w:b/>
        </w:rPr>
        <w:t>f</w:t>
      </w:r>
      <w:r>
        <w:t xml:space="preserve"> is the maximum axial compressive stress.</w:t>
      </w:r>
    </w:p>
    <w:p w:rsidR="00AF2508" w:rsidRDefault="00AF2508">
      <w:pPr>
        <w:pStyle w:val="aDef"/>
      </w:pPr>
      <w:r>
        <w:rPr>
          <w:rStyle w:val="charItals"/>
          <w:b/>
        </w:rPr>
        <w:t>fp</w:t>
      </w:r>
      <w:r>
        <w:t xml:space="preserve"> is the maximum permissible axial compressive stress as prescribed in this section for the same member if assumed subject solely to axial stress.</w:t>
      </w:r>
    </w:p>
    <w:p w:rsidR="00AF2508" w:rsidRDefault="00AF2508">
      <w:pPr>
        <w:pStyle w:val="aDef"/>
      </w:pPr>
      <w:r>
        <w:rPr>
          <w:rStyle w:val="charItals"/>
          <w:b/>
        </w:rPr>
        <w:t>fx</w:t>
      </w:r>
      <w:r>
        <w:t xml:space="preserve"> and </w:t>
      </w:r>
      <w:r>
        <w:rPr>
          <w:rStyle w:val="charItals"/>
          <w:b/>
        </w:rPr>
        <w:t>fy</w:t>
      </w:r>
      <w:r>
        <w:t xml:space="preserve"> are the maximum transverse stresses due to external flexural forces acting or resolved about the respective principal rectilinear axes.</w:t>
      </w:r>
    </w:p>
    <w:p w:rsidR="00AF2508" w:rsidRDefault="00AF2508">
      <w:pPr>
        <w:pStyle w:val="Amain"/>
        <w:rPr>
          <w:color w:val="000000"/>
        </w:rPr>
      </w:pPr>
      <w:r>
        <w:rPr>
          <w:color w:val="000000"/>
        </w:rPr>
        <w:tab/>
        <w:t>(46)</w:t>
      </w:r>
      <w:r>
        <w:rPr>
          <w:color w:val="000000"/>
        </w:rPr>
        <w:tab/>
        <w:t>The stress in a compression member or strut of timber shall not exceed that shown in table 126.7, relevant and appropriate to the ratio of slenderness of the member, and to the kind of timber and its sectional dimensions.</w:t>
      </w:r>
    </w:p>
    <w:p w:rsidR="00AF2508" w:rsidRDefault="00AF2508">
      <w:pPr>
        <w:pStyle w:val="Amain"/>
        <w:rPr>
          <w:color w:val="000000"/>
        </w:rPr>
      </w:pPr>
      <w:r>
        <w:rPr>
          <w:color w:val="000000"/>
        </w:rPr>
        <w:tab/>
        <w:t>(47)</w:t>
      </w:r>
      <w:r>
        <w:rPr>
          <w:color w:val="000000"/>
        </w:rPr>
        <w:tab/>
        <w:t>The ratio of slenderness shall be determined by dividing the greatest length of member that is not supported effectively against lateral deflection, by the diameter of the greatest inscribed circle of any cross-section of the member within the central half of the length of the member.</w:t>
      </w:r>
    </w:p>
    <w:p w:rsidR="00AF2508" w:rsidRDefault="00AF2508">
      <w:pPr>
        <w:pStyle w:val="Amain"/>
        <w:keepLines/>
      </w:pPr>
      <w:r>
        <w:rPr>
          <w:color w:val="000000"/>
        </w:rPr>
        <w:tab/>
        <w:t>(48)</w:t>
      </w:r>
      <w:r>
        <w:rPr>
          <w:color w:val="000000"/>
        </w:rPr>
        <w:tab/>
        <w:t>If 1 end of the member is fixed and the other end free, the ratio of slenderness shall be determined by dividing twice the length of the member by the diameter of the greatest inscribed circle of any cross</w:t>
      </w:r>
      <w:r>
        <w:rPr>
          <w:color w:val="000000"/>
        </w:rPr>
        <w:noBreakHyphen/>
        <w:t>section of the member within half the length of the member of the fixed end.</w:t>
      </w:r>
    </w:p>
    <w:p w:rsidR="00AF2508" w:rsidRDefault="00AF2508">
      <w:pPr>
        <w:pStyle w:val="TableHd"/>
      </w:pPr>
      <w:r>
        <w:t>Table 126.7</w:t>
      </w:r>
      <w:r>
        <w:tab/>
        <w:t>Maximum stresses permissible in timber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1760"/>
        <w:gridCol w:w="1420"/>
        <w:gridCol w:w="1420"/>
        <w:gridCol w:w="1360"/>
        <w:gridCol w:w="1340"/>
        <w:gridCol w:w="20"/>
      </w:tblGrid>
      <w:tr w:rsidR="00AF2508">
        <w:trPr>
          <w:gridAfter w:val="1"/>
          <w:wAfter w:w="20" w:type="dxa"/>
          <w:cantSplit/>
          <w:tblHeader/>
        </w:trPr>
        <w:tc>
          <w:tcPr>
            <w:tcW w:w="1760" w:type="dxa"/>
            <w:tcBorders>
              <w:top w:val="single" w:sz="6" w:space="0" w:color="auto"/>
              <w:right w:val="single" w:sz="6" w:space="0" w:color="auto"/>
            </w:tcBorders>
          </w:tcPr>
          <w:p w:rsidR="00AF2508" w:rsidRDefault="00AF2508">
            <w:pPr>
              <w:pStyle w:val="TableColHd"/>
            </w:pPr>
          </w:p>
        </w:tc>
        <w:tc>
          <w:tcPr>
            <w:tcW w:w="5540" w:type="dxa"/>
            <w:gridSpan w:val="4"/>
            <w:tcBorders>
              <w:top w:val="single" w:sz="6" w:space="0" w:color="auto"/>
              <w:bottom w:val="single" w:sz="6" w:space="0" w:color="auto"/>
            </w:tcBorders>
          </w:tcPr>
          <w:p w:rsidR="00AF2508" w:rsidRDefault="00AF2508">
            <w:pPr>
              <w:pStyle w:val="TableColHd"/>
              <w:jc w:val="center"/>
            </w:pPr>
            <w:r>
              <w:t>maximum permissible stress in lb/in</w:t>
            </w:r>
            <w:r>
              <w:rPr>
                <w:vertAlign w:val="superscript"/>
              </w:rPr>
              <w:t>2</w:t>
            </w:r>
          </w:p>
        </w:tc>
      </w:tr>
      <w:tr w:rsidR="00AF2508">
        <w:trPr>
          <w:cantSplit/>
          <w:tblHeader/>
        </w:trPr>
        <w:tc>
          <w:tcPr>
            <w:tcW w:w="1760" w:type="dxa"/>
            <w:tcBorders>
              <w:bottom w:val="single" w:sz="6" w:space="0" w:color="auto"/>
              <w:right w:val="single" w:sz="6" w:space="0" w:color="auto"/>
            </w:tcBorders>
          </w:tcPr>
          <w:p w:rsidR="00AF2508" w:rsidRDefault="00AF2508">
            <w:pPr>
              <w:pStyle w:val="TableColHd"/>
            </w:pPr>
            <w:r>
              <w:t>ratio of slenderness</w:t>
            </w:r>
          </w:p>
        </w:tc>
        <w:tc>
          <w:tcPr>
            <w:tcW w:w="1420" w:type="dxa"/>
            <w:tcBorders>
              <w:bottom w:val="single" w:sz="6" w:space="0" w:color="auto"/>
            </w:tcBorders>
          </w:tcPr>
          <w:p w:rsidR="00AF2508" w:rsidRDefault="00AF2508">
            <w:pPr>
              <w:pStyle w:val="TableColHd"/>
              <w:rPr>
                <w:sz w:val="16"/>
              </w:rPr>
            </w:pPr>
            <w:r>
              <w:rPr>
                <w:sz w:val="16"/>
              </w:rPr>
              <w:t>ironbark less than 6 in</w:t>
            </w:r>
            <w:r>
              <w:rPr>
                <w:sz w:val="16"/>
                <w:vertAlign w:val="superscript"/>
              </w:rPr>
              <w:t>2</w:t>
            </w:r>
            <w:r>
              <w:rPr>
                <w:sz w:val="16"/>
              </w:rPr>
              <w:t xml:space="preserve"> in section</w:t>
            </w:r>
          </w:p>
        </w:tc>
        <w:tc>
          <w:tcPr>
            <w:tcW w:w="142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ironbark 6 in</w:t>
            </w:r>
            <w:r>
              <w:rPr>
                <w:sz w:val="16"/>
                <w:vertAlign w:val="superscript"/>
              </w:rPr>
              <w:t>2</w:t>
            </w:r>
            <w:r>
              <w:rPr>
                <w:sz w:val="16"/>
              </w:rPr>
              <w:t xml:space="preserve"> or more in section and hardwood* less than 6 in</w:t>
            </w:r>
            <w:r>
              <w:rPr>
                <w:sz w:val="16"/>
                <w:vertAlign w:val="superscript"/>
              </w:rPr>
              <w:t>2</w:t>
            </w:r>
            <w:r>
              <w:rPr>
                <w:sz w:val="16"/>
              </w:rPr>
              <w:t xml:space="preserve"> in section</w:t>
            </w:r>
          </w:p>
        </w:tc>
        <w:tc>
          <w:tcPr>
            <w:tcW w:w="1360" w:type="dxa"/>
            <w:tcBorders>
              <w:bottom w:val="single" w:sz="6" w:space="0" w:color="auto"/>
            </w:tcBorders>
          </w:tcPr>
          <w:p w:rsidR="00AF2508" w:rsidRDefault="00AF2508">
            <w:pPr>
              <w:pStyle w:val="TableColHd"/>
              <w:rPr>
                <w:sz w:val="16"/>
              </w:rPr>
            </w:pPr>
            <w:r>
              <w:rPr>
                <w:sz w:val="16"/>
              </w:rPr>
              <w:t>hardwood* 6 in</w:t>
            </w:r>
            <w:r>
              <w:rPr>
                <w:sz w:val="16"/>
                <w:vertAlign w:val="superscript"/>
              </w:rPr>
              <w:t>2</w:t>
            </w:r>
            <w:r>
              <w:rPr>
                <w:sz w:val="16"/>
              </w:rPr>
              <w:t xml:space="preserve"> or more in section</w:t>
            </w:r>
          </w:p>
        </w:tc>
        <w:tc>
          <w:tcPr>
            <w:tcW w:w="1360" w:type="dxa"/>
            <w:gridSpan w:val="2"/>
            <w:tcBorders>
              <w:left w:val="single" w:sz="6" w:space="0" w:color="auto"/>
              <w:bottom w:val="single" w:sz="6" w:space="0" w:color="auto"/>
            </w:tcBorders>
          </w:tcPr>
          <w:p w:rsidR="00AF2508" w:rsidRDefault="00AF2508">
            <w:pPr>
              <w:pStyle w:val="TableColHd"/>
              <w:rPr>
                <w:sz w:val="16"/>
              </w:rPr>
            </w:pPr>
            <w:r>
              <w:rPr>
                <w:sz w:val="16"/>
              </w:rPr>
              <w:t>Douglas fir (Oregon pine)</w:t>
            </w:r>
          </w:p>
        </w:tc>
      </w:tr>
      <w:tr w:rsidR="00AF2508">
        <w:trPr>
          <w:cantSplit/>
        </w:trPr>
        <w:tc>
          <w:tcPr>
            <w:tcW w:w="1760" w:type="dxa"/>
            <w:tcBorders>
              <w:top w:val="single" w:sz="6" w:space="0" w:color="auto"/>
              <w:right w:val="single" w:sz="6" w:space="0" w:color="auto"/>
            </w:tcBorders>
          </w:tcPr>
          <w:p w:rsidR="00AF2508" w:rsidRDefault="00AF2508">
            <w:pPr>
              <w:pStyle w:val="TableText"/>
            </w:pPr>
            <w:r>
              <w:t>0</w:t>
            </w:r>
            <w:r>
              <w:tab/>
            </w:r>
          </w:p>
        </w:tc>
        <w:tc>
          <w:tcPr>
            <w:tcW w:w="1420" w:type="dxa"/>
            <w:tcBorders>
              <w:top w:val="single" w:sz="6" w:space="0" w:color="auto"/>
            </w:tcBorders>
          </w:tcPr>
          <w:p w:rsidR="00AF2508" w:rsidRDefault="00AF2508">
            <w:pPr>
              <w:pStyle w:val="TableText"/>
              <w:jc w:val="center"/>
            </w:pPr>
            <w:r>
              <w:t>5 000</w:t>
            </w:r>
          </w:p>
        </w:tc>
        <w:tc>
          <w:tcPr>
            <w:tcW w:w="1420" w:type="dxa"/>
            <w:tcBorders>
              <w:top w:val="single" w:sz="6" w:space="0" w:color="auto"/>
              <w:left w:val="single" w:sz="6" w:space="0" w:color="auto"/>
              <w:right w:val="single" w:sz="6" w:space="0" w:color="auto"/>
            </w:tcBorders>
          </w:tcPr>
          <w:p w:rsidR="00AF2508" w:rsidRDefault="00AF2508">
            <w:pPr>
              <w:pStyle w:val="TableText"/>
              <w:jc w:val="center"/>
            </w:pPr>
            <w:r>
              <w:t>4 000</w:t>
            </w:r>
          </w:p>
        </w:tc>
        <w:tc>
          <w:tcPr>
            <w:tcW w:w="1360" w:type="dxa"/>
            <w:tcBorders>
              <w:top w:val="single" w:sz="6" w:space="0" w:color="auto"/>
            </w:tcBorders>
          </w:tcPr>
          <w:p w:rsidR="00AF2508" w:rsidRDefault="00AF2508">
            <w:pPr>
              <w:pStyle w:val="TableText"/>
              <w:jc w:val="center"/>
            </w:pPr>
            <w:r>
              <w:t>3 000</w:t>
            </w:r>
          </w:p>
        </w:tc>
        <w:tc>
          <w:tcPr>
            <w:tcW w:w="1360" w:type="dxa"/>
            <w:gridSpan w:val="2"/>
            <w:tcBorders>
              <w:top w:val="single" w:sz="6" w:space="0" w:color="auto"/>
              <w:left w:val="single" w:sz="6" w:space="0" w:color="auto"/>
            </w:tcBorders>
          </w:tcPr>
          <w:p w:rsidR="00AF2508" w:rsidRDefault="00AF2508">
            <w:pPr>
              <w:pStyle w:val="TableText"/>
              <w:jc w:val="center"/>
            </w:pPr>
            <w:r>
              <w:t>1 400</w:t>
            </w:r>
          </w:p>
        </w:tc>
      </w:tr>
      <w:tr w:rsidR="00AF2508">
        <w:trPr>
          <w:cantSplit/>
        </w:trPr>
        <w:tc>
          <w:tcPr>
            <w:tcW w:w="1760" w:type="dxa"/>
            <w:tcBorders>
              <w:right w:val="single" w:sz="6" w:space="0" w:color="auto"/>
            </w:tcBorders>
          </w:tcPr>
          <w:p w:rsidR="00AF2508" w:rsidRDefault="00AF2508">
            <w:pPr>
              <w:pStyle w:val="TableText"/>
            </w:pPr>
            <w:r>
              <w:t>5</w:t>
            </w:r>
            <w:r>
              <w:tab/>
            </w:r>
          </w:p>
        </w:tc>
        <w:tc>
          <w:tcPr>
            <w:tcW w:w="1420" w:type="dxa"/>
          </w:tcPr>
          <w:p w:rsidR="00AF2508" w:rsidRDefault="00AF2508">
            <w:pPr>
              <w:pStyle w:val="TableText"/>
              <w:jc w:val="center"/>
            </w:pPr>
            <w:r>
              <w:t>4 390</w:t>
            </w:r>
          </w:p>
        </w:tc>
        <w:tc>
          <w:tcPr>
            <w:tcW w:w="1420" w:type="dxa"/>
            <w:tcBorders>
              <w:left w:val="single" w:sz="6" w:space="0" w:color="auto"/>
              <w:right w:val="single" w:sz="6" w:space="0" w:color="auto"/>
            </w:tcBorders>
          </w:tcPr>
          <w:p w:rsidR="00AF2508" w:rsidRDefault="00AF2508">
            <w:pPr>
              <w:pStyle w:val="TableText"/>
              <w:jc w:val="center"/>
            </w:pPr>
            <w:r>
              <w:t>3 560</w:t>
            </w:r>
          </w:p>
        </w:tc>
        <w:tc>
          <w:tcPr>
            <w:tcW w:w="1360" w:type="dxa"/>
          </w:tcPr>
          <w:p w:rsidR="00AF2508" w:rsidRDefault="00AF2508">
            <w:pPr>
              <w:pStyle w:val="TableText"/>
              <w:jc w:val="center"/>
            </w:pPr>
            <w:r>
              <w:t>2 714</w:t>
            </w:r>
          </w:p>
        </w:tc>
        <w:tc>
          <w:tcPr>
            <w:tcW w:w="1360" w:type="dxa"/>
            <w:gridSpan w:val="2"/>
            <w:tcBorders>
              <w:left w:val="single" w:sz="6" w:space="0" w:color="auto"/>
            </w:tcBorders>
          </w:tcPr>
          <w:p w:rsidR="00AF2508" w:rsidRDefault="00AF2508">
            <w:pPr>
              <w:pStyle w:val="TableText"/>
              <w:jc w:val="center"/>
            </w:pPr>
            <w:r>
              <w:t>1 320</w:t>
            </w:r>
          </w:p>
        </w:tc>
      </w:tr>
      <w:tr w:rsidR="00AF2508">
        <w:trPr>
          <w:cantSplit/>
        </w:trPr>
        <w:tc>
          <w:tcPr>
            <w:tcW w:w="1760" w:type="dxa"/>
            <w:tcBorders>
              <w:right w:val="single" w:sz="6" w:space="0" w:color="auto"/>
            </w:tcBorders>
          </w:tcPr>
          <w:p w:rsidR="00AF2508" w:rsidRDefault="00AF2508">
            <w:pPr>
              <w:pStyle w:val="TableText"/>
            </w:pPr>
            <w:r>
              <w:t>10</w:t>
            </w:r>
            <w:r>
              <w:tab/>
            </w:r>
          </w:p>
        </w:tc>
        <w:tc>
          <w:tcPr>
            <w:tcW w:w="1420" w:type="dxa"/>
          </w:tcPr>
          <w:p w:rsidR="00AF2508" w:rsidRDefault="00AF2508">
            <w:pPr>
              <w:pStyle w:val="TableText"/>
              <w:jc w:val="center"/>
            </w:pPr>
            <w:r>
              <w:t>3 780</w:t>
            </w:r>
          </w:p>
        </w:tc>
        <w:tc>
          <w:tcPr>
            <w:tcW w:w="1420" w:type="dxa"/>
            <w:tcBorders>
              <w:left w:val="single" w:sz="6" w:space="0" w:color="auto"/>
              <w:right w:val="single" w:sz="6" w:space="0" w:color="auto"/>
            </w:tcBorders>
          </w:tcPr>
          <w:p w:rsidR="00AF2508" w:rsidRDefault="00AF2508">
            <w:pPr>
              <w:pStyle w:val="TableText"/>
              <w:jc w:val="center"/>
            </w:pPr>
            <w:r>
              <w:t>3 123</w:t>
            </w:r>
          </w:p>
        </w:tc>
        <w:tc>
          <w:tcPr>
            <w:tcW w:w="1360" w:type="dxa"/>
          </w:tcPr>
          <w:p w:rsidR="00AF2508" w:rsidRDefault="00AF2508">
            <w:pPr>
              <w:pStyle w:val="TableText"/>
              <w:jc w:val="center"/>
            </w:pPr>
            <w:r>
              <w:t>2 428</w:t>
            </w:r>
          </w:p>
        </w:tc>
        <w:tc>
          <w:tcPr>
            <w:tcW w:w="1360" w:type="dxa"/>
            <w:gridSpan w:val="2"/>
            <w:tcBorders>
              <w:left w:val="single" w:sz="6" w:space="0" w:color="auto"/>
            </w:tcBorders>
          </w:tcPr>
          <w:p w:rsidR="00AF2508" w:rsidRDefault="00AF2508">
            <w:pPr>
              <w:pStyle w:val="TableText"/>
              <w:jc w:val="center"/>
            </w:pPr>
            <w:r>
              <w:t>1 200</w:t>
            </w:r>
          </w:p>
        </w:tc>
      </w:tr>
      <w:tr w:rsidR="00AF2508">
        <w:trPr>
          <w:cantSplit/>
        </w:trPr>
        <w:tc>
          <w:tcPr>
            <w:tcW w:w="1760" w:type="dxa"/>
            <w:tcBorders>
              <w:right w:val="single" w:sz="6" w:space="0" w:color="auto"/>
            </w:tcBorders>
          </w:tcPr>
          <w:p w:rsidR="00AF2508" w:rsidRDefault="00AF2508">
            <w:pPr>
              <w:pStyle w:val="TableText"/>
            </w:pPr>
            <w:r>
              <w:t>15</w:t>
            </w:r>
            <w:r>
              <w:tab/>
            </w:r>
          </w:p>
        </w:tc>
        <w:tc>
          <w:tcPr>
            <w:tcW w:w="1420" w:type="dxa"/>
          </w:tcPr>
          <w:p w:rsidR="00AF2508" w:rsidRDefault="00AF2508">
            <w:pPr>
              <w:pStyle w:val="TableText"/>
              <w:jc w:val="center"/>
            </w:pPr>
            <w:r>
              <w:t>3 170</w:t>
            </w:r>
          </w:p>
        </w:tc>
        <w:tc>
          <w:tcPr>
            <w:tcW w:w="1420" w:type="dxa"/>
            <w:tcBorders>
              <w:left w:val="single" w:sz="6" w:space="0" w:color="auto"/>
              <w:right w:val="single" w:sz="6" w:space="0" w:color="auto"/>
            </w:tcBorders>
          </w:tcPr>
          <w:p w:rsidR="00AF2508" w:rsidRDefault="00AF2508">
            <w:pPr>
              <w:pStyle w:val="TableText"/>
              <w:jc w:val="center"/>
            </w:pPr>
            <w:r>
              <w:t>2 685</w:t>
            </w:r>
          </w:p>
        </w:tc>
        <w:tc>
          <w:tcPr>
            <w:tcW w:w="1360" w:type="dxa"/>
          </w:tcPr>
          <w:p w:rsidR="00AF2508" w:rsidRDefault="00AF2508">
            <w:pPr>
              <w:pStyle w:val="TableText"/>
              <w:jc w:val="center"/>
            </w:pPr>
            <w:r>
              <w:t>2 144</w:t>
            </w:r>
          </w:p>
        </w:tc>
        <w:tc>
          <w:tcPr>
            <w:tcW w:w="1360" w:type="dxa"/>
            <w:gridSpan w:val="2"/>
            <w:tcBorders>
              <w:left w:val="single" w:sz="6" w:space="0" w:color="auto"/>
            </w:tcBorders>
          </w:tcPr>
          <w:p w:rsidR="00AF2508" w:rsidRDefault="00AF2508">
            <w:pPr>
              <w:pStyle w:val="TableText"/>
              <w:jc w:val="center"/>
            </w:pPr>
            <w:r>
              <w:t>1 080</w:t>
            </w:r>
          </w:p>
        </w:tc>
      </w:tr>
      <w:tr w:rsidR="00AF2508">
        <w:trPr>
          <w:cantSplit/>
        </w:trPr>
        <w:tc>
          <w:tcPr>
            <w:tcW w:w="1760" w:type="dxa"/>
            <w:tcBorders>
              <w:right w:val="single" w:sz="6" w:space="0" w:color="auto"/>
            </w:tcBorders>
          </w:tcPr>
          <w:p w:rsidR="00AF2508" w:rsidRDefault="00AF2508">
            <w:pPr>
              <w:pStyle w:val="TableText"/>
            </w:pPr>
            <w:r>
              <w:t>20</w:t>
            </w:r>
            <w:r>
              <w:tab/>
            </w:r>
          </w:p>
        </w:tc>
        <w:tc>
          <w:tcPr>
            <w:tcW w:w="1420" w:type="dxa"/>
          </w:tcPr>
          <w:p w:rsidR="00AF2508" w:rsidRDefault="00AF2508">
            <w:pPr>
              <w:pStyle w:val="TableText"/>
              <w:jc w:val="center"/>
            </w:pPr>
            <w:r>
              <w:t>2 560</w:t>
            </w:r>
          </w:p>
        </w:tc>
        <w:tc>
          <w:tcPr>
            <w:tcW w:w="1420" w:type="dxa"/>
            <w:tcBorders>
              <w:left w:val="single" w:sz="6" w:space="0" w:color="auto"/>
              <w:right w:val="single" w:sz="6" w:space="0" w:color="auto"/>
            </w:tcBorders>
          </w:tcPr>
          <w:p w:rsidR="00AF2508" w:rsidRDefault="00AF2508">
            <w:pPr>
              <w:pStyle w:val="TableText"/>
              <w:jc w:val="center"/>
            </w:pPr>
            <w:r>
              <w:t>2 247</w:t>
            </w:r>
          </w:p>
        </w:tc>
        <w:tc>
          <w:tcPr>
            <w:tcW w:w="1360" w:type="dxa"/>
          </w:tcPr>
          <w:p w:rsidR="00AF2508" w:rsidRDefault="00AF2508">
            <w:pPr>
              <w:pStyle w:val="TableText"/>
              <w:jc w:val="center"/>
            </w:pPr>
            <w:r>
              <w:t>1 859</w:t>
            </w:r>
          </w:p>
        </w:tc>
        <w:tc>
          <w:tcPr>
            <w:tcW w:w="1360" w:type="dxa"/>
            <w:gridSpan w:val="2"/>
            <w:tcBorders>
              <w:left w:val="single" w:sz="6" w:space="0" w:color="auto"/>
            </w:tcBorders>
          </w:tcPr>
          <w:p w:rsidR="00AF2508" w:rsidRDefault="00AF2508">
            <w:pPr>
              <w:pStyle w:val="TableText"/>
              <w:jc w:val="center"/>
            </w:pPr>
            <w:r>
              <w:t>960</w:t>
            </w:r>
          </w:p>
        </w:tc>
      </w:tr>
      <w:tr w:rsidR="00AF2508">
        <w:trPr>
          <w:cantSplit/>
        </w:trPr>
        <w:tc>
          <w:tcPr>
            <w:tcW w:w="1760" w:type="dxa"/>
            <w:tcBorders>
              <w:right w:val="single" w:sz="6" w:space="0" w:color="auto"/>
            </w:tcBorders>
          </w:tcPr>
          <w:p w:rsidR="00AF2508" w:rsidRDefault="00AF2508">
            <w:pPr>
              <w:pStyle w:val="TableText"/>
            </w:pPr>
            <w:r>
              <w:t>25</w:t>
            </w:r>
            <w:r>
              <w:tab/>
            </w:r>
          </w:p>
        </w:tc>
        <w:tc>
          <w:tcPr>
            <w:tcW w:w="1420" w:type="dxa"/>
          </w:tcPr>
          <w:p w:rsidR="00AF2508" w:rsidRDefault="00AF2508">
            <w:pPr>
              <w:pStyle w:val="TableText"/>
              <w:jc w:val="center"/>
            </w:pPr>
            <w:r>
              <w:t>1 950</w:t>
            </w:r>
          </w:p>
        </w:tc>
        <w:tc>
          <w:tcPr>
            <w:tcW w:w="1420" w:type="dxa"/>
            <w:tcBorders>
              <w:left w:val="single" w:sz="6" w:space="0" w:color="auto"/>
              <w:right w:val="single" w:sz="6" w:space="0" w:color="auto"/>
            </w:tcBorders>
          </w:tcPr>
          <w:p w:rsidR="00AF2508" w:rsidRDefault="00AF2508">
            <w:pPr>
              <w:pStyle w:val="TableText"/>
              <w:jc w:val="center"/>
            </w:pPr>
            <w:r>
              <w:t>1 808</w:t>
            </w:r>
          </w:p>
        </w:tc>
        <w:tc>
          <w:tcPr>
            <w:tcW w:w="1360" w:type="dxa"/>
          </w:tcPr>
          <w:p w:rsidR="00AF2508" w:rsidRDefault="00AF2508">
            <w:pPr>
              <w:pStyle w:val="TableText"/>
              <w:jc w:val="center"/>
            </w:pPr>
            <w:r>
              <w:t>1 574</w:t>
            </w:r>
          </w:p>
        </w:tc>
        <w:tc>
          <w:tcPr>
            <w:tcW w:w="1360" w:type="dxa"/>
            <w:gridSpan w:val="2"/>
            <w:tcBorders>
              <w:left w:val="single" w:sz="6" w:space="0" w:color="auto"/>
            </w:tcBorders>
          </w:tcPr>
          <w:p w:rsidR="00AF2508" w:rsidRDefault="00AF2508">
            <w:pPr>
              <w:pStyle w:val="TableText"/>
              <w:jc w:val="center"/>
            </w:pPr>
            <w:r>
              <w:t>850</w:t>
            </w:r>
          </w:p>
        </w:tc>
      </w:tr>
      <w:tr w:rsidR="00AF2508">
        <w:trPr>
          <w:cantSplit/>
        </w:trPr>
        <w:tc>
          <w:tcPr>
            <w:tcW w:w="1760" w:type="dxa"/>
            <w:tcBorders>
              <w:right w:val="single" w:sz="6" w:space="0" w:color="auto"/>
            </w:tcBorders>
          </w:tcPr>
          <w:p w:rsidR="00AF2508" w:rsidRDefault="00AF2508">
            <w:pPr>
              <w:pStyle w:val="TableText"/>
            </w:pPr>
            <w:r>
              <w:t>30</w:t>
            </w:r>
            <w:r>
              <w:tab/>
            </w:r>
          </w:p>
        </w:tc>
        <w:tc>
          <w:tcPr>
            <w:tcW w:w="1420" w:type="dxa"/>
          </w:tcPr>
          <w:p w:rsidR="00AF2508" w:rsidRDefault="00AF2508">
            <w:pPr>
              <w:pStyle w:val="TableText"/>
              <w:jc w:val="center"/>
            </w:pPr>
            <w:r>
              <w:t>1 370</w:t>
            </w:r>
          </w:p>
        </w:tc>
        <w:tc>
          <w:tcPr>
            <w:tcW w:w="1420" w:type="dxa"/>
            <w:tcBorders>
              <w:left w:val="single" w:sz="6" w:space="0" w:color="auto"/>
              <w:right w:val="single" w:sz="6" w:space="0" w:color="auto"/>
            </w:tcBorders>
          </w:tcPr>
          <w:p w:rsidR="00AF2508" w:rsidRDefault="00AF2508">
            <w:pPr>
              <w:pStyle w:val="TableText"/>
              <w:jc w:val="center"/>
            </w:pPr>
            <w:r>
              <w:t>1 370</w:t>
            </w:r>
          </w:p>
        </w:tc>
        <w:tc>
          <w:tcPr>
            <w:tcW w:w="1360" w:type="dxa"/>
          </w:tcPr>
          <w:p w:rsidR="00AF2508" w:rsidRDefault="00AF2508">
            <w:pPr>
              <w:pStyle w:val="TableText"/>
              <w:jc w:val="center"/>
            </w:pPr>
            <w:r>
              <w:t>1 290</w:t>
            </w:r>
          </w:p>
        </w:tc>
        <w:tc>
          <w:tcPr>
            <w:tcW w:w="1360" w:type="dxa"/>
            <w:gridSpan w:val="2"/>
            <w:tcBorders>
              <w:left w:val="single" w:sz="6" w:space="0" w:color="auto"/>
            </w:tcBorders>
          </w:tcPr>
          <w:p w:rsidR="00AF2508" w:rsidRDefault="00AF2508">
            <w:pPr>
              <w:pStyle w:val="TableText"/>
              <w:jc w:val="center"/>
            </w:pPr>
            <w:r>
              <w:t>730</w:t>
            </w:r>
          </w:p>
        </w:tc>
      </w:tr>
      <w:tr w:rsidR="00AF2508">
        <w:trPr>
          <w:cantSplit/>
        </w:trPr>
        <w:tc>
          <w:tcPr>
            <w:tcW w:w="1760" w:type="dxa"/>
            <w:tcBorders>
              <w:right w:val="single" w:sz="6" w:space="0" w:color="auto"/>
            </w:tcBorders>
          </w:tcPr>
          <w:p w:rsidR="00AF2508" w:rsidRDefault="00AF2508">
            <w:pPr>
              <w:pStyle w:val="TableText"/>
            </w:pPr>
            <w:r>
              <w:t>35</w:t>
            </w:r>
            <w:r>
              <w:tab/>
            </w:r>
          </w:p>
        </w:tc>
        <w:tc>
          <w:tcPr>
            <w:tcW w:w="1420" w:type="dxa"/>
          </w:tcPr>
          <w:p w:rsidR="00AF2508" w:rsidRDefault="00AF2508">
            <w:pPr>
              <w:pStyle w:val="TableText"/>
              <w:jc w:val="center"/>
            </w:pPr>
            <w:r>
              <w:t>1 005</w:t>
            </w:r>
          </w:p>
        </w:tc>
        <w:tc>
          <w:tcPr>
            <w:tcW w:w="1420" w:type="dxa"/>
            <w:tcBorders>
              <w:left w:val="single" w:sz="6" w:space="0" w:color="auto"/>
              <w:right w:val="single" w:sz="6" w:space="0" w:color="auto"/>
            </w:tcBorders>
          </w:tcPr>
          <w:p w:rsidR="00AF2508" w:rsidRDefault="00AF2508">
            <w:pPr>
              <w:pStyle w:val="TableText"/>
              <w:jc w:val="center"/>
            </w:pPr>
            <w:r>
              <w:t>1 005</w:t>
            </w:r>
          </w:p>
        </w:tc>
        <w:tc>
          <w:tcPr>
            <w:tcW w:w="1360" w:type="dxa"/>
          </w:tcPr>
          <w:p w:rsidR="00AF2508" w:rsidRDefault="00AF2508">
            <w:pPr>
              <w:pStyle w:val="TableText"/>
              <w:jc w:val="center"/>
            </w:pPr>
            <w:r>
              <w:t>1 005</w:t>
            </w:r>
          </w:p>
        </w:tc>
        <w:tc>
          <w:tcPr>
            <w:tcW w:w="1360" w:type="dxa"/>
            <w:gridSpan w:val="2"/>
            <w:tcBorders>
              <w:left w:val="single" w:sz="6" w:space="0" w:color="auto"/>
            </w:tcBorders>
          </w:tcPr>
          <w:p w:rsidR="00AF2508" w:rsidRDefault="00AF2508">
            <w:pPr>
              <w:pStyle w:val="TableText"/>
              <w:jc w:val="center"/>
            </w:pPr>
            <w:r>
              <w:t>610</w:t>
            </w:r>
          </w:p>
        </w:tc>
      </w:tr>
      <w:tr w:rsidR="00AF2508">
        <w:trPr>
          <w:cantSplit/>
        </w:trPr>
        <w:tc>
          <w:tcPr>
            <w:tcW w:w="1760" w:type="dxa"/>
            <w:tcBorders>
              <w:right w:val="single" w:sz="6" w:space="0" w:color="auto"/>
            </w:tcBorders>
          </w:tcPr>
          <w:p w:rsidR="00AF2508" w:rsidRDefault="00AF2508">
            <w:pPr>
              <w:pStyle w:val="TableText"/>
            </w:pPr>
            <w:r>
              <w:t>40</w:t>
            </w:r>
            <w:r>
              <w:tab/>
            </w:r>
          </w:p>
        </w:tc>
        <w:tc>
          <w:tcPr>
            <w:tcW w:w="1420" w:type="dxa"/>
          </w:tcPr>
          <w:p w:rsidR="00AF2508" w:rsidRDefault="00AF2508">
            <w:pPr>
              <w:pStyle w:val="TableText"/>
              <w:jc w:val="center"/>
            </w:pPr>
            <w:r>
              <w:t>770</w:t>
            </w:r>
          </w:p>
        </w:tc>
        <w:tc>
          <w:tcPr>
            <w:tcW w:w="1420" w:type="dxa"/>
            <w:tcBorders>
              <w:left w:val="single" w:sz="6" w:space="0" w:color="auto"/>
              <w:right w:val="single" w:sz="6" w:space="0" w:color="auto"/>
            </w:tcBorders>
          </w:tcPr>
          <w:p w:rsidR="00AF2508" w:rsidRDefault="00AF2508">
            <w:pPr>
              <w:pStyle w:val="TableText"/>
              <w:jc w:val="center"/>
            </w:pPr>
            <w:r>
              <w:t>770</w:t>
            </w:r>
          </w:p>
        </w:tc>
        <w:tc>
          <w:tcPr>
            <w:tcW w:w="1360" w:type="dxa"/>
          </w:tcPr>
          <w:p w:rsidR="00AF2508" w:rsidRDefault="00AF2508">
            <w:pPr>
              <w:pStyle w:val="TableText"/>
              <w:jc w:val="center"/>
            </w:pPr>
            <w:r>
              <w:t>770</w:t>
            </w:r>
          </w:p>
        </w:tc>
        <w:tc>
          <w:tcPr>
            <w:tcW w:w="1360" w:type="dxa"/>
            <w:gridSpan w:val="2"/>
            <w:tcBorders>
              <w:left w:val="single" w:sz="6" w:space="0" w:color="auto"/>
            </w:tcBorders>
          </w:tcPr>
          <w:p w:rsidR="00AF2508" w:rsidRDefault="00AF2508">
            <w:pPr>
              <w:pStyle w:val="TableText"/>
              <w:jc w:val="center"/>
            </w:pPr>
            <w:r>
              <w:t>490</w:t>
            </w:r>
          </w:p>
        </w:tc>
      </w:tr>
      <w:tr w:rsidR="00AF2508">
        <w:trPr>
          <w:cantSplit/>
        </w:trPr>
        <w:tc>
          <w:tcPr>
            <w:tcW w:w="1760" w:type="dxa"/>
            <w:tcBorders>
              <w:right w:val="single" w:sz="6" w:space="0" w:color="auto"/>
            </w:tcBorders>
          </w:tcPr>
          <w:p w:rsidR="00AF2508" w:rsidRDefault="00AF2508">
            <w:pPr>
              <w:pStyle w:val="TableText"/>
            </w:pPr>
            <w:r>
              <w:t>45</w:t>
            </w:r>
            <w:r>
              <w:tab/>
            </w:r>
          </w:p>
        </w:tc>
        <w:tc>
          <w:tcPr>
            <w:tcW w:w="1420" w:type="dxa"/>
          </w:tcPr>
          <w:p w:rsidR="00AF2508" w:rsidRDefault="00AF2508">
            <w:pPr>
              <w:pStyle w:val="TableText"/>
              <w:jc w:val="center"/>
            </w:pPr>
            <w:r>
              <w:t>608</w:t>
            </w:r>
          </w:p>
        </w:tc>
        <w:tc>
          <w:tcPr>
            <w:tcW w:w="1420" w:type="dxa"/>
            <w:tcBorders>
              <w:left w:val="single" w:sz="6" w:space="0" w:color="auto"/>
              <w:right w:val="single" w:sz="6" w:space="0" w:color="auto"/>
            </w:tcBorders>
          </w:tcPr>
          <w:p w:rsidR="00AF2508" w:rsidRDefault="00AF2508">
            <w:pPr>
              <w:pStyle w:val="TableText"/>
              <w:jc w:val="center"/>
            </w:pPr>
            <w:r>
              <w:t>608</w:t>
            </w:r>
          </w:p>
        </w:tc>
        <w:tc>
          <w:tcPr>
            <w:tcW w:w="1360" w:type="dxa"/>
          </w:tcPr>
          <w:p w:rsidR="00AF2508" w:rsidRDefault="00AF2508">
            <w:pPr>
              <w:pStyle w:val="TableText"/>
              <w:jc w:val="center"/>
            </w:pPr>
            <w:r>
              <w:t>608</w:t>
            </w:r>
          </w:p>
        </w:tc>
        <w:tc>
          <w:tcPr>
            <w:tcW w:w="1360" w:type="dxa"/>
            <w:gridSpan w:val="2"/>
            <w:tcBorders>
              <w:left w:val="single" w:sz="6" w:space="0" w:color="auto"/>
            </w:tcBorders>
          </w:tcPr>
          <w:p w:rsidR="00AF2508" w:rsidRDefault="00AF2508">
            <w:pPr>
              <w:pStyle w:val="TableText"/>
              <w:jc w:val="center"/>
            </w:pPr>
            <w:r>
              <w:t>384</w:t>
            </w:r>
          </w:p>
        </w:tc>
      </w:tr>
      <w:tr w:rsidR="00AF2508">
        <w:trPr>
          <w:cantSplit/>
        </w:trPr>
        <w:tc>
          <w:tcPr>
            <w:tcW w:w="1760" w:type="dxa"/>
            <w:tcBorders>
              <w:right w:val="single" w:sz="6" w:space="0" w:color="auto"/>
            </w:tcBorders>
          </w:tcPr>
          <w:p w:rsidR="00AF2508" w:rsidRDefault="00AF2508">
            <w:pPr>
              <w:pStyle w:val="TableText"/>
            </w:pPr>
            <w:r>
              <w:t>50</w:t>
            </w:r>
            <w:r>
              <w:tab/>
            </w:r>
          </w:p>
        </w:tc>
        <w:tc>
          <w:tcPr>
            <w:tcW w:w="1420" w:type="dxa"/>
          </w:tcPr>
          <w:p w:rsidR="00AF2508" w:rsidRDefault="00AF2508">
            <w:pPr>
              <w:pStyle w:val="TableText"/>
              <w:jc w:val="center"/>
            </w:pPr>
            <w:r>
              <w:t>493</w:t>
            </w:r>
          </w:p>
        </w:tc>
        <w:tc>
          <w:tcPr>
            <w:tcW w:w="1420" w:type="dxa"/>
            <w:tcBorders>
              <w:left w:val="single" w:sz="6" w:space="0" w:color="auto"/>
              <w:right w:val="single" w:sz="6" w:space="0" w:color="auto"/>
            </w:tcBorders>
          </w:tcPr>
          <w:p w:rsidR="00AF2508" w:rsidRDefault="00AF2508">
            <w:pPr>
              <w:pStyle w:val="TableText"/>
              <w:jc w:val="center"/>
            </w:pPr>
            <w:r>
              <w:t>493</w:t>
            </w:r>
          </w:p>
        </w:tc>
        <w:tc>
          <w:tcPr>
            <w:tcW w:w="1360" w:type="dxa"/>
          </w:tcPr>
          <w:p w:rsidR="00AF2508" w:rsidRDefault="00AF2508">
            <w:pPr>
              <w:pStyle w:val="TableText"/>
              <w:jc w:val="center"/>
            </w:pPr>
            <w:r>
              <w:t>493</w:t>
            </w:r>
          </w:p>
        </w:tc>
        <w:tc>
          <w:tcPr>
            <w:tcW w:w="1360" w:type="dxa"/>
            <w:gridSpan w:val="2"/>
            <w:tcBorders>
              <w:left w:val="single" w:sz="6" w:space="0" w:color="auto"/>
            </w:tcBorders>
          </w:tcPr>
          <w:p w:rsidR="00AF2508" w:rsidRDefault="00AF2508">
            <w:pPr>
              <w:pStyle w:val="TableText"/>
              <w:jc w:val="center"/>
            </w:pPr>
            <w:r>
              <w:t>312</w:t>
            </w:r>
          </w:p>
        </w:tc>
      </w:tr>
      <w:tr w:rsidR="00AF2508">
        <w:trPr>
          <w:cantSplit/>
        </w:trPr>
        <w:tc>
          <w:tcPr>
            <w:tcW w:w="1760" w:type="dxa"/>
            <w:tcBorders>
              <w:right w:val="single" w:sz="6" w:space="0" w:color="auto"/>
            </w:tcBorders>
          </w:tcPr>
          <w:p w:rsidR="00AF2508" w:rsidRDefault="00AF2508">
            <w:pPr>
              <w:pStyle w:val="TableText"/>
            </w:pPr>
            <w:r>
              <w:t>55</w:t>
            </w:r>
            <w:r>
              <w:tab/>
            </w:r>
          </w:p>
        </w:tc>
        <w:tc>
          <w:tcPr>
            <w:tcW w:w="1420" w:type="dxa"/>
          </w:tcPr>
          <w:p w:rsidR="00AF2508" w:rsidRDefault="00AF2508">
            <w:pPr>
              <w:pStyle w:val="TableText"/>
              <w:jc w:val="center"/>
            </w:pPr>
            <w:r>
              <w:t>407</w:t>
            </w:r>
          </w:p>
        </w:tc>
        <w:tc>
          <w:tcPr>
            <w:tcW w:w="1420" w:type="dxa"/>
            <w:tcBorders>
              <w:left w:val="single" w:sz="6" w:space="0" w:color="auto"/>
              <w:right w:val="single" w:sz="6" w:space="0" w:color="auto"/>
            </w:tcBorders>
          </w:tcPr>
          <w:p w:rsidR="00AF2508" w:rsidRDefault="00AF2508">
            <w:pPr>
              <w:pStyle w:val="TableText"/>
              <w:jc w:val="center"/>
            </w:pPr>
            <w:r>
              <w:t>407</w:t>
            </w:r>
          </w:p>
        </w:tc>
        <w:tc>
          <w:tcPr>
            <w:tcW w:w="1360" w:type="dxa"/>
          </w:tcPr>
          <w:p w:rsidR="00AF2508" w:rsidRDefault="00AF2508">
            <w:pPr>
              <w:pStyle w:val="TableText"/>
              <w:jc w:val="center"/>
            </w:pPr>
            <w:r>
              <w:t>407</w:t>
            </w:r>
          </w:p>
        </w:tc>
        <w:tc>
          <w:tcPr>
            <w:tcW w:w="1360" w:type="dxa"/>
            <w:gridSpan w:val="2"/>
            <w:tcBorders>
              <w:left w:val="single" w:sz="6" w:space="0" w:color="auto"/>
            </w:tcBorders>
          </w:tcPr>
          <w:p w:rsidR="00AF2508" w:rsidRDefault="00AF2508">
            <w:pPr>
              <w:pStyle w:val="TableText"/>
              <w:jc w:val="center"/>
            </w:pPr>
            <w:r>
              <w:t>262</w:t>
            </w:r>
          </w:p>
        </w:tc>
      </w:tr>
      <w:tr w:rsidR="00AF2508">
        <w:trPr>
          <w:cantSplit/>
        </w:trPr>
        <w:tc>
          <w:tcPr>
            <w:tcW w:w="1760" w:type="dxa"/>
            <w:tcBorders>
              <w:right w:val="single" w:sz="6" w:space="0" w:color="auto"/>
            </w:tcBorders>
          </w:tcPr>
          <w:p w:rsidR="00AF2508" w:rsidRDefault="00AF2508">
            <w:pPr>
              <w:pStyle w:val="TableText"/>
            </w:pPr>
            <w:r>
              <w:t>60</w:t>
            </w:r>
            <w:r>
              <w:tab/>
            </w:r>
          </w:p>
        </w:tc>
        <w:tc>
          <w:tcPr>
            <w:tcW w:w="1420" w:type="dxa"/>
          </w:tcPr>
          <w:p w:rsidR="00AF2508" w:rsidRDefault="00AF2508">
            <w:pPr>
              <w:pStyle w:val="TableText"/>
              <w:jc w:val="center"/>
            </w:pPr>
            <w:r>
              <w:t>342</w:t>
            </w:r>
          </w:p>
        </w:tc>
        <w:tc>
          <w:tcPr>
            <w:tcW w:w="1420" w:type="dxa"/>
            <w:tcBorders>
              <w:left w:val="single" w:sz="6" w:space="0" w:color="auto"/>
              <w:right w:val="single" w:sz="6" w:space="0" w:color="auto"/>
            </w:tcBorders>
          </w:tcPr>
          <w:p w:rsidR="00AF2508" w:rsidRDefault="00AF2508">
            <w:pPr>
              <w:pStyle w:val="TableText"/>
              <w:jc w:val="center"/>
            </w:pPr>
            <w:r>
              <w:t>342</w:t>
            </w:r>
          </w:p>
        </w:tc>
        <w:tc>
          <w:tcPr>
            <w:tcW w:w="1360" w:type="dxa"/>
          </w:tcPr>
          <w:p w:rsidR="00AF2508" w:rsidRDefault="00AF2508">
            <w:pPr>
              <w:pStyle w:val="TableText"/>
              <w:jc w:val="center"/>
            </w:pPr>
            <w:r>
              <w:t>342</w:t>
            </w:r>
          </w:p>
        </w:tc>
        <w:tc>
          <w:tcPr>
            <w:tcW w:w="1360" w:type="dxa"/>
            <w:gridSpan w:val="2"/>
            <w:tcBorders>
              <w:left w:val="single" w:sz="6" w:space="0" w:color="auto"/>
            </w:tcBorders>
          </w:tcPr>
          <w:p w:rsidR="00AF2508" w:rsidRDefault="00AF2508">
            <w:pPr>
              <w:pStyle w:val="TableText"/>
              <w:jc w:val="center"/>
            </w:pPr>
            <w:r>
              <w:t>222</w:t>
            </w:r>
          </w:p>
        </w:tc>
      </w:tr>
      <w:tr w:rsidR="00AF2508">
        <w:trPr>
          <w:cantSplit/>
        </w:trPr>
        <w:tc>
          <w:tcPr>
            <w:tcW w:w="1760" w:type="dxa"/>
            <w:tcBorders>
              <w:right w:val="single" w:sz="6" w:space="0" w:color="auto"/>
            </w:tcBorders>
          </w:tcPr>
          <w:p w:rsidR="00AF2508" w:rsidRDefault="00AF2508">
            <w:pPr>
              <w:pStyle w:val="TableText"/>
            </w:pPr>
            <w:r>
              <w:t>65</w:t>
            </w:r>
            <w:r>
              <w:tab/>
            </w:r>
          </w:p>
        </w:tc>
        <w:tc>
          <w:tcPr>
            <w:tcW w:w="1420" w:type="dxa"/>
          </w:tcPr>
          <w:p w:rsidR="00AF2508" w:rsidRDefault="00AF2508">
            <w:pPr>
              <w:pStyle w:val="TableText"/>
              <w:jc w:val="center"/>
            </w:pPr>
            <w:r>
              <w:t>292</w:t>
            </w:r>
          </w:p>
        </w:tc>
        <w:tc>
          <w:tcPr>
            <w:tcW w:w="1420" w:type="dxa"/>
            <w:tcBorders>
              <w:left w:val="single" w:sz="6" w:space="0" w:color="auto"/>
              <w:right w:val="single" w:sz="6" w:space="0" w:color="auto"/>
            </w:tcBorders>
          </w:tcPr>
          <w:p w:rsidR="00AF2508" w:rsidRDefault="00AF2508">
            <w:pPr>
              <w:pStyle w:val="TableText"/>
              <w:jc w:val="center"/>
            </w:pPr>
            <w:r>
              <w:t>292</w:t>
            </w:r>
          </w:p>
        </w:tc>
        <w:tc>
          <w:tcPr>
            <w:tcW w:w="1360" w:type="dxa"/>
          </w:tcPr>
          <w:p w:rsidR="00AF2508" w:rsidRDefault="00AF2508">
            <w:pPr>
              <w:pStyle w:val="TableText"/>
              <w:jc w:val="center"/>
            </w:pPr>
            <w:r>
              <w:t>292</w:t>
            </w:r>
          </w:p>
        </w:tc>
        <w:tc>
          <w:tcPr>
            <w:tcW w:w="1360" w:type="dxa"/>
            <w:gridSpan w:val="2"/>
            <w:tcBorders>
              <w:left w:val="single" w:sz="6" w:space="0" w:color="auto"/>
            </w:tcBorders>
          </w:tcPr>
          <w:p w:rsidR="00AF2508" w:rsidRDefault="00AF2508">
            <w:pPr>
              <w:pStyle w:val="TableText"/>
              <w:jc w:val="center"/>
            </w:pPr>
            <w:r>
              <w:t>192</w:t>
            </w:r>
          </w:p>
        </w:tc>
      </w:tr>
      <w:tr w:rsidR="00AF2508">
        <w:trPr>
          <w:cantSplit/>
        </w:trPr>
        <w:tc>
          <w:tcPr>
            <w:tcW w:w="1760" w:type="dxa"/>
            <w:tcBorders>
              <w:right w:val="single" w:sz="6" w:space="0" w:color="auto"/>
            </w:tcBorders>
          </w:tcPr>
          <w:p w:rsidR="00AF2508" w:rsidRDefault="00AF2508">
            <w:pPr>
              <w:pStyle w:val="TableText"/>
            </w:pPr>
            <w:r>
              <w:t>70</w:t>
            </w:r>
            <w:r>
              <w:tab/>
            </w:r>
          </w:p>
        </w:tc>
        <w:tc>
          <w:tcPr>
            <w:tcW w:w="1420" w:type="dxa"/>
          </w:tcPr>
          <w:p w:rsidR="00AF2508" w:rsidRDefault="00AF2508">
            <w:pPr>
              <w:pStyle w:val="TableText"/>
              <w:jc w:val="center"/>
            </w:pPr>
            <w:r>
              <w:t>252</w:t>
            </w:r>
          </w:p>
        </w:tc>
        <w:tc>
          <w:tcPr>
            <w:tcW w:w="1420" w:type="dxa"/>
            <w:tcBorders>
              <w:left w:val="single" w:sz="6" w:space="0" w:color="auto"/>
              <w:right w:val="single" w:sz="6" w:space="0" w:color="auto"/>
            </w:tcBorders>
          </w:tcPr>
          <w:p w:rsidR="00AF2508" w:rsidRDefault="00AF2508">
            <w:pPr>
              <w:pStyle w:val="TableText"/>
              <w:jc w:val="center"/>
            </w:pPr>
            <w:r>
              <w:t>252</w:t>
            </w:r>
          </w:p>
        </w:tc>
        <w:tc>
          <w:tcPr>
            <w:tcW w:w="1360" w:type="dxa"/>
          </w:tcPr>
          <w:p w:rsidR="00AF2508" w:rsidRDefault="00AF2508">
            <w:pPr>
              <w:pStyle w:val="TableText"/>
              <w:jc w:val="center"/>
            </w:pPr>
            <w:r>
              <w:t>252</w:t>
            </w:r>
          </w:p>
        </w:tc>
        <w:tc>
          <w:tcPr>
            <w:tcW w:w="1360" w:type="dxa"/>
            <w:gridSpan w:val="2"/>
            <w:tcBorders>
              <w:left w:val="single" w:sz="6" w:space="0" w:color="auto"/>
            </w:tcBorders>
          </w:tcPr>
          <w:p w:rsidR="00AF2508" w:rsidRDefault="00AF2508">
            <w:pPr>
              <w:pStyle w:val="TableText"/>
              <w:jc w:val="center"/>
            </w:pPr>
            <w:r>
              <w:t>168</w:t>
            </w:r>
          </w:p>
        </w:tc>
      </w:tr>
      <w:tr w:rsidR="00AF2508">
        <w:trPr>
          <w:cantSplit/>
        </w:trPr>
        <w:tc>
          <w:tcPr>
            <w:tcW w:w="1760" w:type="dxa"/>
            <w:tcBorders>
              <w:right w:val="single" w:sz="6" w:space="0" w:color="auto"/>
            </w:tcBorders>
          </w:tcPr>
          <w:p w:rsidR="00AF2508" w:rsidRDefault="00AF2508">
            <w:pPr>
              <w:pStyle w:val="TableText"/>
            </w:pPr>
            <w:r>
              <w:t>75</w:t>
            </w:r>
            <w:r>
              <w:tab/>
            </w:r>
          </w:p>
        </w:tc>
        <w:tc>
          <w:tcPr>
            <w:tcW w:w="1420" w:type="dxa"/>
          </w:tcPr>
          <w:p w:rsidR="00AF2508" w:rsidRDefault="00AF2508">
            <w:pPr>
              <w:pStyle w:val="TableText"/>
              <w:jc w:val="center"/>
            </w:pPr>
            <w:r>
              <w:t>219</w:t>
            </w:r>
          </w:p>
        </w:tc>
        <w:tc>
          <w:tcPr>
            <w:tcW w:w="1420" w:type="dxa"/>
            <w:tcBorders>
              <w:left w:val="single" w:sz="6" w:space="0" w:color="auto"/>
              <w:right w:val="single" w:sz="6" w:space="0" w:color="auto"/>
            </w:tcBorders>
          </w:tcPr>
          <w:p w:rsidR="00AF2508" w:rsidRDefault="00AF2508">
            <w:pPr>
              <w:pStyle w:val="TableText"/>
              <w:jc w:val="center"/>
            </w:pPr>
            <w:r>
              <w:t>219</w:t>
            </w:r>
          </w:p>
        </w:tc>
        <w:tc>
          <w:tcPr>
            <w:tcW w:w="1360" w:type="dxa"/>
          </w:tcPr>
          <w:p w:rsidR="00AF2508" w:rsidRDefault="00AF2508">
            <w:pPr>
              <w:pStyle w:val="TableText"/>
              <w:jc w:val="center"/>
            </w:pPr>
            <w:r>
              <w:t>219</w:t>
            </w:r>
          </w:p>
        </w:tc>
        <w:tc>
          <w:tcPr>
            <w:tcW w:w="1360" w:type="dxa"/>
            <w:gridSpan w:val="2"/>
            <w:tcBorders>
              <w:left w:val="single" w:sz="6" w:space="0" w:color="auto"/>
            </w:tcBorders>
          </w:tcPr>
          <w:p w:rsidR="00AF2508" w:rsidRDefault="00AF2508">
            <w:pPr>
              <w:pStyle w:val="TableText"/>
              <w:jc w:val="center"/>
            </w:pPr>
            <w:r>
              <w:t>140</w:t>
            </w:r>
          </w:p>
        </w:tc>
      </w:tr>
      <w:tr w:rsidR="00AF2508">
        <w:trPr>
          <w:cantSplit/>
        </w:trPr>
        <w:tc>
          <w:tcPr>
            <w:tcW w:w="1760" w:type="dxa"/>
            <w:tcBorders>
              <w:right w:val="single" w:sz="6" w:space="0" w:color="auto"/>
            </w:tcBorders>
          </w:tcPr>
          <w:p w:rsidR="00AF2508" w:rsidRDefault="00AF2508">
            <w:pPr>
              <w:pStyle w:val="TableText"/>
            </w:pPr>
            <w:r>
              <w:t>80</w:t>
            </w:r>
            <w:r>
              <w:tab/>
            </w:r>
          </w:p>
        </w:tc>
        <w:tc>
          <w:tcPr>
            <w:tcW w:w="1420" w:type="dxa"/>
          </w:tcPr>
          <w:p w:rsidR="00AF2508" w:rsidRDefault="00AF2508">
            <w:pPr>
              <w:pStyle w:val="TableText"/>
              <w:jc w:val="center"/>
            </w:pPr>
            <w:r>
              <w:t>192</w:t>
            </w:r>
          </w:p>
        </w:tc>
        <w:tc>
          <w:tcPr>
            <w:tcW w:w="1420" w:type="dxa"/>
            <w:tcBorders>
              <w:left w:val="single" w:sz="6" w:space="0" w:color="auto"/>
              <w:right w:val="single" w:sz="6" w:space="0" w:color="auto"/>
            </w:tcBorders>
          </w:tcPr>
          <w:p w:rsidR="00AF2508" w:rsidRDefault="00AF2508">
            <w:pPr>
              <w:pStyle w:val="TableText"/>
              <w:jc w:val="center"/>
            </w:pPr>
            <w:r>
              <w:t>192</w:t>
            </w:r>
          </w:p>
        </w:tc>
        <w:tc>
          <w:tcPr>
            <w:tcW w:w="1360" w:type="dxa"/>
          </w:tcPr>
          <w:p w:rsidR="00AF2508" w:rsidRDefault="00AF2508">
            <w:pPr>
              <w:pStyle w:val="TableText"/>
              <w:jc w:val="center"/>
            </w:pPr>
            <w:r>
              <w:t>192</w:t>
            </w:r>
          </w:p>
        </w:tc>
        <w:tc>
          <w:tcPr>
            <w:tcW w:w="1360" w:type="dxa"/>
            <w:gridSpan w:val="2"/>
            <w:tcBorders>
              <w:left w:val="single" w:sz="6" w:space="0" w:color="auto"/>
            </w:tcBorders>
          </w:tcPr>
          <w:p w:rsidR="00AF2508" w:rsidRDefault="00AF2508">
            <w:pPr>
              <w:pStyle w:val="TableText"/>
              <w:jc w:val="center"/>
            </w:pPr>
            <w:r>
              <w:t>120</w:t>
            </w:r>
          </w:p>
        </w:tc>
      </w:tr>
      <w:tr w:rsidR="00AF2508">
        <w:trPr>
          <w:cantSplit/>
        </w:trPr>
        <w:tc>
          <w:tcPr>
            <w:tcW w:w="1760" w:type="dxa"/>
            <w:tcBorders>
              <w:right w:val="single" w:sz="6" w:space="0" w:color="auto"/>
            </w:tcBorders>
          </w:tcPr>
          <w:p w:rsidR="00AF2508" w:rsidRDefault="00AF2508">
            <w:pPr>
              <w:pStyle w:val="TableText"/>
            </w:pPr>
            <w:r>
              <w:t>85</w:t>
            </w:r>
            <w:r>
              <w:tab/>
            </w:r>
          </w:p>
        </w:tc>
        <w:tc>
          <w:tcPr>
            <w:tcW w:w="1420" w:type="dxa"/>
          </w:tcPr>
          <w:p w:rsidR="00AF2508" w:rsidRDefault="00AF2508">
            <w:pPr>
              <w:pStyle w:val="TableText"/>
              <w:jc w:val="center"/>
            </w:pPr>
            <w:r>
              <w:t>170</w:t>
            </w:r>
          </w:p>
        </w:tc>
        <w:tc>
          <w:tcPr>
            <w:tcW w:w="1420" w:type="dxa"/>
            <w:tcBorders>
              <w:left w:val="single" w:sz="6" w:space="0" w:color="auto"/>
              <w:right w:val="single" w:sz="6" w:space="0" w:color="auto"/>
            </w:tcBorders>
          </w:tcPr>
          <w:p w:rsidR="00AF2508" w:rsidRDefault="00AF2508">
            <w:pPr>
              <w:pStyle w:val="TableText"/>
              <w:jc w:val="center"/>
            </w:pPr>
            <w:r>
              <w:t>170</w:t>
            </w:r>
          </w:p>
        </w:tc>
        <w:tc>
          <w:tcPr>
            <w:tcW w:w="1360" w:type="dxa"/>
          </w:tcPr>
          <w:p w:rsidR="00AF2508" w:rsidRDefault="00AF2508">
            <w:pPr>
              <w:pStyle w:val="TableText"/>
              <w:jc w:val="center"/>
            </w:pPr>
            <w:r>
              <w:t>170</w:t>
            </w:r>
          </w:p>
        </w:tc>
        <w:tc>
          <w:tcPr>
            <w:tcW w:w="1360" w:type="dxa"/>
            <w:gridSpan w:val="2"/>
            <w:tcBorders>
              <w:left w:val="single" w:sz="6" w:space="0" w:color="auto"/>
            </w:tcBorders>
          </w:tcPr>
          <w:p w:rsidR="00AF2508" w:rsidRDefault="00AF2508">
            <w:pPr>
              <w:pStyle w:val="TableText"/>
              <w:jc w:val="center"/>
            </w:pPr>
            <w:r>
              <w:t>113</w:t>
            </w:r>
          </w:p>
        </w:tc>
      </w:tr>
      <w:tr w:rsidR="00AF2508">
        <w:trPr>
          <w:cantSplit/>
        </w:trPr>
        <w:tc>
          <w:tcPr>
            <w:tcW w:w="1760" w:type="dxa"/>
            <w:tcBorders>
              <w:bottom w:val="single" w:sz="6" w:space="0" w:color="auto"/>
              <w:right w:val="single" w:sz="6" w:space="0" w:color="auto"/>
            </w:tcBorders>
          </w:tcPr>
          <w:p w:rsidR="00AF2508" w:rsidRDefault="00AF2508">
            <w:pPr>
              <w:pStyle w:val="TableText"/>
            </w:pPr>
            <w:r>
              <w:t>90</w:t>
            </w:r>
            <w:r>
              <w:tab/>
            </w:r>
          </w:p>
        </w:tc>
        <w:tc>
          <w:tcPr>
            <w:tcW w:w="1420" w:type="dxa"/>
            <w:tcBorders>
              <w:bottom w:val="single" w:sz="6" w:space="0" w:color="auto"/>
            </w:tcBorders>
          </w:tcPr>
          <w:p w:rsidR="00AF2508" w:rsidRDefault="00AF2508">
            <w:pPr>
              <w:pStyle w:val="TableText"/>
              <w:jc w:val="center"/>
            </w:pPr>
            <w:r>
              <w:t>152</w:t>
            </w:r>
          </w:p>
        </w:tc>
        <w:tc>
          <w:tcPr>
            <w:tcW w:w="1420" w:type="dxa"/>
            <w:tcBorders>
              <w:left w:val="single" w:sz="6" w:space="0" w:color="auto"/>
              <w:bottom w:val="single" w:sz="6" w:space="0" w:color="auto"/>
              <w:right w:val="single" w:sz="6" w:space="0" w:color="auto"/>
            </w:tcBorders>
          </w:tcPr>
          <w:p w:rsidR="00AF2508" w:rsidRDefault="00AF2508">
            <w:pPr>
              <w:pStyle w:val="TableText"/>
              <w:jc w:val="center"/>
            </w:pPr>
            <w:r>
              <w:t>152</w:t>
            </w:r>
          </w:p>
        </w:tc>
        <w:tc>
          <w:tcPr>
            <w:tcW w:w="1360" w:type="dxa"/>
            <w:tcBorders>
              <w:bottom w:val="single" w:sz="6" w:space="0" w:color="auto"/>
            </w:tcBorders>
          </w:tcPr>
          <w:p w:rsidR="00AF2508" w:rsidRDefault="00AF2508">
            <w:pPr>
              <w:pStyle w:val="TableText"/>
              <w:jc w:val="center"/>
            </w:pPr>
            <w:r>
              <w:t>152</w:t>
            </w:r>
          </w:p>
        </w:tc>
        <w:tc>
          <w:tcPr>
            <w:tcW w:w="1360" w:type="dxa"/>
            <w:gridSpan w:val="2"/>
            <w:tcBorders>
              <w:left w:val="single" w:sz="6" w:space="0" w:color="auto"/>
              <w:bottom w:val="single" w:sz="6" w:space="0" w:color="auto"/>
            </w:tcBorders>
          </w:tcPr>
          <w:p w:rsidR="00AF2508" w:rsidRDefault="00AF2508">
            <w:pPr>
              <w:pStyle w:val="TableText"/>
              <w:jc w:val="center"/>
            </w:pPr>
            <w:r>
              <w:t>102</w:t>
            </w:r>
          </w:p>
        </w:tc>
      </w:tr>
    </w:tbl>
    <w:p w:rsidR="00AF2508" w:rsidRDefault="00AF2508">
      <w:pPr>
        <w:pStyle w:val="Amain"/>
        <w:ind w:left="228" w:hanging="312"/>
        <w:rPr>
          <w:sz w:val="20"/>
        </w:rPr>
      </w:pPr>
      <w:r>
        <w:rPr>
          <w:color w:val="000000"/>
          <w:sz w:val="20"/>
        </w:rPr>
        <w:tab/>
        <w:t>Permissible</w:t>
      </w:r>
      <w:r>
        <w:rPr>
          <w:sz w:val="20"/>
        </w:rPr>
        <w:t xml:space="preserve"> stresses for intermediate ratios of slenderness should be interpolated.</w:t>
      </w:r>
    </w:p>
    <w:p w:rsidR="00AF2508" w:rsidRDefault="00AF2508">
      <w:pPr>
        <w:pStyle w:val="Amain"/>
        <w:ind w:left="228" w:hanging="312"/>
        <w:rPr>
          <w:sz w:val="20"/>
        </w:rPr>
      </w:pPr>
      <w:r>
        <w:rPr>
          <w:color w:val="000000"/>
          <w:sz w:val="20"/>
        </w:rPr>
        <w:tab/>
        <w:t>Refer</w:t>
      </w:r>
      <w:r>
        <w:rPr>
          <w:sz w:val="20"/>
        </w:rPr>
        <w:t xml:space="preserve"> to s 131 about quality of timber.</w:t>
      </w:r>
    </w:p>
    <w:p w:rsidR="00AF2508" w:rsidRDefault="00AF2508">
      <w:pPr>
        <w:pStyle w:val="Amain"/>
        <w:ind w:left="228" w:hanging="312"/>
        <w:rPr>
          <w:sz w:val="20"/>
        </w:rPr>
      </w:pPr>
      <w:r>
        <w:rPr>
          <w:sz w:val="20"/>
        </w:rPr>
        <w:t>*</w:t>
      </w:r>
      <w:r>
        <w:rPr>
          <w:sz w:val="20"/>
        </w:rPr>
        <w:tab/>
      </w:r>
      <w:r>
        <w:rPr>
          <w:color w:val="000000"/>
          <w:sz w:val="20"/>
        </w:rPr>
        <w:t>Hardwood</w:t>
      </w:r>
      <w:r>
        <w:rPr>
          <w:sz w:val="20"/>
        </w:rPr>
        <w:t xml:space="preserve"> includes only Australian Hardwoods of approximately the same strength and reliability as Spotted Gum.</w:t>
      </w:r>
    </w:p>
    <w:p w:rsidR="00AF2508" w:rsidRDefault="00AF2508"/>
    <w:p w:rsidR="00AF2508" w:rsidRDefault="00AF2508">
      <w:pPr>
        <w:pStyle w:val="Amain"/>
      </w:pPr>
      <w:r>
        <w:rPr>
          <w:color w:val="000000"/>
        </w:rPr>
        <w:tab/>
        <w:t>(49)</w:t>
      </w:r>
      <w:r>
        <w:rPr>
          <w:color w:val="000000"/>
        </w:rPr>
        <w:tab/>
        <w:t>If a timber member is subject to simultaneous axial compression and transverse stress it shall be designed as a beam, or if free at 1 end, a cantilever, in which the maximum transverse stress is determined by the formula—</w:t>
      </w:r>
    </w:p>
    <w:tbl>
      <w:tblPr>
        <w:tblW w:w="0" w:type="auto"/>
        <w:tblInd w:w="800" w:type="dxa"/>
        <w:tblLayout w:type="fixed"/>
        <w:tblCellMar>
          <w:left w:w="80" w:type="dxa"/>
          <w:right w:w="80" w:type="dxa"/>
        </w:tblCellMar>
        <w:tblLook w:val="0000" w:firstRow="0" w:lastRow="0" w:firstColumn="0" w:lastColumn="0" w:noHBand="0" w:noVBand="0"/>
      </w:tblPr>
      <w:tblGrid>
        <w:gridCol w:w="360"/>
        <w:gridCol w:w="720"/>
        <w:gridCol w:w="1080"/>
        <w:gridCol w:w="360"/>
        <w:gridCol w:w="3960"/>
      </w:tblGrid>
      <w:tr w:rsidR="00AF2508">
        <w:trPr>
          <w:cantSplit/>
        </w:trPr>
        <w:tc>
          <w:tcPr>
            <w:tcW w:w="360" w:type="dxa"/>
          </w:tcPr>
          <w:p w:rsidR="00AF2508" w:rsidRDefault="00AF2508">
            <w:pPr>
              <w:pStyle w:val="allsections"/>
              <w:ind w:firstLine="0"/>
              <w:jc w:val="left"/>
              <w:rPr>
                <w:color w:val="000000"/>
                <w:sz w:val="48"/>
              </w:rPr>
            </w:pPr>
            <w:r>
              <w:rPr>
                <w:color w:val="000000"/>
                <w:sz w:val="48"/>
              </w:rPr>
              <w:t>(</w:t>
            </w:r>
          </w:p>
        </w:tc>
        <w:tc>
          <w:tcPr>
            <w:tcW w:w="720" w:type="dxa"/>
          </w:tcPr>
          <w:p w:rsidR="00AF2508" w:rsidRDefault="00AF2508">
            <w:pPr>
              <w:pStyle w:val="allsections"/>
              <w:ind w:firstLine="0"/>
              <w:jc w:val="left"/>
              <w:rPr>
                <w:color w:val="000000"/>
              </w:rPr>
            </w:pPr>
            <w:r>
              <w:rPr>
                <w:color w:val="000000"/>
              </w:rPr>
              <w:fldChar w:fldCharType="begin"/>
            </w:r>
            <w:r>
              <w:rPr>
                <w:color w:val="000000"/>
              </w:rPr>
              <w:instrText xml:space="preserve"> EQ \F(</w:instrText>
            </w:r>
            <w:r>
              <w:rPr>
                <w:i/>
                <w:color w:val="000000"/>
              </w:rPr>
              <w:instrText>cf</w:instrText>
            </w:r>
            <w:r>
              <w:rPr>
                <w:color w:val="000000"/>
              </w:rPr>
              <w:instrText>,2.</w:instrText>
            </w:r>
            <w:r>
              <w:rPr>
                <w:i/>
                <w:color w:val="000000"/>
              </w:rPr>
              <w:instrText>f</w:instrText>
            </w:r>
            <w:r>
              <w:rPr>
                <w:i/>
                <w:color w:val="000000"/>
                <w:sz w:val="12"/>
              </w:rPr>
              <w:instrText>p</w:instrText>
            </w:r>
            <w:r>
              <w:rPr>
                <w:color w:val="000000"/>
              </w:rPr>
              <w:instrText xml:space="preserve">) </w:instrText>
            </w:r>
            <w:r>
              <w:rPr>
                <w:color w:val="000000"/>
              </w:rPr>
              <w:fldChar w:fldCharType="end"/>
            </w:r>
          </w:p>
        </w:tc>
        <w:tc>
          <w:tcPr>
            <w:tcW w:w="1080" w:type="dxa"/>
          </w:tcPr>
          <w:p w:rsidR="00AF2508" w:rsidRDefault="00AF2508">
            <w:pPr>
              <w:pStyle w:val="allsections"/>
              <w:spacing w:before="160"/>
              <w:ind w:firstLine="0"/>
              <w:jc w:val="left"/>
              <w:rPr>
                <w:color w:val="000000"/>
              </w:rPr>
            </w:pPr>
            <w:r>
              <w:rPr>
                <w:color w:val="000000"/>
                <w:sz w:val="28"/>
              </w:rPr>
              <w:t>+</w:t>
            </w:r>
            <w:r>
              <w:rPr>
                <w:rStyle w:val="charItals"/>
              </w:rPr>
              <w:t xml:space="preserve">fx </w:t>
            </w:r>
            <w:r>
              <w:rPr>
                <w:color w:val="000000"/>
                <w:sz w:val="28"/>
              </w:rPr>
              <w:t>+</w:t>
            </w:r>
            <w:r>
              <w:rPr>
                <w:color w:val="000000"/>
              </w:rPr>
              <w:t xml:space="preserve"> </w:t>
            </w:r>
            <w:r>
              <w:rPr>
                <w:rStyle w:val="charItals"/>
              </w:rPr>
              <w:t>fy</w:t>
            </w:r>
          </w:p>
        </w:tc>
        <w:tc>
          <w:tcPr>
            <w:tcW w:w="360" w:type="dxa"/>
          </w:tcPr>
          <w:p w:rsidR="00AF2508" w:rsidRDefault="00AF2508">
            <w:pPr>
              <w:pStyle w:val="allsections"/>
              <w:ind w:firstLine="0"/>
              <w:jc w:val="left"/>
              <w:rPr>
                <w:color w:val="000000"/>
                <w:sz w:val="48"/>
              </w:rPr>
            </w:pPr>
            <w:r>
              <w:rPr>
                <w:color w:val="000000"/>
                <w:sz w:val="48"/>
              </w:rPr>
              <w:t>)</w:t>
            </w:r>
          </w:p>
        </w:tc>
        <w:tc>
          <w:tcPr>
            <w:tcW w:w="3960" w:type="dxa"/>
          </w:tcPr>
          <w:p w:rsidR="00AF2508" w:rsidRDefault="00AF2508">
            <w:pPr>
              <w:pStyle w:val="allsections"/>
              <w:tabs>
                <w:tab w:val="left" w:leader="dot" w:pos="1480"/>
              </w:tabs>
              <w:spacing w:before="160"/>
              <w:ind w:firstLine="0"/>
              <w:jc w:val="left"/>
              <w:rPr>
                <w:rFonts w:ascii="Times New Roman" w:hAnsi="Times New Roman"/>
                <w:color w:val="000000"/>
              </w:rPr>
            </w:pPr>
            <w:r>
              <w:rPr>
                <w:rFonts w:ascii="Times New Roman" w:hAnsi="Times New Roman"/>
                <w:color w:val="000000"/>
              </w:rPr>
              <w:t>pounds per square inch</w:t>
            </w:r>
          </w:p>
        </w:tc>
      </w:tr>
    </w:tbl>
    <w:p w:rsidR="00AF2508" w:rsidRDefault="00AF2508">
      <w:pPr>
        <w:pStyle w:val="Amainreturn"/>
      </w:pPr>
      <w:r>
        <w:t>where, in relation to the section under consideration:</w:t>
      </w:r>
    </w:p>
    <w:p w:rsidR="00AF2508" w:rsidRDefault="00AF2508">
      <w:pPr>
        <w:pStyle w:val="aDef"/>
      </w:pPr>
      <w:r>
        <w:rPr>
          <w:rStyle w:val="charBoldItals"/>
        </w:rPr>
        <w:t>c</w:t>
      </w:r>
      <w:r>
        <w:t xml:space="preserve"> is a constant, having the value 8000 for ironbark or other Australian hardwood timbers, or 3600 for Douglas fir (Oregon pine).</w:t>
      </w:r>
    </w:p>
    <w:p w:rsidR="00AF2508" w:rsidRDefault="00AF2508">
      <w:pPr>
        <w:pStyle w:val="aDef"/>
      </w:pPr>
      <w:r>
        <w:rPr>
          <w:rStyle w:val="charItals"/>
          <w:b/>
        </w:rPr>
        <w:t>f</w:t>
      </w:r>
      <w:r>
        <w:t xml:space="preserve"> is the maximum axial compressive stress.</w:t>
      </w:r>
    </w:p>
    <w:p w:rsidR="00AF2508" w:rsidRDefault="00AF2508">
      <w:pPr>
        <w:pStyle w:val="aDef"/>
      </w:pPr>
      <w:r>
        <w:rPr>
          <w:rStyle w:val="charItals"/>
          <w:b/>
        </w:rPr>
        <w:t>fp</w:t>
      </w:r>
      <w:r>
        <w:t xml:space="preserve"> is the maximum permissible axial compressive stress as prescribed in this section for the same member if assumed subject solely to axial stress.</w:t>
      </w:r>
    </w:p>
    <w:p w:rsidR="00AF2508" w:rsidRDefault="00AF2508">
      <w:pPr>
        <w:pStyle w:val="aDef"/>
      </w:pPr>
      <w:r>
        <w:rPr>
          <w:rStyle w:val="charItals"/>
          <w:b/>
        </w:rPr>
        <w:t>fx</w:t>
      </w:r>
      <w:r>
        <w:t xml:space="preserve"> and </w:t>
      </w:r>
      <w:r>
        <w:rPr>
          <w:rStyle w:val="charItals"/>
          <w:b/>
        </w:rPr>
        <w:t>fy</w:t>
      </w:r>
      <w:r>
        <w:t xml:space="preserve"> are the maximum transverse stresses due to external flexural forces acting or resolved about the respective principal rectilinear axes.</w:t>
      </w:r>
    </w:p>
    <w:p w:rsidR="00AF2508" w:rsidRDefault="00AF2508">
      <w:pPr>
        <w:pStyle w:val="Amain"/>
      </w:pPr>
      <w:r>
        <w:rPr>
          <w:color w:val="000000"/>
        </w:rPr>
        <w:tab/>
        <w:t>(50)</w:t>
      </w:r>
      <w:r>
        <w:rPr>
          <w:color w:val="000000"/>
        </w:rPr>
        <w:tab/>
        <w:t>If the cross-section of a timber compression member or strut is less near the ends of the member than in the vicinity of the half-length of it, the diameter of the inscribed circle referred to in subsections (47) and (48) shall, for the purpose of assessing the slenderness ratio, be reduced in the ratio—</w:t>
      </w:r>
    </w:p>
    <w:p w:rsidR="00AF2508" w:rsidRDefault="00AF2508">
      <w:pPr>
        <w:pStyle w:val="Amain"/>
        <w:jc w:val="center"/>
        <w:rPr>
          <w:color w:val="000000"/>
        </w:rPr>
      </w:pPr>
      <w:r>
        <w:rPr>
          <w:color w:val="000000"/>
        </w:rPr>
        <w:fldChar w:fldCharType="begin"/>
      </w:r>
      <w:r>
        <w:rPr>
          <w:color w:val="000000"/>
        </w:rPr>
        <w:instrText xml:space="preserve"> EQ \F(</w:instrText>
      </w:r>
      <w:r>
        <w:rPr>
          <w:b/>
          <w:color w:val="000000"/>
        </w:rPr>
        <w:instrText>D</w:instrText>
      </w:r>
      <w:r>
        <w:rPr>
          <w:i/>
          <w:color w:val="000000"/>
        </w:rPr>
        <w:instrText>q</w:instrText>
      </w:r>
      <w:r>
        <w:rPr>
          <w:color w:val="000000"/>
        </w:rPr>
        <w:instrText>,0.75</w:instrText>
      </w:r>
      <w:r>
        <w:rPr>
          <w:b/>
          <w:color w:val="000000"/>
        </w:rPr>
        <w:instrText>D</w:instrText>
      </w:r>
      <w:r>
        <w:rPr>
          <w:color w:val="000000"/>
        </w:rPr>
        <w:instrText xml:space="preserve">) </w:instrText>
      </w:r>
      <w:r>
        <w:rPr>
          <w:color w:val="000000"/>
        </w:rPr>
        <w:fldChar w:fldCharType="end"/>
      </w:r>
    </w:p>
    <w:p w:rsidR="00AF2508" w:rsidRDefault="00AF2508">
      <w:pPr>
        <w:pStyle w:val="Amainreturn"/>
      </w:pPr>
      <w:r>
        <w:t>where:</w:t>
      </w:r>
    </w:p>
    <w:p w:rsidR="00AF2508" w:rsidRDefault="00AF2508">
      <w:pPr>
        <w:pStyle w:val="Amainreturn"/>
      </w:pPr>
      <w:r>
        <w:rPr>
          <w:b/>
        </w:rPr>
        <w:t>D</w:t>
      </w:r>
      <w:r>
        <w:t xml:space="preserve"> is the diameter of the greatest inscribed circle of a section at the half</w:t>
      </w:r>
      <w:r>
        <w:noBreakHyphen/>
        <w:t>length of the member.</w:t>
      </w:r>
    </w:p>
    <w:p w:rsidR="00AF2508" w:rsidRDefault="00AF2508">
      <w:pPr>
        <w:pStyle w:val="aDef"/>
      </w:pPr>
      <w:r>
        <w:rPr>
          <w:b/>
        </w:rPr>
        <w:t>D</w:t>
      </w:r>
      <w:r>
        <w:rPr>
          <w:rStyle w:val="charItals"/>
          <w:b/>
        </w:rPr>
        <w:t>q</w:t>
      </w:r>
      <w:r>
        <w:t xml:space="preserve"> is the diameter of the greatest inscribed circle of the least section that is </w:t>
      </w:r>
      <w:r>
        <w:rPr>
          <w:position w:val="6"/>
          <w:sz w:val="18"/>
        </w:rPr>
        <w:t>1</w:t>
      </w:r>
      <w:r>
        <w:t>/</w:t>
      </w:r>
      <w:r>
        <w:rPr>
          <w:sz w:val="18"/>
        </w:rPr>
        <w:t>4</w:t>
      </w:r>
      <w:r>
        <w:t xml:space="preserve"> of the length of the member from either end.</w:t>
      </w:r>
    </w:p>
    <w:p w:rsidR="00AF2508" w:rsidRDefault="00AF2508">
      <w:pPr>
        <w:pStyle w:val="Amain"/>
      </w:pPr>
      <w:r>
        <w:rPr>
          <w:color w:val="000000"/>
        </w:rPr>
        <w:tab/>
        <w:t>(51)</w:t>
      </w:r>
      <w:r>
        <w:rPr>
          <w:color w:val="000000"/>
        </w:rPr>
        <w:tab/>
        <w:t xml:space="preserve">The computed early deflection of a timber beam in the direction of either the major or minor rectilinear axis of any cross-section shall not exceed </w:t>
      </w:r>
      <w:r>
        <w:rPr>
          <w:color w:val="000000"/>
          <w:position w:val="6"/>
          <w:sz w:val="18"/>
        </w:rPr>
        <w:t>1</w:t>
      </w:r>
      <w:r>
        <w:rPr>
          <w:color w:val="000000"/>
        </w:rPr>
        <w:t>/</w:t>
      </w:r>
      <w:r>
        <w:rPr>
          <w:color w:val="000000"/>
          <w:sz w:val="18"/>
        </w:rPr>
        <w:t>380</w:t>
      </w:r>
      <w:r>
        <w:rPr>
          <w:color w:val="000000"/>
        </w:rPr>
        <w:t xml:space="preserve"> part of the span of the beam.</w:t>
      </w:r>
    </w:p>
    <w:p w:rsidR="00AF2508" w:rsidRDefault="00AF2508">
      <w:pPr>
        <w:pStyle w:val="Amain"/>
      </w:pPr>
      <w:r>
        <w:tab/>
        <w:t>(52)</w:t>
      </w:r>
      <w:r>
        <w:tab/>
        <w:t>The computed early deflection at the extremity of a timber cantilever shall not when measured in the direction of either the major or minor rectilinear axis of any cross-section, exceed </w:t>
      </w:r>
      <w:r>
        <w:rPr>
          <w:position w:val="6"/>
          <w:sz w:val="18"/>
        </w:rPr>
        <w:t>1</w:t>
      </w:r>
      <w:r>
        <w:t>/</w:t>
      </w:r>
      <w:r>
        <w:rPr>
          <w:sz w:val="18"/>
        </w:rPr>
        <w:t>190</w:t>
      </w:r>
      <w:r>
        <w:t> part of the length of the cantilever.</w:t>
      </w:r>
    </w:p>
    <w:p w:rsidR="00AF2508" w:rsidRDefault="00AF2508">
      <w:pPr>
        <w:pStyle w:val="Amain"/>
        <w:keepLines/>
      </w:pPr>
      <w:r>
        <w:tab/>
        <w:t>(53)</w:t>
      </w:r>
      <w:r>
        <w:tab/>
        <w:t xml:space="preserve">The computed early deflection of a timber beam used for scaffolding or shoring purposes, shall not exceed </w:t>
      </w:r>
      <w:r>
        <w:rPr>
          <w:position w:val="6"/>
          <w:sz w:val="18"/>
        </w:rPr>
        <w:t>1</w:t>
      </w:r>
      <w:r>
        <w:t>/</w:t>
      </w:r>
      <w:r>
        <w:rPr>
          <w:sz w:val="18"/>
        </w:rPr>
        <w:t>150</w:t>
      </w:r>
      <w:r>
        <w:t xml:space="preserve"> part of the span of the beam, provided that the computed early deflection of platform planks of bricklayers’ or similar heavy scaffoldings shall not exceed </w:t>
      </w:r>
      <w:r>
        <w:rPr>
          <w:position w:val="6"/>
          <w:sz w:val="18"/>
        </w:rPr>
        <w:t>1</w:t>
      </w:r>
      <w:r>
        <w:t>/</w:t>
      </w:r>
      <w:r>
        <w:rPr>
          <w:sz w:val="18"/>
        </w:rPr>
        <w:t>60</w:t>
      </w:r>
      <w:r>
        <w:t xml:space="preserve"> part of their span, and that the computed early deflection of platform planks of decorators’ or similar scaffoldings of the lightest type shall not exceed 5</w:t>
      </w:r>
      <w:r>
        <w:rPr>
          <w:position w:val="6"/>
          <w:sz w:val="18"/>
        </w:rPr>
        <w:t>1</w:t>
      </w:r>
      <w:r>
        <w:t>/</w:t>
      </w:r>
      <w:r>
        <w:rPr>
          <w:sz w:val="18"/>
        </w:rPr>
        <w:t>2</w:t>
      </w:r>
      <w:r>
        <w:t xml:space="preserve"> inches.</w:t>
      </w:r>
    </w:p>
    <w:p w:rsidR="00AF2508" w:rsidRDefault="00AF2508">
      <w:pPr>
        <w:pStyle w:val="Amain"/>
      </w:pPr>
      <w:r>
        <w:tab/>
        <w:t>(54)</w:t>
      </w:r>
      <w:r>
        <w:tab/>
        <w:t>For the purpose of computing the deflections the modulus of elasticity of the constituent timber shall be deemed to be—</w:t>
      </w:r>
    </w:p>
    <w:p w:rsidR="00AF2508" w:rsidRDefault="00AF2508">
      <w:pPr>
        <w:pStyle w:val="Apara"/>
      </w:pPr>
      <w:r>
        <w:tab/>
        <w:t>(a)</w:t>
      </w:r>
      <w:r>
        <w:tab/>
        <w:t>for ironbark—1 300 tons per square inch; and</w:t>
      </w:r>
    </w:p>
    <w:p w:rsidR="00AF2508" w:rsidRDefault="00AF2508">
      <w:pPr>
        <w:pStyle w:val="Apara"/>
      </w:pPr>
      <w:r>
        <w:tab/>
        <w:t>(b)</w:t>
      </w:r>
      <w:r>
        <w:tab/>
        <w:t>for other hardwoods—1 050 tons per square inch; and</w:t>
      </w:r>
    </w:p>
    <w:p w:rsidR="00AF2508" w:rsidRDefault="00AF2508">
      <w:pPr>
        <w:pStyle w:val="Apara"/>
      </w:pPr>
      <w:r>
        <w:tab/>
        <w:t>(c)</w:t>
      </w:r>
      <w:r>
        <w:tab/>
        <w:t>for Douglas fir (Oregon pine)—715 tons per square inch.</w:t>
      </w:r>
    </w:p>
    <w:p w:rsidR="00AF2508" w:rsidRDefault="00AF2508">
      <w:pPr>
        <w:pStyle w:val="Amain"/>
      </w:pPr>
      <w:r>
        <w:tab/>
        <w:t>(55)</w:t>
      </w:r>
      <w:r>
        <w:tab/>
        <w:t>In computing deflections it shall be necessary to increase the forces producing the deflections in the way provided by section 125.</w:t>
      </w:r>
    </w:p>
    <w:p w:rsidR="00AF2508" w:rsidRDefault="00AF2508">
      <w:pPr>
        <w:pStyle w:val="Amain"/>
      </w:pPr>
      <w:r>
        <w:tab/>
        <w:t>(56)</w:t>
      </w:r>
      <w:r>
        <w:tab/>
        <w:t>Forces shall be considered to act simultaneously and the horizontal forces referred to in section 124 shall be included.</w:t>
      </w:r>
    </w:p>
    <w:p w:rsidR="00AF2508" w:rsidRDefault="00AF2508">
      <w:pPr>
        <w:pStyle w:val="Amain"/>
      </w:pPr>
      <w:r>
        <w:rPr>
          <w:color w:val="000000"/>
        </w:rPr>
        <w:tab/>
        <w:t>(57)</w:t>
      </w:r>
      <w:r>
        <w:rPr>
          <w:color w:val="000000"/>
        </w:rPr>
        <w:tab/>
        <w:t>The thickness of a timber beam or cantilever shall not be less than </w:t>
      </w:r>
      <w:r>
        <w:rPr>
          <w:color w:val="000000"/>
          <w:position w:val="6"/>
          <w:sz w:val="18"/>
        </w:rPr>
        <w:t>1</w:t>
      </w:r>
      <w:r>
        <w:rPr>
          <w:color w:val="000000"/>
        </w:rPr>
        <w:t>/</w:t>
      </w:r>
      <w:r>
        <w:rPr>
          <w:color w:val="000000"/>
          <w:sz w:val="18"/>
        </w:rPr>
        <w:t>4</w:t>
      </w:r>
      <w:r>
        <w:rPr>
          <w:color w:val="000000"/>
        </w:rPr>
        <w:t xml:space="preserve"> of the depth of the beam or cantilever.</w:t>
      </w:r>
    </w:p>
    <w:p w:rsidR="00AF2508" w:rsidRDefault="00AF2508">
      <w:pPr>
        <w:pStyle w:val="Amain"/>
      </w:pPr>
      <w:r>
        <w:rPr>
          <w:color w:val="000000"/>
        </w:rPr>
        <w:tab/>
        <w:t>(58)</w:t>
      </w:r>
      <w:r>
        <w:rPr>
          <w:color w:val="000000"/>
        </w:rPr>
        <w:tab/>
        <w:t>If 1 bridge beam only of an overhead traveller crane is supported laterally by effective bracings, the other bridge beam may be considered to derive from it a measure of lateral support per medium of the crab frame and its track wheels, provided the wheels have double flanges and together with their supports and fastenings are considered by the chief inspector to be suitable for the purpose.</w:t>
      </w:r>
    </w:p>
    <w:p w:rsidR="00AF2508" w:rsidRDefault="00AF2508">
      <w:pPr>
        <w:pStyle w:val="Amain"/>
      </w:pPr>
      <w:r>
        <w:tab/>
        <w:t>(59)</w:t>
      </w:r>
      <w:r>
        <w:tab/>
        <w:t>In such case the strength of the unbraced beam may be determined by placing the fully-loaded crab at whatever position is productive of the greatest critical stress.</w:t>
      </w:r>
    </w:p>
    <w:p w:rsidR="00AF2508" w:rsidRDefault="00AF2508">
      <w:pPr>
        <w:pStyle w:val="Amain"/>
        <w:keepLines/>
      </w:pPr>
      <w:r>
        <w:tab/>
        <w:t>(60)</w:t>
      </w:r>
      <w:r>
        <w:tab/>
        <w:t xml:space="preserve">The maximum stress then resulting at any section of the unbraced beam shall not exceed the maximum stress permissible for the same beam when the laterally unsupported length is deemed to be </w:t>
      </w:r>
      <w:r>
        <w:rPr>
          <w:position w:val="6"/>
          <w:sz w:val="18"/>
        </w:rPr>
        <w:t>3</w:t>
      </w:r>
      <w:r>
        <w:t>/</w:t>
      </w:r>
      <w:r>
        <w:rPr>
          <w:sz w:val="18"/>
        </w:rPr>
        <w:t>4</w:t>
      </w:r>
      <w:r>
        <w:t xml:space="preserve"> of the actual span.</w:t>
      </w:r>
    </w:p>
    <w:p w:rsidR="00AF2508" w:rsidRDefault="00AF2508">
      <w:pPr>
        <w:pStyle w:val="Amain"/>
      </w:pPr>
      <w:r>
        <w:tab/>
        <w:t>(61)</w:t>
      </w:r>
      <w:r>
        <w:tab/>
        <w:t xml:space="preserve">The lateral deflection due to all loads other than those applied by the crab wheels shall not exceed </w:t>
      </w:r>
      <w:r>
        <w:rPr>
          <w:position w:val="6"/>
          <w:sz w:val="18"/>
        </w:rPr>
        <w:t>1</w:t>
      </w:r>
      <w:r>
        <w:t>/</w:t>
      </w:r>
      <w:r>
        <w:rPr>
          <w:sz w:val="18"/>
        </w:rPr>
        <w:t>2</w:t>
      </w:r>
      <w:r>
        <w:t xml:space="preserve"> an inch, when calculated on the assumption that the crane is brought evenly to rest from its maximum travelling speed in a distance of 5 feet.</w:t>
      </w:r>
    </w:p>
    <w:p w:rsidR="00AF2508" w:rsidRDefault="00AF2508">
      <w:pPr>
        <w:pStyle w:val="Amain"/>
      </w:pPr>
      <w:r>
        <w:tab/>
        <w:t>(62)</w:t>
      </w:r>
      <w:r>
        <w:tab/>
        <w:t>Other deflections with the crab at any position shall not, however, exceed those elsewhere prescribed for beams by this regulation.</w:t>
      </w:r>
    </w:p>
    <w:p w:rsidR="00AF2508" w:rsidRDefault="00AF2508">
      <w:pPr>
        <w:pStyle w:val="Amain"/>
        <w:rPr>
          <w:color w:val="000000"/>
        </w:rPr>
      </w:pPr>
      <w:r>
        <w:rPr>
          <w:color w:val="000000"/>
        </w:rPr>
        <w:tab/>
        <w:t>(63)</w:t>
      </w:r>
      <w:r>
        <w:rPr>
          <w:color w:val="000000"/>
        </w:rPr>
        <w:tab/>
        <w:t>The ratio of slenderness of a tension member shall not exceed 300.</w:t>
      </w:r>
    </w:p>
    <w:p w:rsidR="00AF2508" w:rsidRDefault="00AF2508">
      <w:pPr>
        <w:pStyle w:val="Amain"/>
      </w:pPr>
      <w:r>
        <w:rPr>
          <w:color w:val="000000"/>
        </w:rPr>
        <w:tab/>
        <w:t>(64)</w:t>
      </w:r>
      <w:r>
        <w:rPr>
          <w:color w:val="000000"/>
        </w:rPr>
        <w:tab/>
        <w:t>The ratio shall be determined as though the member were a compression member.</w:t>
      </w:r>
    </w:p>
    <w:p w:rsidR="00AF2508" w:rsidRDefault="00AF2508">
      <w:pPr>
        <w:pStyle w:val="Amain"/>
        <w:rPr>
          <w:color w:val="000000"/>
        </w:rPr>
      </w:pPr>
      <w:r>
        <w:rPr>
          <w:color w:val="000000"/>
        </w:rPr>
        <w:tab/>
        <w:t>(65)</w:t>
      </w:r>
      <w:r>
        <w:rPr>
          <w:color w:val="000000"/>
        </w:rPr>
        <w:tab/>
        <w:t>After being increased as prescribed by subsection (67), the torsional stress imposed or developed in any spring made from carbon spring steel shall not exceed the relevant and appropriate maximum stress shown in table 126.8.</w:t>
      </w:r>
    </w:p>
    <w:p w:rsidR="00AF2508" w:rsidRDefault="00AF2508">
      <w:pPr>
        <w:pStyle w:val="Amain"/>
      </w:pPr>
      <w:r>
        <w:rPr>
          <w:color w:val="000000"/>
        </w:rPr>
        <w:tab/>
        <w:t>(66)</w:t>
      </w:r>
      <w:r>
        <w:rPr>
          <w:color w:val="000000"/>
        </w:rPr>
        <w:tab/>
        <w:t>It shall not be necessary to increase the computed forces on, or moments in, a spring in the way otherwise prescribed by section 125, unless alternation occurs, and in such case the provisions of section 122 shall apply.</w:t>
      </w:r>
    </w:p>
    <w:p w:rsidR="00AF2508" w:rsidRDefault="00AF2508">
      <w:pPr>
        <w:pStyle w:val="TableHd"/>
        <w:ind w:left="1539" w:hanging="1539"/>
      </w:pPr>
      <w:r>
        <w:t>Table 126.8</w:t>
      </w:r>
      <w:r>
        <w:tab/>
        <w:t>Maximum torsional stresses permissible in springs of carbon spring steel (in pounds per square inch)</w:t>
      </w:r>
    </w:p>
    <w:tbl>
      <w:tblPr>
        <w:tblW w:w="7752" w:type="dxa"/>
        <w:tblInd w:w="80" w:type="dxa"/>
        <w:tblLayout w:type="fixed"/>
        <w:tblCellMar>
          <w:left w:w="80" w:type="dxa"/>
          <w:right w:w="80" w:type="dxa"/>
        </w:tblCellMar>
        <w:tblLook w:val="0000" w:firstRow="0" w:lastRow="0" w:firstColumn="0" w:lastColumn="0" w:noHBand="0" w:noVBand="0"/>
      </w:tblPr>
      <w:tblGrid>
        <w:gridCol w:w="4040"/>
        <w:gridCol w:w="1375"/>
        <w:gridCol w:w="1140"/>
        <w:gridCol w:w="1197"/>
      </w:tblGrid>
      <w:tr w:rsidR="00AF2508">
        <w:trPr>
          <w:cantSplit/>
          <w:tblHeader/>
        </w:trPr>
        <w:tc>
          <w:tcPr>
            <w:tcW w:w="4040" w:type="dxa"/>
          </w:tcPr>
          <w:p w:rsidR="00AF2508" w:rsidRDefault="00AF2508">
            <w:pPr>
              <w:pStyle w:val="TableColHd"/>
            </w:pPr>
            <w:r>
              <w:t>diameter in inches of greatest circle that may be inscribed within the least section that is relevant of the material of which spring is made</w:t>
            </w:r>
          </w:p>
        </w:tc>
        <w:tc>
          <w:tcPr>
            <w:tcW w:w="3712" w:type="dxa"/>
            <w:gridSpan w:val="3"/>
          </w:tcPr>
          <w:p w:rsidR="00AF2508" w:rsidRDefault="00AF2508">
            <w:pPr>
              <w:pStyle w:val="TableColHd"/>
              <w:ind w:left="440"/>
            </w:pPr>
            <w:r>
              <w:t>classification of part of crane, hoist, plant, or scaffolding in which spring is employed</w:t>
            </w:r>
          </w:p>
        </w:tc>
      </w:tr>
      <w:tr w:rsidR="00AF2508">
        <w:trPr>
          <w:cantSplit/>
          <w:tblHeader/>
        </w:trPr>
        <w:tc>
          <w:tcPr>
            <w:tcW w:w="4040" w:type="dxa"/>
            <w:tcBorders>
              <w:bottom w:val="single" w:sz="4" w:space="0" w:color="auto"/>
            </w:tcBorders>
          </w:tcPr>
          <w:p w:rsidR="00AF2508" w:rsidRDefault="00AF2508">
            <w:pPr>
              <w:pStyle w:val="TableColHd"/>
            </w:pPr>
          </w:p>
        </w:tc>
        <w:tc>
          <w:tcPr>
            <w:tcW w:w="1375" w:type="dxa"/>
            <w:tcBorders>
              <w:bottom w:val="single" w:sz="4" w:space="0" w:color="auto"/>
            </w:tcBorders>
          </w:tcPr>
          <w:p w:rsidR="00AF2508" w:rsidRDefault="00AF2508">
            <w:pPr>
              <w:pStyle w:val="TableColHd"/>
              <w:jc w:val="center"/>
            </w:pPr>
            <w:r>
              <w:t>4</w:t>
            </w:r>
          </w:p>
        </w:tc>
        <w:tc>
          <w:tcPr>
            <w:tcW w:w="1140" w:type="dxa"/>
            <w:tcBorders>
              <w:bottom w:val="single" w:sz="4" w:space="0" w:color="auto"/>
            </w:tcBorders>
          </w:tcPr>
          <w:p w:rsidR="00AF2508" w:rsidRDefault="00AF2508">
            <w:pPr>
              <w:pStyle w:val="TableColHd"/>
              <w:jc w:val="center"/>
            </w:pPr>
            <w:r>
              <w:t>3</w:t>
            </w:r>
          </w:p>
        </w:tc>
        <w:tc>
          <w:tcPr>
            <w:tcW w:w="1197" w:type="dxa"/>
            <w:tcBorders>
              <w:bottom w:val="single" w:sz="4" w:space="0" w:color="auto"/>
            </w:tcBorders>
          </w:tcPr>
          <w:p w:rsidR="00AF2508" w:rsidRDefault="00AF2508">
            <w:pPr>
              <w:pStyle w:val="TableColHd"/>
              <w:jc w:val="center"/>
            </w:pPr>
            <w:r>
              <w:t>2 or 1</w:t>
            </w:r>
          </w:p>
        </w:tc>
      </w:tr>
      <w:tr w:rsidR="00AF2508">
        <w:trPr>
          <w:cantSplit/>
        </w:trPr>
        <w:tc>
          <w:tcPr>
            <w:tcW w:w="4040" w:type="dxa"/>
            <w:tcBorders>
              <w:top w:val="single" w:sz="4" w:space="0" w:color="auto"/>
            </w:tcBorders>
          </w:tcPr>
          <w:p w:rsidR="00AF2508" w:rsidRDefault="00AF2508">
            <w:pPr>
              <w:pStyle w:val="TableText"/>
              <w:keepNext/>
            </w:pPr>
            <w:r>
              <w:t>not exceeding 0.085</w:t>
            </w:r>
          </w:p>
        </w:tc>
        <w:tc>
          <w:tcPr>
            <w:tcW w:w="1375" w:type="dxa"/>
            <w:tcBorders>
              <w:top w:val="single" w:sz="4" w:space="0" w:color="auto"/>
            </w:tcBorders>
          </w:tcPr>
          <w:p w:rsidR="00AF2508" w:rsidRDefault="00AF2508">
            <w:pPr>
              <w:pStyle w:val="TableText"/>
              <w:jc w:val="center"/>
            </w:pPr>
            <w:r>
              <w:t>60 000</w:t>
            </w:r>
          </w:p>
        </w:tc>
        <w:tc>
          <w:tcPr>
            <w:tcW w:w="1140" w:type="dxa"/>
            <w:tcBorders>
              <w:top w:val="single" w:sz="4" w:space="0" w:color="auto"/>
            </w:tcBorders>
          </w:tcPr>
          <w:p w:rsidR="00AF2508" w:rsidRDefault="00AF2508">
            <w:pPr>
              <w:pStyle w:val="TableText"/>
              <w:jc w:val="center"/>
            </w:pPr>
            <w:r>
              <w:t>75 000</w:t>
            </w:r>
          </w:p>
        </w:tc>
        <w:tc>
          <w:tcPr>
            <w:tcW w:w="1197" w:type="dxa"/>
            <w:tcBorders>
              <w:top w:val="single" w:sz="4" w:space="0" w:color="auto"/>
            </w:tcBorders>
          </w:tcPr>
          <w:p w:rsidR="00AF2508" w:rsidRDefault="00AF2508">
            <w:pPr>
              <w:pStyle w:val="TableText"/>
              <w:jc w:val="center"/>
            </w:pPr>
            <w:r>
              <w:t>93 000</w:t>
            </w:r>
          </w:p>
        </w:tc>
      </w:tr>
      <w:tr w:rsidR="00AF2508">
        <w:trPr>
          <w:cantSplit/>
        </w:trPr>
        <w:tc>
          <w:tcPr>
            <w:tcW w:w="4040" w:type="dxa"/>
          </w:tcPr>
          <w:p w:rsidR="00AF2508" w:rsidRDefault="00AF2508">
            <w:pPr>
              <w:pStyle w:val="TableText"/>
            </w:pPr>
            <w:r>
              <w:t>above .085 and no exceeding 0.185</w:t>
            </w:r>
          </w:p>
        </w:tc>
        <w:tc>
          <w:tcPr>
            <w:tcW w:w="1375" w:type="dxa"/>
          </w:tcPr>
          <w:p w:rsidR="00AF2508" w:rsidRDefault="00AF2508">
            <w:pPr>
              <w:pStyle w:val="TableText"/>
              <w:jc w:val="center"/>
            </w:pPr>
            <w:r>
              <w:t>55 000</w:t>
            </w:r>
          </w:p>
        </w:tc>
        <w:tc>
          <w:tcPr>
            <w:tcW w:w="1140" w:type="dxa"/>
          </w:tcPr>
          <w:p w:rsidR="00AF2508" w:rsidRDefault="00AF2508">
            <w:pPr>
              <w:pStyle w:val="TableText"/>
              <w:jc w:val="center"/>
            </w:pPr>
            <w:r>
              <w:t>69 000</w:t>
            </w:r>
          </w:p>
        </w:tc>
        <w:tc>
          <w:tcPr>
            <w:tcW w:w="1197" w:type="dxa"/>
          </w:tcPr>
          <w:p w:rsidR="00AF2508" w:rsidRDefault="00AF2508">
            <w:pPr>
              <w:pStyle w:val="TableText"/>
              <w:jc w:val="center"/>
            </w:pPr>
            <w:r>
              <w:t>85 000</w:t>
            </w:r>
          </w:p>
        </w:tc>
      </w:tr>
      <w:tr w:rsidR="00AF2508">
        <w:trPr>
          <w:cantSplit/>
        </w:trPr>
        <w:tc>
          <w:tcPr>
            <w:tcW w:w="4040" w:type="dxa"/>
          </w:tcPr>
          <w:p w:rsidR="00AF2508" w:rsidRDefault="00AF2508">
            <w:pPr>
              <w:pStyle w:val="TableText"/>
            </w:pPr>
            <w:r>
              <w:t>above 0.185 and not exceeding 0.32</w:t>
            </w:r>
          </w:p>
        </w:tc>
        <w:tc>
          <w:tcPr>
            <w:tcW w:w="1375" w:type="dxa"/>
          </w:tcPr>
          <w:p w:rsidR="00AF2508" w:rsidRDefault="00AF2508">
            <w:pPr>
              <w:pStyle w:val="TableText"/>
              <w:jc w:val="center"/>
            </w:pPr>
            <w:r>
              <w:t>48 000</w:t>
            </w:r>
          </w:p>
        </w:tc>
        <w:tc>
          <w:tcPr>
            <w:tcW w:w="1140" w:type="dxa"/>
          </w:tcPr>
          <w:p w:rsidR="00AF2508" w:rsidRDefault="00AF2508">
            <w:pPr>
              <w:pStyle w:val="TableText"/>
              <w:jc w:val="center"/>
            </w:pPr>
            <w:r>
              <w:t>60 000</w:t>
            </w:r>
          </w:p>
        </w:tc>
        <w:tc>
          <w:tcPr>
            <w:tcW w:w="1197" w:type="dxa"/>
          </w:tcPr>
          <w:p w:rsidR="00AF2508" w:rsidRDefault="00AF2508">
            <w:pPr>
              <w:pStyle w:val="TableText"/>
              <w:jc w:val="center"/>
            </w:pPr>
            <w:r>
              <w:t>74 000</w:t>
            </w:r>
          </w:p>
        </w:tc>
      </w:tr>
      <w:tr w:rsidR="00AF2508">
        <w:trPr>
          <w:cantSplit/>
        </w:trPr>
        <w:tc>
          <w:tcPr>
            <w:tcW w:w="4040" w:type="dxa"/>
          </w:tcPr>
          <w:p w:rsidR="00AF2508" w:rsidRDefault="00AF2508">
            <w:pPr>
              <w:pStyle w:val="TableText"/>
            </w:pPr>
            <w:r>
              <w:t>above 0.32 and not exceeding 0.53</w:t>
            </w:r>
          </w:p>
        </w:tc>
        <w:tc>
          <w:tcPr>
            <w:tcW w:w="1375" w:type="dxa"/>
          </w:tcPr>
          <w:p w:rsidR="00AF2508" w:rsidRDefault="00AF2508">
            <w:pPr>
              <w:pStyle w:val="TableText"/>
              <w:jc w:val="center"/>
            </w:pPr>
            <w:r>
              <w:t>42 000</w:t>
            </w:r>
          </w:p>
        </w:tc>
        <w:tc>
          <w:tcPr>
            <w:tcW w:w="1140" w:type="dxa"/>
          </w:tcPr>
          <w:p w:rsidR="00AF2508" w:rsidRDefault="00AF2508">
            <w:pPr>
              <w:pStyle w:val="TableText"/>
              <w:jc w:val="center"/>
            </w:pPr>
            <w:r>
              <w:t>52 000</w:t>
            </w:r>
          </w:p>
        </w:tc>
        <w:tc>
          <w:tcPr>
            <w:tcW w:w="1197" w:type="dxa"/>
          </w:tcPr>
          <w:p w:rsidR="00AF2508" w:rsidRDefault="00AF2508">
            <w:pPr>
              <w:pStyle w:val="TableText"/>
              <w:jc w:val="center"/>
            </w:pPr>
            <w:r>
              <w:t>65 000</w:t>
            </w:r>
          </w:p>
        </w:tc>
      </w:tr>
      <w:tr w:rsidR="00AF2508">
        <w:trPr>
          <w:cantSplit/>
        </w:trPr>
        <w:tc>
          <w:tcPr>
            <w:tcW w:w="4040" w:type="dxa"/>
          </w:tcPr>
          <w:p w:rsidR="00AF2508" w:rsidRDefault="00AF2508">
            <w:pPr>
              <w:pStyle w:val="TableText"/>
            </w:pPr>
            <w:r>
              <w:t>above 0.53 and not exceeding 0.97</w:t>
            </w:r>
          </w:p>
        </w:tc>
        <w:tc>
          <w:tcPr>
            <w:tcW w:w="1375" w:type="dxa"/>
          </w:tcPr>
          <w:p w:rsidR="00AF2508" w:rsidRDefault="00AF2508">
            <w:pPr>
              <w:pStyle w:val="TableText"/>
              <w:jc w:val="center"/>
            </w:pPr>
            <w:r>
              <w:t>36 000</w:t>
            </w:r>
          </w:p>
        </w:tc>
        <w:tc>
          <w:tcPr>
            <w:tcW w:w="1140" w:type="dxa"/>
          </w:tcPr>
          <w:p w:rsidR="00AF2508" w:rsidRDefault="00AF2508">
            <w:pPr>
              <w:pStyle w:val="TableText"/>
              <w:jc w:val="center"/>
            </w:pPr>
            <w:r>
              <w:t>45 000</w:t>
            </w:r>
          </w:p>
        </w:tc>
        <w:tc>
          <w:tcPr>
            <w:tcW w:w="1197" w:type="dxa"/>
          </w:tcPr>
          <w:p w:rsidR="00AF2508" w:rsidRDefault="00AF2508">
            <w:pPr>
              <w:pStyle w:val="TableText"/>
              <w:jc w:val="center"/>
            </w:pPr>
            <w:r>
              <w:t>56 000</w:t>
            </w:r>
          </w:p>
        </w:tc>
      </w:tr>
      <w:tr w:rsidR="00AF2508">
        <w:trPr>
          <w:cantSplit/>
        </w:trPr>
        <w:tc>
          <w:tcPr>
            <w:tcW w:w="4040" w:type="dxa"/>
          </w:tcPr>
          <w:p w:rsidR="00AF2508" w:rsidRDefault="00AF2508">
            <w:pPr>
              <w:pStyle w:val="TableText"/>
            </w:pPr>
            <w:r>
              <w:t>above 0.97 and not exceeding 1.5</w:t>
            </w:r>
          </w:p>
        </w:tc>
        <w:tc>
          <w:tcPr>
            <w:tcW w:w="1375" w:type="dxa"/>
          </w:tcPr>
          <w:p w:rsidR="00AF2508" w:rsidRDefault="00AF2508">
            <w:pPr>
              <w:pStyle w:val="TableText"/>
              <w:jc w:val="center"/>
            </w:pPr>
            <w:r>
              <w:t>32 000</w:t>
            </w:r>
          </w:p>
        </w:tc>
        <w:tc>
          <w:tcPr>
            <w:tcW w:w="1140" w:type="dxa"/>
          </w:tcPr>
          <w:p w:rsidR="00AF2508" w:rsidRDefault="00AF2508">
            <w:pPr>
              <w:pStyle w:val="TableText"/>
              <w:jc w:val="center"/>
            </w:pPr>
            <w:r>
              <w:t>40 000</w:t>
            </w:r>
          </w:p>
        </w:tc>
        <w:tc>
          <w:tcPr>
            <w:tcW w:w="1197" w:type="dxa"/>
          </w:tcPr>
          <w:p w:rsidR="00AF2508" w:rsidRDefault="00AF2508">
            <w:pPr>
              <w:pStyle w:val="TableText"/>
              <w:jc w:val="center"/>
            </w:pPr>
            <w:r>
              <w:t>50 000</w:t>
            </w:r>
          </w:p>
        </w:tc>
      </w:tr>
    </w:tbl>
    <w:p w:rsidR="00AF2508" w:rsidRDefault="00AF2508"/>
    <w:p w:rsidR="00AF2508" w:rsidRDefault="00AF2508">
      <w:pPr>
        <w:pStyle w:val="Amain"/>
      </w:pPr>
      <w:r>
        <w:rPr>
          <w:color w:val="000000"/>
        </w:rPr>
        <w:tab/>
        <w:t>(67)</w:t>
      </w:r>
      <w:r>
        <w:rPr>
          <w:color w:val="000000"/>
        </w:rPr>
        <w:tab/>
        <w:t xml:space="preserve">To compensate for errors consequential to computation of only torsional stresses in helical or volute springs, the computed torsional stress in any helical or volute spring shall be increased in the ratio </w:t>
      </w:r>
      <w:r>
        <w:rPr>
          <w:b/>
          <w:color w:val="000000"/>
        </w:rPr>
        <w:t>W</w:t>
      </w:r>
      <w:r>
        <w:rPr>
          <w:color w:val="000000"/>
        </w:rPr>
        <w:t>, the Wahl factor, shown in table 126.9 as relevant and appropriate to the relationship:</w:t>
      </w:r>
    </w:p>
    <w:p w:rsidR="00AF2508" w:rsidRDefault="00AF2508">
      <w:pPr>
        <w:pStyle w:val="Formula"/>
      </w:pPr>
      <w:r>
        <w:t xml:space="preserve">R = </w:t>
      </w:r>
      <w:r>
        <w:fldChar w:fldCharType="begin"/>
      </w:r>
      <w:r>
        <w:instrText xml:space="preserve"> EQ \F(</w:instrText>
      </w:r>
      <w:r>
        <w:rPr>
          <w:b/>
        </w:rPr>
        <w:instrText>D</w:instrText>
      </w:r>
      <w:r>
        <w:instrText>,</w:instrText>
      </w:r>
      <w:r>
        <w:rPr>
          <w:i/>
        </w:rPr>
        <w:instrText>d</w:instrText>
      </w:r>
      <w:r>
        <w:instrText xml:space="preserve">) </w:instrText>
      </w:r>
      <w:r>
        <w:fldChar w:fldCharType="end"/>
      </w:r>
      <w:r>
        <w:t xml:space="preserve">  .</w:t>
      </w:r>
    </w:p>
    <w:p w:rsidR="00AF2508" w:rsidRDefault="00AF2508">
      <w:pPr>
        <w:pStyle w:val="Amain"/>
      </w:pPr>
      <w:r>
        <w:tab/>
        <w:t>(68)</w:t>
      </w:r>
      <w:r>
        <w:tab/>
        <w:t>In subsection (67):</w:t>
      </w:r>
    </w:p>
    <w:p w:rsidR="00AF2508" w:rsidRDefault="00AF2508">
      <w:pPr>
        <w:pStyle w:val="aDef"/>
      </w:pPr>
      <w:r>
        <w:rPr>
          <w:b/>
        </w:rPr>
        <w:t>D</w:t>
      </w:r>
      <w:r>
        <w:t xml:space="preserve"> is the maximum pitch circle diameter of the spring, measured in inches.</w:t>
      </w:r>
    </w:p>
    <w:p w:rsidR="00AF2508" w:rsidRDefault="00AF2508">
      <w:pPr>
        <w:pStyle w:val="aDef"/>
      </w:pPr>
      <w:r>
        <w:rPr>
          <w:rStyle w:val="charItals"/>
          <w:b/>
        </w:rPr>
        <w:t>d</w:t>
      </w:r>
      <w:r>
        <w:t xml:space="preserve"> is the diameter in inches of the greatest circle that may be inscribed within the least section that is relevant of the material of which the spring is made.</w:t>
      </w:r>
    </w:p>
    <w:p w:rsidR="00AF2508" w:rsidRDefault="00AF2508">
      <w:pPr>
        <w:pStyle w:val="TableHd"/>
        <w:ind w:left="2166" w:hanging="1653"/>
      </w:pPr>
      <w:r>
        <w:t>Table 126.9</w:t>
      </w:r>
      <w:r>
        <w:tab/>
        <w:t>Compensating ratios, W, or Wahl factors, for stresses in helical or volute springs</w:t>
      </w:r>
    </w:p>
    <w:tbl>
      <w:tblPr>
        <w:tblW w:w="0" w:type="auto"/>
        <w:tblInd w:w="536" w:type="dxa"/>
        <w:tblLayout w:type="fixed"/>
        <w:tblCellMar>
          <w:left w:w="80" w:type="dxa"/>
          <w:right w:w="80" w:type="dxa"/>
        </w:tblCellMar>
        <w:tblLook w:val="0000" w:firstRow="0" w:lastRow="0" w:firstColumn="0" w:lastColumn="0" w:noHBand="0" w:noVBand="0"/>
      </w:tblPr>
      <w:tblGrid>
        <w:gridCol w:w="1220"/>
        <w:gridCol w:w="1180"/>
        <w:gridCol w:w="1200"/>
        <w:gridCol w:w="1200"/>
        <w:gridCol w:w="6"/>
        <w:gridCol w:w="1194"/>
        <w:gridCol w:w="1280"/>
      </w:tblGrid>
      <w:tr w:rsidR="00AF2508">
        <w:trPr>
          <w:cantSplit/>
          <w:tblHeader/>
        </w:trPr>
        <w:tc>
          <w:tcPr>
            <w:tcW w:w="2400" w:type="dxa"/>
            <w:gridSpan w:val="2"/>
            <w:tcBorders>
              <w:top w:val="single" w:sz="6" w:space="0" w:color="auto"/>
              <w:bottom w:val="single" w:sz="6" w:space="0" w:color="auto"/>
            </w:tcBorders>
          </w:tcPr>
          <w:p w:rsidR="00AF2508" w:rsidRDefault="00AF2508">
            <w:pPr>
              <w:pStyle w:val="Formula"/>
            </w:pPr>
            <w:r>
              <w:rPr>
                <w:position w:val="-22"/>
              </w:rPr>
              <w:object w:dxaOrig="1540" w:dyaOrig="540">
                <v:shape id="_x0000_i1038" type="#_x0000_t75" style="width:77.25pt;height:27pt" o:ole="" fillcolor="window">
                  <v:imagedata r:id="rId73" o:title=""/>
                </v:shape>
                <o:OLEObject Type="Embed" ProgID="Equation.2" ShapeID="_x0000_i1038" DrawAspect="Content" ObjectID="_1595940263" r:id="rId74"/>
              </w:object>
            </w:r>
          </w:p>
        </w:tc>
        <w:tc>
          <w:tcPr>
            <w:tcW w:w="2406" w:type="dxa"/>
            <w:gridSpan w:val="3"/>
            <w:tcBorders>
              <w:top w:val="single" w:sz="6" w:space="0" w:color="auto"/>
              <w:bottom w:val="single" w:sz="6" w:space="0" w:color="auto"/>
            </w:tcBorders>
          </w:tcPr>
          <w:p w:rsidR="00AF2508" w:rsidRDefault="00AF2508">
            <w:pPr>
              <w:pStyle w:val="Formula"/>
            </w:pPr>
            <w:r>
              <w:rPr>
                <w:position w:val="-22"/>
              </w:rPr>
              <w:object w:dxaOrig="1540" w:dyaOrig="540">
                <v:shape id="_x0000_i1039" type="#_x0000_t75" style="width:77.25pt;height:27pt" o:ole="" fillcolor="window">
                  <v:imagedata r:id="rId73" o:title=""/>
                </v:shape>
                <o:OLEObject Type="Embed" ProgID="Equation.2" ShapeID="_x0000_i1039" DrawAspect="Content" ObjectID="_1595940264" r:id="rId75"/>
              </w:object>
            </w:r>
          </w:p>
        </w:tc>
        <w:tc>
          <w:tcPr>
            <w:tcW w:w="2474" w:type="dxa"/>
            <w:gridSpan w:val="2"/>
            <w:tcBorders>
              <w:top w:val="single" w:sz="6" w:space="0" w:color="auto"/>
              <w:bottom w:val="single" w:sz="6" w:space="0" w:color="auto"/>
            </w:tcBorders>
          </w:tcPr>
          <w:p w:rsidR="00AF2508" w:rsidRDefault="00AF2508">
            <w:pPr>
              <w:pStyle w:val="Formula"/>
            </w:pPr>
            <w:r>
              <w:rPr>
                <w:position w:val="-22"/>
              </w:rPr>
              <w:object w:dxaOrig="1540" w:dyaOrig="540">
                <v:shape id="_x0000_i1040" type="#_x0000_t75" style="width:77.25pt;height:27pt" o:ole="" fillcolor="window">
                  <v:imagedata r:id="rId73" o:title=""/>
                </v:shape>
                <o:OLEObject Type="Embed" ProgID="Equation.2" ShapeID="_x0000_i1040" DrawAspect="Content" ObjectID="_1595940265" r:id="rId76"/>
              </w:object>
            </w:r>
          </w:p>
        </w:tc>
      </w:tr>
      <w:tr w:rsidR="00AF2508">
        <w:trPr>
          <w:cantSplit/>
        </w:trPr>
        <w:tc>
          <w:tcPr>
            <w:tcW w:w="1220" w:type="dxa"/>
          </w:tcPr>
          <w:p w:rsidR="00AF2508" w:rsidRDefault="00AF2508">
            <w:pPr>
              <w:pStyle w:val="TableText"/>
              <w:jc w:val="center"/>
            </w:pPr>
            <w:r>
              <w:t>2.0</w:t>
            </w:r>
          </w:p>
        </w:tc>
        <w:tc>
          <w:tcPr>
            <w:tcW w:w="1180" w:type="dxa"/>
          </w:tcPr>
          <w:p w:rsidR="00AF2508" w:rsidRDefault="00AF2508">
            <w:pPr>
              <w:pStyle w:val="TableText"/>
              <w:jc w:val="center"/>
            </w:pPr>
            <w:r>
              <w:t>2.06</w:t>
            </w:r>
          </w:p>
        </w:tc>
        <w:tc>
          <w:tcPr>
            <w:tcW w:w="1200" w:type="dxa"/>
          </w:tcPr>
          <w:p w:rsidR="00AF2508" w:rsidRDefault="00AF2508">
            <w:pPr>
              <w:pStyle w:val="TableText"/>
              <w:jc w:val="center"/>
            </w:pPr>
            <w:r>
              <w:t>4.2</w:t>
            </w:r>
          </w:p>
        </w:tc>
        <w:tc>
          <w:tcPr>
            <w:tcW w:w="1200" w:type="dxa"/>
          </w:tcPr>
          <w:p w:rsidR="00AF2508" w:rsidRDefault="00AF2508">
            <w:pPr>
              <w:pStyle w:val="TableText"/>
              <w:jc w:val="center"/>
            </w:pPr>
            <w:r>
              <w:t>1.38</w:t>
            </w:r>
          </w:p>
        </w:tc>
        <w:tc>
          <w:tcPr>
            <w:tcW w:w="1200" w:type="dxa"/>
            <w:gridSpan w:val="2"/>
          </w:tcPr>
          <w:p w:rsidR="00AF2508" w:rsidRDefault="00AF2508">
            <w:pPr>
              <w:pStyle w:val="TableText"/>
              <w:jc w:val="center"/>
            </w:pPr>
            <w:r>
              <w:t>7.6</w:t>
            </w:r>
          </w:p>
        </w:tc>
        <w:tc>
          <w:tcPr>
            <w:tcW w:w="1280" w:type="dxa"/>
          </w:tcPr>
          <w:p w:rsidR="00AF2508" w:rsidRDefault="00AF2508">
            <w:pPr>
              <w:pStyle w:val="TableText"/>
              <w:jc w:val="center"/>
            </w:pPr>
            <w:r>
              <w:t>1.19</w:t>
            </w:r>
          </w:p>
        </w:tc>
      </w:tr>
      <w:tr w:rsidR="00AF2508">
        <w:trPr>
          <w:cantSplit/>
        </w:trPr>
        <w:tc>
          <w:tcPr>
            <w:tcW w:w="1220" w:type="dxa"/>
          </w:tcPr>
          <w:p w:rsidR="00AF2508" w:rsidRDefault="00AF2508">
            <w:pPr>
              <w:pStyle w:val="TableText"/>
              <w:jc w:val="center"/>
            </w:pPr>
            <w:r>
              <w:t>2.1</w:t>
            </w:r>
          </w:p>
        </w:tc>
        <w:tc>
          <w:tcPr>
            <w:tcW w:w="1180" w:type="dxa"/>
          </w:tcPr>
          <w:p w:rsidR="00AF2508" w:rsidRDefault="00AF2508">
            <w:pPr>
              <w:pStyle w:val="TableText"/>
              <w:jc w:val="center"/>
            </w:pPr>
            <w:r>
              <w:t>1.98</w:t>
            </w:r>
          </w:p>
        </w:tc>
        <w:tc>
          <w:tcPr>
            <w:tcW w:w="1200" w:type="dxa"/>
          </w:tcPr>
          <w:p w:rsidR="00AF2508" w:rsidRDefault="00AF2508">
            <w:pPr>
              <w:pStyle w:val="TableText"/>
              <w:jc w:val="center"/>
            </w:pPr>
            <w:r>
              <w:t>4.3</w:t>
            </w:r>
          </w:p>
        </w:tc>
        <w:tc>
          <w:tcPr>
            <w:tcW w:w="1200" w:type="dxa"/>
          </w:tcPr>
          <w:p w:rsidR="00AF2508" w:rsidRDefault="00AF2508">
            <w:pPr>
              <w:pStyle w:val="TableText"/>
              <w:jc w:val="center"/>
            </w:pPr>
            <w:r>
              <w:t>1.37</w:t>
            </w:r>
          </w:p>
        </w:tc>
        <w:tc>
          <w:tcPr>
            <w:tcW w:w="1200" w:type="dxa"/>
            <w:gridSpan w:val="2"/>
          </w:tcPr>
          <w:p w:rsidR="00AF2508" w:rsidRDefault="00AF2508">
            <w:pPr>
              <w:pStyle w:val="TableText"/>
              <w:jc w:val="center"/>
            </w:pPr>
            <w:r>
              <w:t>7.8</w:t>
            </w:r>
          </w:p>
        </w:tc>
        <w:tc>
          <w:tcPr>
            <w:tcW w:w="1280" w:type="dxa"/>
          </w:tcPr>
          <w:p w:rsidR="00AF2508" w:rsidRDefault="00AF2508">
            <w:pPr>
              <w:pStyle w:val="TableText"/>
              <w:jc w:val="center"/>
            </w:pPr>
            <w:r>
              <w:t>1.19</w:t>
            </w:r>
          </w:p>
        </w:tc>
      </w:tr>
      <w:tr w:rsidR="00AF2508">
        <w:trPr>
          <w:cantSplit/>
        </w:trPr>
        <w:tc>
          <w:tcPr>
            <w:tcW w:w="1220" w:type="dxa"/>
          </w:tcPr>
          <w:p w:rsidR="00AF2508" w:rsidRDefault="00AF2508">
            <w:pPr>
              <w:pStyle w:val="TableText"/>
              <w:jc w:val="center"/>
            </w:pPr>
            <w:r>
              <w:t>2.2</w:t>
            </w:r>
          </w:p>
        </w:tc>
        <w:tc>
          <w:tcPr>
            <w:tcW w:w="1180" w:type="dxa"/>
          </w:tcPr>
          <w:p w:rsidR="00AF2508" w:rsidRDefault="00AF2508">
            <w:pPr>
              <w:pStyle w:val="TableText"/>
              <w:jc w:val="center"/>
            </w:pPr>
            <w:r>
              <w:t>1.90</w:t>
            </w:r>
          </w:p>
        </w:tc>
        <w:tc>
          <w:tcPr>
            <w:tcW w:w="1200" w:type="dxa"/>
          </w:tcPr>
          <w:p w:rsidR="00AF2508" w:rsidRDefault="00AF2508">
            <w:pPr>
              <w:pStyle w:val="TableText"/>
              <w:jc w:val="center"/>
            </w:pPr>
            <w:r>
              <w:t>4.4</w:t>
            </w:r>
          </w:p>
        </w:tc>
        <w:tc>
          <w:tcPr>
            <w:tcW w:w="1200" w:type="dxa"/>
          </w:tcPr>
          <w:p w:rsidR="00AF2508" w:rsidRDefault="00AF2508">
            <w:pPr>
              <w:pStyle w:val="TableText"/>
              <w:jc w:val="center"/>
            </w:pPr>
            <w:r>
              <w:t>1.36</w:t>
            </w:r>
          </w:p>
        </w:tc>
        <w:tc>
          <w:tcPr>
            <w:tcW w:w="1200" w:type="dxa"/>
            <w:gridSpan w:val="2"/>
          </w:tcPr>
          <w:p w:rsidR="00AF2508" w:rsidRDefault="00AF2508">
            <w:pPr>
              <w:pStyle w:val="TableText"/>
              <w:jc w:val="center"/>
            </w:pPr>
            <w:r>
              <w:t>8.0</w:t>
            </w:r>
          </w:p>
        </w:tc>
        <w:tc>
          <w:tcPr>
            <w:tcW w:w="1280" w:type="dxa"/>
          </w:tcPr>
          <w:p w:rsidR="00AF2508" w:rsidRDefault="00AF2508">
            <w:pPr>
              <w:pStyle w:val="TableText"/>
              <w:jc w:val="center"/>
            </w:pPr>
            <w:r>
              <w:t>1.18</w:t>
            </w:r>
          </w:p>
        </w:tc>
      </w:tr>
      <w:tr w:rsidR="00AF2508">
        <w:trPr>
          <w:cantSplit/>
        </w:trPr>
        <w:tc>
          <w:tcPr>
            <w:tcW w:w="1220" w:type="dxa"/>
          </w:tcPr>
          <w:p w:rsidR="00AF2508" w:rsidRDefault="00AF2508">
            <w:pPr>
              <w:pStyle w:val="TableText"/>
              <w:jc w:val="center"/>
            </w:pPr>
            <w:r>
              <w:t>2.3</w:t>
            </w:r>
          </w:p>
        </w:tc>
        <w:tc>
          <w:tcPr>
            <w:tcW w:w="1180" w:type="dxa"/>
          </w:tcPr>
          <w:p w:rsidR="00AF2508" w:rsidRDefault="00AF2508">
            <w:pPr>
              <w:pStyle w:val="TableText"/>
              <w:jc w:val="center"/>
            </w:pPr>
            <w:r>
              <w:t>1.84</w:t>
            </w:r>
          </w:p>
        </w:tc>
        <w:tc>
          <w:tcPr>
            <w:tcW w:w="1200" w:type="dxa"/>
          </w:tcPr>
          <w:p w:rsidR="00AF2508" w:rsidRDefault="00AF2508">
            <w:pPr>
              <w:pStyle w:val="TableText"/>
              <w:jc w:val="center"/>
            </w:pPr>
            <w:r>
              <w:t>4.5</w:t>
            </w:r>
          </w:p>
        </w:tc>
        <w:tc>
          <w:tcPr>
            <w:tcW w:w="1200" w:type="dxa"/>
          </w:tcPr>
          <w:p w:rsidR="00AF2508" w:rsidRDefault="00AF2508">
            <w:pPr>
              <w:pStyle w:val="TableText"/>
              <w:jc w:val="center"/>
            </w:pPr>
            <w:r>
              <w:t>1.35</w:t>
            </w:r>
          </w:p>
        </w:tc>
        <w:tc>
          <w:tcPr>
            <w:tcW w:w="1200" w:type="dxa"/>
            <w:gridSpan w:val="2"/>
          </w:tcPr>
          <w:p w:rsidR="00AF2508" w:rsidRDefault="00AF2508">
            <w:pPr>
              <w:pStyle w:val="TableText"/>
              <w:jc w:val="center"/>
            </w:pPr>
            <w:r>
              <w:t>8.5</w:t>
            </w:r>
          </w:p>
        </w:tc>
        <w:tc>
          <w:tcPr>
            <w:tcW w:w="1280" w:type="dxa"/>
          </w:tcPr>
          <w:p w:rsidR="00AF2508" w:rsidRDefault="00AF2508">
            <w:pPr>
              <w:pStyle w:val="TableText"/>
              <w:jc w:val="center"/>
            </w:pPr>
            <w:r>
              <w:t>1.17</w:t>
            </w:r>
          </w:p>
        </w:tc>
      </w:tr>
      <w:tr w:rsidR="00AF2508">
        <w:trPr>
          <w:cantSplit/>
        </w:trPr>
        <w:tc>
          <w:tcPr>
            <w:tcW w:w="1220" w:type="dxa"/>
          </w:tcPr>
          <w:p w:rsidR="00AF2508" w:rsidRDefault="00AF2508">
            <w:pPr>
              <w:pStyle w:val="TableText"/>
              <w:jc w:val="center"/>
            </w:pPr>
            <w:r>
              <w:t>2.4</w:t>
            </w:r>
          </w:p>
        </w:tc>
        <w:tc>
          <w:tcPr>
            <w:tcW w:w="1180" w:type="dxa"/>
          </w:tcPr>
          <w:p w:rsidR="00AF2508" w:rsidRDefault="00AF2508">
            <w:pPr>
              <w:pStyle w:val="TableText"/>
              <w:jc w:val="center"/>
            </w:pPr>
            <w:r>
              <w:t>1.79</w:t>
            </w:r>
          </w:p>
        </w:tc>
        <w:tc>
          <w:tcPr>
            <w:tcW w:w="1200" w:type="dxa"/>
          </w:tcPr>
          <w:p w:rsidR="00AF2508" w:rsidRDefault="00AF2508">
            <w:pPr>
              <w:pStyle w:val="TableText"/>
              <w:jc w:val="center"/>
            </w:pPr>
            <w:r>
              <w:t>4.6</w:t>
            </w:r>
          </w:p>
        </w:tc>
        <w:tc>
          <w:tcPr>
            <w:tcW w:w="1200" w:type="dxa"/>
          </w:tcPr>
          <w:p w:rsidR="00AF2508" w:rsidRDefault="00AF2508">
            <w:pPr>
              <w:pStyle w:val="TableText"/>
              <w:jc w:val="center"/>
            </w:pPr>
            <w:r>
              <w:t>1.34</w:t>
            </w:r>
          </w:p>
        </w:tc>
        <w:tc>
          <w:tcPr>
            <w:tcW w:w="1200" w:type="dxa"/>
            <w:gridSpan w:val="2"/>
          </w:tcPr>
          <w:p w:rsidR="00AF2508" w:rsidRDefault="00AF2508">
            <w:pPr>
              <w:pStyle w:val="TableText"/>
              <w:jc w:val="center"/>
            </w:pPr>
            <w:r>
              <w:t>9.0</w:t>
            </w:r>
          </w:p>
        </w:tc>
        <w:tc>
          <w:tcPr>
            <w:tcW w:w="1280" w:type="dxa"/>
          </w:tcPr>
          <w:p w:rsidR="00AF2508" w:rsidRDefault="00AF2508">
            <w:pPr>
              <w:pStyle w:val="TableText"/>
              <w:jc w:val="center"/>
            </w:pPr>
            <w:r>
              <w:t>1.16</w:t>
            </w:r>
          </w:p>
        </w:tc>
      </w:tr>
      <w:tr w:rsidR="00AF2508">
        <w:trPr>
          <w:cantSplit/>
        </w:trPr>
        <w:tc>
          <w:tcPr>
            <w:tcW w:w="1220" w:type="dxa"/>
          </w:tcPr>
          <w:p w:rsidR="00AF2508" w:rsidRDefault="00AF2508">
            <w:pPr>
              <w:pStyle w:val="TableText"/>
              <w:jc w:val="center"/>
            </w:pPr>
            <w:r>
              <w:t>2.5</w:t>
            </w:r>
          </w:p>
        </w:tc>
        <w:tc>
          <w:tcPr>
            <w:tcW w:w="1180" w:type="dxa"/>
          </w:tcPr>
          <w:p w:rsidR="00AF2508" w:rsidRDefault="00AF2508">
            <w:pPr>
              <w:pStyle w:val="TableText"/>
              <w:jc w:val="center"/>
            </w:pPr>
            <w:r>
              <w:t>1.75</w:t>
            </w:r>
          </w:p>
        </w:tc>
        <w:tc>
          <w:tcPr>
            <w:tcW w:w="1200" w:type="dxa"/>
          </w:tcPr>
          <w:p w:rsidR="00AF2508" w:rsidRDefault="00AF2508">
            <w:pPr>
              <w:pStyle w:val="TableText"/>
              <w:jc w:val="center"/>
            </w:pPr>
            <w:r>
              <w:t>4.7</w:t>
            </w:r>
          </w:p>
        </w:tc>
        <w:tc>
          <w:tcPr>
            <w:tcW w:w="1200" w:type="dxa"/>
          </w:tcPr>
          <w:p w:rsidR="00AF2508" w:rsidRDefault="00AF2508">
            <w:pPr>
              <w:pStyle w:val="TableText"/>
              <w:jc w:val="center"/>
            </w:pPr>
            <w:r>
              <w:t>1.34</w:t>
            </w:r>
          </w:p>
        </w:tc>
        <w:tc>
          <w:tcPr>
            <w:tcW w:w="1200" w:type="dxa"/>
            <w:gridSpan w:val="2"/>
          </w:tcPr>
          <w:p w:rsidR="00AF2508" w:rsidRDefault="00AF2508">
            <w:pPr>
              <w:pStyle w:val="TableText"/>
              <w:jc w:val="center"/>
            </w:pPr>
            <w:r>
              <w:t>9.5</w:t>
            </w:r>
          </w:p>
        </w:tc>
        <w:tc>
          <w:tcPr>
            <w:tcW w:w="1280" w:type="dxa"/>
          </w:tcPr>
          <w:p w:rsidR="00AF2508" w:rsidRDefault="00AF2508">
            <w:pPr>
              <w:pStyle w:val="TableText"/>
              <w:jc w:val="center"/>
            </w:pPr>
            <w:r>
              <w:t>1.15</w:t>
            </w:r>
          </w:p>
        </w:tc>
      </w:tr>
      <w:tr w:rsidR="00AF2508">
        <w:trPr>
          <w:cantSplit/>
        </w:trPr>
        <w:tc>
          <w:tcPr>
            <w:tcW w:w="1220" w:type="dxa"/>
          </w:tcPr>
          <w:p w:rsidR="00AF2508" w:rsidRDefault="00AF2508">
            <w:pPr>
              <w:pStyle w:val="TableText"/>
              <w:jc w:val="center"/>
            </w:pPr>
            <w:r>
              <w:t>2.6</w:t>
            </w:r>
          </w:p>
        </w:tc>
        <w:tc>
          <w:tcPr>
            <w:tcW w:w="1180" w:type="dxa"/>
          </w:tcPr>
          <w:p w:rsidR="00AF2508" w:rsidRDefault="00AF2508">
            <w:pPr>
              <w:pStyle w:val="TableText"/>
              <w:jc w:val="center"/>
            </w:pPr>
            <w:r>
              <w:t>1.71</w:t>
            </w:r>
          </w:p>
        </w:tc>
        <w:tc>
          <w:tcPr>
            <w:tcW w:w="1200" w:type="dxa"/>
          </w:tcPr>
          <w:p w:rsidR="00AF2508" w:rsidRDefault="00AF2508">
            <w:pPr>
              <w:pStyle w:val="TableText"/>
              <w:jc w:val="center"/>
            </w:pPr>
            <w:r>
              <w:t>4.8</w:t>
            </w:r>
          </w:p>
        </w:tc>
        <w:tc>
          <w:tcPr>
            <w:tcW w:w="1200" w:type="dxa"/>
          </w:tcPr>
          <w:p w:rsidR="00AF2508" w:rsidRDefault="00AF2508">
            <w:pPr>
              <w:pStyle w:val="TableText"/>
              <w:jc w:val="center"/>
            </w:pPr>
            <w:r>
              <w:t>1.32</w:t>
            </w:r>
          </w:p>
        </w:tc>
        <w:tc>
          <w:tcPr>
            <w:tcW w:w="1200" w:type="dxa"/>
            <w:gridSpan w:val="2"/>
          </w:tcPr>
          <w:p w:rsidR="00AF2508" w:rsidRDefault="00AF2508">
            <w:pPr>
              <w:pStyle w:val="TableText"/>
              <w:jc w:val="center"/>
            </w:pPr>
            <w:r>
              <w:t>10.0</w:t>
            </w:r>
          </w:p>
        </w:tc>
        <w:tc>
          <w:tcPr>
            <w:tcW w:w="1280" w:type="dxa"/>
          </w:tcPr>
          <w:p w:rsidR="00AF2508" w:rsidRDefault="00AF2508">
            <w:pPr>
              <w:pStyle w:val="TableText"/>
              <w:jc w:val="center"/>
            </w:pPr>
            <w:r>
              <w:t>1.14</w:t>
            </w:r>
          </w:p>
        </w:tc>
      </w:tr>
      <w:tr w:rsidR="00AF2508">
        <w:trPr>
          <w:cantSplit/>
        </w:trPr>
        <w:tc>
          <w:tcPr>
            <w:tcW w:w="1220" w:type="dxa"/>
          </w:tcPr>
          <w:p w:rsidR="00AF2508" w:rsidRDefault="00AF2508">
            <w:pPr>
              <w:pStyle w:val="TableText"/>
              <w:jc w:val="center"/>
            </w:pPr>
            <w:r>
              <w:t>2.7</w:t>
            </w:r>
          </w:p>
        </w:tc>
        <w:tc>
          <w:tcPr>
            <w:tcW w:w="1180" w:type="dxa"/>
          </w:tcPr>
          <w:p w:rsidR="00AF2508" w:rsidRDefault="00AF2508">
            <w:pPr>
              <w:pStyle w:val="TableText"/>
              <w:jc w:val="center"/>
            </w:pPr>
            <w:r>
              <w:t>1.68</w:t>
            </w:r>
          </w:p>
        </w:tc>
        <w:tc>
          <w:tcPr>
            <w:tcW w:w="1200" w:type="dxa"/>
          </w:tcPr>
          <w:p w:rsidR="00AF2508" w:rsidRDefault="00AF2508">
            <w:pPr>
              <w:pStyle w:val="TableText"/>
              <w:jc w:val="center"/>
            </w:pPr>
            <w:r>
              <w:t>4.9</w:t>
            </w:r>
          </w:p>
        </w:tc>
        <w:tc>
          <w:tcPr>
            <w:tcW w:w="1200" w:type="dxa"/>
          </w:tcPr>
          <w:p w:rsidR="00AF2508" w:rsidRDefault="00AF2508">
            <w:pPr>
              <w:pStyle w:val="TableText"/>
              <w:jc w:val="center"/>
            </w:pPr>
            <w:r>
              <w:t>1.32</w:t>
            </w:r>
          </w:p>
        </w:tc>
        <w:tc>
          <w:tcPr>
            <w:tcW w:w="1200" w:type="dxa"/>
            <w:gridSpan w:val="2"/>
          </w:tcPr>
          <w:p w:rsidR="00AF2508" w:rsidRDefault="00AF2508">
            <w:pPr>
              <w:pStyle w:val="TableText"/>
              <w:jc w:val="center"/>
            </w:pPr>
            <w:r>
              <w:t>10.5</w:t>
            </w:r>
          </w:p>
        </w:tc>
        <w:tc>
          <w:tcPr>
            <w:tcW w:w="1280" w:type="dxa"/>
          </w:tcPr>
          <w:p w:rsidR="00AF2508" w:rsidRDefault="00AF2508">
            <w:pPr>
              <w:pStyle w:val="TableText"/>
              <w:jc w:val="center"/>
            </w:pPr>
            <w:r>
              <w:t>1.14</w:t>
            </w:r>
          </w:p>
        </w:tc>
      </w:tr>
      <w:tr w:rsidR="00AF2508">
        <w:trPr>
          <w:cantSplit/>
        </w:trPr>
        <w:tc>
          <w:tcPr>
            <w:tcW w:w="1220" w:type="dxa"/>
          </w:tcPr>
          <w:p w:rsidR="00AF2508" w:rsidRDefault="00AF2508">
            <w:pPr>
              <w:pStyle w:val="TableText"/>
              <w:jc w:val="center"/>
            </w:pPr>
            <w:r>
              <w:t>2.8</w:t>
            </w:r>
          </w:p>
        </w:tc>
        <w:tc>
          <w:tcPr>
            <w:tcW w:w="1180" w:type="dxa"/>
          </w:tcPr>
          <w:p w:rsidR="00AF2508" w:rsidRDefault="00AF2508">
            <w:pPr>
              <w:pStyle w:val="TableText"/>
              <w:jc w:val="center"/>
            </w:pPr>
            <w:r>
              <w:t>1.64</w:t>
            </w:r>
          </w:p>
        </w:tc>
        <w:tc>
          <w:tcPr>
            <w:tcW w:w="1200" w:type="dxa"/>
          </w:tcPr>
          <w:p w:rsidR="00AF2508" w:rsidRDefault="00AF2508">
            <w:pPr>
              <w:pStyle w:val="TableText"/>
              <w:jc w:val="center"/>
            </w:pPr>
            <w:r>
              <w:t>5.0</w:t>
            </w:r>
          </w:p>
        </w:tc>
        <w:tc>
          <w:tcPr>
            <w:tcW w:w="1200" w:type="dxa"/>
          </w:tcPr>
          <w:p w:rsidR="00AF2508" w:rsidRDefault="00AF2508">
            <w:pPr>
              <w:pStyle w:val="TableText"/>
              <w:jc w:val="center"/>
            </w:pPr>
            <w:r>
              <w:t>1.31</w:t>
            </w:r>
          </w:p>
        </w:tc>
        <w:tc>
          <w:tcPr>
            <w:tcW w:w="1200" w:type="dxa"/>
            <w:gridSpan w:val="2"/>
          </w:tcPr>
          <w:p w:rsidR="00AF2508" w:rsidRDefault="00AF2508">
            <w:pPr>
              <w:pStyle w:val="TableText"/>
              <w:jc w:val="center"/>
            </w:pPr>
            <w:r>
              <w:t>11.0</w:t>
            </w:r>
          </w:p>
        </w:tc>
        <w:tc>
          <w:tcPr>
            <w:tcW w:w="1280" w:type="dxa"/>
          </w:tcPr>
          <w:p w:rsidR="00AF2508" w:rsidRDefault="00AF2508">
            <w:pPr>
              <w:pStyle w:val="TableText"/>
              <w:jc w:val="center"/>
            </w:pPr>
            <w:r>
              <w:t>1.13</w:t>
            </w:r>
          </w:p>
        </w:tc>
      </w:tr>
      <w:tr w:rsidR="00AF2508">
        <w:trPr>
          <w:cantSplit/>
        </w:trPr>
        <w:tc>
          <w:tcPr>
            <w:tcW w:w="1220" w:type="dxa"/>
          </w:tcPr>
          <w:p w:rsidR="00AF2508" w:rsidRDefault="00AF2508">
            <w:pPr>
              <w:pStyle w:val="TableText"/>
              <w:jc w:val="center"/>
            </w:pPr>
            <w:r>
              <w:t>2.9</w:t>
            </w:r>
          </w:p>
        </w:tc>
        <w:tc>
          <w:tcPr>
            <w:tcW w:w="1180" w:type="dxa"/>
          </w:tcPr>
          <w:p w:rsidR="00AF2508" w:rsidRDefault="00AF2508">
            <w:pPr>
              <w:pStyle w:val="TableText"/>
              <w:jc w:val="center"/>
            </w:pPr>
            <w:r>
              <w:t>1.60</w:t>
            </w:r>
          </w:p>
        </w:tc>
        <w:tc>
          <w:tcPr>
            <w:tcW w:w="1200" w:type="dxa"/>
          </w:tcPr>
          <w:p w:rsidR="00AF2508" w:rsidRDefault="00AF2508">
            <w:pPr>
              <w:pStyle w:val="TableText"/>
              <w:jc w:val="center"/>
            </w:pPr>
            <w:r>
              <w:t>5.2</w:t>
            </w:r>
          </w:p>
        </w:tc>
        <w:tc>
          <w:tcPr>
            <w:tcW w:w="1200" w:type="dxa"/>
          </w:tcPr>
          <w:p w:rsidR="00AF2508" w:rsidRDefault="00AF2508">
            <w:pPr>
              <w:pStyle w:val="TableText"/>
              <w:jc w:val="center"/>
            </w:pPr>
            <w:r>
              <w:t>1.30</w:t>
            </w:r>
          </w:p>
        </w:tc>
        <w:tc>
          <w:tcPr>
            <w:tcW w:w="1200" w:type="dxa"/>
            <w:gridSpan w:val="2"/>
          </w:tcPr>
          <w:p w:rsidR="00AF2508" w:rsidRDefault="00AF2508">
            <w:pPr>
              <w:pStyle w:val="TableText"/>
              <w:jc w:val="center"/>
            </w:pPr>
            <w:r>
              <w:t>11.5</w:t>
            </w:r>
          </w:p>
        </w:tc>
        <w:tc>
          <w:tcPr>
            <w:tcW w:w="1280" w:type="dxa"/>
          </w:tcPr>
          <w:p w:rsidR="00AF2508" w:rsidRDefault="00AF2508">
            <w:pPr>
              <w:pStyle w:val="TableText"/>
              <w:jc w:val="center"/>
            </w:pPr>
            <w:r>
              <w:t>1.12</w:t>
            </w:r>
          </w:p>
        </w:tc>
      </w:tr>
      <w:tr w:rsidR="00AF2508">
        <w:trPr>
          <w:cantSplit/>
        </w:trPr>
        <w:tc>
          <w:tcPr>
            <w:tcW w:w="1220" w:type="dxa"/>
          </w:tcPr>
          <w:p w:rsidR="00AF2508" w:rsidRDefault="00AF2508">
            <w:pPr>
              <w:pStyle w:val="TableText"/>
              <w:jc w:val="center"/>
            </w:pPr>
            <w:r>
              <w:t>3.0</w:t>
            </w:r>
          </w:p>
        </w:tc>
        <w:tc>
          <w:tcPr>
            <w:tcW w:w="1180" w:type="dxa"/>
          </w:tcPr>
          <w:p w:rsidR="00AF2508" w:rsidRDefault="00AF2508">
            <w:pPr>
              <w:pStyle w:val="TableText"/>
              <w:jc w:val="center"/>
            </w:pPr>
            <w:r>
              <w:t>1.58</w:t>
            </w:r>
          </w:p>
        </w:tc>
        <w:tc>
          <w:tcPr>
            <w:tcW w:w="1200" w:type="dxa"/>
          </w:tcPr>
          <w:p w:rsidR="00AF2508" w:rsidRDefault="00AF2508">
            <w:pPr>
              <w:pStyle w:val="TableText"/>
              <w:jc w:val="center"/>
            </w:pPr>
            <w:r>
              <w:t>5.4</w:t>
            </w:r>
          </w:p>
        </w:tc>
        <w:tc>
          <w:tcPr>
            <w:tcW w:w="1200" w:type="dxa"/>
          </w:tcPr>
          <w:p w:rsidR="00AF2508" w:rsidRDefault="00AF2508">
            <w:pPr>
              <w:pStyle w:val="TableText"/>
              <w:jc w:val="center"/>
            </w:pPr>
            <w:r>
              <w:t>1.28</w:t>
            </w:r>
          </w:p>
        </w:tc>
        <w:tc>
          <w:tcPr>
            <w:tcW w:w="1200" w:type="dxa"/>
            <w:gridSpan w:val="2"/>
          </w:tcPr>
          <w:p w:rsidR="00AF2508" w:rsidRDefault="00AF2508">
            <w:pPr>
              <w:pStyle w:val="TableText"/>
              <w:jc w:val="center"/>
            </w:pPr>
            <w:r>
              <w:t>12.0</w:t>
            </w:r>
          </w:p>
        </w:tc>
        <w:tc>
          <w:tcPr>
            <w:tcW w:w="1280" w:type="dxa"/>
          </w:tcPr>
          <w:p w:rsidR="00AF2508" w:rsidRDefault="00AF2508">
            <w:pPr>
              <w:pStyle w:val="TableText"/>
              <w:jc w:val="center"/>
            </w:pPr>
            <w:r>
              <w:t>1.12</w:t>
            </w:r>
          </w:p>
        </w:tc>
      </w:tr>
      <w:tr w:rsidR="00AF2508">
        <w:trPr>
          <w:cantSplit/>
        </w:trPr>
        <w:tc>
          <w:tcPr>
            <w:tcW w:w="1220" w:type="dxa"/>
          </w:tcPr>
          <w:p w:rsidR="00AF2508" w:rsidRDefault="00AF2508">
            <w:pPr>
              <w:pStyle w:val="TableText"/>
              <w:jc w:val="center"/>
            </w:pPr>
            <w:r>
              <w:t>3.1</w:t>
            </w:r>
          </w:p>
        </w:tc>
        <w:tc>
          <w:tcPr>
            <w:tcW w:w="1180" w:type="dxa"/>
          </w:tcPr>
          <w:p w:rsidR="00AF2508" w:rsidRDefault="00AF2508">
            <w:pPr>
              <w:pStyle w:val="TableText"/>
              <w:jc w:val="center"/>
            </w:pPr>
            <w:r>
              <w:t>1.56</w:t>
            </w:r>
          </w:p>
        </w:tc>
        <w:tc>
          <w:tcPr>
            <w:tcW w:w="1200" w:type="dxa"/>
          </w:tcPr>
          <w:p w:rsidR="00AF2508" w:rsidRDefault="00AF2508">
            <w:pPr>
              <w:pStyle w:val="TableText"/>
              <w:jc w:val="center"/>
            </w:pPr>
            <w:r>
              <w:t>5.6</w:t>
            </w:r>
          </w:p>
        </w:tc>
        <w:tc>
          <w:tcPr>
            <w:tcW w:w="1200" w:type="dxa"/>
          </w:tcPr>
          <w:p w:rsidR="00AF2508" w:rsidRDefault="00AF2508">
            <w:pPr>
              <w:pStyle w:val="TableText"/>
              <w:jc w:val="center"/>
            </w:pPr>
            <w:r>
              <w:t>1.27</w:t>
            </w:r>
          </w:p>
        </w:tc>
        <w:tc>
          <w:tcPr>
            <w:tcW w:w="1200" w:type="dxa"/>
            <w:gridSpan w:val="2"/>
          </w:tcPr>
          <w:p w:rsidR="00AF2508" w:rsidRDefault="00AF2508">
            <w:pPr>
              <w:pStyle w:val="TableText"/>
              <w:jc w:val="center"/>
            </w:pPr>
            <w:r>
              <w:t>12.5</w:t>
            </w:r>
          </w:p>
        </w:tc>
        <w:tc>
          <w:tcPr>
            <w:tcW w:w="1280" w:type="dxa"/>
          </w:tcPr>
          <w:p w:rsidR="00AF2508" w:rsidRDefault="00AF2508">
            <w:pPr>
              <w:pStyle w:val="TableText"/>
              <w:jc w:val="center"/>
            </w:pPr>
            <w:r>
              <w:t>1.11</w:t>
            </w:r>
          </w:p>
        </w:tc>
      </w:tr>
      <w:tr w:rsidR="00AF2508">
        <w:trPr>
          <w:cantSplit/>
        </w:trPr>
        <w:tc>
          <w:tcPr>
            <w:tcW w:w="1220" w:type="dxa"/>
          </w:tcPr>
          <w:p w:rsidR="00AF2508" w:rsidRDefault="00AF2508">
            <w:pPr>
              <w:pStyle w:val="TableText"/>
              <w:jc w:val="center"/>
            </w:pPr>
            <w:r>
              <w:t>3.2</w:t>
            </w:r>
          </w:p>
        </w:tc>
        <w:tc>
          <w:tcPr>
            <w:tcW w:w="1180" w:type="dxa"/>
          </w:tcPr>
          <w:p w:rsidR="00AF2508" w:rsidRDefault="00AF2508">
            <w:pPr>
              <w:pStyle w:val="TableText"/>
              <w:jc w:val="center"/>
            </w:pPr>
            <w:r>
              <w:t>1.53</w:t>
            </w:r>
          </w:p>
        </w:tc>
        <w:tc>
          <w:tcPr>
            <w:tcW w:w="1200" w:type="dxa"/>
          </w:tcPr>
          <w:p w:rsidR="00AF2508" w:rsidRDefault="00AF2508">
            <w:pPr>
              <w:pStyle w:val="TableText"/>
              <w:jc w:val="center"/>
            </w:pPr>
            <w:r>
              <w:t>5.8</w:t>
            </w:r>
          </w:p>
        </w:tc>
        <w:tc>
          <w:tcPr>
            <w:tcW w:w="1200" w:type="dxa"/>
          </w:tcPr>
          <w:p w:rsidR="00AF2508" w:rsidRDefault="00AF2508">
            <w:pPr>
              <w:pStyle w:val="TableText"/>
              <w:jc w:val="center"/>
            </w:pPr>
            <w:r>
              <w:t>1.26</w:t>
            </w:r>
          </w:p>
        </w:tc>
        <w:tc>
          <w:tcPr>
            <w:tcW w:w="1200" w:type="dxa"/>
            <w:gridSpan w:val="2"/>
          </w:tcPr>
          <w:p w:rsidR="00AF2508" w:rsidRDefault="00AF2508">
            <w:pPr>
              <w:pStyle w:val="TableText"/>
              <w:jc w:val="center"/>
            </w:pPr>
            <w:r>
              <w:t>13.0</w:t>
            </w:r>
          </w:p>
        </w:tc>
        <w:tc>
          <w:tcPr>
            <w:tcW w:w="1280" w:type="dxa"/>
          </w:tcPr>
          <w:p w:rsidR="00AF2508" w:rsidRDefault="00AF2508">
            <w:pPr>
              <w:pStyle w:val="TableText"/>
              <w:jc w:val="center"/>
            </w:pPr>
            <w:r>
              <w:t>1.11</w:t>
            </w:r>
          </w:p>
        </w:tc>
      </w:tr>
      <w:tr w:rsidR="00AF2508">
        <w:trPr>
          <w:cantSplit/>
        </w:trPr>
        <w:tc>
          <w:tcPr>
            <w:tcW w:w="1220" w:type="dxa"/>
          </w:tcPr>
          <w:p w:rsidR="00AF2508" w:rsidRDefault="00AF2508">
            <w:pPr>
              <w:pStyle w:val="TableText"/>
              <w:jc w:val="center"/>
            </w:pPr>
            <w:r>
              <w:t>3.3</w:t>
            </w:r>
          </w:p>
        </w:tc>
        <w:tc>
          <w:tcPr>
            <w:tcW w:w="1180" w:type="dxa"/>
          </w:tcPr>
          <w:p w:rsidR="00AF2508" w:rsidRDefault="00AF2508">
            <w:pPr>
              <w:pStyle w:val="TableText"/>
              <w:jc w:val="center"/>
            </w:pPr>
            <w:r>
              <w:t>1.51</w:t>
            </w:r>
          </w:p>
        </w:tc>
        <w:tc>
          <w:tcPr>
            <w:tcW w:w="1200" w:type="dxa"/>
          </w:tcPr>
          <w:p w:rsidR="00AF2508" w:rsidRDefault="00AF2508">
            <w:pPr>
              <w:pStyle w:val="TableText"/>
              <w:jc w:val="center"/>
            </w:pPr>
            <w:r>
              <w:t>6.0</w:t>
            </w:r>
          </w:p>
        </w:tc>
        <w:tc>
          <w:tcPr>
            <w:tcW w:w="1200" w:type="dxa"/>
          </w:tcPr>
          <w:p w:rsidR="00AF2508" w:rsidRDefault="00AF2508">
            <w:pPr>
              <w:pStyle w:val="TableText"/>
              <w:jc w:val="center"/>
            </w:pPr>
            <w:r>
              <w:t>1.25</w:t>
            </w:r>
          </w:p>
        </w:tc>
        <w:tc>
          <w:tcPr>
            <w:tcW w:w="1200" w:type="dxa"/>
            <w:gridSpan w:val="2"/>
          </w:tcPr>
          <w:p w:rsidR="00AF2508" w:rsidRDefault="00AF2508">
            <w:pPr>
              <w:pStyle w:val="TableText"/>
              <w:jc w:val="center"/>
            </w:pPr>
            <w:r>
              <w:t>13.5</w:t>
            </w:r>
          </w:p>
        </w:tc>
        <w:tc>
          <w:tcPr>
            <w:tcW w:w="1280" w:type="dxa"/>
          </w:tcPr>
          <w:p w:rsidR="00AF2508" w:rsidRDefault="00AF2508">
            <w:pPr>
              <w:pStyle w:val="TableText"/>
              <w:jc w:val="center"/>
            </w:pPr>
            <w:r>
              <w:t>1.11</w:t>
            </w:r>
          </w:p>
        </w:tc>
      </w:tr>
      <w:tr w:rsidR="00AF2508">
        <w:trPr>
          <w:cantSplit/>
        </w:trPr>
        <w:tc>
          <w:tcPr>
            <w:tcW w:w="1220" w:type="dxa"/>
          </w:tcPr>
          <w:p w:rsidR="00AF2508" w:rsidRDefault="00AF2508">
            <w:pPr>
              <w:pStyle w:val="TableText"/>
              <w:jc w:val="center"/>
            </w:pPr>
            <w:r>
              <w:t>3.4</w:t>
            </w:r>
          </w:p>
        </w:tc>
        <w:tc>
          <w:tcPr>
            <w:tcW w:w="1180" w:type="dxa"/>
          </w:tcPr>
          <w:p w:rsidR="00AF2508" w:rsidRDefault="00AF2508">
            <w:pPr>
              <w:pStyle w:val="TableText"/>
              <w:jc w:val="center"/>
            </w:pPr>
            <w:r>
              <w:t>1.49</w:t>
            </w:r>
          </w:p>
        </w:tc>
        <w:tc>
          <w:tcPr>
            <w:tcW w:w="1200" w:type="dxa"/>
          </w:tcPr>
          <w:p w:rsidR="00AF2508" w:rsidRDefault="00AF2508">
            <w:pPr>
              <w:pStyle w:val="TableText"/>
              <w:jc w:val="center"/>
            </w:pPr>
            <w:r>
              <w:t>6.2</w:t>
            </w:r>
          </w:p>
        </w:tc>
        <w:tc>
          <w:tcPr>
            <w:tcW w:w="1200" w:type="dxa"/>
          </w:tcPr>
          <w:p w:rsidR="00AF2508" w:rsidRDefault="00AF2508">
            <w:pPr>
              <w:pStyle w:val="TableText"/>
              <w:jc w:val="center"/>
            </w:pPr>
            <w:r>
              <w:t>1.24</w:t>
            </w:r>
          </w:p>
        </w:tc>
        <w:tc>
          <w:tcPr>
            <w:tcW w:w="1200" w:type="dxa"/>
            <w:gridSpan w:val="2"/>
          </w:tcPr>
          <w:p w:rsidR="00AF2508" w:rsidRDefault="00AF2508">
            <w:pPr>
              <w:pStyle w:val="TableText"/>
              <w:jc w:val="center"/>
            </w:pPr>
            <w:r>
              <w:t>14.0</w:t>
            </w:r>
          </w:p>
        </w:tc>
        <w:tc>
          <w:tcPr>
            <w:tcW w:w="1280" w:type="dxa"/>
          </w:tcPr>
          <w:p w:rsidR="00AF2508" w:rsidRDefault="00AF2508">
            <w:pPr>
              <w:pStyle w:val="TableText"/>
              <w:jc w:val="center"/>
            </w:pPr>
            <w:r>
              <w:t>1.10</w:t>
            </w:r>
          </w:p>
        </w:tc>
      </w:tr>
      <w:tr w:rsidR="00AF2508">
        <w:trPr>
          <w:cantSplit/>
        </w:trPr>
        <w:tc>
          <w:tcPr>
            <w:tcW w:w="1220" w:type="dxa"/>
          </w:tcPr>
          <w:p w:rsidR="00AF2508" w:rsidRDefault="00AF2508">
            <w:pPr>
              <w:pStyle w:val="TableText"/>
              <w:jc w:val="center"/>
            </w:pPr>
            <w:r>
              <w:t>3.5</w:t>
            </w:r>
          </w:p>
        </w:tc>
        <w:tc>
          <w:tcPr>
            <w:tcW w:w="1180" w:type="dxa"/>
          </w:tcPr>
          <w:p w:rsidR="00AF2508" w:rsidRDefault="00AF2508">
            <w:pPr>
              <w:pStyle w:val="TableText"/>
              <w:jc w:val="center"/>
            </w:pPr>
            <w:r>
              <w:t>1.48</w:t>
            </w:r>
          </w:p>
        </w:tc>
        <w:tc>
          <w:tcPr>
            <w:tcW w:w="1200" w:type="dxa"/>
          </w:tcPr>
          <w:p w:rsidR="00AF2508" w:rsidRDefault="00AF2508">
            <w:pPr>
              <w:pStyle w:val="TableText"/>
              <w:jc w:val="center"/>
            </w:pPr>
            <w:r>
              <w:t>6.4</w:t>
            </w:r>
          </w:p>
        </w:tc>
        <w:tc>
          <w:tcPr>
            <w:tcW w:w="1200" w:type="dxa"/>
          </w:tcPr>
          <w:p w:rsidR="00AF2508" w:rsidRDefault="00AF2508">
            <w:pPr>
              <w:pStyle w:val="TableText"/>
              <w:jc w:val="center"/>
            </w:pPr>
            <w:r>
              <w:t>1.24</w:t>
            </w:r>
          </w:p>
        </w:tc>
        <w:tc>
          <w:tcPr>
            <w:tcW w:w="1200" w:type="dxa"/>
            <w:gridSpan w:val="2"/>
          </w:tcPr>
          <w:p w:rsidR="00AF2508" w:rsidRDefault="00AF2508">
            <w:pPr>
              <w:pStyle w:val="TableText"/>
              <w:jc w:val="center"/>
            </w:pPr>
            <w:r>
              <w:t>14.5</w:t>
            </w:r>
          </w:p>
        </w:tc>
        <w:tc>
          <w:tcPr>
            <w:tcW w:w="1280" w:type="dxa"/>
          </w:tcPr>
          <w:p w:rsidR="00AF2508" w:rsidRDefault="00AF2508">
            <w:pPr>
              <w:pStyle w:val="TableText"/>
              <w:jc w:val="center"/>
            </w:pPr>
            <w:r>
              <w:t>1.10</w:t>
            </w:r>
          </w:p>
        </w:tc>
      </w:tr>
      <w:tr w:rsidR="00AF2508">
        <w:trPr>
          <w:cantSplit/>
        </w:trPr>
        <w:tc>
          <w:tcPr>
            <w:tcW w:w="1220" w:type="dxa"/>
          </w:tcPr>
          <w:p w:rsidR="00AF2508" w:rsidRDefault="00AF2508">
            <w:pPr>
              <w:pStyle w:val="TableText"/>
              <w:jc w:val="center"/>
            </w:pPr>
            <w:r>
              <w:t>3.6</w:t>
            </w:r>
          </w:p>
        </w:tc>
        <w:tc>
          <w:tcPr>
            <w:tcW w:w="1180" w:type="dxa"/>
          </w:tcPr>
          <w:p w:rsidR="00AF2508" w:rsidRDefault="00AF2508">
            <w:pPr>
              <w:pStyle w:val="TableText"/>
              <w:jc w:val="center"/>
            </w:pPr>
            <w:r>
              <w:t>1.46</w:t>
            </w:r>
          </w:p>
        </w:tc>
        <w:tc>
          <w:tcPr>
            <w:tcW w:w="1200" w:type="dxa"/>
          </w:tcPr>
          <w:p w:rsidR="00AF2508" w:rsidRDefault="00AF2508">
            <w:pPr>
              <w:pStyle w:val="TableText"/>
              <w:jc w:val="center"/>
            </w:pPr>
            <w:r>
              <w:t>6.6</w:t>
            </w:r>
          </w:p>
        </w:tc>
        <w:tc>
          <w:tcPr>
            <w:tcW w:w="1200" w:type="dxa"/>
          </w:tcPr>
          <w:p w:rsidR="00AF2508" w:rsidRDefault="00AF2508">
            <w:pPr>
              <w:pStyle w:val="TableText"/>
              <w:jc w:val="center"/>
            </w:pPr>
            <w:r>
              <w:t>1.23</w:t>
            </w:r>
          </w:p>
        </w:tc>
        <w:tc>
          <w:tcPr>
            <w:tcW w:w="1200" w:type="dxa"/>
            <w:gridSpan w:val="2"/>
          </w:tcPr>
          <w:p w:rsidR="00AF2508" w:rsidRDefault="00AF2508">
            <w:pPr>
              <w:pStyle w:val="TableText"/>
              <w:jc w:val="center"/>
            </w:pPr>
            <w:r>
              <w:t>15.0</w:t>
            </w:r>
          </w:p>
        </w:tc>
        <w:tc>
          <w:tcPr>
            <w:tcW w:w="1280" w:type="dxa"/>
          </w:tcPr>
          <w:p w:rsidR="00AF2508" w:rsidRDefault="00AF2508">
            <w:pPr>
              <w:pStyle w:val="TableText"/>
              <w:jc w:val="center"/>
            </w:pPr>
            <w:r>
              <w:t>1.10</w:t>
            </w:r>
          </w:p>
        </w:tc>
      </w:tr>
      <w:tr w:rsidR="00AF2508">
        <w:trPr>
          <w:cantSplit/>
        </w:trPr>
        <w:tc>
          <w:tcPr>
            <w:tcW w:w="1220" w:type="dxa"/>
          </w:tcPr>
          <w:p w:rsidR="00AF2508" w:rsidRDefault="00AF2508">
            <w:pPr>
              <w:pStyle w:val="TableText"/>
              <w:jc w:val="center"/>
            </w:pPr>
            <w:r>
              <w:t>3.7</w:t>
            </w:r>
          </w:p>
        </w:tc>
        <w:tc>
          <w:tcPr>
            <w:tcW w:w="1180" w:type="dxa"/>
          </w:tcPr>
          <w:p w:rsidR="00AF2508" w:rsidRDefault="00AF2508">
            <w:pPr>
              <w:pStyle w:val="TableText"/>
              <w:jc w:val="center"/>
            </w:pPr>
            <w:r>
              <w:t>1.44</w:t>
            </w:r>
          </w:p>
        </w:tc>
        <w:tc>
          <w:tcPr>
            <w:tcW w:w="1200" w:type="dxa"/>
          </w:tcPr>
          <w:p w:rsidR="00AF2508" w:rsidRDefault="00AF2508">
            <w:pPr>
              <w:pStyle w:val="TableText"/>
              <w:jc w:val="center"/>
            </w:pPr>
            <w:r>
              <w:t>6.8</w:t>
            </w:r>
          </w:p>
        </w:tc>
        <w:tc>
          <w:tcPr>
            <w:tcW w:w="1200" w:type="dxa"/>
          </w:tcPr>
          <w:p w:rsidR="00AF2508" w:rsidRDefault="00AF2508">
            <w:pPr>
              <w:pStyle w:val="TableText"/>
              <w:jc w:val="center"/>
            </w:pPr>
            <w:r>
              <w:t>1.22</w:t>
            </w:r>
          </w:p>
        </w:tc>
        <w:tc>
          <w:tcPr>
            <w:tcW w:w="1200" w:type="dxa"/>
            <w:gridSpan w:val="2"/>
          </w:tcPr>
          <w:p w:rsidR="00AF2508" w:rsidRDefault="00AF2508">
            <w:pPr>
              <w:pStyle w:val="TableText"/>
              <w:jc w:val="center"/>
            </w:pPr>
            <w:r>
              <w:t>16.0</w:t>
            </w:r>
          </w:p>
        </w:tc>
        <w:tc>
          <w:tcPr>
            <w:tcW w:w="1280" w:type="dxa"/>
          </w:tcPr>
          <w:p w:rsidR="00AF2508" w:rsidRDefault="00AF2508">
            <w:pPr>
              <w:pStyle w:val="TableText"/>
              <w:jc w:val="center"/>
            </w:pPr>
            <w:r>
              <w:t>1.09</w:t>
            </w:r>
          </w:p>
        </w:tc>
      </w:tr>
      <w:tr w:rsidR="00AF2508">
        <w:trPr>
          <w:cantSplit/>
        </w:trPr>
        <w:tc>
          <w:tcPr>
            <w:tcW w:w="1220" w:type="dxa"/>
          </w:tcPr>
          <w:p w:rsidR="00AF2508" w:rsidRDefault="00AF2508">
            <w:pPr>
              <w:pStyle w:val="TableText"/>
              <w:jc w:val="center"/>
            </w:pPr>
            <w:r>
              <w:t>3.8</w:t>
            </w:r>
          </w:p>
        </w:tc>
        <w:tc>
          <w:tcPr>
            <w:tcW w:w="1180" w:type="dxa"/>
          </w:tcPr>
          <w:p w:rsidR="00AF2508" w:rsidRDefault="00AF2508">
            <w:pPr>
              <w:pStyle w:val="TableText"/>
              <w:jc w:val="center"/>
            </w:pPr>
            <w:r>
              <w:t>1.43</w:t>
            </w:r>
          </w:p>
        </w:tc>
        <w:tc>
          <w:tcPr>
            <w:tcW w:w="1200" w:type="dxa"/>
          </w:tcPr>
          <w:p w:rsidR="00AF2508" w:rsidRDefault="00AF2508">
            <w:pPr>
              <w:pStyle w:val="TableText"/>
              <w:jc w:val="center"/>
            </w:pPr>
            <w:r>
              <w:t>7.0</w:t>
            </w:r>
          </w:p>
        </w:tc>
        <w:tc>
          <w:tcPr>
            <w:tcW w:w="1200" w:type="dxa"/>
          </w:tcPr>
          <w:p w:rsidR="00AF2508" w:rsidRDefault="00AF2508">
            <w:pPr>
              <w:pStyle w:val="TableText"/>
              <w:jc w:val="center"/>
            </w:pPr>
            <w:r>
              <w:t>1.21</w:t>
            </w:r>
          </w:p>
        </w:tc>
        <w:tc>
          <w:tcPr>
            <w:tcW w:w="1200" w:type="dxa"/>
            <w:gridSpan w:val="2"/>
          </w:tcPr>
          <w:p w:rsidR="00AF2508" w:rsidRDefault="00AF2508">
            <w:pPr>
              <w:pStyle w:val="TableText"/>
              <w:jc w:val="center"/>
            </w:pPr>
            <w:r>
              <w:t>17.0</w:t>
            </w:r>
          </w:p>
        </w:tc>
        <w:tc>
          <w:tcPr>
            <w:tcW w:w="1280" w:type="dxa"/>
          </w:tcPr>
          <w:p w:rsidR="00AF2508" w:rsidRDefault="00AF2508">
            <w:pPr>
              <w:pStyle w:val="TableText"/>
              <w:jc w:val="center"/>
            </w:pPr>
            <w:r>
              <w:t>1.08</w:t>
            </w:r>
          </w:p>
        </w:tc>
      </w:tr>
      <w:tr w:rsidR="00AF2508">
        <w:trPr>
          <w:cantSplit/>
        </w:trPr>
        <w:tc>
          <w:tcPr>
            <w:tcW w:w="1220" w:type="dxa"/>
          </w:tcPr>
          <w:p w:rsidR="00AF2508" w:rsidRDefault="00AF2508">
            <w:pPr>
              <w:pStyle w:val="TableText"/>
              <w:jc w:val="center"/>
            </w:pPr>
            <w:r>
              <w:t>3.9</w:t>
            </w:r>
          </w:p>
        </w:tc>
        <w:tc>
          <w:tcPr>
            <w:tcW w:w="1180" w:type="dxa"/>
          </w:tcPr>
          <w:p w:rsidR="00AF2508" w:rsidRDefault="00AF2508">
            <w:pPr>
              <w:pStyle w:val="TableText"/>
              <w:jc w:val="center"/>
            </w:pPr>
            <w:r>
              <w:t>1.42</w:t>
            </w:r>
          </w:p>
        </w:tc>
        <w:tc>
          <w:tcPr>
            <w:tcW w:w="1200" w:type="dxa"/>
          </w:tcPr>
          <w:p w:rsidR="00AF2508" w:rsidRDefault="00AF2508">
            <w:pPr>
              <w:pStyle w:val="TableText"/>
              <w:jc w:val="center"/>
            </w:pPr>
            <w:r>
              <w:t>7.2</w:t>
            </w:r>
          </w:p>
        </w:tc>
        <w:tc>
          <w:tcPr>
            <w:tcW w:w="1200" w:type="dxa"/>
          </w:tcPr>
          <w:p w:rsidR="00AF2508" w:rsidRDefault="00AF2508">
            <w:pPr>
              <w:pStyle w:val="TableText"/>
              <w:jc w:val="center"/>
            </w:pPr>
            <w:r>
              <w:t>1.21</w:t>
            </w:r>
          </w:p>
        </w:tc>
        <w:tc>
          <w:tcPr>
            <w:tcW w:w="1200" w:type="dxa"/>
            <w:gridSpan w:val="2"/>
          </w:tcPr>
          <w:p w:rsidR="00AF2508" w:rsidRDefault="00AF2508">
            <w:pPr>
              <w:pStyle w:val="TableText"/>
              <w:jc w:val="center"/>
            </w:pPr>
            <w:r>
              <w:t>18.0</w:t>
            </w:r>
          </w:p>
        </w:tc>
        <w:tc>
          <w:tcPr>
            <w:tcW w:w="1280" w:type="dxa"/>
          </w:tcPr>
          <w:p w:rsidR="00AF2508" w:rsidRDefault="00AF2508">
            <w:pPr>
              <w:pStyle w:val="TableText"/>
              <w:jc w:val="center"/>
            </w:pPr>
            <w:r>
              <w:t>1.08</w:t>
            </w:r>
          </w:p>
        </w:tc>
      </w:tr>
      <w:tr w:rsidR="00AF2508">
        <w:trPr>
          <w:cantSplit/>
        </w:trPr>
        <w:tc>
          <w:tcPr>
            <w:tcW w:w="1220" w:type="dxa"/>
          </w:tcPr>
          <w:p w:rsidR="00AF2508" w:rsidRDefault="00AF2508">
            <w:pPr>
              <w:pStyle w:val="TableText"/>
              <w:jc w:val="center"/>
            </w:pPr>
            <w:r>
              <w:t>4.0</w:t>
            </w:r>
          </w:p>
        </w:tc>
        <w:tc>
          <w:tcPr>
            <w:tcW w:w="1180" w:type="dxa"/>
          </w:tcPr>
          <w:p w:rsidR="00AF2508" w:rsidRDefault="00AF2508">
            <w:pPr>
              <w:pStyle w:val="TableText"/>
              <w:jc w:val="center"/>
            </w:pPr>
            <w:r>
              <w:t>1.40</w:t>
            </w:r>
          </w:p>
        </w:tc>
        <w:tc>
          <w:tcPr>
            <w:tcW w:w="1200" w:type="dxa"/>
          </w:tcPr>
          <w:p w:rsidR="00AF2508" w:rsidRDefault="00AF2508">
            <w:pPr>
              <w:pStyle w:val="TableText"/>
              <w:jc w:val="center"/>
            </w:pPr>
            <w:r>
              <w:t>7.4</w:t>
            </w:r>
          </w:p>
        </w:tc>
        <w:tc>
          <w:tcPr>
            <w:tcW w:w="1200" w:type="dxa"/>
          </w:tcPr>
          <w:p w:rsidR="00AF2508" w:rsidRDefault="00AF2508">
            <w:pPr>
              <w:pStyle w:val="TableText"/>
              <w:jc w:val="center"/>
            </w:pPr>
            <w:r>
              <w:t>1.20</w:t>
            </w:r>
          </w:p>
        </w:tc>
        <w:tc>
          <w:tcPr>
            <w:tcW w:w="1200" w:type="dxa"/>
            <w:gridSpan w:val="2"/>
          </w:tcPr>
          <w:p w:rsidR="00AF2508" w:rsidRDefault="00AF2508">
            <w:pPr>
              <w:pStyle w:val="TableText"/>
              <w:jc w:val="center"/>
            </w:pPr>
            <w:r>
              <w:t>19.0</w:t>
            </w:r>
          </w:p>
        </w:tc>
        <w:tc>
          <w:tcPr>
            <w:tcW w:w="1280" w:type="dxa"/>
          </w:tcPr>
          <w:p w:rsidR="00AF2508" w:rsidRDefault="00AF2508">
            <w:pPr>
              <w:pStyle w:val="TableText"/>
              <w:jc w:val="center"/>
            </w:pPr>
            <w:r>
              <w:t>1.07</w:t>
            </w:r>
          </w:p>
        </w:tc>
      </w:tr>
      <w:tr w:rsidR="00AF2508">
        <w:trPr>
          <w:cantSplit/>
        </w:trPr>
        <w:tc>
          <w:tcPr>
            <w:tcW w:w="1220" w:type="dxa"/>
          </w:tcPr>
          <w:p w:rsidR="00AF2508" w:rsidRDefault="00AF2508">
            <w:pPr>
              <w:pStyle w:val="TableText"/>
              <w:jc w:val="center"/>
            </w:pPr>
            <w:r>
              <w:t>4.1</w:t>
            </w:r>
          </w:p>
        </w:tc>
        <w:tc>
          <w:tcPr>
            <w:tcW w:w="1180" w:type="dxa"/>
          </w:tcPr>
          <w:p w:rsidR="00AF2508" w:rsidRDefault="00AF2508">
            <w:pPr>
              <w:pStyle w:val="TableText"/>
              <w:jc w:val="center"/>
            </w:pPr>
            <w:r>
              <w:t>1.39</w:t>
            </w:r>
          </w:p>
        </w:tc>
        <w:tc>
          <w:tcPr>
            <w:tcW w:w="1200" w:type="dxa"/>
          </w:tcPr>
          <w:p w:rsidR="00AF2508" w:rsidRDefault="00AF2508">
            <w:pPr>
              <w:pStyle w:val="TableText"/>
              <w:jc w:val="center"/>
            </w:pPr>
          </w:p>
        </w:tc>
        <w:tc>
          <w:tcPr>
            <w:tcW w:w="1200" w:type="dxa"/>
          </w:tcPr>
          <w:p w:rsidR="00AF2508" w:rsidRDefault="00AF2508">
            <w:pPr>
              <w:pStyle w:val="TableText"/>
              <w:jc w:val="center"/>
            </w:pPr>
          </w:p>
        </w:tc>
        <w:tc>
          <w:tcPr>
            <w:tcW w:w="1200" w:type="dxa"/>
            <w:gridSpan w:val="2"/>
          </w:tcPr>
          <w:p w:rsidR="00AF2508" w:rsidRDefault="00AF2508">
            <w:pPr>
              <w:pStyle w:val="TableText"/>
              <w:jc w:val="center"/>
            </w:pPr>
          </w:p>
        </w:tc>
        <w:tc>
          <w:tcPr>
            <w:tcW w:w="1280" w:type="dxa"/>
          </w:tcPr>
          <w:p w:rsidR="00AF2508" w:rsidRDefault="00AF2508">
            <w:pPr>
              <w:pStyle w:val="TableText"/>
              <w:jc w:val="center"/>
            </w:pPr>
          </w:p>
        </w:tc>
      </w:tr>
    </w:tbl>
    <w:p w:rsidR="00AF2508" w:rsidRDefault="00AF2508">
      <w:pPr>
        <w:pStyle w:val="aNote"/>
      </w:pPr>
      <w:r>
        <w:rPr>
          <w:i/>
        </w:rPr>
        <w:t>Note</w:t>
      </w:r>
      <w:r>
        <w:tab/>
        <w:t>See also s (69) and s (70) about limiting values of R.</w:t>
      </w:r>
    </w:p>
    <w:p w:rsidR="00AF2508" w:rsidRDefault="00AF2508"/>
    <w:p w:rsidR="00AF2508" w:rsidRDefault="00AF2508">
      <w:pPr>
        <w:pStyle w:val="Amain"/>
        <w:rPr>
          <w:color w:val="000000"/>
        </w:rPr>
      </w:pPr>
      <w:r>
        <w:rPr>
          <w:color w:val="000000"/>
        </w:rPr>
        <w:tab/>
        <w:t>(69)</w:t>
      </w:r>
      <w:r>
        <w:rPr>
          <w:color w:val="000000"/>
        </w:rPr>
        <w:tab/>
        <w:t xml:space="preserve">Springs in which the ratio </w:t>
      </w:r>
      <w:r>
        <w:rPr>
          <w:b/>
          <w:color w:val="000000"/>
        </w:rPr>
        <w:t>R</w:t>
      </w:r>
      <w:r>
        <w:rPr>
          <w:color w:val="000000"/>
        </w:rPr>
        <w:t xml:space="preserve"> referred to in subsection (67) is less than 6 shall not be used unless specifically approved by the chief inspector.</w:t>
      </w:r>
    </w:p>
    <w:p w:rsidR="00AF2508" w:rsidRDefault="00AF2508">
      <w:pPr>
        <w:pStyle w:val="Amain"/>
      </w:pPr>
      <w:r>
        <w:rPr>
          <w:color w:val="000000"/>
        </w:rPr>
        <w:tab/>
        <w:t>(70)</w:t>
      </w:r>
      <w:r>
        <w:rPr>
          <w:color w:val="000000"/>
        </w:rPr>
        <w:tab/>
        <w:t xml:space="preserve">If practicable, </w:t>
      </w:r>
      <w:r>
        <w:rPr>
          <w:b/>
          <w:color w:val="000000"/>
        </w:rPr>
        <w:t>R</w:t>
      </w:r>
      <w:r>
        <w:rPr>
          <w:color w:val="000000"/>
        </w:rPr>
        <w:t xml:space="preserve"> shall be made equal to nine.</w:t>
      </w:r>
    </w:p>
    <w:p w:rsidR="00AF2508" w:rsidRDefault="00AF2508">
      <w:pPr>
        <w:pStyle w:val="Amain"/>
      </w:pPr>
      <w:r>
        <w:rPr>
          <w:color w:val="000000"/>
        </w:rPr>
        <w:tab/>
        <w:t>(71)</w:t>
      </w:r>
      <w:r>
        <w:rPr>
          <w:color w:val="000000"/>
        </w:rPr>
        <w:tab/>
        <w:t xml:space="preserve">The value of </w:t>
      </w:r>
      <w:r>
        <w:rPr>
          <w:rStyle w:val="charBoldItals"/>
        </w:rPr>
        <w:t>G</w:t>
      </w:r>
      <w:r>
        <w:rPr>
          <w:color w:val="000000"/>
        </w:rPr>
        <w:t>, the modulus of torsional rigidity shall, for carbon spring steel, be deemed to be 5 100 tons per square inch.</w:t>
      </w:r>
    </w:p>
    <w:p w:rsidR="00AF2508" w:rsidRDefault="00AF2508">
      <w:pPr>
        <w:pStyle w:val="AH4SubDiv"/>
      </w:pPr>
      <w:bookmarkStart w:id="227" w:name="_Toc161636888"/>
      <w:r>
        <w:t>General</w:t>
      </w:r>
      <w:bookmarkEnd w:id="227"/>
    </w:p>
    <w:p w:rsidR="00AF2508" w:rsidRDefault="00AF2508">
      <w:pPr>
        <w:pStyle w:val="AH5Sec"/>
      </w:pPr>
      <w:bookmarkStart w:id="228" w:name="_Toc161636889"/>
      <w:r>
        <w:rPr>
          <w:rStyle w:val="CharSectNo"/>
        </w:rPr>
        <w:t>127</w:t>
      </w:r>
      <w:bookmarkEnd w:id="228"/>
      <w:r>
        <w:tab/>
        <w:t xml:space="preserve">  </w:t>
      </w:r>
    </w:p>
    <w:p w:rsidR="00AF2508" w:rsidRDefault="00AF2508">
      <w:pPr>
        <w:pStyle w:val="Amain"/>
        <w:rPr>
          <w:color w:val="000000"/>
        </w:rPr>
      </w:pPr>
      <w:r>
        <w:rPr>
          <w:color w:val="000000"/>
        </w:rPr>
        <w:tab/>
        <w:t>(1)</w:t>
      </w:r>
      <w:r>
        <w:rPr>
          <w:color w:val="000000"/>
        </w:rPr>
        <w:tab/>
        <w:t>If necessary or advisable for safe and continued operation, the members, components, parts, linkages and attachments of machinery mechanisms and gearings shall be machined.</w:t>
      </w:r>
    </w:p>
    <w:p w:rsidR="00AF2508" w:rsidRDefault="00AF2508">
      <w:pPr>
        <w:pStyle w:val="Amain"/>
        <w:rPr>
          <w:color w:val="000000"/>
        </w:rPr>
      </w:pPr>
      <w:r>
        <w:rPr>
          <w:color w:val="000000"/>
        </w:rPr>
        <w:tab/>
        <w:t>(2)</w:t>
      </w:r>
      <w:r>
        <w:rPr>
          <w:color w:val="000000"/>
        </w:rPr>
        <w:tab/>
        <w:t>Machining shall be such as to ensure accurate fitting, smooth and accurate working and freedom from shocks due to lost motion or to slackness or inaccuracy.</w:t>
      </w:r>
    </w:p>
    <w:p w:rsidR="00AF2508" w:rsidRDefault="00AF2508">
      <w:pPr>
        <w:pStyle w:val="Amain"/>
        <w:rPr>
          <w:color w:val="000000"/>
        </w:rPr>
      </w:pPr>
      <w:r>
        <w:rPr>
          <w:color w:val="000000"/>
        </w:rPr>
        <w:tab/>
        <w:t>(3)</w:t>
      </w:r>
      <w:r>
        <w:rPr>
          <w:color w:val="000000"/>
        </w:rPr>
        <w:tab/>
        <w:t>It shall also ensure truth, precision, correctness and regularity of form and of pitch and alignment.</w:t>
      </w:r>
    </w:p>
    <w:p w:rsidR="00AF2508" w:rsidRDefault="00AF2508">
      <w:pPr>
        <w:pStyle w:val="Amain"/>
      </w:pPr>
      <w:r>
        <w:rPr>
          <w:color w:val="000000"/>
        </w:rPr>
        <w:tab/>
        <w:t>(4)</w:t>
      </w:r>
      <w:r>
        <w:rPr>
          <w:color w:val="000000"/>
        </w:rPr>
        <w:tab/>
        <w:t>‘Lost motion’ shall be eliminated except if it is an essential feature of design.</w:t>
      </w:r>
    </w:p>
    <w:p w:rsidR="00AF2508" w:rsidRDefault="00AF2508">
      <w:pPr>
        <w:pStyle w:val="Amain"/>
        <w:keepLines/>
      </w:pPr>
      <w:r>
        <w:rPr>
          <w:color w:val="000000"/>
        </w:rPr>
        <w:tab/>
        <w:t>(5)</w:t>
      </w:r>
      <w:r>
        <w:rPr>
          <w:color w:val="000000"/>
        </w:rPr>
        <w:tab/>
        <w:t>Bolts, studs, set bolts, set screws, grub screws, adjusting screws and plain or screwed pins, eyebolts, tie bars, screw clevises and the like shall be prevented by positive means from developing undue longitudinal slackness or becoming displaced when used—</w:t>
      </w:r>
    </w:p>
    <w:p w:rsidR="00AF2508" w:rsidRDefault="00AF2508">
      <w:pPr>
        <w:pStyle w:val="Apara"/>
      </w:pPr>
      <w:r>
        <w:tab/>
        <w:t>(a)</w:t>
      </w:r>
      <w:r>
        <w:tab/>
        <w:t>in connecting or securing members between which relative motion occurs; or</w:t>
      </w:r>
    </w:p>
    <w:p w:rsidR="00AF2508" w:rsidRDefault="00AF2508">
      <w:pPr>
        <w:pStyle w:val="Apara"/>
      </w:pPr>
      <w:r>
        <w:tab/>
        <w:t>(b)</w:t>
      </w:r>
      <w:r>
        <w:tab/>
        <w:t>in positions in which they are required to be longitudinally slack; or</w:t>
      </w:r>
    </w:p>
    <w:p w:rsidR="00AF2508" w:rsidRDefault="00AF2508">
      <w:pPr>
        <w:pStyle w:val="Apara"/>
      </w:pPr>
      <w:r>
        <w:tab/>
        <w:t>(c)</w:t>
      </w:r>
      <w:r>
        <w:tab/>
        <w:t>in positions in which they are liable to become loosened by vibration; or</w:t>
      </w:r>
    </w:p>
    <w:p w:rsidR="00AF2508" w:rsidRDefault="00AF2508">
      <w:pPr>
        <w:pStyle w:val="Apara"/>
      </w:pPr>
      <w:r>
        <w:tab/>
        <w:t>(d)</w:t>
      </w:r>
      <w:r>
        <w:tab/>
        <w:t>in positions in which they are subjected to rapid changes of load; or</w:t>
      </w:r>
    </w:p>
    <w:p w:rsidR="00AF2508" w:rsidRDefault="00AF2508">
      <w:pPr>
        <w:pStyle w:val="Apara"/>
      </w:pPr>
      <w:r>
        <w:tab/>
        <w:t>(e)</w:t>
      </w:r>
      <w:r>
        <w:tab/>
        <w:t>in positions in which they are subjected to alternations of load; or</w:t>
      </w:r>
    </w:p>
    <w:p w:rsidR="00AF2508" w:rsidRDefault="00AF2508">
      <w:pPr>
        <w:pStyle w:val="Apara"/>
      </w:pPr>
      <w:r>
        <w:tab/>
        <w:t>(f)</w:t>
      </w:r>
      <w:r>
        <w:tab/>
        <w:t>in positions in which they are subjected to actions tending to unscrew them.</w:t>
      </w:r>
    </w:p>
    <w:p w:rsidR="00AF2508" w:rsidRDefault="00AF2508">
      <w:pPr>
        <w:pStyle w:val="Amain"/>
      </w:pPr>
      <w:r>
        <w:rPr>
          <w:color w:val="000000"/>
        </w:rPr>
        <w:tab/>
        <w:t>(6)</w:t>
      </w:r>
      <w:r>
        <w:rPr>
          <w:color w:val="000000"/>
        </w:rPr>
        <w:tab/>
        <w:t xml:space="preserve">Split pins shall not be less in diameter than </w:t>
      </w:r>
      <w:r>
        <w:rPr>
          <w:color w:val="000000"/>
          <w:position w:val="6"/>
          <w:sz w:val="18"/>
        </w:rPr>
        <w:t>1</w:t>
      </w:r>
      <w:r>
        <w:rPr>
          <w:color w:val="000000"/>
        </w:rPr>
        <w:t>/</w:t>
      </w:r>
      <w:r>
        <w:rPr>
          <w:color w:val="000000"/>
          <w:sz w:val="18"/>
        </w:rPr>
        <w:t>4</w:t>
      </w:r>
      <w:r>
        <w:rPr>
          <w:color w:val="000000"/>
        </w:rPr>
        <w:t xml:space="preserve"> of the thickness of the metal they traverse.</w:t>
      </w:r>
    </w:p>
    <w:p w:rsidR="00AF2508" w:rsidRDefault="00AF2508">
      <w:pPr>
        <w:pStyle w:val="Amain"/>
      </w:pPr>
      <w:r>
        <w:rPr>
          <w:color w:val="000000"/>
        </w:rPr>
        <w:tab/>
        <w:t>(7)</w:t>
      </w:r>
      <w:r>
        <w:rPr>
          <w:color w:val="000000"/>
        </w:rPr>
        <w:tab/>
        <w:t>If split pins or taper pins are used in floating pins, washers shall be provided between the split or taper pins and adjacent rubbing surfaces.</w:t>
      </w:r>
    </w:p>
    <w:p w:rsidR="00AF2508" w:rsidRDefault="00AF2508">
      <w:pPr>
        <w:pStyle w:val="Amain"/>
        <w:rPr>
          <w:color w:val="000000"/>
        </w:rPr>
      </w:pPr>
      <w:r>
        <w:rPr>
          <w:color w:val="000000"/>
        </w:rPr>
        <w:tab/>
        <w:t>(8)</w:t>
      </w:r>
      <w:r>
        <w:rPr>
          <w:color w:val="000000"/>
        </w:rPr>
        <w:tab/>
        <w:t>Except if slackness is an essential feature of design, keys shall be well fitted and tightly driven, and feathers shall be well and tightly fitted.</w:t>
      </w:r>
    </w:p>
    <w:p w:rsidR="00AF2508" w:rsidRDefault="00AF2508">
      <w:pPr>
        <w:pStyle w:val="Amain"/>
      </w:pPr>
      <w:r>
        <w:rPr>
          <w:color w:val="000000"/>
        </w:rPr>
        <w:tab/>
        <w:t>(9)</w:t>
      </w:r>
      <w:r>
        <w:rPr>
          <w:color w:val="000000"/>
        </w:rPr>
        <w:tab/>
        <w:t>Splines shall fit closely.</w:t>
      </w:r>
    </w:p>
    <w:p w:rsidR="00AF2508" w:rsidRDefault="00AF2508">
      <w:pPr>
        <w:pStyle w:val="Amain"/>
        <w:keepLines/>
      </w:pPr>
      <w:r>
        <w:rPr>
          <w:color w:val="000000"/>
        </w:rPr>
        <w:tab/>
        <w:t>(10)</w:t>
      </w:r>
      <w:r>
        <w:rPr>
          <w:color w:val="000000"/>
        </w:rPr>
        <w:tab/>
        <w:t>Axles, sheave pins, or shafts, pins or spindles carrying revolving or oscillating parts shall, unless designed as lubricated revolving members, be effectively locked against rotation as well as against longitudinal displacement.</w:t>
      </w:r>
    </w:p>
    <w:p w:rsidR="00AF2508" w:rsidRDefault="00AF2508">
      <w:pPr>
        <w:pStyle w:val="Amain"/>
      </w:pPr>
      <w:r>
        <w:rPr>
          <w:color w:val="000000"/>
        </w:rPr>
        <w:tab/>
        <w:t>(11)</w:t>
      </w:r>
      <w:r>
        <w:rPr>
          <w:color w:val="000000"/>
        </w:rPr>
        <w:tab/>
        <w:t xml:space="preserve">Internal threads and nuts shall be of effective axial length at least equal to </w:t>
      </w:r>
      <w:r>
        <w:rPr>
          <w:color w:val="000000"/>
          <w:position w:val="6"/>
          <w:sz w:val="18"/>
        </w:rPr>
        <w:t>7</w:t>
      </w:r>
      <w:r>
        <w:rPr>
          <w:color w:val="000000"/>
        </w:rPr>
        <w:t>/</w:t>
      </w:r>
      <w:r>
        <w:rPr>
          <w:color w:val="000000"/>
          <w:sz w:val="18"/>
        </w:rPr>
        <w:t>8</w:t>
      </w:r>
      <w:r>
        <w:rPr>
          <w:color w:val="000000"/>
        </w:rPr>
        <w:t xml:space="preserve"> of the nominal diameter of their thread and shall engage with the male thread for their full length.</w:t>
      </w:r>
    </w:p>
    <w:p w:rsidR="00AF2508" w:rsidRDefault="00AF2508">
      <w:pPr>
        <w:pStyle w:val="Amain"/>
      </w:pPr>
      <w:r>
        <w:rPr>
          <w:color w:val="000000"/>
        </w:rPr>
        <w:tab/>
        <w:t>(12)</w:t>
      </w:r>
      <w:r>
        <w:rPr>
          <w:color w:val="000000"/>
        </w:rPr>
        <w:tab/>
        <w:t>Balance, bias or operating weights of cranks, levers or linkages shall be secured in position by rivets, through bolts, welding or brazing.</w:t>
      </w:r>
    </w:p>
    <w:p w:rsidR="00AF2508" w:rsidRDefault="00AF2508">
      <w:pPr>
        <w:pStyle w:val="Amain"/>
      </w:pPr>
      <w:r>
        <w:rPr>
          <w:color w:val="000000"/>
        </w:rPr>
        <w:tab/>
        <w:t>(13)</w:t>
      </w:r>
      <w:r>
        <w:rPr>
          <w:color w:val="000000"/>
        </w:rPr>
        <w:tab/>
        <w:t>All castings, pressings, stampings, flame cuttings, weldings and forgings shall be of true, correct, precise and regular form, pitch and alignment, well suited to their purpose and free from defects liable to impair their effectiveness or conducive of conditions of hazard, uncertainty or danger.</w:t>
      </w:r>
    </w:p>
    <w:p w:rsidR="00AF2508" w:rsidRDefault="00AF2508">
      <w:pPr>
        <w:pStyle w:val="Amain"/>
      </w:pPr>
      <w:r>
        <w:rPr>
          <w:color w:val="000000"/>
        </w:rPr>
        <w:tab/>
        <w:t>(14)</w:t>
      </w:r>
      <w:r>
        <w:rPr>
          <w:color w:val="000000"/>
        </w:rPr>
        <w:tab/>
        <w:t>Lifting hooks that have opened out at the throat by 5% of their throat dimension shall not be used.</w:t>
      </w:r>
    </w:p>
    <w:p w:rsidR="00AF2508" w:rsidRDefault="00AF2508">
      <w:pPr>
        <w:pStyle w:val="Amain"/>
      </w:pPr>
      <w:r>
        <w:rPr>
          <w:color w:val="000000"/>
        </w:rPr>
        <w:tab/>
        <w:t>(15)</w:t>
      </w:r>
      <w:r>
        <w:rPr>
          <w:color w:val="000000"/>
        </w:rPr>
        <w:tab/>
        <w:t>Lifting rings of which any internal diameter has increased or decreased by 5% shall not be used.</w:t>
      </w:r>
    </w:p>
    <w:p w:rsidR="00AF2508" w:rsidRDefault="00AF2508">
      <w:pPr>
        <w:pStyle w:val="Amain"/>
      </w:pPr>
      <w:r>
        <w:rPr>
          <w:color w:val="000000"/>
        </w:rPr>
        <w:tab/>
        <w:t>(16)</w:t>
      </w:r>
      <w:r>
        <w:rPr>
          <w:color w:val="000000"/>
        </w:rPr>
        <w:tab/>
        <w:t>If members, components, parts, linkages or attachments are unduly loose or slack or unduly worn, deteriorated, or otherwise impaired or if they are so cracked, distorted, eroded, burned, fatigued, strain</w:t>
      </w:r>
      <w:r>
        <w:rPr>
          <w:color w:val="000000"/>
        </w:rPr>
        <w:noBreakHyphen/>
        <w:t>hardened or in any way defective or so damaged as to be productive or conducive to conditions of hazard, uncertainty or danger, they shall be immediately replaced, or all use of them shall be immediately discontinued and all necessary or desirable action immediately taken to ensure that they are no longer productive or conducive to such conditions.</w:t>
      </w:r>
    </w:p>
    <w:p w:rsidR="00AF2508" w:rsidRDefault="00AF2508">
      <w:pPr>
        <w:pStyle w:val="Amain"/>
        <w:keepLines/>
        <w:rPr>
          <w:color w:val="000000"/>
        </w:rPr>
      </w:pPr>
      <w:r>
        <w:rPr>
          <w:color w:val="000000"/>
        </w:rPr>
        <w:tab/>
        <w:t>(17)</w:t>
      </w:r>
      <w:r>
        <w:rPr>
          <w:color w:val="000000"/>
        </w:rPr>
        <w:tab/>
        <w:t>Members, components, parts, linkages or attachments, particularly operating cords, controls and brakes shall be so arranged and constructed that at all times they fulfil their functions freely and without obstruction.</w:t>
      </w:r>
    </w:p>
    <w:p w:rsidR="00AF2508" w:rsidRDefault="00AF2508">
      <w:pPr>
        <w:pStyle w:val="Amain"/>
      </w:pPr>
      <w:r>
        <w:rPr>
          <w:color w:val="000000"/>
        </w:rPr>
        <w:tab/>
        <w:t>(18)</w:t>
      </w:r>
      <w:r>
        <w:rPr>
          <w:color w:val="000000"/>
        </w:rPr>
        <w:tab/>
        <w:t>They shall be constantly maintained and kept free of obstruction.</w:t>
      </w:r>
    </w:p>
    <w:p w:rsidR="00AF2508" w:rsidRDefault="00AF2508">
      <w:pPr>
        <w:pStyle w:val="Amain"/>
      </w:pPr>
      <w:r>
        <w:rPr>
          <w:color w:val="000000"/>
        </w:rPr>
        <w:tab/>
        <w:t>(19)</w:t>
      </w:r>
      <w:r>
        <w:rPr>
          <w:color w:val="000000"/>
        </w:rPr>
        <w:tab/>
        <w:t>Effective interlocking devices of approved designs shall be provided—</w:t>
      </w:r>
    </w:p>
    <w:p w:rsidR="00AF2508" w:rsidRDefault="00AF2508">
      <w:pPr>
        <w:pStyle w:val="Apara"/>
      </w:pPr>
      <w:r>
        <w:tab/>
        <w:t>(a)</w:t>
      </w:r>
      <w:r>
        <w:tab/>
        <w:t>if machinery or mechanisms are so arranged that they may be driven either manually or by power—to ensure that the means by which the agencies are adapted cannot be simultaneously engaged; or</w:t>
      </w:r>
    </w:p>
    <w:p w:rsidR="00AF2508" w:rsidRDefault="00AF2508">
      <w:pPr>
        <w:pStyle w:val="Apara"/>
      </w:pPr>
      <w:r>
        <w:tab/>
        <w:t>(b)</w:t>
      </w:r>
      <w:r>
        <w:tab/>
        <w:t>if alternative devices are provided for sustaining or controlling any load—to prevent their simultaneous disengagement and consequent loss of control of load; or</w:t>
      </w:r>
    </w:p>
    <w:p w:rsidR="00AF2508" w:rsidRDefault="00AF2508">
      <w:pPr>
        <w:pStyle w:val="Apara"/>
      </w:pPr>
      <w:r>
        <w:tab/>
        <w:t>(c)</w:t>
      </w:r>
      <w:r>
        <w:tab/>
        <w:t>in power cranes or power hoists, if any device other than a brake or friction clutch is provided for sustaining any load—to prevent driving against the load-sustaining device; or</w:t>
      </w:r>
    </w:p>
    <w:p w:rsidR="00AF2508" w:rsidRDefault="00AF2508">
      <w:pPr>
        <w:pStyle w:val="Apara"/>
      </w:pPr>
      <w:r>
        <w:tab/>
        <w:t>(d)</w:t>
      </w:r>
      <w:r>
        <w:tab/>
        <w:t>to prevent loads or lifting gear being lowered through hatchways on, or into the path of travel of, travelling cranes, and to prevent the cranes colliding with the loads; or</w:t>
      </w:r>
    </w:p>
    <w:p w:rsidR="00AF2508" w:rsidRDefault="00AF2508">
      <w:pPr>
        <w:pStyle w:val="Apara"/>
      </w:pPr>
      <w:r>
        <w:tab/>
        <w:t>(e)</w:t>
      </w:r>
      <w:r>
        <w:tab/>
        <w:t>to ensure that trolleys, carriages, or crabs cannot overrun or become otherwise displaced from their tracks, at or near moveable sections of them, or at or near crossovers, switches, turntables, or transfer positions; or</w:t>
      </w:r>
    </w:p>
    <w:p w:rsidR="00AF2508" w:rsidRDefault="00AF2508">
      <w:pPr>
        <w:pStyle w:val="Apara"/>
      </w:pPr>
      <w:r>
        <w:tab/>
        <w:t>(f)</w:t>
      </w:r>
      <w:r>
        <w:tab/>
        <w:t>to prevent the operation of any hoist or lift having a moving platform, cage, hopper, box, cradle, skip, kibble, bucket, vessel, tine, monkey or yoke while any enclosure door is not fully closed and locked; or</w:t>
      </w:r>
    </w:p>
    <w:p w:rsidR="00AF2508" w:rsidRDefault="00AF2508">
      <w:pPr>
        <w:pStyle w:val="Apara"/>
      </w:pPr>
      <w:r>
        <w:tab/>
        <w:t>(g)</w:t>
      </w:r>
      <w:r>
        <w:tab/>
        <w:t>to prevent the unlocking or opening of any enclosure door of any hoist or lift referred to in paragraph (f), except a door relative to which the platform, cage, hopper, box, cradle, skip, kibble, bucket, vessel, tine, monkey or yoke has attained such a position that persons may safely enter the enclosure; or</w:t>
      </w:r>
    </w:p>
    <w:p w:rsidR="00AF2508" w:rsidRDefault="00AF2508">
      <w:pPr>
        <w:pStyle w:val="Apara"/>
      </w:pPr>
      <w:r>
        <w:tab/>
        <w:t>(h)</w:t>
      </w:r>
      <w:r>
        <w:tab/>
        <w:t>as required by subsections (49) and (50) for speed-changing devices.</w:t>
      </w:r>
    </w:p>
    <w:p w:rsidR="00AF2508" w:rsidRDefault="00AF2508">
      <w:pPr>
        <w:pStyle w:val="Amain"/>
        <w:rPr>
          <w:color w:val="000000"/>
        </w:rPr>
      </w:pPr>
      <w:r>
        <w:rPr>
          <w:color w:val="000000"/>
        </w:rPr>
        <w:tab/>
        <w:t>(20)</w:t>
      </w:r>
      <w:r>
        <w:rPr>
          <w:color w:val="000000"/>
        </w:rPr>
        <w:tab/>
        <w:t>Unless the chief inspector so directs, subsection (19) (b) does not require the interlocking of a brake.</w:t>
      </w:r>
    </w:p>
    <w:p w:rsidR="00AF2508" w:rsidRDefault="00AF2508">
      <w:pPr>
        <w:pStyle w:val="Amain"/>
        <w:rPr>
          <w:color w:val="000000"/>
        </w:rPr>
      </w:pPr>
      <w:r>
        <w:rPr>
          <w:color w:val="000000"/>
        </w:rPr>
        <w:tab/>
        <w:t>(21)</w:t>
      </w:r>
      <w:r>
        <w:rPr>
          <w:color w:val="000000"/>
        </w:rPr>
        <w:tab/>
        <w:t>Subsection (19) (f) does not apply to temporary hoists used in building, demolition, excuvation or compressed air work.</w:t>
      </w:r>
    </w:p>
    <w:p w:rsidR="00AF2508" w:rsidRDefault="00AF2508">
      <w:pPr>
        <w:pStyle w:val="Amain"/>
      </w:pPr>
      <w:r>
        <w:rPr>
          <w:color w:val="000000"/>
        </w:rPr>
        <w:tab/>
        <w:t>(22)</w:t>
      </w:r>
      <w:r>
        <w:rPr>
          <w:color w:val="000000"/>
        </w:rPr>
        <w:tab/>
        <w:t>Linkages, including those employing ropes, shall, unless it is an essential feature of design, be so devised and constructed that they cannot attain ‘deadcentre’ or other self-locking or self-neutralising positions.</w:t>
      </w:r>
    </w:p>
    <w:p w:rsidR="00AF2508" w:rsidRDefault="00AF2508">
      <w:pPr>
        <w:pStyle w:val="Amain"/>
      </w:pPr>
      <w:r>
        <w:rPr>
          <w:color w:val="000000"/>
        </w:rPr>
        <w:tab/>
        <w:t>(23)</w:t>
      </w:r>
      <w:r>
        <w:rPr>
          <w:color w:val="000000"/>
        </w:rPr>
        <w:tab/>
        <w:t>If owing to external agency the load supported by a crane or hoist may be subjected to major impact effects, shock absorbers of approved design shall be fixed in approved positions to relieve the crane or hoist of the effects.</w:t>
      </w:r>
    </w:p>
    <w:p w:rsidR="00AF2508" w:rsidRDefault="00AF2508">
      <w:pPr>
        <w:pStyle w:val="Amain"/>
      </w:pPr>
      <w:r>
        <w:rPr>
          <w:color w:val="000000"/>
        </w:rPr>
        <w:tab/>
        <w:t>(24)</w:t>
      </w:r>
      <w:r>
        <w:rPr>
          <w:color w:val="000000"/>
        </w:rPr>
        <w:tab/>
        <w:t>All of the members, components, parts, linkages and attachments of cranes and hoists and lifts and scaffoldings and plant shall be effectively and strongly secured in position.</w:t>
      </w:r>
    </w:p>
    <w:p w:rsidR="00AF2508" w:rsidRDefault="00AF2508">
      <w:pPr>
        <w:pStyle w:val="Amain"/>
        <w:rPr>
          <w:color w:val="000000"/>
        </w:rPr>
      </w:pPr>
      <w:r>
        <w:rPr>
          <w:color w:val="000000"/>
        </w:rPr>
        <w:tab/>
        <w:t>(25)</w:t>
      </w:r>
      <w:r>
        <w:rPr>
          <w:color w:val="000000"/>
        </w:rPr>
        <w:tab/>
        <w:t>All load chains and all hand chains shall be caused to book correctly on their gipsies, sheaves, quadrants or the like by means of chain guides.</w:t>
      </w:r>
    </w:p>
    <w:p w:rsidR="00AF2508" w:rsidRDefault="00AF2508">
      <w:pPr>
        <w:pStyle w:val="Amain"/>
        <w:rPr>
          <w:color w:val="000000"/>
        </w:rPr>
      </w:pPr>
      <w:r>
        <w:rPr>
          <w:color w:val="000000"/>
        </w:rPr>
        <w:tab/>
        <w:t>(26)</w:t>
      </w:r>
      <w:r>
        <w:rPr>
          <w:color w:val="000000"/>
        </w:rPr>
        <w:tab/>
        <w:t>To avoid jamming of the chain, guide rollers shall not be used in proximity to gipsies.</w:t>
      </w:r>
    </w:p>
    <w:p w:rsidR="00AF2508" w:rsidRDefault="00AF2508">
      <w:pPr>
        <w:pStyle w:val="Amain"/>
      </w:pPr>
      <w:r>
        <w:rPr>
          <w:color w:val="000000"/>
        </w:rPr>
        <w:tab/>
        <w:t>(27)</w:t>
      </w:r>
      <w:r>
        <w:rPr>
          <w:color w:val="000000"/>
        </w:rPr>
        <w:tab/>
        <w:t>Chain guides used with gipsies shall, if practicable, be of the fixed type.</w:t>
      </w:r>
    </w:p>
    <w:p w:rsidR="00AF2508" w:rsidRDefault="00AF2508">
      <w:pPr>
        <w:pStyle w:val="Amain"/>
      </w:pPr>
      <w:r>
        <w:rPr>
          <w:color w:val="000000"/>
        </w:rPr>
        <w:tab/>
        <w:t>(28)</w:t>
      </w:r>
      <w:r>
        <w:rPr>
          <w:color w:val="000000"/>
        </w:rPr>
        <w:tab/>
        <w:t>Hand ropes shall be caused to book correctly on their sheaves, quadrants or the like by means of effective rope guides.</w:t>
      </w:r>
    </w:p>
    <w:p w:rsidR="00AF2508" w:rsidRDefault="00AF2508">
      <w:pPr>
        <w:pStyle w:val="Amain"/>
        <w:rPr>
          <w:color w:val="000000"/>
        </w:rPr>
      </w:pPr>
      <w:r>
        <w:rPr>
          <w:color w:val="000000"/>
        </w:rPr>
        <w:tab/>
        <w:t>(29)</w:t>
      </w:r>
      <w:r>
        <w:rPr>
          <w:color w:val="000000"/>
        </w:rPr>
        <w:tab/>
        <w:t>The total force required at the hand chain or hand rope of a crane, hoist, scaffolding or plant to raise, lower, handle or control the working load or for purposes of manipulation shall not exceed 80 pounds.</w:t>
      </w:r>
    </w:p>
    <w:p w:rsidR="00AF2508" w:rsidRDefault="00AF2508">
      <w:pPr>
        <w:pStyle w:val="Amain"/>
      </w:pPr>
      <w:r>
        <w:rPr>
          <w:color w:val="000000"/>
        </w:rPr>
        <w:tab/>
        <w:t>(30)</w:t>
      </w:r>
      <w:r>
        <w:rPr>
          <w:color w:val="000000"/>
        </w:rPr>
        <w:tab/>
        <w:t>However, subsection (29) shall not apply to motions effectively controlled by trailing bandbrakes, weston type brakes, or automatic brakes analogous to them.</w:t>
      </w:r>
    </w:p>
    <w:p w:rsidR="00AF2508" w:rsidRDefault="00AF2508">
      <w:pPr>
        <w:pStyle w:val="Amain"/>
      </w:pPr>
      <w:r>
        <w:rPr>
          <w:color w:val="000000"/>
        </w:rPr>
        <w:tab/>
        <w:t>(31)</w:t>
      </w:r>
      <w:r>
        <w:rPr>
          <w:color w:val="000000"/>
        </w:rPr>
        <w:tab/>
        <w:t xml:space="preserve">The end carriages or bogies of the following cranes shall be so designed, constructed and maintained that breakage of a track wheel or its axle will not allow the carriage or bogey to become vertically displaced by more than </w:t>
      </w:r>
      <w:r>
        <w:rPr>
          <w:color w:val="000000"/>
          <w:position w:val="6"/>
          <w:sz w:val="18"/>
        </w:rPr>
        <w:t>3</w:t>
      </w:r>
      <w:r>
        <w:rPr>
          <w:color w:val="000000"/>
        </w:rPr>
        <w:t>/</w:t>
      </w:r>
      <w:r>
        <w:rPr>
          <w:color w:val="000000"/>
          <w:sz w:val="18"/>
        </w:rPr>
        <w:t>4</w:t>
      </w:r>
      <w:r>
        <w:rPr>
          <w:color w:val="000000"/>
        </w:rPr>
        <w:t xml:space="preserve"> of an inch:</w:t>
      </w:r>
    </w:p>
    <w:p w:rsidR="00AF2508" w:rsidRDefault="00AF2508">
      <w:pPr>
        <w:pStyle w:val="Apara"/>
      </w:pPr>
      <w:r>
        <w:tab/>
        <w:t>(a)</w:t>
      </w:r>
      <w:r>
        <w:tab/>
        <w:t>cranes of the overhead traveller type;</w:t>
      </w:r>
    </w:p>
    <w:p w:rsidR="00AF2508" w:rsidRDefault="00AF2508">
      <w:pPr>
        <w:pStyle w:val="Apara"/>
      </w:pPr>
      <w:r>
        <w:tab/>
        <w:t>(b)</w:t>
      </w:r>
      <w:r>
        <w:tab/>
        <w:t>travelling derrick cranes;</w:t>
      </w:r>
    </w:p>
    <w:p w:rsidR="00AF2508" w:rsidRDefault="00AF2508">
      <w:pPr>
        <w:pStyle w:val="Apara"/>
      </w:pPr>
      <w:r>
        <w:tab/>
        <w:t>(c)</w:t>
      </w:r>
      <w:r>
        <w:tab/>
        <w:t>travelling gallows type cranes or gantries;</w:t>
      </w:r>
    </w:p>
    <w:p w:rsidR="00AF2508" w:rsidRDefault="00AF2508">
      <w:pPr>
        <w:pStyle w:val="Apara"/>
      </w:pPr>
      <w:r>
        <w:tab/>
        <w:t>(d)</w:t>
      </w:r>
      <w:r>
        <w:tab/>
        <w:t>overhead runways other than monorail runways;</w:t>
      </w:r>
    </w:p>
    <w:p w:rsidR="00AF2508" w:rsidRDefault="00AF2508">
      <w:pPr>
        <w:pStyle w:val="Apara"/>
      </w:pPr>
      <w:r>
        <w:tab/>
        <w:t>(e)</w:t>
      </w:r>
      <w:r>
        <w:tab/>
        <w:t>travelling portal and semi-portal cranes;</w:t>
      </w:r>
    </w:p>
    <w:p w:rsidR="00AF2508" w:rsidRDefault="00AF2508">
      <w:pPr>
        <w:pStyle w:val="Apara"/>
      </w:pPr>
      <w:r>
        <w:tab/>
        <w:t>(f)</w:t>
      </w:r>
      <w:r>
        <w:tab/>
        <w:t>travelling hammerhead cranes.</w:t>
      </w:r>
    </w:p>
    <w:p w:rsidR="00AF2508" w:rsidRDefault="00AF2508">
      <w:pPr>
        <w:pStyle w:val="Amain"/>
      </w:pPr>
      <w:r>
        <w:rPr>
          <w:color w:val="000000"/>
        </w:rPr>
        <w:tab/>
        <w:t>(32)</w:t>
      </w:r>
      <w:r>
        <w:rPr>
          <w:color w:val="000000"/>
        </w:rPr>
        <w:tab/>
        <w:t>Worm or screw gearing shall not be employed in the machinery, mechanisms or gearings operating the following movements of scaffoldings, cranes, hoists or plant except when used in conjunction with the protective devices that are approved by the chief inspector:</w:t>
      </w:r>
    </w:p>
    <w:p w:rsidR="00AF2508" w:rsidRDefault="00AF2508">
      <w:pPr>
        <w:pStyle w:val="Apara"/>
      </w:pPr>
      <w:r>
        <w:tab/>
        <w:t>(a)</w:t>
      </w:r>
      <w:r>
        <w:tab/>
        <w:t>the slewing movements of jib cranes;</w:t>
      </w:r>
    </w:p>
    <w:p w:rsidR="00AF2508" w:rsidRDefault="00AF2508">
      <w:pPr>
        <w:pStyle w:val="Apara"/>
      </w:pPr>
      <w:r>
        <w:tab/>
        <w:t>(b)</w:t>
      </w:r>
      <w:r>
        <w:tab/>
        <w:t>the power-driven travelling movements, whether longitudinal or transverse, of cranes.</w:t>
      </w:r>
    </w:p>
    <w:p w:rsidR="00AF2508" w:rsidRDefault="00AF2508">
      <w:pPr>
        <w:pStyle w:val="Amain"/>
      </w:pPr>
      <w:r>
        <w:tab/>
        <w:t>(33)</w:t>
      </w:r>
      <w:r>
        <w:tab/>
        <w:t>However, subsection (32) does not apply to the mechanism by which ordinary vehicular or mobile cranes are propelled.</w:t>
      </w:r>
    </w:p>
    <w:p w:rsidR="00AF2508" w:rsidRDefault="00AF2508">
      <w:pPr>
        <w:pStyle w:val="Amain"/>
      </w:pPr>
      <w:r>
        <w:rPr>
          <w:color w:val="000000"/>
        </w:rPr>
        <w:tab/>
        <w:t>(34)</w:t>
      </w:r>
      <w:r>
        <w:rPr>
          <w:color w:val="000000"/>
        </w:rPr>
        <w:tab/>
        <w:t>Scaffoldings, cranes, hoists, plant or gear, including their crabs and trolleys, shall be so designed, constructed and maintained that the loads are distributed between all supporting track or road wheels in a statically determinate way.</w:t>
      </w:r>
    </w:p>
    <w:p w:rsidR="00AF2508" w:rsidRDefault="00AF2508">
      <w:pPr>
        <w:pStyle w:val="Amain"/>
      </w:pPr>
      <w:r>
        <w:rPr>
          <w:color w:val="000000"/>
        </w:rPr>
        <w:tab/>
        <w:t>(35)</w:t>
      </w:r>
      <w:r>
        <w:rPr>
          <w:color w:val="000000"/>
        </w:rPr>
        <w:tab/>
        <w:t>The slewing motions of power cranes having jibs or cantilevered booms shall be controlled by manually operated brakes.</w:t>
      </w:r>
    </w:p>
    <w:p w:rsidR="00AF2508" w:rsidRDefault="00AF2508">
      <w:pPr>
        <w:pStyle w:val="Amain"/>
      </w:pPr>
      <w:r>
        <w:rPr>
          <w:color w:val="000000"/>
        </w:rPr>
        <w:tab/>
        <w:t>(36)</w:t>
      </w:r>
      <w:r>
        <w:rPr>
          <w:color w:val="000000"/>
        </w:rPr>
        <w:tab/>
        <w:t>The travelling motion of the following cranes shall be controlled from and at their main driving stations by manually operated brakes:</w:t>
      </w:r>
    </w:p>
    <w:p w:rsidR="00AF2508" w:rsidRDefault="00AF2508">
      <w:pPr>
        <w:pStyle w:val="Apara"/>
      </w:pPr>
      <w:r>
        <w:tab/>
        <w:t>(a)</w:t>
      </w:r>
      <w:r>
        <w:tab/>
        <w:t>locomotive type power cranes;</w:t>
      </w:r>
    </w:p>
    <w:p w:rsidR="00AF2508" w:rsidRDefault="00AF2508">
      <w:pPr>
        <w:pStyle w:val="Apara"/>
      </w:pPr>
      <w:r>
        <w:tab/>
        <w:t>(b)</w:t>
      </w:r>
      <w:r>
        <w:tab/>
        <w:t>power cranes of the overhead traveller type;</w:t>
      </w:r>
    </w:p>
    <w:p w:rsidR="00AF2508" w:rsidRDefault="00AF2508">
      <w:pPr>
        <w:pStyle w:val="Apara"/>
      </w:pPr>
      <w:r>
        <w:tab/>
        <w:t>(c)</w:t>
      </w:r>
      <w:r>
        <w:tab/>
        <w:t>power cranes of the monorail or double-rail runway type of which the driver rides with or beside the load or lifting mechanism;</w:t>
      </w:r>
    </w:p>
    <w:p w:rsidR="00AF2508" w:rsidRDefault="00AF2508">
      <w:pPr>
        <w:pStyle w:val="Apara"/>
      </w:pPr>
      <w:r>
        <w:tab/>
        <w:t>(d)</w:t>
      </w:r>
      <w:r>
        <w:tab/>
        <w:t>vehicular power cranes;</w:t>
      </w:r>
    </w:p>
    <w:p w:rsidR="00AF2508" w:rsidRDefault="00AF2508">
      <w:pPr>
        <w:pStyle w:val="Apara"/>
      </w:pPr>
      <w:r>
        <w:tab/>
        <w:t>(e)</w:t>
      </w:r>
      <w:r>
        <w:tab/>
        <w:t>power cranes of the caterpillar type.</w:t>
      </w:r>
    </w:p>
    <w:p w:rsidR="00AF2508" w:rsidRDefault="00AF2508">
      <w:pPr>
        <w:pStyle w:val="Amain"/>
        <w:keepLines/>
      </w:pPr>
      <w:r>
        <w:rPr>
          <w:color w:val="000000"/>
        </w:rPr>
        <w:tab/>
        <w:t>(37)</w:t>
      </w:r>
      <w:r>
        <w:rPr>
          <w:color w:val="000000"/>
        </w:rPr>
        <w:tab/>
        <w:t>Cranes, hoists, lifts, scaffolding, plant or gear shall not be lubricated, tended or cleaned while in motion or while any member, component, part or attachment of them is in motion or while any member, component, part or attachment is in any way connected or liable to be connected with any energised associate, or any weight, load or force capable of causing it to move.</w:t>
      </w:r>
    </w:p>
    <w:p w:rsidR="00AF2508" w:rsidRDefault="00AF2508">
      <w:pPr>
        <w:pStyle w:val="Amain"/>
      </w:pPr>
      <w:r>
        <w:tab/>
        <w:t>(38)</w:t>
      </w:r>
      <w:r>
        <w:tab/>
        <w:t>In addition to shutting off the power, effective and dependable mechanical means shall be taken to render the members, components, parts or attachments immovable and to thereby ensure the safety of persons inspecting, examining, testing, lubricating, tending, cleaning or adjusting the cranes, hoists, lifts, scaffolding, plant, or gear.</w:t>
      </w:r>
    </w:p>
    <w:p w:rsidR="00AF2508" w:rsidRDefault="00AF2508">
      <w:pPr>
        <w:pStyle w:val="Amain"/>
      </w:pPr>
      <w:r>
        <w:tab/>
        <w:t>(39)</w:t>
      </w:r>
      <w:r>
        <w:tab/>
        <w:t>The application of brakes other than those of the screw-down type shall not be deemed to be a dependable mechanical means for subsection (38).</w:t>
      </w:r>
    </w:p>
    <w:p w:rsidR="00AF2508" w:rsidRDefault="00AF2508">
      <w:pPr>
        <w:pStyle w:val="Amain"/>
      </w:pPr>
      <w:r>
        <w:tab/>
        <w:t>(40)</w:t>
      </w:r>
      <w:r>
        <w:tab/>
        <w:t>If it is not practicable to thus render the members, components, parts or attachments immobile and immovable in order that inspection, examination, test or adjustment may be safely carried out, a duly qualified driver shall remain at and in sole charge of the controls during the whole of the time of the inspection, examination, test or adjustment and shall move the members, components, parts or attachments only at and in accordance with each plain and specific direction of the person making the inspection, examination, test or adjustment, but lubricating, tending, and cleaning shall not be carried out in this way.</w:t>
      </w:r>
    </w:p>
    <w:p w:rsidR="00AF2508" w:rsidRDefault="00AF2508">
      <w:pPr>
        <w:pStyle w:val="Amain"/>
      </w:pPr>
      <w:r>
        <w:tab/>
        <w:t>(41)</w:t>
      </w:r>
      <w:r>
        <w:tab/>
        <w:t>This section shall not prevent cranes, engines or gear from being lubricated, tended or cleaned by means equally safe to that of rendering the members, components, parts and attachments immobile and immovable as mentioned in subsection (40).</w:t>
      </w:r>
    </w:p>
    <w:p w:rsidR="00AF2508" w:rsidRDefault="00AF2508">
      <w:pPr>
        <w:pStyle w:val="Amain"/>
        <w:rPr>
          <w:color w:val="000000"/>
        </w:rPr>
      </w:pPr>
      <w:r>
        <w:rPr>
          <w:color w:val="000000"/>
        </w:rPr>
        <w:tab/>
        <w:t>(42)</w:t>
      </w:r>
      <w:r>
        <w:rPr>
          <w:color w:val="000000"/>
        </w:rPr>
        <w:tab/>
        <w:t>Static counterbalance weights of cranes, hoists or scaffolding shall be effectively and strongly secured in position.</w:t>
      </w:r>
    </w:p>
    <w:p w:rsidR="00AF2508" w:rsidRDefault="00AF2508">
      <w:pPr>
        <w:pStyle w:val="Amain"/>
      </w:pPr>
      <w:r>
        <w:rPr>
          <w:color w:val="000000"/>
        </w:rPr>
        <w:tab/>
        <w:t>(43)</w:t>
      </w:r>
      <w:r>
        <w:rPr>
          <w:color w:val="000000"/>
        </w:rPr>
        <w:tab/>
        <w:t>They shall be so devised and fixed that even if raised from their seatings in an emergency they will not become either partly or completely unshipped.</w:t>
      </w:r>
    </w:p>
    <w:p w:rsidR="00AF2508" w:rsidRDefault="00AF2508">
      <w:pPr>
        <w:pStyle w:val="Amain"/>
      </w:pPr>
      <w:r>
        <w:rPr>
          <w:color w:val="000000"/>
        </w:rPr>
        <w:tab/>
        <w:t>(44)</w:t>
      </w:r>
      <w:r>
        <w:rPr>
          <w:color w:val="000000"/>
        </w:rPr>
        <w:tab/>
        <w:t>All suspended weights shall have such additional constraint, or fencing, that in the event of failure of their prime suspension they will not fall to the danger of persons in the vicinity.</w:t>
      </w:r>
    </w:p>
    <w:p w:rsidR="00AF2508" w:rsidRDefault="00AF2508">
      <w:pPr>
        <w:pStyle w:val="Amain"/>
      </w:pPr>
      <w:r>
        <w:rPr>
          <w:color w:val="000000"/>
        </w:rPr>
        <w:tab/>
        <w:t>(45)</w:t>
      </w:r>
      <w:r>
        <w:rPr>
          <w:color w:val="000000"/>
        </w:rPr>
        <w:tab/>
        <w:t>Tapered washers or tapered packers shall be used under the heads and nuts or bolts, pins and tie rods that protect from surfaces not normal to their longitudinal axes to ensure an even distribution of loading on the heads and nuts.</w:t>
      </w:r>
    </w:p>
    <w:p w:rsidR="00AF2508" w:rsidRDefault="00AF2508">
      <w:pPr>
        <w:pStyle w:val="Amain"/>
        <w:keepNext/>
      </w:pPr>
      <w:r>
        <w:rPr>
          <w:color w:val="000000"/>
        </w:rPr>
        <w:tab/>
        <w:t>(46)</w:t>
      </w:r>
      <w:r>
        <w:rPr>
          <w:color w:val="000000"/>
        </w:rPr>
        <w:tab/>
        <w:t>Pawls shall not be used as load sustaining devices except—</w:t>
      </w:r>
    </w:p>
    <w:p w:rsidR="00AF2508" w:rsidRDefault="00AF2508">
      <w:pPr>
        <w:pStyle w:val="Apara"/>
      </w:pPr>
      <w:r>
        <w:tab/>
        <w:t>(a)</w:t>
      </w:r>
      <w:r>
        <w:tab/>
        <w:t>if so plainly visible to a person standing or sitting at the controls that the person can readily observe the depth to which each pawl has entered the teeth with which it engages; or</w:t>
      </w:r>
    </w:p>
    <w:p w:rsidR="00AF2508" w:rsidRDefault="00AF2508">
      <w:pPr>
        <w:pStyle w:val="Apara"/>
      </w:pPr>
      <w:r>
        <w:tab/>
        <w:t>(b)</w:t>
      </w:r>
      <w:r>
        <w:tab/>
        <w:t>if an approved indicator is provided to enable a person at the controls to ascertain the depth of engagement of the pawl as mentioned in paragraph (a).</w:t>
      </w:r>
    </w:p>
    <w:p w:rsidR="00AF2508" w:rsidRDefault="00AF2508">
      <w:pPr>
        <w:pStyle w:val="Amain"/>
      </w:pPr>
      <w:r>
        <w:tab/>
        <w:t>(47)</w:t>
      </w:r>
      <w:r>
        <w:tab/>
        <w:t>However, pawls with approved accelerating springs or approved linkages may be used in Weston type brakes.</w:t>
      </w:r>
    </w:p>
    <w:p w:rsidR="00AF2508" w:rsidRDefault="00AF2508">
      <w:pPr>
        <w:pStyle w:val="Amain"/>
      </w:pPr>
      <w:r>
        <w:tab/>
        <w:t>(48)</w:t>
      </w:r>
      <w:r>
        <w:tab/>
        <w:t>Pawls in enclosing casings or boxings shall be of the non</w:t>
      </w:r>
      <w:r>
        <w:noBreakHyphen/>
        <w:t>sychronous multiple type.</w:t>
      </w:r>
    </w:p>
    <w:p w:rsidR="00AF2508" w:rsidRDefault="00AF2508">
      <w:pPr>
        <w:pStyle w:val="Amain"/>
      </w:pPr>
      <w:r>
        <w:tab/>
        <w:t>(49)</w:t>
      </w:r>
      <w:r>
        <w:tab/>
        <w:t>If any power-driven mechanism has a speed-changing or adjusting device by means of which load sustaining parts may be disconnected from the motive agency, a brake or other approved means shall be provided to control the disconnected parts.</w:t>
      </w:r>
    </w:p>
    <w:p w:rsidR="00AF2508" w:rsidRDefault="00AF2508">
      <w:pPr>
        <w:pStyle w:val="Amain"/>
      </w:pPr>
      <w:r>
        <w:tab/>
        <w:t>(50)</w:t>
      </w:r>
      <w:r>
        <w:tab/>
        <w:t>The brake or alternative means shall, if the chief inspector so requires, be interlocked with the speed changing or adjusting device to prevent their simultaneous disengagement.</w:t>
      </w:r>
    </w:p>
    <w:p w:rsidR="00AF2508" w:rsidRDefault="00AF2508">
      <w:pPr>
        <w:pStyle w:val="Amain"/>
        <w:rPr>
          <w:color w:val="000000"/>
        </w:rPr>
      </w:pPr>
      <w:r>
        <w:rPr>
          <w:color w:val="000000"/>
        </w:rPr>
        <w:tab/>
        <w:t>(51)</w:t>
      </w:r>
      <w:r>
        <w:rPr>
          <w:color w:val="000000"/>
        </w:rPr>
        <w:tab/>
        <w:t>Brakes of mechanisms that can be reversed either under power or manually shall be fully effective in all directions.</w:t>
      </w:r>
    </w:p>
    <w:p w:rsidR="00AF2508" w:rsidRDefault="00AF2508">
      <w:pPr>
        <w:pStyle w:val="Amain"/>
      </w:pPr>
      <w:r>
        <w:rPr>
          <w:color w:val="000000"/>
        </w:rPr>
        <w:tab/>
        <w:t>(52)</w:t>
      </w:r>
      <w:r>
        <w:rPr>
          <w:color w:val="000000"/>
        </w:rPr>
        <w:tab/>
        <w:t>Automatic brakes other than those of the shoe type or of the Weston (screw or helix) type shall not be used on the mechanisms.</w:t>
      </w:r>
    </w:p>
    <w:p w:rsidR="00AF2508" w:rsidRDefault="00AF2508">
      <w:pPr>
        <w:pStyle w:val="Amain"/>
      </w:pPr>
      <w:r>
        <w:rPr>
          <w:color w:val="000000"/>
        </w:rPr>
        <w:tab/>
        <w:t>(53)</w:t>
      </w:r>
      <w:r>
        <w:rPr>
          <w:color w:val="000000"/>
        </w:rPr>
        <w:tab/>
        <w:t>All dynamically reversible mechanisms that can be energised by the action of gravity, momentum or wind shall have brakes or other approved devices by which all movements can be both controlled and prevented.</w:t>
      </w:r>
    </w:p>
    <w:p w:rsidR="00AF2508" w:rsidRDefault="00AF2508">
      <w:pPr>
        <w:pStyle w:val="Amain"/>
      </w:pPr>
      <w:r>
        <w:rPr>
          <w:color w:val="000000"/>
        </w:rPr>
        <w:tab/>
        <w:t>(54)</w:t>
      </w:r>
      <w:r>
        <w:rPr>
          <w:color w:val="000000"/>
        </w:rPr>
        <w:tab/>
        <w:t>Electrically opened brakes shall be deemed not to fulfil the requirements of subsection (53).</w:t>
      </w:r>
    </w:p>
    <w:p w:rsidR="00AF2508" w:rsidRDefault="00AF2508">
      <w:pPr>
        <w:pStyle w:val="Amain"/>
      </w:pPr>
      <w:r>
        <w:rPr>
          <w:color w:val="000000"/>
        </w:rPr>
        <w:tab/>
        <w:t>(55)</w:t>
      </w:r>
      <w:r>
        <w:rPr>
          <w:color w:val="000000"/>
        </w:rPr>
        <w:tab/>
        <w:t xml:space="preserve">A brake restraining a metal track wheel that runs on a metal track rail shall not for purposes of design be considered to develop a braking force between wheel and rail in excess of </w:t>
      </w:r>
      <w:r>
        <w:rPr>
          <w:color w:val="000000"/>
          <w:position w:val="6"/>
          <w:sz w:val="18"/>
        </w:rPr>
        <w:t>1</w:t>
      </w:r>
      <w:r>
        <w:rPr>
          <w:color w:val="000000"/>
        </w:rPr>
        <w:t>/</w:t>
      </w:r>
      <w:r>
        <w:rPr>
          <w:color w:val="000000"/>
          <w:sz w:val="18"/>
        </w:rPr>
        <w:t>10</w:t>
      </w:r>
      <w:r>
        <w:rPr>
          <w:color w:val="000000"/>
        </w:rPr>
        <w:t xml:space="preserve"> of the pressure between the wheel and rail.</w:t>
      </w:r>
    </w:p>
    <w:p w:rsidR="00AF2508" w:rsidRDefault="00AF2508">
      <w:pPr>
        <w:pStyle w:val="Amain"/>
        <w:rPr>
          <w:color w:val="000000"/>
        </w:rPr>
      </w:pPr>
      <w:r>
        <w:rPr>
          <w:color w:val="000000"/>
        </w:rPr>
        <w:tab/>
        <w:t>(56)</w:t>
      </w:r>
      <w:r>
        <w:rPr>
          <w:color w:val="000000"/>
        </w:rPr>
        <w:tab/>
        <w:t>Non-automatic brakes shall have approved means by which they may be locked in the fully engaged position.</w:t>
      </w:r>
    </w:p>
    <w:p w:rsidR="00AF2508" w:rsidRDefault="00AF2508">
      <w:pPr>
        <w:pStyle w:val="Amain"/>
      </w:pPr>
      <w:r>
        <w:tab/>
        <w:t>(57)</w:t>
      </w:r>
      <w:r>
        <w:tab/>
        <w:t>However, the locking devices may be omitted for brakes controlling the hoisting motions of overhead traveller cranes that lift or lower loads through heights not exceeding 30 feet.</w:t>
      </w:r>
    </w:p>
    <w:p w:rsidR="00AF2508" w:rsidRDefault="00AF2508">
      <w:pPr>
        <w:pStyle w:val="Amain"/>
        <w:rPr>
          <w:color w:val="000000"/>
        </w:rPr>
      </w:pPr>
      <w:r>
        <w:rPr>
          <w:color w:val="000000"/>
        </w:rPr>
        <w:tab/>
        <w:t>(58)</w:t>
      </w:r>
      <w:r>
        <w:rPr>
          <w:color w:val="000000"/>
        </w:rPr>
        <w:tab/>
        <w:t>In addition to any electrically-opened brakes, approved semiautomatic brakes shall be provided on power-driven mechanisms handling workers and materials to control the lowering motions.</w:t>
      </w:r>
    </w:p>
    <w:p w:rsidR="00AF2508" w:rsidRDefault="00AF2508">
      <w:pPr>
        <w:pStyle w:val="Amain"/>
      </w:pPr>
      <w:r>
        <w:rPr>
          <w:color w:val="000000"/>
        </w:rPr>
        <w:tab/>
        <w:t>(59)</w:t>
      </w:r>
      <w:r>
        <w:rPr>
          <w:color w:val="000000"/>
        </w:rPr>
        <w:tab/>
        <w:t>The brakes shall function automatically on the manual release of a restraining device.</w:t>
      </w:r>
    </w:p>
    <w:p w:rsidR="00AF2508" w:rsidRDefault="00AF2508">
      <w:pPr>
        <w:pStyle w:val="Amain"/>
      </w:pPr>
      <w:r>
        <w:rPr>
          <w:color w:val="000000"/>
        </w:rPr>
        <w:tab/>
        <w:t>(60)</w:t>
      </w:r>
      <w:r>
        <w:rPr>
          <w:color w:val="000000"/>
        </w:rPr>
        <w:tab/>
        <w:t>All brakes shall be lined with approved brake lining materials and the linings shall be so strongly and effectively fastened in place that they will not become loose or displaced even when so worn that replacement has become advisable.</w:t>
      </w:r>
    </w:p>
    <w:p w:rsidR="00AF2508" w:rsidRDefault="00AF2508">
      <w:pPr>
        <w:pStyle w:val="Amain"/>
      </w:pPr>
      <w:r>
        <w:rPr>
          <w:color w:val="000000"/>
        </w:rPr>
        <w:tab/>
        <w:t>(61)</w:t>
      </w:r>
      <w:r>
        <w:rPr>
          <w:color w:val="000000"/>
        </w:rPr>
        <w:tab/>
        <w:t xml:space="preserve">Brake bands that are less in width than </w:t>
      </w:r>
      <w:r>
        <w:rPr>
          <w:color w:val="000000"/>
          <w:position w:val="6"/>
          <w:sz w:val="18"/>
        </w:rPr>
        <w:t>1</w:t>
      </w:r>
      <w:r>
        <w:rPr>
          <w:color w:val="000000"/>
        </w:rPr>
        <w:t>/</w:t>
      </w:r>
      <w:r>
        <w:rPr>
          <w:color w:val="000000"/>
          <w:sz w:val="18"/>
        </w:rPr>
        <w:t>5</w:t>
      </w:r>
      <w:r>
        <w:rPr>
          <w:color w:val="000000"/>
        </w:rPr>
        <w:t xml:space="preserve"> of the diameter of their drums shall have restraining clips or double-flanged drums or other approved devices that ensure against their lateral displacement.</w:t>
      </w:r>
    </w:p>
    <w:p w:rsidR="00AF2508" w:rsidRDefault="00AF2508">
      <w:pPr>
        <w:pStyle w:val="Amain"/>
        <w:rPr>
          <w:color w:val="000000"/>
        </w:rPr>
      </w:pPr>
      <w:r>
        <w:rPr>
          <w:color w:val="000000"/>
        </w:rPr>
        <w:tab/>
        <w:t>(62)</w:t>
      </w:r>
      <w:r>
        <w:rPr>
          <w:color w:val="000000"/>
        </w:rPr>
        <w:tab/>
        <w:t>All ends of brake bands shall be concentric and hinged to ensure that the ends of the bands will not be subject to bending actions.</w:t>
      </w:r>
    </w:p>
    <w:p w:rsidR="00AF2508" w:rsidRDefault="00AF2508">
      <w:pPr>
        <w:pStyle w:val="Amain"/>
      </w:pPr>
      <w:r>
        <w:rPr>
          <w:color w:val="000000"/>
        </w:rPr>
        <w:tab/>
        <w:t>(63)</w:t>
      </w:r>
      <w:r>
        <w:rPr>
          <w:color w:val="000000"/>
        </w:rPr>
        <w:tab/>
        <w:t>The use of rigid or partly-rigid intermediate joints in brake bands shall as far as practicable be avoided but if unavoidable the joints shall be of types that will not subject the bands to bending actions.</w:t>
      </w:r>
    </w:p>
    <w:p w:rsidR="00AF2508" w:rsidRDefault="00AF2508">
      <w:pPr>
        <w:pStyle w:val="Amain"/>
        <w:rPr>
          <w:color w:val="000000"/>
        </w:rPr>
      </w:pPr>
      <w:r>
        <w:rPr>
          <w:color w:val="000000"/>
        </w:rPr>
        <w:tab/>
        <w:t>(64)</w:t>
      </w:r>
      <w:r>
        <w:rPr>
          <w:color w:val="000000"/>
        </w:rPr>
        <w:tab/>
        <w:t>All manual and semiautomatic brakes shall be so devised, constructed and located that in an emergency they can be instantly applied.</w:t>
      </w:r>
    </w:p>
    <w:p w:rsidR="00AF2508" w:rsidRDefault="00AF2508">
      <w:pPr>
        <w:pStyle w:val="Amain"/>
      </w:pPr>
      <w:r>
        <w:rPr>
          <w:color w:val="000000"/>
        </w:rPr>
        <w:tab/>
        <w:t>(65)</w:t>
      </w:r>
      <w:r>
        <w:rPr>
          <w:color w:val="000000"/>
        </w:rPr>
        <w:tab/>
        <w:t>If manual rotation of a screw thread or nut is necessary, brakes shall be so devised, constructed and located that alternative means of instantaneous application are available.</w:t>
      </w:r>
    </w:p>
    <w:p w:rsidR="00AF2508" w:rsidRDefault="00AF2508">
      <w:pPr>
        <w:pStyle w:val="Amain"/>
      </w:pPr>
      <w:r>
        <w:rPr>
          <w:color w:val="000000"/>
        </w:rPr>
        <w:tab/>
        <w:t>(66)</w:t>
      </w:r>
      <w:r>
        <w:rPr>
          <w:color w:val="000000"/>
        </w:rPr>
        <w:tab/>
        <w:t>Effective means shall be provided for limiting the total movement of brake bands or shoes to the least practicable amount.</w:t>
      </w:r>
    </w:p>
    <w:p w:rsidR="00AF2508" w:rsidRDefault="00AF2508">
      <w:pPr>
        <w:pStyle w:val="Amain"/>
      </w:pPr>
      <w:r>
        <w:rPr>
          <w:color w:val="000000"/>
        </w:rPr>
        <w:tab/>
        <w:t>(67)</w:t>
      </w:r>
      <w:r>
        <w:rPr>
          <w:color w:val="000000"/>
        </w:rPr>
        <w:tab/>
        <w:t>The total movement of a brake band in opening and closing shall be limited to an amount that will ensure against its excessive flexure or displacement or mounting.</w:t>
      </w:r>
    </w:p>
    <w:p w:rsidR="00AF2508" w:rsidRDefault="00AF2508">
      <w:pPr>
        <w:pStyle w:val="Amain"/>
      </w:pPr>
      <w:r>
        <w:rPr>
          <w:color w:val="000000"/>
        </w:rPr>
        <w:tab/>
        <w:t>(68)</w:t>
      </w:r>
      <w:r>
        <w:rPr>
          <w:color w:val="000000"/>
        </w:rPr>
        <w:tab/>
        <w:t>Brakes shall open and close evenly to ensure correct action and regular wear of linings, their action shall be entirely smooth and free from chatter and they shall not stick or bind.</w:t>
      </w:r>
    </w:p>
    <w:p w:rsidR="00AF2508" w:rsidRDefault="00AF2508">
      <w:pPr>
        <w:pStyle w:val="Amain"/>
      </w:pPr>
      <w:r>
        <w:rPr>
          <w:color w:val="000000"/>
        </w:rPr>
        <w:tab/>
        <w:t>(69)</w:t>
      </w:r>
      <w:r>
        <w:rPr>
          <w:color w:val="000000"/>
        </w:rPr>
        <w:tab/>
        <w:t>The total angular movement or ‘throw’ of the hand lever of any brake or clutch or the like shall not exceed 50°, and that of any pedal shall not exceed 30°.</w:t>
      </w:r>
    </w:p>
    <w:p w:rsidR="00AF2508" w:rsidRDefault="00AF2508">
      <w:pPr>
        <w:pStyle w:val="Amain"/>
      </w:pPr>
      <w:r>
        <w:rPr>
          <w:color w:val="000000"/>
        </w:rPr>
        <w:tab/>
        <w:t>(70)</w:t>
      </w:r>
      <w:r>
        <w:rPr>
          <w:color w:val="000000"/>
        </w:rPr>
        <w:tab/>
        <w:t>Brakes shall be capable of exerting braking torques 50% greater than those transmitted to them, assuming conditions of static loading and an absence of friction except at the braking surfaces.</w:t>
      </w:r>
    </w:p>
    <w:p w:rsidR="00AF2508" w:rsidRDefault="00AF2508">
      <w:pPr>
        <w:pStyle w:val="Amain"/>
      </w:pPr>
      <w:r>
        <w:tab/>
        <w:t>(71)</w:t>
      </w:r>
      <w:r>
        <w:tab/>
        <w:t>The braking torques shall be exerted by the brakes, if manually actuated, on application of a force not greater than 35 pounds to the hand lever, or, alternatively, 70 pounds to the foot pedal.</w:t>
      </w:r>
    </w:p>
    <w:p w:rsidR="00AF2508" w:rsidRDefault="00AF2508">
      <w:pPr>
        <w:pStyle w:val="Amain"/>
      </w:pPr>
      <w:r>
        <w:rPr>
          <w:color w:val="000000"/>
        </w:rPr>
        <w:tab/>
        <w:t>(72)</w:t>
      </w:r>
      <w:r>
        <w:rPr>
          <w:color w:val="000000"/>
        </w:rPr>
        <w:tab/>
        <w:t>Every Weston (screw or helix) type brake shall be so designed that the holding torque developed by it at all times exceeds by at least 1% the load torque applied.</w:t>
      </w:r>
    </w:p>
    <w:p w:rsidR="00AF2508" w:rsidRDefault="00AF2508">
      <w:pPr>
        <w:pStyle w:val="Amain"/>
      </w:pPr>
      <w:r>
        <w:rPr>
          <w:color w:val="000000"/>
        </w:rPr>
        <w:tab/>
        <w:t>(73)</w:t>
      </w:r>
      <w:r>
        <w:rPr>
          <w:color w:val="000000"/>
        </w:rPr>
        <w:tab/>
        <w:t>Unless specifically designed for operation with lubricated linings, brakes shall, if necessary or desirable, be effectively protected against entry of water or other lubricants.</w:t>
      </w:r>
    </w:p>
    <w:p w:rsidR="00AF2508" w:rsidRDefault="00AF2508">
      <w:pPr>
        <w:pStyle w:val="Amain"/>
      </w:pPr>
      <w:r>
        <w:rPr>
          <w:color w:val="000000"/>
        </w:rPr>
        <w:tab/>
        <w:t>(74)</w:t>
      </w:r>
      <w:r>
        <w:rPr>
          <w:color w:val="000000"/>
        </w:rPr>
        <w:tab/>
        <w:t>Subject to subsection (95), the hoisting motions of cranes or hoists of the following types shall be controlled by automatic (trailing) bank brakes, or by approved Weston (screw or helix) type brakes:</w:t>
      </w:r>
    </w:p>
    <w:p w:rsidR="00AF2508" w:rsidRDefault="00AF2508">
      <w:pPr>
        <w:pStyle w:val="Apara"/>
      </w:pPr>
      <w:r>
        <w:tab/>
        <w:t>(a)</w:t>
      </w:r>
      <w:r>
        <w:tab/>
        <w:t>mobile, caterpillar, and locomotive type cranes;</w:t>
      </w:r>
    </w:p>
    <w:p w:rsidR="00AF2508" w:rsidRDefault="00AF2508">
      <w:pPr>
        <w:pStyle w:val="Apara"/>
      </w:pPr>
      <w:r>
        <w:tab/>
        <w:t>(b)</w:t>
      </w:r>
      <w:r>
        <w:tab/>
        <w:t>hand-operated winches;</w:t>
      </w:r>
    </w:p>
    <w:p w:rsidR="00AF2508" w:rsidRDefault="00AF2508">
      <w:pPr>
        <w:pStyle w:val="Apara"/>
      </w:pPr>
      <w:r>
        <w:tab/>
        <w:t>(c)</w:t>
      </w:r>
      <w:r>
        <w:tab/>
        <w:t>hand-operated derrick cranes;</w:t>
      </w:r>
    </w:p>
    <w:p w:rsidR="00AF2508" w:rsidRDefault="00AF2508">
      <w:pPr>
        <w:pStyle w:val="Apara"/>
      </w:pPr>
      <w:r>
        <w:tab/>
        <w:t>(d)</w:t>
      </w:r>
      <w:r>
        <w:tab/>
        <w:t>hand-operated overhead traveller cranes.</w:t>
      </w:r>
    </w:p>
    <w:p w:rsidR="00AF2508" w:rsidRDefault="00AF2508">
      <w:pPr>
        <w:pStyle w:val="Amain"/>
      </w:pPr>
      <w:r>
        <w:rPr>
          <w:color w:val="000000"/>
        </w:rPr>
        <w:tab/>
        <w:t>(75)</w:t>
      </w:r>
      <w:r>
        <w:rPr>
          <w:color w:val="000000"/>
        </w:rPr>
        <w:tab/>
        <w:t>The following motions of cranes or hoists of the following types shall be controlled by Weston (screw or helix) type brakes:</w:t>
      </w:r>
    </w:p>
    <w:p w:rsidR="00AF2508" w:rsidRDefault="00AF2508">
      <w:pPr>
        <w:pStyle w:val="Apara"/>
      </w:pPr>
      <w:r>
        <w:tab/>
        <w:t>(a)</w:t>
      </w:r>
      <w:r>
        <w:tab/>
        <w:t>the hoisting motions of hand-operated stacking machines, gibbets, gallows, and chain blocks;</w:t>
      </w:r>
    </w:p>
    <w:p w:rsidR="00AF2508" w:rsidRDefault="00AF2508">
      <w:pPr>
        <w:pStyle w:val="Apara"/>
      </w:pPr>
      <w:r>
        <w:tab/>
        <w:t>(b)</w:t>
      </w:r>
      <w:r>
        <w:tab/>
        <w:t>the boom-elevating motion of mobile or portable conveyors;</w:t>
      </w:r>
    </w:p>
    <w:p w:rsidR="00AF2508" w:rsidRDefault="00AF2508">
      <w:pPr>
        <w:pStyle w:val="Apara"/>
      </w:pPr>
      <w:r>
        <w:tab/>
        <w:t>(c)</w:t>
      </w:r>
      <w:r>
        <w:tab/>
        <w:t>the luffing and hoisting motions of power-driven travelling derrick cranes;</w:t>
      </w:r>
    </w:p>
    <w:p w:rsidR="00AF2508" w:rsidRDefault="00AF2508">
      <w:pPr>
        <w:pStyle w:val="Apara"/>
      </w:pPr>
      <w:r>
        <w:tab/>
        <w:t>(d)</w:t>
      </w:r>
      <w:r>
        <w:tab/>
        <w:t>the hoisting motions of cranes and hoists (other than power</w:t>
      </w:r>
      <w:r>
        <w:noBreakHyphen/>
        <w:t>driven hoisting blocks), that raise and lower loads through distances not greater than 10 feet.</w:t>
      </w:r>
    </w:p>
    <w:p w:rsidR="00AF2508" w:rsidRDefault="00AF2508">
      <w:pPr>
        <w:pStyle w:val="Amain"/>
      </w:pPr>
      <w:r>
        <w:rPr>
          <w:color w:val="000000"/>
        </w:rPr>
        <w:tab/>
        <w:t>(76)</w:t>
      </w:r>
      <w:r>
        <w:rPr>
          <w:color w:val="000000"/>
        </w:rPr>
        <w:tab/>
        <w:t>Convenient and readily accessible means shall, unless the design renders them unnecessary, be provided by which brakes may be readjusted from time to time to compensate for wear and to ensure correct functioning.</w:t>
      </w:r>
    </w:p>
    <w:p w:rsidR="00AF2508" w:rsidRDefault="00AF2508">
      <w:pPr>
        <w:pStyle w:val="Amain"/>
      </w:pPr>
      <w:r>
        <w:rPr>
          <w:color w:val="000000"/>
        </w:rPr>
        <w:tab/>
        <w:t>(77)</w:t>
      </w:r>
      <w:r>
        <w:rPr>
          <w:color w:val="000000"/>
        </w:rPr>
        <w:tab/>
        <w:t>Any brake that is closed by springs shall have at least 2 such springs.</w:t>
      </w:r>
    </w:p>
    <w:p w:rsidR="00AF2508" w:rsidRDefault="00AF2508">
      <w:pPr>
        <w:pStyle w:val="Amain"/>
      </w:pPr>
      <w:r>
        <w:tab/>
        <w:t>(78)</w:t>
      </w:r>
      <w:r>
        <w:tab/>
        <w:t xml:space="preserve">They shall be so devised and arranged that in the event of failure of either, the brake will continue to function and to develop at least </w:t>
      </w:r>
      <w:r>
        <w:rPr>
          <w:position w:val="6"/>
          <w:sz w:val="18"/>
        </w:rPr>
        <w:t>1</w:t>
      </w:r>
      <w:r>
        <w:t>/</w:t>
      </w:r>
      <w:r>
        <w:rPr>
          <w:sz w:val="18"/>
        </w:rPr>
        <w:t>2 </w:t>
      </w:r>
      <w:r>
        <w:t>of the holding torque prescribed by subsections (70) and (71).</w:t>
      </w:r>
    </w:p>
    <w:p w:rsidR="00AF2508" w:rsidRDefault="00AF2508">
      <w:pPr>
        <w:pStyle w:val="Amain"/>
      </w:pPr>
      <w:r>
        <w:rPr>
          <w:color w:val="000000"/>
        </w:rPr>
        <w:tab/>
        <w:t>(79)</w:t>
      </w:r>
      <w:r>
        <w:rPr>
          <w:color w:val="000000"/>
        </w:rPr>
        <w:tab/>
        <w:t>Shoe brakes shall be so devised and constructed that the loads on opposing shoes automatically equalise and balance one another.</w:t>
      </w:r>
    </w:p>
    <w:p w:rsidR="00AF2508" w:rsidRDefault="00AF2508">
      <w:pPr>
        <w:pStyle w:val="Amain"/>
      </w:pPr>
      <w:r>
        <w:tab/>
        <w:t>(80)</w:t>
      </w:r>
      <w:r>
        <w:tab/>
        <w:t>Brake show linkages shall be of the floating type so that appreciable eccentricity of diametral oscillation of brake drums will not cause variation in shoe loads.</w:t>
      </w:r>
    </w:p>
    <w:p w:rsidR="00AF2508" w:rsidRDefault="00AF2508">
      <w:pPr>
        <w:pStyle w:val="Amain"/>
      </w:pPr>
      <w:r>
        <w:rPr>
          <w:color w:val="000000"/>
        </w:rPr>
        <w:tab/>
        <w:t>(81)</w:t>
      </w:r>
      <w:r>
        <w:rPr>
          <w:color w:val="000000"/>
        </w:rPr>
        <w:tab/>
        <w:t>The temperature of the rubbing surface of any brake shall not exceed—</w:t>
      </w:r>
    </w:p>
    <w:p w:rsidR="00AF2508" w:rsidRDefault="00AF2508">
      <w:pPr>
        <w:pStyle w:val="Apara"/>
      </w:pPr>
      <w:r>
        <w:tab/>
        <w:t>(a)</w:t>
      </w:r>
      <w:r>
        <w:tab/>
        <w:t>212° Fahrenheit for brakes lined with wood or fabric; or</w:t>
      </w:r>
    </w:p>
    <w:p w:rsidR="00AF2508" w:rsidRDefault="00AF2508">
      <w:pPr>
        <w:pStyle w:val="Apara"/>
      </w:pPr>
      <w:r>
        <w:tab/>
        <w:t>(b)</w:t>
      </w:r>
      <w:r>
        <w:tab/>
        <w:t>400° Fahrenheit for brakes lined with bonded asbestos or approved non-combustible sintered materials.</w:t>
      </w:r>
    </w:p>
    <w:p w:rsidR="00AF2508" w:rsidRDefault="00AF2508">
      <w:pPr>
        <w:pStyle w:val="Amain"/>
      </w:pPr>
      <w:r>
        <w:rPr>
          <w:color w:val="000000"/>
        </w:rPr>
        <w:tab/>
        <w:t>(82)</w:t>
      </w:r>
      <w:r>
        <w:rPr>
          <w:color w:val="000000"/>
        </w:rPr>
        <w:tab/>
        <w:t>Ropes wrapping round shafts or drums shall not be provided or used as brakes.</w:t>
      </w:r>
    </w:p>
    <w:p w:rsidR="00AF2508" w:rsidRDefault="00AF2508">
      <w:pPr>
        <w:pStyle w:val="Amain"/>
      </w:pPr>
      <w:r>
        <w:rPr>
          <w:color w:val="000000"/>
        </w:rPr>
        <w:tab/>
        <w:t>(83)</w:t>
      </w:r>
      <w:r>
        <w:rPr>
          <w:color w:val="000000"/>
        </w:rPr>
        <w:tab/>
        <w:t>All foot pedals, and all foot rests or steps that accommodate only 1 foot of the user shall have heavily upturned edges or other approved devices to prevent slipping.</w:t>
      </w:r>
    </w:p>
    <w:p w:rsidR="00AF2508" w:rsidRDefault="00AF2508">
      <w:pPr>
        <w:pStyle w:val="Amain"/>
      </w:pPr>
      <w:r>
        <w:rPr>
          <w:color w:val="000000"/>
        </w:rPr>
        <w:tab/>
        <w:t>(84)</w:t>
      </w:r>
      <w:r>
        <w:rPr>
          <w:color w:val="000000"/>
        </w:rPr>
        <w:tab/>
        <w:t>All levers, pedals and control linkages shall be so devised that persons using them cannot be injured by their recoil, backlash, or other movement under power.</w:t>
      </w:r>
    </w:p>
    <w:p w:rsidR="00AF2508" w:rsidRDefault="00AF2508">
      <w:pPr>
        <w:pStyle w:val="Amain"/>
        <w:rPr>
          <w:color w:val="000000"/>
        </w:rPr>
      </w:pPr>
      <w:r>
        <w:rPr>
          <w:color w:val="000000"/>
        </w:rPr>
        <w:tab/>
        <w:t>(85)</w:t>
      </w:r>
      <w:r>
        <w:rPr>
          <w:color w:val="000000"/>
        </w:rPr>
        <w:tab/>
        <w:t>If it is practicable to use trailing type (unidirectional) handbrakes or other approved brakes, pawls shall not be used in mechanisms holding, supporting or sustaining loads.</w:t>
      </w:r>
    </w:p>
    <w:p w:rsidR="00AF2508" w:rsidRDefault="00AF2508">
      <w:pPr>
        <w:pStyle w:val="Amain"/>
      </w:pPr>
      <w:r>
        <w:rPr>
          <w:color w:val="000000"/>
        </w:rPr>
        <w:tab/>
        <w:t>(86)</w:t>
      </w:r>
      <w:r>
        <w:rPr>
          <w:color w:val="000000"/>
        </w:rPr>
        <w:tab/>
        <w:t>Mechanisms for hoisting or holding Proscenium Safety Fire Curtains shall not have pawls.</w:t>
      </w:r>
    </w:p>
    <w:p w:rsidR="00AF2508" w:rsidRDefault="00AF2508">
      <w:pPr>
        <w:pStyle w:val="Amain"/>
      </w:pPr>
      <w:r>
        <w:rPr>
          <w:color w:val="000000"/>
        </w:rPr>
        <w:tab/>
        <w:t>(87)</w:t>
      </w:r>
      <w:r>
        <w:rPr>
          <w:color w:val="000000"/>
        </w:rPr>
        <w:tab/>
        <w:t>Centrifugal brakes or other approved automatic speed regulating devices shall be provided to control the speed of descent of Proscenium Safety Fire Curtains and of other loads that are required to descend unattended.</w:t>
      </w:r>
    </w:p>
    <w:p w:rsidR="00AF2508" w:rsidRDefault="00AF2508">
      <w:pPr>
        <w:pStyle w:val="Amain"/>
        <w:rPr>
          <w:color w:val="000000"/>
        </w:rPr>
      </w:pPr>
      <w:r>
        <w:rPr>
          <w:color w:val="000000"/>
        </w:rPr>
        <w:tab/>
        <w:t>(88)</w:t>
      </w:r>
      <w:r>
        <w:rPr>
          <w:color w:val="000000"/>
        </w:rPr>
        <w:tab/>
        <w:t>Toothed or dog clutches shall not have less than 4 teeth or 4 dogs.</w:t>
      </w:r>
    </w:p>
    <w:p w:rsidR="00AF2508" w:rsidRDefault="00AF2508">
      <w:pPr>
        <w:pStyle w:val="Amain"/>
      </w:pPr>
      <w:r>
        <w:rPr>
          <w:color w:val="000000"/>
        </w:rPr>
        <w:tab/>
        <w:t>(89)</w:t>
      </w:r>
      <w:r>
        <w:rPr>
          <w:color w:val="000000"/>
        </w:rPr>
        <w:tab/>
        <w:t>The teeth or dogs and their mating recesses shall be undercut sufficiently to prevent inadvertent disengagement of clutches.</w:t>
      </w:r>
    </w:p>
    <w:p w:rsidR="00AF2508" w:rsidRDefault="00AF2508">
      <w:pPr>
        <w:pStyle w:val="Amain"/>
        <w:rPr>
          <w:color w:val="000000"/>
        </w:rPr>
      </w:pPr>
      <w:r>
        <w:rPr>
          <w:color w:val="000000"/>
        </w:rPr>
        <w:tab/>
        <w:t>(90)</w:t>
      </w:r>
      <w:r>
        <w:rPr>
          <w:color w:val="000000"/>
        </w:rPr>
        <w:tab/>
        <w:t>Cone and other friction clutches shall be so designed that they will not seize or become locked in engagement.</w:t>
      </w:r>
    </w:p>
    <w:p w:rsidR="00AF2508" w:rsidRDefault="00AF2508">
      <w:pPr>
        <w:pStyle w:val="Amain"/>
      </w:pPr>
      <w:r>
        <w:rPr>
          <w:color w:val="000000"/>
        </w:rPr>
        <w:tab/>
        <w:t>(91)</w:t>
      </w:r>
      <w:r>
        <w:rPr>
          <w:color w:val="000000"/>
        </w:rPr>
        <w:tab/>
        <w:t>The chief inspector may require any cone clutch to be lined with an approved clutch lining material.</w:t>
      </w:r>
    </w:p>
    <w:p w:rsidR="00AF2508" w:rsidRDefault="00AF2508">
      <w:pPr>
        <w:pStyle w:val="Amain"/>
      </w:pPr>
      <w:r>
        <w:rPr>
          <w:color w:val="000000"/>
        </w:rPr>
        <w:tab/>
        <w:t>(92)</w:t>
      </w:r>
      <w:r>
        <w:rPr>
          <w:color w:val="000000"/>
        </w:rPr>
        <w:tab/>
        <w:t>All manually operated clutches shall be actuated by means of levers, pedals, or other approved controls.</w:t>
      </w:r>
    </w:p>
    <w:p w:rsidR="00AF2508" w:rsidRDefault="00AF2508">
      <w:pPr>
        <w:pStyle w:val="Amain"/>
      </w:pPr>
      <w:r>
        <w:rPr>
          <w:color w:val="000000"/>
        </w:rPr>
        <w:tab/>
        <w:t>(93)</w:t>
      </w:r>
      <w:r>
        <w:rPr>
          <w:color w:val="000000"/>
        </w:rPr>
        <w:tab/>
        <w:t>All clutches shall be so designed and constructed that they can not drift or become otherwise inadvertently engaged or disengaged.</w:t>
      </w:r>
    </w:p>
    <w:p w:rsidR="00AF2508" w:rsidRDefault="00AF2508">
      <w:pPr>
        <w:pStyle w:val="Amain"/>
      </w:pPr>
      <w:r>
        <w:rPr>
          <w:color w:val="000000"/>
        </w:rPr>
        <w:tab/>
        <w:t>(94)</w:t>
      </w:r>
      <w:r>
        <w:rPr>
          <w:color w:val="000000"/>
        </w:rPr>
        <w:tab/>
        <w:t>Worm gearings having machined teeth and other worm gearings in which the angle of lead of the worm exceeds 3° shall be deemed incapable of stopping or holding loads, and mechanisms employing the gearings shall have brakes as prescribed by subsection (53).</w:t>
      </w:r>
    </w:p>
    <w:p w:rsidR="00AF2508" w:rsidRDefault="00AF2508">
      <w:pPr>
        <w:pStyle w:val="Amain"/>
      </w:pPr>
      <w:r>
        <w:rPr>
          <w:color w:val="000000"/>
        </w:rPr>
        <w:tab/>
        <w:t>(95)</w:t>
      </w:r>
      <w:r>
        <w:rPr>
          <w:color w:val="000000"/>
        </w:rPr>
        <w:tab/>
        <w:t>If worm gearing or a solenoid brake is employed in connection with any jib or derrick crane for raising or lowering loads, and if the crane depends on gravitational forces for stability, an approved clutch shall be provided in such position that in an emergency the load may, if desired, be released, or alternatively lowered rapidly under the control of an approved brake that shall also be provided for the purpose.</w:t>
      </w:r>
    </w:p>
    <w:p w:rsidR="00AF2508" w:rsidRDefault="00AF2508">
      <w:pPr>
        <w:pStyle w:val="Amain"/>
        <w:keepLines/>
      </w:pPr>
      <w:r>
        <w:rPr>
          <w:color w:val="000000"/>
        </w:rPr>
        <w:tab/>
        <w:t>(96)</w:t>
      </w:r>
      <w:r>
        <w:rPr>
          <w:color w:val="000000"/>
        </w:rPr>
        <w:tab/>
        <w:t>All hoists and lifts used for raising or lowering workers shall have approved safety gear that shall be so devised and constructed that if the vehicle in which the workers ride becomes separated or detached from its hoisting agency, it will immediately and automatically on seperation or detachment become securely locked to its guides, runners, or supporting structure and remain so locked even if it is reconnected to its hoisting agency and its weight again transferred to it.</w:t>
      </w:r>
    </w:p>
    <w:p w:rsidR="00AF2508" w:rsidRDefault="00AF2508">
      <w:pPr>
        <w:pStyle w:val="Amain"/>
        <w:keepNext/>
      </w:pPr>
      <w:r>
        <w:tab/>
        <w:t>(97)</w:t>
      </w:r>
      <w:r>
        <w:tab/>
        <w:t>However—</w:t>
      </w:r>
    </w:p>
    <w:p w:rsidR="00AF2508" w:rsidRDefault="00AF2508">
      <w:pPr>
        <w:pStyle w:val="Apara"/>
      </w:pPr>
      <w:r>
        <w:tab/>
        <w:t>(a)</w:t>
      </w:r>
      <w:r>
        <w:tab/>
        <w:t>if the safety gear is entirely self-resetting, it may automatically release its grip on the guides, runners or supporting structure after the weight of the vehicle has again been transferred to the hoisting agency; or</w:t>
      </w:r>
    </w:p>
    <w:p w:rsidR="00AF2508" w:rsidRDefault="00AF2508">
      <w:pPr>
        <w:pStyle w:val="Apara"/>
      </w:pPr>
      <w:r>
        <w:tab/>
        <w:t>(b)</w:t>
      </w:r>
      <w:r>
        <w:tab/>
        <w:t>the safety gear shall not function while the vehicle is ascending; or</w:t>
      </w:r>
    </w:p>
    <w:p w:rsidR="00AF2508" w:rsidRDefault="00AF2508">
      <w:pPr>
        <w:pStyle w:val="Apara"/>
      </w:pPr>
      <w:r>
        <w:tab/>
        <w:t>(c)</w:t>
      </w:r>
      <w:r>
        <w:tab/>
        <w:t>if the distance travelled by the vehicle exceeds 30 feet—the chief inspector may require the safety gear to function if and as the vehicle attains a speed 40% greater than its rated speed; or</w:t>
      </w:r>
    </w:p>
    <w:p w:rsidR="00AF2508" w:rsidRDefault="00AF2508">
      <w:pPr>
        <w:pStyle w:val="Apara"/>
      </w:pPr>
      <w:r>
        <w:tab/>
        <w:t>(d)</w:t>
      </w:r>
      <w:r>
        <w:tab/>
        <w:t>if the rated speed is less than 100 feet per minute—the safety gear shall function if and as it reaches 140 feet per minute.</w:t>
      </w:r>
    </w:p>
    <w:p w:rsidR="00AF2508" w:rsidRDefault="00AF2508">
      <w:pPr>
        <w:pStyle w:val="Amain"/>
        <w:rPr>
          <w:color w:val="000000"/>
        </w:rPr>
      </w:pPr>
      <w:r>
        <w:rPr>
          <w:color w:val="000000"/>
        </w:rPr>
        <w:tab/>
        <w:t>(98)</w:t>
      </w:r>
      <w:r>
        <w:rPr>
          <w:color w:val="000000"/>
        </w:rPr>
        <w:tab/>
        <w:t>The platforms of all hoists for raising or lowering workers shall have sides extending not less in height than 6 feet above the platform flooring, and the sides shall constitute continuous surfaces free from apertures.</w:t>
      </w:r>
    </w:p>
    <w:p w:rsidR="00AF2508" w:rsidRDefault="00AF2508">
      <w:pPr>
        <w:pStyle w:val="Amain"/>
        <w:rPr>
          <w:color w:val="000000"/>
        </w:rPr>
      </w:pPr>
      <w:r>
        <w:rPr>
          <w:color w:val="000000"/>
        </w:rPr>
        <w:tab/>
        <w:t>(99)</w:t>
      </w:r>
      <w:r>
        <w:rPr>
          <w:color w:val="000000"/>
        </w:rPr>
        <w:tab/>
        <w:t>Any side or end not used for loading or unloading or for access shall also be fenced.</w:t>
      </w:r>
    </w:p>
    <w:p w:rsidR="00AF2508" w:rsidRDefault="00AF2508">
      <w:pPr>
        <w:pStyle w:val="Amain"/>
      </w:pPr>
      <w:r>
        <w:rPr>
          <w:color w:val="000000"/>
        </w:rPr>
        <w:tab/>
        <w:t>(100)</w:t>
      </w:r>
      <w:r>
        <w:rPr>
          <w:color w:val="000000"/>
        </w:rPr>
        <w:tab/>
        <w:t>Any side or end that is used for loading, unloading or access shall be enclosed or fenced by approved gates or doors extending to the same height, or if approved, by rails set at a height of 3 feet above the platform flooring, and at a distance of 8 inches back from the platform edge served.</w:t>
      </w:r>
    </w:p>
    <w:p w:rsidR="00AF2508" w:rsidRDefault="00AF2508">
      <w:pPr>
        <w:pStyle w:val="Amain"/>
      </w:pPr>
      <w:r>
        <w:tab/>
        <w:t>(101)</w:t>
      </w:r>
      <w:r>
        <w:tab/>
        <w:t>The hoist platform shall have a robust roof or head cover to prevent persons being struck by falling objects.</w:t>
      </w:r>
    </w:p>
    <w:p w:rsidR="00AF2508" w:rsidRDefault="00AF2508">
      <w:pPr>
        <w:pStyle w:val="Amain"/>
      </w:pPr>
      <w:r>
        <w:tab/>
        <w:t>(102)</w:t>
      </w:r>
      <w:r>
        <w:tab/>
        <w:t>Hand rails or other grips shall be provided overhead, or on the continuous surfaces mentioned in subsection (98) for the use of persons travelling in the hoist.</w:t>
      </w:r>
    </w:p>
    <w:p w:rsidR="00AF2508" w:rsidRDefault="00AF2508">
      <w:pPr>
        <w:pStyle w:val="Amain"/>
      </w:pPr>
      <w:r>
        <w:rPr>
          <w:color w:val="000000"/>
        </w:rPr>
        <w:tab/>
        <w:t>(103)</w:t>
      </w:r>
      <w:r>
        <w:rPr>
          <w:color w:val="000000"/>
        </w:rPr>
        <w:tab/>
        <w:t>If loads are raised or lowered in open topped, open sided or open ended vessels, kibbles, boxes or trays, or in bags, above workers in shafts, well holes, or other confined spaces, monkeys or other approved means shall be employed to prevent them colliding with the sides of the shaft or well hole, or anything in it.</w:t>
      </w:r>
    </w:p>
    <w:p w:rsidR="00AF2508" w:rsidRDefault="00AF2508">
      <w:pPr>
        <w:pStyle w:val="Amain"/>
      </w:pPr>
      <w:r>
        <w:tab/>
        <w:t>(104)</w:t>
      </w:r>
      <w:r>
        <w:tab/>
        <w:t>However, the monkeys or means shall not be deemed necessary if the hoisting rope or chain may be freely displaced in any direction through an angle of 5° from the vertical without the suspended load, vessel, kibble, box, or tray coming into contact with the sides of the shaft or well hole or anything in it.</w:t>
      </w:r>
    </w:p>
    <w:p w:rsidR="00AF2508" w:rsidRDefault="00AF2508">
      <w:pPr>
        <w:pStyle w:val="Amain"/>
      </w:pPr>
      <w:r>
        <w:rPr>
          <w:color w:val="000000"/>
        </w:rPr>
        <w:tab/>
        <w:t>(105)</w:t>
      </w:r>
      <w:r>
        <w:rPr>
          <w:color w:val="000000"/>
        </w:rPr>
        <w:tab/>
        <w:t>If loads guided by a monkey are raised or lowered above workers in confined or partly confined areas, the monkeys shall have approved safety gear so devised and constructed that if the weight of the monkey is removed from the hoisting agency at any position within the limits of its travel it will immediately and automatically on removal become securely locked to its guides.</w:t>
      </w:r>
    </w:p>
    <w:p w:rsidR="00AF2508" w:rsidRDefault="00AF2508">
      <w:pPr>
        <w:pStyle w:val="Amain"/>
      </w:pPr>
      <w:r>
        <w:tab/>
        <w:t>(106)</w:t>
      </w:r>
      <w:r>
        <w:tab/>
        <w:t>The kibble, truck or vessel the monkey is employed to guide shall be so fastened to the monkey that it will only be automatically released after the monkey has attained its lowermost limit of travel.</w:t>
      </w:r>
    </w:p>
    <w:p w:rsidR="00AF2508" w:rsidRDefault="00AF2508">
      <w:pPr>
        <w:pStyle w:val="Amain"/>
      </w:pPr>
      <w:r>
        <w:rPr>
          <w:color w:val="000000"/>
        </w:rPr>
        <w:tab/>
        <w:t>(107)</w:t>
      </w:r>
      <w:r>
        <w:rPr>
          <w:color w:val="000000"/>
        </w:rPr>
        <w:tab/>
        <w:t>If loads are raised, lowered, handled or transported on hooks, or other media, under circumstances in which it is necessary or desirable to prevent them becoming unshipped or displaced from it, approved safety hooks, or other approved means shall be adopted to prevent the unshipping or displacement, or to prevent injury (or both) to any person in the vicinity.</w:t>
      </w:r>
    </w:p>
    <w:p w:rsidR="00AF2508" w:rsidRDefault="00AF2508">
      <w:pPr>
        <w:pStyle w:val="Amain"/>
        <w:keepNext/>
      </w:pPr>
      <w:r>
        <w:rPr>
          <w:color w:val="000000"/>
        </w:rPr>
        <w:tab/>
        <w:t>(108)</w:t>
      </w:r>
      <w:r>
        <w:rPr>
          <w:color w:val="000000"/>
        </w:rPr>
        <w:tab/>
      </w:r>
      <w:r>
        <w:t>This subsection applies to the following lifting devices:</w:t>
      </w:r>
    </w:p>
    <w:p w:rsidR="00AF2508" w:rsidRDefault="00AF2508">
      <w:pPr>
        <w:pStyle w:val="Apara"/>
      </w:pPr>
      <w:r>
        <w:tab/>
        <w:t>(a)</w:t>
      </w:r>
      <w:r>
        <w:tab/>
        <w:t>grabs, dogs, clamps and magnets;</w:t>
      </w:r>
    </w:p>
    <w:p w:rsidR="00AF2508" w:rsidRDefault="00AF2508">
      <w:pPr>
        <w:pStyle w:val="Apara"/>
      </w:pPr>
      <w:r>
        <w:tab/>
        <w:t>(b)</w:t>
      </w:r>
      <w:r>
        <w:tab/>
        <w:t>all lifting devices that either—</w:t>
      </w:r>
    </w:p>
    <w:p w:rsidR="00AF2508" w:rsidRDefault="00AF2508">
      <w:pPr>
        <w:pStyle w:val="Asubpara"/>
      </w:pPr>
      <w:r>
        <w:tab/>
        <w:t>(i)</w:t>
      </w:r>
      <w:r>
        <w:tab/>
        <w:t>function by the agency of friction, fluid pressure, vacuumatic action, magnetism, local indentation of surfaces, or minor irregularities of surfaces, or any combination of them; or</w:t>
      </w:r>
    </w:p>
    <w:p w:rsidR="00AF2508" w:rsidRDefault="00AF2508">
      <w:pPr>
        <w:pStyle w:val="Asubpara"/>
      </w:pPr>
      <w:r>
        <w:tab/>
        <w:t>(ii)</w:t>
      </w:r>
      <w:r>
        <w:tab/>
        <w:t>are of such a nature that they are liable to become detached from the load or otherwise displaced from it in the event of the slackening of their slings or the sudden movement of any supporting member.</w:t>
      </w:r>
    </w:p>
    <w:p w:rsidR="00AF2508" w:rsidRDefault="00AF2508">
      <w:pPr>
        <w:pStyle w:val="Amain"/>
      </w:pPr>
      <w:r>
        <w:tab/>
        <w:t>(109)</w:t>
      </w:r>
      <w:r>
        <w:tab/>
        <w:t>No lifting device to which subsection (108) applies shall be used to raise, lower or transport loads—</w:t>
      </w:r>
    </w:p>
    <w:p w:rsidR="00AF2508" w:rsidRDefault="00AF2508">
      <w:pPr>
        <w:pStyle w:val="Apara"/>
      </w:pPr>
      <w:r>
        <w:tab/>
        <w:t>(a)</w:t>
      </w:r>
      <w:r>
        <w:tab/>
        <w:t>in any circumstances in which any person might be injured should the load or part of it become detached or fall; or</w:t>
      </w:r>
    </w:p>
    <w:p w:rsidR="00AF2508" w:rsidRDefault="00AF2508">
      <w:pPr>
        <w:pStyle w:val="Apara"/>
      </w:pPr>
      <w:r>
        <w:tab/>
        <w:t>(b)</w:t>
      </w:r>
      <w:r>
        <w:tab/>
        <w:t>in any circumstances in which the device might dislodge or overturn any material, object or stock to the danger of any person; or</w:t>
      </w:r>
    </w:p>
    <w:p w:rsidR="00AF2508" w:rsidRDefault="00AF2508">
      <w:pPr>
        <w:pStyle w:val="Apara"/>
      </w:pPr>
      <w:r>
        <w:tab/>
        <w:t>(c)</w:t>
      </w:r>
      <w:r>
        <w:tab/>
        <w:t>in any way prejudicial to the safety of any person.</w:t>
      </w:r>
    </w:p>
    <w:p w:rsidR="00AF2508" w:rsidRDefault="00AF2508">
      <w:pPr>
        <w:pStyle w:val="Amain"/>
        <w:rPr>
          <w:color w:val="000000"/>
        </w:rPr>
      </w:pPr>
      <w:r>
        <w:rPr>
          <w:color w:val="000000"/>
        </w:rPr>
        <w:tab/>
        <w:t>(110)</w:t>
      </w:r>
      <w:r>
        <w:rPr>
          <w:color w:val="000000"/>
        </w:rPr>
        <w:tab/>
        <w:t>If in conformity with section 128 rail clamps are provided for locking any crane or hoist to its track rails, the clamps shall be so devised and constructed that they function immediately and automatically on the operation of an instantaneous type tripping device set closely adjacent to the main controls of the crane or hoist.</w:t>
      </w:r>
    </w:p>
    <w:p w:rsidR="00AF2508" w:rsidRDefault="00AF2508">
      <w:pPr>
        <w:pStyle w:val="Amain"/>
      </w:pPr>
      <w:r>
        <w:rPr>
          <w:color w:val="000000"/>
        </w:rPr>
        <w:tab/>
        <w:t>(111)</w:t>
      </w:r>
      <w:r>
        <w:rPr>
          <w:color w:val="000000"/>
        </w:rPr>
        <w:tab/>
        <w:t xml:space="preserve">The energy required to close and lock the clamps shall be derived from a descending weight or from springs set in pairs and so arranged that in the event of failure of either, the clamps will continue to function and to develop at least </w:t>
      </w:r>
      <w:r>
        <w:rPr>
          <w:color w:val="000000"/>
          <w:position w:val="6"/>
          <w:sz w:val="18"/>
        </w:rPr>
        <w:t>1</w:t>
      </w:r>
      <w:r>
        <w:rPr>
          <w:color w:val="000000"/>
        </w:rPr>
        <w:t>/</w:t>
      </w:r>
      <w:r>
        <w:rPr>
          <w:color w:val="000000"/>
          <w:sz w:val="18"/>
        </w:rPr>
        <w:t>2</w:t>
      </w:r>
      <w:r>
        <w:rPr>
          <w:color w:val="000000"/>
        </w:rPr>
        <w:t xml:space="preserve"> of their previous clamping grip on the track rail.</w:t>
      </w:r>
    </w:p>
    <w:p w:rsidR="00AF2508" w:rsidRDefault="00AF2508">
      <w:pPr>
        <w:pStyle w:val="Amain"/>
      </w:pPr>
      <w:r>
        <w:tab/>
        <w:t>(112)</w:t>
      </w:r>
      <w:r>
        <w:tab/>
        <w:t>If a crane or hoist has 2 or more rail clamps, they shall function simultaneously, and the clamping grip of each on its rail shall be directly proportional to the amount of wind or other loading the clamp is required to resist.</w:t>
      </w:r>
    </w:p>
    <w:p w:rsidR="00AF2508" w:rsidRDefault="00AF2508">
      <w:pPr>
        <w:pStyle w:val="Amain"/>
      </w:pPr>
      <w:r>
        <w:rPr>
          <w:color w:val="000000"/>
        </w:rPr>
        <w:tab/>
        <w:t>(113)</w:t>
      </w:r>
      <w:r>
        <w:rPr>
          <w:color w:val="000000"/>
        </w:rPr>
        <w:tab/>
        <w:t>If the weight of any crane or hoist exceeds 100 tons, the rail clamps shall have an approved safety device that will effectively prevent them from being opened or relaxed while the velocity of the wind exceeds 30 miles per hour in the vicinity of the crane or hoist, and in any direction in which it may travel.</w:t>
      </w:r>
    </w:p>
    <w:p w:rsidR="00AF2508" w:rsidRDefault="00AF2508">
      <w:pPr>
        <w:pStyle w:val="Amain"/>
      </w:pPr>
      <w:r>
        <w:rPr>
          <w:color w:val="000000"/>
        </w:rPr>
        <w:tab/>
        <w:t>(114)</w:t>
      </w:r>
      <w:r>
        <w:rPr>
          <w:color w:val="000000"/>
        </w:rPr>
        <w:tab/>
        <w:t>The rail clamps shall be located in positions in which their sudden application is least detrimental to the stability of the crane or hoist.</w:t>
      </w:r>
    </w:p>
    <w:p w:rsidR="00AF2508" w:rsidRDefault="00AF2508">
      <w:pPr>
        <w:pStyle w:val="Amain"/>
      </w:pPr>
      <w:r>
        <w:rPr>
          <w:color w:val="000000"/>
        </w:rPr>
        <w:tab/>
        <w:t>(115)</w:t>
      </w:r>
      <w:r>
        <w:rPr>
          <w:color w:val="000000"/>
        </w:rPr>
        <w:tab/>
        <w:t>Permanent end stops shall be provided to ensure that travelling cranes or hoists or scaffoldings or any travelling parts of them do not overrun or otherwise exceed their limits of safe travel.</w:t>
      </w:r>
    </w:p>
    <w:p w:rsidR="00AF2508" w:rsidRDefault="00AF2508">
      <w:pPr>
        <w:pStyle w:val="Amain"/>
      </w:pPr>
      <w:r>
        <w:tab/>
        <w:t>(116)</w:t>
      </w:r>
      <w:r>
        <w:tab/>
        <w:t>If the speed of travel of the crane or hoist or relevant part of it exceeds 350 feet per minute, or if the product of its weight in tons and its speed of travel in feet per minute is greater than 3 500, the end stops shall have approved spring or fluid buffers.</w:t>
      </w:r>
    </w:p>
    <w:p w:rsidR="00AF2508" w:rsidRDefault="00AF2508">
      <w:pPr>
        <w:pStyle w:val="Amain"/>
      </w:pPr>
      <w:r>
        <w:tab/>
        <w:t>(117)</w:t>
      </w:r>
      <w:r>
        <w:tab/>
        <w:t>If the weight of the crane or hoist or relevant part of it exceeds 50 tons, the end stops shall be so devised that should collision occur with them at the maximum speed that may be attained in any circumstances, the crane, or hoist or relevant part of it will not overturn, and will be brought steadily to rest.</w:t>
      </w:r>
    </w:p>
    <w:p w:rsidR="00AF2508" w:rsidRDefault="00AF2508">
      <w:pPr>
        <w:pStyle w:val="Amain"/>
      </w:pPr>
      <w:r>
        <w:rPr>
          <w:color w:val="000000"/>
        </w:rPr>
        <w:tab/>
        <w:t>(118)</w:t>
      </w:r>
      <w:r>
        <w:rPr>
          <w:color w:val="000000"/>
        </w:rPr>
        <w:tab/>
        <w:t>If a crane, hoist or scaffolding or any travelling part of it travels on 2 or more tracks or rails, end stops shall be provided at and in relation to each track or rail.</w:t>
      </w:r>
    </w:p>
    <w:p w:rsidR="00AF2508" w:rsidRDefault="00AF2508">
      <w:pPr>
        <w:pStyle w:val="Amain"/>
      </w:pPr>
      <w:r>
        <w:rPr>
          <w:color w:val="000000"/>
        </w:rPr>
        <w:tab/>
        <w:t>(119)</w:t>
      </w:r>
      <w:r>
        <w:rPr>
          <w:color w:val="000000"/>
        </w:rPr>
        <w:tab/>
        <w:t>No travelling crane or hoist or travelling part of it shall be operated or driven or travelling scaffolding used unless all the end stops are in place, or unless approved effective temporary end stops are in place instead of them.</w:t>
      </w:r>
    </w:p>
    <w:p w:rsidR="00AF2508" w:rsidRDefault="00AF2508">
      <w:pPr>
        <w:pStyle w:val="Amain"/>
        <w:rPr>
          <w:color w:val="000000"/>
        </w:rPr>
      </w:pPr>
      <w:r>
        <w:rPr>
          <w:color w:val="000000"/>
        </w:rPr>
        <w:tab/>
        <w:t>(120)</w:t>
      </w:r>
      <w:r>
        <w:rPr>
          <w:color w:val="000000"/>
        </w:rPr>
        <w:tab/>
        <w:t>Except if running in the bosoms of rolled steel joists, channels, tubes, tees, or angles, all track wheels of cranes or hoists or travelling parts of them shall have flanges at each side of each rail or track on which they run.</w:t>
      </w:r>
    </w:p>
    <w:p w:rsidR="00AF2508" w:rsidRDefault="00AF2508">
      <w:pPr>
        <w:pStyle w:val="Amain"/>
        <w:rPr>
          <w:color w:val="000000"/>
        </w:rPr>
      </w:pPr>
      <w:r>
        <w:rPr>
          <w:color w:val="000000"/>
        </w:rPr>
        <w:tab/>
        <w:t>(121)</w:t>
      </w:r>
      <w:r>
        <w:rPr>
          <w:color w:val="000000"/>
        </w:rPr>
        <w:tab/>
        <w:t>Alternatively, approved means shall be employed for locating and retaining the wheels on their rails or tracks.</w:t>
      </w:r>
    </w:p>
    <w:p w:rsidR="00AF2508" w:rsidRDefault="00AF2508">
      <w:pPr>
        <w:pStyle w:val="Amain"/>
      </w:pPr>
      <w:r>
        <w:rPr>
          <w:color w:val="000000"/>
        </w:rPr>
        <w:tab/>
        <w:t>(122)</w:t>
      </w:r>
      <w:r>
        <w:rPr>
          <w:color w:val="000000"/>
        </w:rPr>
        <w:tab/>
        <w:t>However, a wheel running on twin rails or tracks may have 1 or more central flanges, and the wheels of locomotive cranes or railway type trucks or bogies need not have double flanges.</w:t>
      </w:r>
    </w:p>
    <w:p w:rsidR="00AF2508" w:rsidRDefault="00AF2508">
      <w:pPr>
        <w:pStyle w:val="Amain"/>
      </w:pPr>
      <w:r>
        <w:rPr>
          <w:color w:val="000000"/>
        </w:rPr>
        <w:tab/>
        <w:t>(123)</w:t>
      </w:r>
      <w:r>
        <w:rPr>
          <w:color w:val="000000"/>
        </w:rPr>
        <w:tab/>
        <w:t>If a crane or hoist or scaffolding travels on uneven or slightly uneven tracks or surfaces on track or road wheels that are not fully sprung or alternatively shod in an approved way with pneumatic tyres, it shall be designed as though any 1 wheel, or group of wheels if they are arranged in groups, does not carry load.</w:t>
      </w:r>
    </w:p>
    <w:p w:rsidR="00AF2508" w:rsidRDefault="00AF2508">
      <w:pPr>
        <w:pStyle w:val="Amain"/>
      </w:pPr>
      <w:r>
        <w:rPr>
          <w:color w:val="000000"/>
        </w:rPr>
        <w:tab/>
        <w:t>(124)</w:t>
      </w:r>
      <w:r>
        <w:rPr>
          <w:color w:val="000000"/>
        </w:rPr>
        <w:tab/>
        <w:t>The counterbalance and dead loading of a crane or hoist shall be so arranged and disposed that distortion of the frame structure is minimised.</w:t>
      </w:r>
    </w:p>
    <w:p w:rsidR="00AF2508" w:rsidRDefault="00AF2508">
      <w:pPr>
        <w:pStyle w:val="Amain"/>
      </w:pPr>
      <w:r>
        <w:rPr>
          <w:color w:val="000000"/>
        </w:rPr>
        <w:tab/>
        <w:t>(125)</w:t>
      </w:r>
      <w:r>
        <w:rPr>
          <w:color w:val="000000"/>
        </w:rPr>
        <w:tab/>
        <w:t>Jacks used for supporting, levelling, or stabilising cranes or hoists or scaffolding or plant shall have dynamically irreversible screw threads or other approved devices by which can be applied and finely adjusted.</w:t>
      </w:r>
    </w:p>
    <w:p w:rsidR="00AF2508" w:rsidRDefault="00AF2508">
      <w:pPr>
        <w:pStyle w:val="Amain"/>
      </w:pPr>
      <w:r>
        <w:tab/>
        <w:t>(126)</w:t>
      </w:r>
      <w:r>
        <w:tab/>
        <w:t>The jacks shall be so braced or otherwise secured in position that they cannot overturn or become in any way displaced.</w:t>
      </w:r>
    </w:p>
    <w:p w:rsidR="00AF2508" w:rsidRDefault="00AF2508">
      <w:pPr>
        <w:pStyle w:val="Amain"/>
        <w:rPr>
          <w:color w:val="000000"/>
        </w:rPr>
      </w:pPr>
      <w:r>
        <w:rPr>
          <w:color w:val="000000"/>
        </w:rPr>
        <w:tab/>
        <w:t>(127)</w:t>
      </w:r>
      <w:r>
        <w:rPr>
          <w:color w:val="000000"/>
        </w:rPr>
        <w:tab/>
        <w:t>If the load plate or instruction plate of any crane or hoist or plant prescribes or indicates that jacks shall be used, the jacks shall accordingly be used.</w:t>
      </w:r>
    </w:p>
    <w:p w:rsidR="00AF2508" w:rsidRDefault="00AF2508">
      <w:pPr>
        <w:pStyle w:val="Amain"/>
      </w:pPr>
      <w:r>
        <w:rPr>
          <w:color w:val="000000"/>
        </w:rPr>
        <w:tab/>
        <w:t>(128)</w:t>
      </w:r>
      <w:r>
        <w:rPr>
          <w:color w:val="000000"/>
        </w:rPr>
        <w:tab/>
        <w:t>If the plates prescribe or indicate further conditions about the way of use of the jacks, the conditions shall be fully complied with.</w:t>
      </w:r>
    </w:p>
    <w:p w:rsidR="00AF2508" w:rsidRDefault="00AF2508">
      <w:pPr>
        <w:pStyle w:val="Amain"/>
        <w:keepLines/>
      </w:pPr>
      <w:r>
        <w:rPr>
          <w:color w:val="000000"/>
        </w:rPr>
        <w:tab/>
        <w:t>(129)</w:t>
      </w:r>
      <w:r>
        <w:rPr>
          <w:color w:val="000000"/>
        </w:rPr>
        <w:tab/>
        <w:t>The jibhead sheaves and the jibheads of mobile, caterpillar or walking cranes shall be so designed that if the vertical fall of hoisting rope is diverted or displaced laterally 15° or more from the vertical it will be automatically unshipped from the jibhead sheave immediately hoisting starts.</w:t>
      </w:r>
    </w:p>
    <w:p w:rsidR="00AF2508" w:rsidRDefault="00AF2508">
      <w:pPr>
        <w:pStyle w:val="Amain"/>
      </w:pPr>
      <w:r>
        <w:rPr>
          <w:color w:val="000000"/>
        </w:rPr>
        <w:tab/>
        <w:t>(130)</w:t>
      </w:r>
      <w:r>
        <w:rPr>
          <w:color w:val="000000"/>
        </w:rPr>
        <w:tab/>
        <w:t>If the hoisting motion of a crane or hoist of the following type has a brake (other than an approved Weston screw or helix type automatic brake) the hand crank handles shall have a neutral position into which they shall be placed and kept completely disconnected from the hoisting mechanism while any load is being lowered under the control of the brake:</w:t>
      </w:r>
    </w:p>
    <w:p w:rsidR="00AF2508" w:rsidRDefault="00AF2508">
      <w:pPr>
        <w:pStyle w:val="Apara"/>
      </w:pPr>
      <w:r>
        <w:tab/>
        <w:t>(a)</w:t>
      </w:r>
      <w:r>
        <w:tab/>
        <w:t>hand-operated winches; or</w:t>
      </w:r>
    </w:p>
    <w:p w:rsidR="00AF2508" w:rsidRDefault="00AF2508">
      <w:pPr>
        <w:pStyle w:val="Apara"/>
      </w:pPr>
      <w:r>
        <w:tab/>
        <w:t>(b)</w:t>
      </w:r>
      <w:r>
        <w:tab/>
        <w:t>crabs having hand cranks; or</w:t>
      </w:r>
    </w:p>
    <w:p w:rsidR="00AF2508" w:rsidRDefault="00AF2508">
      <w:pPr>
        <w:pStyle w:val="Apara"/>
      </w:pPr>
      <w:r>
        <w:tab/>
        <w:t>(c)</w:t>
      </w:r>
      <w:r>
        <w:tab/>
        <w:t>hand-operated derrick cranes.</w:t>
      </w:r>
    </w:p>
    <w:p w:rsidR="00AF2508" w:rsidRDefault="00AF2508">
      <w:pPr>
        <w:pStyle w:val="Amain"/>
      </w:pPr>
      <w:r>
        <w:rPr>
          <w:color w:val="000000"/>
        </w:rPr>
        <w:tab/>
        <w:t>(131)</w:t>
      </w:r>
      <w:r>
        <w:rPr>
          <w:color w:val="000000"/>
        </w:rPr>
        <w:tab/>
        <w:t>Subject to section 135 (3) and (4), the specified motions of the undermentioned cranes, hoists and scaffolding, shall, if under power, have approved limiting devices by which overwinding, overluffing, overslewing and overtravelling shall be obviated.</w:t>
      </w:r>
    </w:p>
    <w:p w:rsidR="00AF2508" w:rsidRDefault="00AF2508">
      <w:pPr>
        <w:pStyle w:val="Amain"/>
      </w:pPr>
      <w:r>
        <w:tab/>
        <w:t>(132)</w:t>
      </w:r>
      <w:r>
        <w:tab/>
        <w:t>The devices shall effectively prevent the crane, hoist or scaffolding or relevant part of it, or the load, from colliding with or being drawn or forced into contact with any relatively fixed part or object.</w:t>
      </w:r>
    </w:p>
    <w:p w:rsidR="00AF2508" w:rsidRDefault="00AF2508">
      <w:pPr>
        <w:pStyle w:val="Amain"/>
      </w:pPr>
      <w:r>
        <w:tab/>
        <w:t>(133)</w:t>
      </w:r>
      <w:r>
        <w:tab/>
        <w:t>If the platform, cage, box, yoke, lifting hook or analogous media of the cranes or hoists mentioned in subsection (134) (a), (c) and (d) cannot be lowered to the level of the lowest floor or surface served by them without unwinding the hoisting rope, chain, rack, thread or other agency to an unsafe or undesirable degree, limiting devices mentioned in subsections (131) and (132) shall also be provided to obviate the unwinding.</w:t>
      </w:r>
    </w:p>
    <w:p w:rsidR="00AF2508" w:rsidRDefault="00AF2508">
      <w:pPr>
        <w:pStyle w:val="Amain"/>
        <w:keepLines/>
      </w:pPr>
      <w:r>
        <w:tab/>
        <w:t>(134)</w:t>
      </w:r>
      <w:r>
        <w:tab/>
        <w:t>However, if the chief inspector is satisfied that such collision or contact or unwinding will not damage the crane, hoist or scaffolding, or part of it, or be in any way dangerous, the chief inspector may waive the following requirements of subsections (131) to (133):</w:t>
      </w:r>
    </w:p>
    <w:p w:rsidR="00AF2508" w:rsidRDefault="00AF2508">
      <w:pPr>
        <w:pStyle w:val="Apara"/>
      </w:pPr>
      <w:r>
        <w:tab/>
        <w:t>(a)</w:t>
      </w:r>
      <w:r>
        <w:tab/>
        <w:t>the hoisting motions of overhead traveller cranes;</w:t>
      </w:r>
    </w:p>
    <w:p w:rsidR="00AF2508" w:rsidRDefault="00AF2508">
      <w:pPr>
        <w:pStyle w:val="Apara"/>
      </w:pPr>
      <w:r>
        <w:tab/>
        <w:t>(b)</w:t>
      </w:r>
      <w:r>
        <w:tab/>
        <w:t>the hoisting and luffing motions of all mobile or caterpillar jib or derrick cranes;</w:t>
      </w:r>
    </w:p>
    <w:p w:rsidR="00AF2508" w:rsidRDefault="00AF2508">
      <w:pPr>
        <w:pStyle w:val="Apara"/>
      </w:pPr>
      <w:r>
        <w:tab/>
        <w:t>(c)</w:t>
      </w:r>
      <w:r>
        <w:tab/>
        <w:t>the hoisting motions of hoists other than those used in building work, excavation work, or demolition work, for handling materials;</w:t>
      </w:r>
    </w:p>
    <w:p w:rsidR="00AF2508" w:rsidRDefault="00AF2508">
      <w:pPr>
        <w:pStyle w:val="Apara"/>
      </w:pPr>
      <w:r>
        <w:tab/>
        <w:t>(d)</w:t>
      </w:r>
      <w:r>
        <w:tab/>
        <w:t>the hoisting motions of stacking machines;</w:t>
      </w:r>
    </w:p>
    <w:p w:rsidR="00AF2508" w:rsidRDefault="00AF2508">
      <w:pPr>
        <w:pStyle w:val="Apara"/>
      </w:pPr>
      <w:r>
        <w:tab/>
        <w:t>(e)</w:t>
      </w:r>
      <w:r>
        <w:tab/>
        <w:t>the hoisting motions of fork-lift trucks including those equipped with trays, scoops, arms or jibs, or other media by which loads are handled;</w:t>
      </w:r>
    </w:p>
    <w:p w:rsidR="00AF2508" w:rsidRDefault="00AF2508">
      <w:pPr>
        <w:pStyle w:val="Apara"/>
      </w:pPr>
      <w:r>
        <w:tab/>
        <w:t>(f)</w:t>
      </w:r>
      <w:r>
        <w:tab/>
        <w:t>the slewing motions of mobile cranes—</w:t>
      </w:r>
    </w:p>
    <w:p w:rsidR="00AF2508" w:rsidRDefault="00AF2508">
      <w:pPr>
        <w:pStyle w:val="Asubpara"/>
      </w:pPr>
      <w:r>
        <w:tab/>
        <w:t>(i)</w:t>
      </w:r>
      <w:r>
        <w:tab/>
        <w:t>if continuous unidirectional slewing is not provided; or</w:t>
      </w:r>
    </w:p>
    <w:p w:rsidR="00AF2508" w:rsidRDefault="00AF2508">
      <w:pPr>
        <w:pStyle w:val="Asubpara"/>
      </w:pPr>
      <w:r>
        <w:tab/>
        <w:t>(ii)</w:t>
      </w:r>
      <w:r>
        <w:tab/>
        <w:t>if the crane has not been designed for use with the jib or derrick in all positions.</w:t>
      </w:r>
    </w:p>
    <w:p w:rsidR="00AF2508" w:rsidRDefault="00AF2508">
      <w:pPr>
        <w:pStyle w:val="Amain"/>
      </w:pPr>
      <w:r>
        <w:tab/>
        <w:t>(135)</w:t>
      </w:r>
      <w:r>
        <w:tab/>
        <w:t>Limit devices shall be self-resetting and shall be so devised that on their functioning, the mechanism, or motion they control will be brought to rest and remain safely at rest.</w:t>
      </w:r>
    </w:p>
    <w:p w:rsidR="00AF2508" w:rsidRDefault="00AF2508">
      <w:pPr>
        <w:pStyle w:val="Amain"/>
      </w:pPr>
      <w:r>
        <w:rPr>
          <w:color w:val="000000"/>
        </w:rPr>
        <w:tab/>
        <w:t>(136)</w:t>
      </w:r>
      <w:r>
        <w:rPr>
          <w:color w:val="000000"/>
        </w:rPr>
        <w:tab/>
        <w:t>Power hoists for raising or lowering workers or for raising or lowering loads above workers in confined or partly confined areas shall have approved limiting devices as mentioned in subsection (131) to obviate both overwinding and overlowering, and all dangers attendant on them.</w:t>
      </w:r>
    </w:p>
    <w:p w:rsidR="00AF2508" w:rsidRDefault="00AF2508">
      <w:pPr>
        <w:pStyle w:val="Amain"/>
        <w:keepLines/>
      </w:pPr>
      <w:r>
        <w:rPr>
          <w:color w:val="000000"/>
        </w:rPr>
        <w:tab/>
        <w:t>(137)</w:t>
      </w:r>
      <w:r>
        <w:rPr>
          <w:color w:val="000000"/>
        </w:rPr>
        <w:tab/>
        <w:t>If any member of a crane or hoist or scaffolding is moved under power by a screw thread or rack, an approved limiting device shall be provided to prevent the thread or rack from being completely unwound from its nut or pinion.</w:t>
      </w:r>
    </w:p>
    <w:p w:rsidR="00AF2508" w:rsidRDefault="00AF2508">
      <w:pPr>
        <w:pStyle w:val="Amain"/>
      </w:pPr>
      <w:r>
        <w:rPr>
          <w:color w:val="000000"/>
        </w:rPr>
        <w:tab/>
        <w:t>(138)</w:t>
      </w:r>
      <w:r>
        <w:rPr>
          <w:color w:val="000000"/>
        </w:rPr>
        <w:tab/>
        <w:t>If any crane, hoist, lift or scaffolding or part of it travels in any direction under power, and if the tractive or propulsive force is applied by any means other than the fractional adhesion of track wheels to track rails, a clearance of approved magnitude and extent shall be provided and maintained at and beyond each limit of travel as a safeguard against overrunning and consequent overloading, and to ensure the effective operation of the limiting devices prescribed by subsections (131) to (137).</w:t>
      </w:r>
    </w:p>
    <w:p w:rsidR="00AF2508" w:rsidRDefault="00AF2508">
      <w:pPr>
        <w:pStyle w:val="Amain"/>
      </w:pPr>
      <w:r>
        <w:tab/>
        <w:t>(139)</w:t>
      </w:r>
      <w:r>
        <w:tab/>
        <w:t>Instead of the overrunning clearances, effective alternative devices may, if specifically approved by the chief inspector, be employed for the purposes aforesaid.</w:t>
      </w:r>
    </w:p>
    <w:p w:rsidR="00AF2508" w:rsidRDefault="00AF2508">
      <w:pPr>
        <w:pStyle w:val="Amain"/>
      </w:pPr>
      <w:r>
        <w:rPr>
          <w:color w:val="000000"/>
        </w:rPr>
        <w:tab/>
        <w:t>(140)</w:t>
      </w:r>
      <w:r>
        <w:rPr>
          <w:color w:val="000000"/>
        </w:rPr>
        <w:tab/>
        <w:t>Except as prescribed by subsection (129), approved means, other than fixed guards, shall be provided to prevent ropes or chains from slackening on, or becoming displaced from or on their drums, sheaves, or other winding media.</w:t>
      </w:r>
    </w:p>
    <w:p w:rsidR="00AF2508" w:rsidRDefault="00AF2508">
      <w:pPr>
        <w:pStyle w:val="Amain"/>
      </w:pPr>
      <w:r>
        <w:tab/>
        <w:t>(141)</w:t>
      </w:r>
      <w:r>
        <w:tab/>
        <w:t>If a crane, hoist, lift, scaffolding, or plant is driven by power and is of the following type, such means shall be so devised, and constructed that slackening of the rope or chain will automatically, and immediately, cause the drum, sheave or other winding medium to stop with the brake fully applied:</w:t>
      </w:r>
    </w:p>
    <w:p w:rsidR="00AF2508" w:rsidRDefault="00AF2508">
      <w:pPr>
        <w:pStyle w:val="Apara"/>
      </w:pPr>
      <w:r>
        <w:tab/>
        <w:t>(a)</w:t>
      </w:r>
      <w:r>
        <w:tab/>
        <w:t>automatic or semiautomatic hoists having moving platforms, cages, boxes, hoppers, cradles, skips, kibbles, buckets, vessels, tines, monkeys, or yokes;</w:t>
      </w:r>
    </w:p>
    <w:p w:rsidR="00AF2508" w:rsidRDefault="00AF2508">
      <w:pPr>
        <w:pStyle w:val="Apara"/>
      </w:pPr>
      <w:r>
        <w:tab/>
        <w:t>(b)</w:t>
      </w:r>
      <w:r>
        <w:tab/>
        <w:t>lifts;</w:t>
      </w:r>
    </w:p>
    <w:p w:rsidR="00AF2508" w:rsidRDefault="00AF2508">
      <w:pPr>
        <w:pStyle w:val="Apara"/>
      </w:pPr>
      <w:r>
        <w:tab/>
        <w:t>(c)</w:t>
      </w:r>
      <w:r>
        <w:tab/>
        <w:t>stacking machines.</w:t>
      </w:r>
    </w:p>
    <w:p w:rsidR="00AF2508" w:rsidRDefault="00AF2508">
      <w:pPr>
        <w:pStyle w:val="Amain"/>
        <w:keepLines/>
      </w:pPr>
      <w:r>
        <w:tab/>
        <w:t>(142)</w:t>
      </w:r>
      <w:r>
        <w:tab/>
        <w:t>However, if the chief inspector is satisfied that the crane, hoist, lift or scaffolding, or plant is so devised, constructed and enclosed that absence of the safeguards required by subsection (141) would not result in danger to any person, the chief inspector may waive the requirements.</w:t>
      </w:r>
    </w:p>
    <w:p w:rsidR="00AF2508" w:rsidRDefault="00AF2508">
      <w:pPr>
        <w:pStyle w:val="Amain"/>
      </w:pPr>
      <w:r>
        <w:rPr>
          <w:color w:val="000000"/>
        </w:rPr>
        <w:tab/>
        <w:t>(143)</w:t>
      </w:r>
      <w:r>
        <w:rPr>
          <w:color w:val="000000"/>
        </w:rPr>
        <w:tab/>
        <w:t>Hoists used in building work, excavation work, and compressed air work for raising or lowering workers, shall have detaching safety bells, or other approved devices by which in the event of the lifting cage, car, or vessel overrunning and closely approaching collision with the overhead structure the hoisting rope or chain will be automatically and instantly disconnected from the cage, car or vessel, and by which the cage, car, or vessel will remain safely suspended independently of the safety gear prescribed by subsections (96) and (97).</w:t>
      </w:r>
    </w:p>
    <w:p w:rsidR="00AF2508" w:rsidRDefault="00AF2508">
      <w:pPr>
        <w:pStyle w:val="Amain"/>
      </w:pPr>
      <w:r>
        <w:rPr>
          <w:color w:val="000000"/>
        </w:rPr>
        <w:tab/>
        <w:t>(144)</w:t>
      </w:r>
      <w:r>
        <w:rPr>
          <w:color w:val="000000"/>
        </w:rPr>
        <w:tab/>
        <w:t>Hoisting ropes or chains disconnected as prescribed by subsection (143) shall be so guided and arranged that they can be wound freely back by and to their tractive mechanisms without danger and without fouling headbeams, sheaves, projections, or neighbouring buildings, structures, or plant.</w:t>
      </w:r>
    </w:p>
    <w:p w:rsidR="00AF2508" w:rsidRDefault="00AF2508">
      <w:pPr>
        <w:pStyle w:val="Amain"/>
      </w:pPr>
      <w:r>
        <w:rPr>
          <w:color w:val="000000"/>
        </w:rPr>
        <w:tab/>
        <w:t>(145)</w:t>
      </w:r>
      <w:r>
        <w:rPr>
          <w:color w:val="000000"/>
        </w:rPr>
        <w:tab/>
        <w:t>No uncommon device, extra, or innovation capable of affecting ordinary, normal, or customary functioning shall be added to or incorporated in any member, component, part or attachment of any machinery, mechanisms, or gearing unless approval of the chief inspector has first been obtained in regard to it.</w:t>
      </w:r>
    </w:p>
    <w:p w:rsidR="00AF2508" w:rsidRDefault="00AF2508">
      <w:pPr>
        <w:pStyle w:val="Amain"/>
      </w:pPr>
      <w:r>
        <w:rPr>
          <w:color w:val="000000"/>
        </w:rPr>
        <w:tab/>
        <w:t>(146)</w:t>
      </w:r>
      <w:r>
        <w:rPr>
          <w:color w:val="000000"/>
        </w:rPr>
        <w:tab/>
        <w:t>The slewing motions of caterpillar cranes and hoists shall be locked while the travelling motion is in use.</w:t>
      </w:r>
    </w:p>
    <w:p w:rsidR="00AF2508" w:rsidRDefault="00AF2508">
      <w:pPr>
        <w:pStyle w:val="Amain"/>
      </w:pPr>
      <w:r>
        <w:rPr>
          <w:color w:val="000000"/>
        </w:rPr>
        <w:tab/>
        <w:t>(147)</w:t>
      </w:r>
      <w:r>
        <w:rPr>
          <w:color w:val="000000"/>
        </w:rPr>
        <w:tab/>
        <w:t>Interconnecting mechanisms of cranes, lifts, hoists, scaffolding or plant, shall be so devised and constructed that no motion can become inadvertently engaged or disengaged during operation of any other motion.</w:t>
      </w:r>
    </w:p>
    <w:p w:rsidR="00AF2508" w:rsidRDefault="00AF2508">
      <w:pPr>
        <w:pStyle w:val="Amain"/>
        <w:keepLines/>
        <w:rPr>
          <w:color w:val="000000"/>
        </w:rPr>
      </w:pPr>
      <w:r>
        <w:rPr>
          <w:color w:val="000000"/>
        </w:rPr>
        <w:tab/>
        <w:t>(148)</w:t>
      </w:r>
      <w:r>
        <w:rPr>
          <w:color w:val="000000"/>
        </w:rPr>
        <w:tab/>
        <w:t>Members, components, parts or attachments of the frame structure of cranes, lifts, hoists or scaffoldings shall not be connected or interconnected by clamps or clamping devices, except if the specific approval of the chief inspector has first been obtained.</w:t>
      </w:r>
    </w:p>
    <w:p w:rsidR="00AF2508" w:rsidRDefault="00AF2508">
      <w:pPr>
        <w:pStyle w:val="Amain"/>
      </w:pPr>
      <w:r>
        <w:rPr>
          <w:color w:val="000000"/>
        </w:rPr>
        <w:tab/>
        <w:t>(149)</w:t>
      </w:r>
      <w:r>
        <w:rPr>
          <w:color w:val="000000"/>
        </w:rPr>
        <w:tab/>
        <w:t>The chief inspector’s approval of any clamp or clamping device shall not be deemed to include approval of its general use, but only its use for the purposes and applications that are particularised in the approval.</w:t>
      </w:r>
    </w:p>
    <w:p w:rsidR="00AF2508" w:rsidRDefault="00AF2508">
      <w:pPr>
        <w:pStyle w:val="Amain"/>
        <w:rPr>
          <w:color w:val="000000"/>
        </w:rPr>
      </w:pPr>
      <w:r>
        <w:rPr>
          <w:color w:val="000000"/>
        </w:rPr>
        <w:tab/>
        <w:t>(150)</w:t>
      </w:r>
      <w:r>
        <w:rPr>
          <w:color w:val="000000"/>
        </w:rPr>
        <w:tab/>
        <w:t>If the luffing mechanism of a derrick or jib crane is driven by interconnection with the hoisting mechanism, the crane and mechanism shall be so designed that the working load is luffed in a line that is as nearly horizontal as is practicable.</w:t>
      </w:r>
    </w:p>
    <w:p w:rsidR="00AF2508" w:rsidRDefault="00AF2508">
      <w:pPr>
        <w:pStyle w:val="Amain"/>
      </w:pPr>
      <w:r>
        <w:rPr>
          <w:color w:val="000000"/>
        </w:rPr>
        <w:tab/>
        <w:t>(151)</w:t>
      </w:r>
      <w:r>
        <w:rPr>
          <w:color w:val="000000"/>
        </w:rPr>
        <w:tab/>
        <w:t>In addition the crane and its mechanisms shall be so designed that there will not be any danger of the clutch being driven out of engagement while luffing.</w:t>
      </w:r>
    </w:p>
    <w:p w:rsidR="00AF2508" w:rsidRDefault="00AF2508">
      <w:pPr>
        <w:pStyle w:val="Amain"/>
      </w:pPr>
      <w:r>
        <w:rPr>
          <w:color w:val="000000"/>
        </w:rPr>
        <w:tab/>
        <w:t>(152)</w:t>
      </w:r>
      <w:r>
        <w:rPr>
          <w:color w:val="000000"/>
        </w:rPr>
        <w:tab/>
        <w:t>Fork-lift trucks, or stacking machines, or appliances analogous to them, shall not be equipped or used with jibs capable of lifting or handling loads at greater horizontal radii from the masts of the trucks or machines than those measured horizontally from the masts to the midlength points of the tines, platforms, trays, or scoops with which the trucks or machines would ordinarily be equipped in conformity with this regulation, unless alternatively, the approval of the chief inspector has first been obtained.</w:t>
      </w:r>
    </w:p>
    <w:p w:rsidR="00AF2508" w:rsidRDefault="00AF2508">
      <w:pPr>
        <w:pStyle w:val="Amain"/>
        <w:rPr>
          <w:color w:val="000000"/>
        </w:rPr>
      </w:pPr>
      <w:r>
        <w:rPr>
          <w:color w:val="000000"/>
        </w:rPr>
        <w:tab/>
        <w:t>(153)</w:t>
      </w:r>
      <w:r>
        <w:rPr>
          <w:color w:val="000000"/>
        </w:rPr>
        <w:tab/>
        <w:t>Approved effective permanent facilities shall be provided by which persons may safely lubricate, tend, and inspect the machinery and other working parts or cranes, lifts, hoists, scaffoldings and plant.</w:t>
      </w:r>
    </w:p>
    <w:p w:rsidR="00AF2508" w:rsidRDefault="00AF2508">
      <w:pPr>
        <w:pStyle w:val="Amain"/>
      </w:pPr>
      <w:r>
        <w:rPr>
          <w:color w:val="000000"/>
        </w:rPr>
        <w:tab/>
        <w:t>(154)</w:t>
      </w:r>
      <w:r>
        <w:rPr>
          <w:color w:val="000000"/>
        </w:rPr>
        <w:tab/>
        <w:t>The facilities shall include approved permanent safe means of access.</w:t>
      </w:r>
    </w:p>
    <w:p w:rsidR="00AF2508" w:rsidRDefault="00AF2508">
      <w:pPr>
        <w:pStyle w:val="Amain"/>
      </w:pPr>
      <w:r>
        <w:rPr>
          <w:color w:val="000000"/>
        </w:rPr>
        <w:tab/>
        <w:t>(155)</w:t>
      </w:r>
      <w:r>
        <w:rPr>
          <w:color w:val="000000"/>
        </w:rPr>
        <w:tab/>
        <w:t>Approved permanent safe means of access shall be provided to the cabins, driving stations, and machinery houses of all cranes, hoists, scaffoldings and plant.</w:t>
      </w:r>
    </w:p>
    <w:p w:rsidR="00AF2508" w:rsidRDefault="00AF2508">
      <w:pPr>
        <w:pStyle w:val="Amain"/>
      </w:pPr>
      <w:r>
        <w:rPr>
          <w:color w:val="000000"/>
        </w:rPr>
        <w:tab/>
        <w:t>(156)</w:t>
      </w:r>
      <w:r>
        <w:rPr>
          <w:color w:val="000000"/>
        </w:rPr>
        <w:tab/>
        <w:t>In order that persons may not be obliged to traverse dangerous zones unnecessarily, access facilities of cranes, hoists, scaffoldings or plant travelling on elevated tracks shall if practicable give access directly to driving cabins, or driving stations.</w:t>
      </w:r>
    </w:p>
    <w:p w:rsidR="00AF2508" w:rsidRDefault="00AF2508">
      <w:pPr>
        <w:pStyle w:val="Amain"/>
        <w:keepLines/>
        <w:rPr>
          <w:color w:val="000000"/>
        </w:rPr>
      </w:pPr>
      <w:r>
        <w:rPr>
          <w:color w:val="000000"/>
        </w:rPr>
        <w:tab/>
        <w:t>(157)</w:t>
      </w:r>
      <w:r>
        <w:rPr>
          <w:color w:val="000000"/>
        </w:rPr>
        <w:tab/>
        <w:t>A clear unobstructed headroom clearance of not less than 6 feet shall be provided and maintained above the upper surfaces of main access platforms of every crane, hoist, scaffolding or plant that travels under power.</w:t>
      </w:r>
    </w:p>
    <w:p w:rsidR="00AF2508" w:rsidRDefault="00AF2508">
      <w:pPr>
        <w:pStyle w:val="Amain"/>
      </w:pPr>
      <w:r>
        <w:rPr>
          <w:color w:val="000000"/>
        </w:rPr>
        <w:tab/>
        <w:t>(158)</w:t>
      </w:r>
      <w:r>
        <w:rPr>
          <w:color w:val="000000"/>
        </w:rPr>
        <w:tab/>
        <w:t>If secondary platforms function as walkways between other platforms the same headroom clearance shall be provided and maintained above them as above main platforms, or alternatively, the secondary platforms shall be roofed in an approved way.</w:t>
      </w:r>
    </w:p>
    <w:p w:rsidR="00AF2508" w:rsidRDefault="00AF2508">
      <w:pPr>
        <w:pStyle w:val="Amain"/>
      </w:pPr>
      <w:r>
        <w:rPr>
          <w:color w:val="000000"/>
        </w:rPr>
        <w:tab/>
        <w:t>(159)</w:t>
      </w:r>
      <w:r>
        <w:rPr>
          <w:color w:val="000000"/>
        </w:rPr>
        <w:tab/>
        <w:t>Grabs, travelling carriages, or telphers, shall not project over, or otherwise overhang, any access platform, ladder or walkway.</w:t>
      </w:r>
    </w:p>
    <w:p w:rsidR="00AF2508" w:rsidRDefault="00AF2508">
      <w:pPr>
        <w:pStyle w:val="Amain"/>
      </w:pPr>
      <w:r>
        <w:rPr>
          <w:color w:val="000000"/>
        </w:rPr>
        <w:tab/>
        <w:t>(160)</w:t>
      </w:r>
      <w:r>
        <w:rPr>
          <w:color w:val="000000"/>
        </w:rPr>
        <w:tab/>
        <w:t>Access facilities to cranes, lifts, hoists, scaffoldings, building works, excavation works, compressed air works and plant shall be free and shall be kept free of obstruction or partial obstruction, except if partial obstruction is specifically approved by the chief inspector.</w:t>
      </w:r>
    </w:p>
    <w:p w:rsidR="00AF2508" w:rsidRDefault="00AF2508">
      <w:pPr>
        <w:pStyle w:val="Amain"/>
      </w:pPr>
      <w:r>
        <w:rPr>
          <w:color w:val="000000"/>
        </w:rPr>
        <w:tab/>
        <w:t>(161)</w:t>
      </w:r>
      <w:r>
        <w:rPr>
          <w:color w:val="000000"/>
        </w:rPr>
        <w:tab/>
        <w:t>Access facilities shall be so devised, constructed, placed, and fenced that persons using them are safe from injury by machinery, cranes, lifts, hoists, scaffoldings, plant or loads being handled, or by building or excavation work or compressed air work, or by electricity, explosives, hot or dangerous liquids or substances, gases, vapours or fumes, or by falls or by being crushed.</w:t>
      </w:r>
    </w:p>
    <w:p w:rsidR="00AF2508" w:rsidRDefault="00AF2508">
      <w:pPr>
        <w:pStyle w:val="Amain"/>
      </w:pPr>
      <w:r>
        <w:rPr>
          <w:color w:val="000000"/>
        </w:rPr>
        <w:tab/>
        <w:t>(162)</w:t>
      </w:r>
      <w:r>
        <w:rPr>
          <w:color w:val="000000"/>
        </w:rPr>
        <w:tab/>
        <w:t>The owner or person in charge of any crane that travels under power shall prevent all persons entering on the elevated runway structure of the crane, and no person shall enter on the elevated structure unless, and until, approved effective measures have been taken to ensure the person’s safety.</w:t>
      </w:r>
    </w:p>
    <w:p w:rsidR="00AF2508" w:rsidRDefault="00AF2508">
      <w:pPr>
        <w:pStyle w:val="Amain"/>
        <w:keepLines/>
        <w:rPr>
          <w:color w:val="000000"/>
        </w:rPr>
      </w:pPr>
      <w:r>
        <w:rPr>
          <w:color w:val="000000"/>
        </w:rPr>
        <w:tab/>
        <w:t>(163)</w:t>
      </w:r>
      <w:r>
        <w:rPr>
          <w:color w:val="000000"/>
        </w:rPr>
        <w:tab/>
        <w:t>If an accident has occurred in connection with any crane, lift, hoist, scaffolding, or plant, or in connection with building or excavation work, or compressed air work, or any roof, an inspector may take possession of any part, piece, or item that the inspector considers has been concerned, for close or radiographic examination, analysis or test.</w:t>
      </w:r>
    </w:p>
    <w:p w:rsidR="00AF2508" w:rsidRDefault="00AF2508">
      <w:pPr>
        <w:pStyle w:val="Amain"/>
      </w:pPr>
      <w:r>
        <w:rPr>
          <w:color w:val="000000"/>
        </w:rPr>
        <w:tab/>
        <w:t>(164)</w:t>
      </w:r>
      <w:r>
        <w:rPr>
          <w:color w:val="000000"/>
        </w:rPr>
        <w:tab/>
        <w:t>Alternatively, the inspector may take possession of and preserve the part, piece, or item as an exhibit for production at any coronial inquiry.</w:t>
      </w:r>
    </w:p>
    <w:p w:rsidR="00AF2508" w:rsidRDefault="00AF2508">
      <w:pPr>
        <w:pStyle w:val="Amain"/>
        <w:rPr>
          <w:color w:val="000000"/>
        </w:rPr>
      </w:pPr>
      <w:r>
        <w:rPr>
          <w:color w:val="000000"/>
        </w:rPr>
        <w:tab/>
        <w:t>(165)</w:t>
      </w:r>
      <w:r>
        <w:rPr>
          <w:color w:val="000000"/>
        </w:rPr>
        <w:tab/>
        <w:t>Notwithstanding the provisions of section 4 the peripheral contours of the track wheels of cranes, hoists, scaffolding or plant travelling on railroad type tracks shall conform with diagram 127.</w:t>
      </w:r>
    </w:p>
    <w:p w:rsidR="00AF2508" w:rsidRDefault="00AF2508">
      <w:pPr>
        <w:pStyle w:val="TableHd"/>
      </w:pPr>
      <w:r>
        <w:t>Diagram 127</w:t>
      </w:r>
    </w:p>
    <w:p w:rsidR="00AF2508" w:rsidRDefault="00136775">
      <w:pPr>
        <w:pStyle w:val="Amain"/>
        <w:rPr>
          <w:color w:val="000000"/>
        </w:rPr>
      </w:pPr>
      <w:r>
        <w:rPr>
          <w:noProof/>
          <w:color w:val="000000"/>
          <w:sz w:val="20"/>
          <w:lang w:eastAsia="en-AU"/>
        </w:rPr>
        <w:drawing>
          <wp:inline distT="0" distB="0" distL="0" distR="0">
            <wp:extent cx="4171950" cy="3448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71950" cy="3448050"/>
                    </a:xfrm>
                    <a:prstGeom prst="rect">
                      <a:avLst/>
                    </a:prstGeom>
                    <a:noFill/>
                    <a:ln>
                      <a:noFill/>
                    </a:ln>
                  </pic:spPr>
                </pic:pic>
              </a:graphicData>
            </a:graphic>
          </wp:inline>
        </w:drawing>
      </w:r>
    </w:p>
    <w:p w:rsidR="00AF2508" w:rsidRDefault="00AF2508">
      <w:pPr>
        <w:pStyle w:val="Amain"/>
      </w:pPr>
      <w:r>
        <w:rPr>
          <w:color w:val="000000"/>
        </w:rPr>
        <w:tab/>
        <w:t>(166)</w:t>
      </w:r>
      <w:r>
        <w:rPr>
          <w:color w:val="000000"/>
        </w:rPr>
        <w:tab/>
        <w:t>The owner or person in charge of any crane or hoist, other than a hoist conforming with subsections (96) and (97), shall prevent all persons riding on the load, or on the lifting hook, or platform, or tines or box, or vessel, or other lifting medium, and no person shall so ride, except that the following persons may do so subject to the following limitations (if any):</w:t>
      </w:r>
    </w:p>
    <w:p w:rsidR="00AF2508" w:rsidRDefault="00AF2508">
      <w:pPr>
        <w:pStyle w:val="Apara"/>
      </w:pPr>
      <w:r>
        <w:tab/>
        <w:t>(a)</w:t>
      </w:r>
      <w:r>
        <w:tab/>
        <w:t>a dogger whose name is exhibited in an approved notice at the main driving station of the crane concerned;</w:t>
      </w:r>
    </w:p>
    <w:p w:rsidR="00AF2508" w:rsidRDefault="00AF2508">
      <w:pPr>
        <w:pStyle w:val="Apara"/>
      </w:pPr>
      <w:r>
        <w:tab/>
        <w:t>(b)</w:t>
      </w:r>
      <w:r>
        <w:tab/>
        <w:t>persons authorised in writing by the chief inspector, for the purposes as may be prescribed in the authority.</w:t>
      </w:r>
    </w:p>
    <w:p w:rsidR="00AF2508" w:rsidRDefault="00AF2508">
      <w:pPr>
        <w:pStyle w:val="Amain"/>
        <w:rPr>
          <w:color w:val="000000"/>
        </w:rPr>
      </w:pPr>
      <w:r>
        <w:rPr>
          <w:color w:val="000000"/>
        </w:rPr>
        <w:tab/>
        <w:t>(167)</w:t>
      </w:r>
      <w:r>
        <w:rPr>
          <w:color w:val="000000"/>
        </w:rPr>
        <w:tab/>
        <w:t>No crane, lift, hoist or scaffolding shall be constructed in whole or in part of, or include or incorporate, any second-hand material or part.</w:t>
      </w:r>
    </w:p>
    <w:p w:rsidR="00AF2508" w:rsidRDefault="00AF2508">
      <w:pPr>
        <w:pStyle w:val="Amain"/>
        <w:rPr>
          <w:color w:val="000000"/>
        </w:rPr>
      </w:pPr>
      <w:r>
        <w:rPr>
          <w:color w:val="000000"/>
        </w:rPr>
        <w:tab/>
        <w:t>(168)</w:t>
      </w:r>
      <w:r>
        <w:rPr>
          <w:color w:val="000000"/>
        </w:rPr>
        <w:tab/>
        <w:t>However, subsection (167) does not preclude the dismantling and re</w:t>
      </w:r>
      <w:r>
        <w:rPr>
          <w:color w:val="000000"/>
        </w:rPr>
        <w:noBreakHyphen/>
        <w:t>erection of the crane, lift, hoist, or scaffolding in accordance with the Act and this regulation.</w:t>
      </w:r>
    </w:p>
    <w:p w:rsidR="00AF2508" w:rsidRDefault="00AF2508">
      <w:pPr>
        <w:pStyle w:val="Amain"/>
      </w:pPr>
      <w:r>
        <w:rPr>
          <w:color w:val="000000"/>
        </w:rPr>
        <w:tab/>
        <w:t>(169)</w:t>
      </w:r>
      <w:r>
        <w:rPr>
          <w:color w:val="000000"/>
        </w:rPr>
        <w:tab/>
        <w:t>Also,second-hand materials may be used—</w:t>
      </w:r>
    </w:p>
    <w:p w:rsidR="00AF2508" w:rsidRDefault="00AF2508">
      <w:pPr>
        <w:pStyle w:val="Apara"/>
      </w:pPr>
      <w:r>
        <w:tab/>
        <w:t>(a)</w:t>
      </w:r>
      <w:r>
        <w:tab/>
        <w:t>if not subject to stress; or</w:t>
      </w:r>
    </w:p>
    <w:p w:rsidR="00AF2508" w:rsidRDefault="00AF2508">
      <w:pPr>
        <w:pStyle w:val="Apara"/>
      </w:pPr>
      <w:r>
        <w:tab/>
        <w:t>(b)</w:t>
      </w:r>
      <w:r>
        <w:tab/>
        <w:t>if the material is amorphous; or</w:t>
      </w:r>
    </w:p>
    <w:p w:rsidR="00AF2508" w:rsidRDefault="00AF2508">
      <w:pPr>
        <w:pStyle w:val="Apara"/>
      </w:pPr>
      <w:r>
        <w:tab/>
        <w:t>(c)</w:t>
      </w:r>
      <w:r>
        <w:tab/>
        <w:t>if specifically approved by the chief inspector.</w:t>
      </w:r>
    </w:p>
    <w:p w:rsidR="00AF2508" w:rsidRDefault="00AF2508">
      <w:pPr>
        <w:pStyle w:val="Amain"/>
        <w:rPr>
          <w:color w:val="000000"/>
        </w:rPr>
      </w:pPr>
      <w:r>
        <w:rPr>
          <w:color w:val="000000"/>
        </w:rPr>
        <w:tab/>
        <w:t>(170)</w:t>
      </w:r>
      <w:r>
        <w:rPr>
          <w:color w:val="000000"/>
        </w:rPr>
        <w:tab/>
        <w:t>All enclosed gearings used in connection with cranes, lifts, hoists, and scaffoldings, shall have readily accessible inspection apertures with covers that may be readily removed without dismantling or placing the gearing out of commission.</w:t>
      </w:r>
    </w:p>
    <w:p w:rsidR="00AF2508" w:rsidRDefault="00AF2508">
      <w:pPr>
        <w:pStyle w:val="Amain"/>
      </w:pPr>
      <w:r>
        <w:rPr>
          <w:color w:val="000000"/>
        </w:rPr>
        <w:tab/>
        <w:t>(171)</w:t>
      </w:r>
      <w:r>
        <w:rPr>
          <w:color w:val="000000"/>
        </w:rPr>
        <w:tab/>
        <w:t>The apertures shall be as large as is practicable and shall be so placed that the gearings may be effectively and conveniently inspected.</w:t>
      </w:r>
    </w:p>
    <w:p w:rsidR="00AF2508" w:rsidRDefault="00AF2508">
      <w:pPr>
        <w:pStyle w:val="Amain"/>
        <w:keepLines/>
      </w:pPr>
      <w:r>
        <w:rPr>
          <w:color w:val="000000"/>
        </w:rPr>
        <w:tab/>
        <w:t>(172)</w:t>
      </w:r>
      <w:r>
        <w:rPr>
          <w:color w:val="000000"/>
        </w:rPr>
        <w:tab/>
        <w:t>Unless otherwise approved all joints within members of the frame or supporting structures of cranes, lifts, hoists, plant, or scaffolding shall be plated with splice plates on all surfaces, but this shall not be necessary if the joint is welded in an approved way.</w:t>
      </w:r>
    </w:p>
    <w:p w:rsidR="00AF2508" w:rsidRDefault="00AF2508">
      <w:pPr>
        <w:pStyle w:val="Amain"/>
        <w:rPr>
          <w:color w:val="000000"/>
        </w:rPr>
      </w:pPr>
      <w:r>
        <w:rPr>
          <w:color w:val="000000"/>
        </w:rPr>
        <w:tab/>
        <w:t>(173)</w:t>
      </w:r>
      <w:r>
        <w:rPr>
          <w:color w:val="000000"/>
        </w:rPr>
        <w:tab/>
        <w:t>If more specific provision is not made in this regulation, and unless the chief inspector otherwise directs, all cranes, hoists, plant and scaffolding and the members, components, parts and attachments of them and to them shall conform with the following Rules of Standards Australia, Crane and Hoist Code No C.B.2, 1938, and the rules shall be interpreted and applied in accordance with the code:</w:t>
      </w:r>
    </w:p>
    <w:p w:rsidR="00AF2508" w:rsidRDefault="00AF2508"/>
    <w:tbl>
      <w:tblPr>
        <w:tblW w:w="7593" w:type="dxa"/>
        <w:tblInd w:w="479" w:type="dxa"/>
        <w:tblLayout w:type="fixed"/>
        <w:tblCellMar>
          <w:left w:w="80" w:type="dxa"/>
          <w:right w:w="80" w:type="dxa"/>
        </w:tblCellMar>
        <w:tblLook w:val="0000" w:firstRow="0" w:lastRow="0" w:firstColumn="0" w:lastColumn="0" w:noHBand="0" w:noVBand="0"/>
      </w:tblPr>
      <w:tblGrid>
        <w:gridCol w:w="660"/>
        <w:gridCol w:w="3273"/>
        <w:gridCol w:w="660"/>
        <w:gridCol w:w="3000"/>
      </w:tblGrid>
      <w:tr w:rsidR="00AF2508">
        <w:trPr>
          <w:cantSplit/>
          <w:tblHeader/>
        </w:trPr>
        <w:tc>
          <w:tcPr>
            <w:tcW w:w="660" w:type="dxa"/>
            <w:tcBorders>
              <w:top w:val="single" w:sz="6" w:space="0" w:color="auto"/>
              <w:bottom w:val="single" w:sz="6" w:space="0" w:color="auto"/>
            </w:tcBorders>
          </w:tcPr>
          <w:p w:rsidR="00AF2508" w:rsidRDefault="00AF2508">
            <w:pPr>
              <w:pStyle w:val="TableColHd"/>
            </w:pPr>
            <w:r>
              <w:t>rule</w:t>
            </w:r>
            <w:r>
              <w:br/>
              <w:t>No</w:t>
            </w:r>
          </w:p>
        </w:tc>
        <w:tc>
          <w:tcPr>
            <w:tcW w:w="3273" w:type="dxa"/>
            <w:tcBorders>
              <w:top w:val="single" w:sz="6" w:space="0" w:color="auto"/>
              <w:bottom w:val="single" w:sz="6" w:space="0" w:color="auto"/>
            </w:tcBorders>
          </w:tcPr>
          <w:p w:rsidR="00AF2508" w:rsidRDefault="00AF2508">
            <w:pPr>
              <w:pStyle w:val="TableColHd"/>
            </w:pPr>
            <w:r>
              <w:t>subject</w:t>
            </w:r>
          </w:p>
        </w:tc>
        <w:tc>
          <w:tcPr>
            <w:tcW w:w="660" w:type="dxa"/>
            <w:tcBorders>
              <w:top w:val="single" w:sz="6" w:space="0" w:color="auto"/>
              <w:bottom w:val="single" w:sz="6" w:space="0" w:color="auto"/>
            </w:tcBorders>
          </w:tcPr>
          <w:p w:rsidR="00AF2508" w:rsidRDefault="00AF2508">
            <w:pPr>
              <w:pStyle w:val="TableColHd"/>
            </w:pPr>
            <w:r>
              <w:t>rule</w:t>
            </w:r>
            <w:r>
              <w:br/>
              <w:t>No</w:t>
            </w:r>
          </w:p>
        </w:tc>
        <w:tc>
          <w:tcPr>
            <w:tcW w:w="3000" w:type="dxa"/>
            <w:tcBorders>
              <w:top w:val="single" w:sz="6" w:space="0" w:color="auto"/>
              <w:bottom w:val="single" w:sz="6" w:space="0" w:color="auto"/>
            </w:tcBorders>
          </w:tcPr>
          <w:p w:rsidR="00AF2508" w:rsidRDefault="00AF2508">
            <w:pPr>
              <w:pStyle w:val="TableColHd"/>
            </w:pPr>
            <w:r>
              <w:t>subject</w:t>
            </w:r>
          </w:p>
        </w:tc>
      </w:tr>
      <w:tr w:rsidR="00AF2508">
        <w:trPr>
          <w:cantSplit/>
        </w:trPr>
        <w:tc>
          <w:tcPr>
            <w:tcW w:w="660" w:type="dxa"/>
            <w:tcBorders>
              <w:top w:val="single" w:sz="6" w:space="0" w:color="auto"/>
            </w:tcBorders>
          </w:tcPr>
          <w:p w:rsidR="00AF2508" w:rsidRDefault="00AF2508">
            <w:pPr>
              <w:pStyle w:val="TableText"/>
            </w:pPr>
            <w:r>
              <w:t>317</w:t>
            </w:r>
          </w:p>
        </w:tc>
        <w:tc>
          <w:tcPr>
            <w:tcW w:w="3273" w:type="dxa"/>
            <w:tcBorders>
              <w:top w:val="single" w:sz="6" w:space="0" w:color="auto"/>
            </w:tcBorders>
          </w:tcPr>
          <w:p w:rsidR="00AF2508" w:rsidRDefault="00AF2508">
            <w:pPr>
              <w:pStyle w:val="TableText"/>
            </w:pPr>
            <w:r>
              <w:t>Concrete-cement, etc</w:t>
            </w:r>
          </w:p>
        </w:tc>
        <w:tc>
          <w:tcPr>
            <w:tcW w:w="660" w:type="dxa"/>
            <w:tcBorders>
              <w:top w:val="single" w:sz="6" w:space="0" w:color="auto"/>
            </w:tcBorders>
          </w:tcPr>
          <w:p w:rsidR="00AF2508" w:rsidRDefault="00AF2508">
            <w:pPr>
              <w:pStyle w:val="TableText"/>
            </w:pPr>
            <w:r>
              <w:t>481</w:t>
            </w:r>
          </w:p>
        </w:tc>
        <w:tc>
          <w:tcPr>
            <w:tcW w:w="3000" w:type="dxa"/>
            <w:tcBorders>
              <w:top w:val="single" w:sz="6" w:space="0" w:color="auto"/>
            </w:tcBorders>
          </w:tcPr>
          <w:p w:rsidR="00AF2508" w:rsidRDefault="00AF2508">
            <w:pPr>
              <w:pStyle w:val="TableText"/>
            </w:pPr>
            <w:r>
              <w:t>Track rail webs</w:t>
            </w:r>
          </w:p>
        </w:tc>
      </w:tr>
      <w:tr w:rsidR="00AF2508">
        <w:trPr>
          <w:cantSplit/>
        </w:trPr>
        <w:tc>
          <w:tcPr>
            <w:tcW w:w="660" w:type="dxa"/>
          </w:tcPr>
          <w:p w:rsidR="00AF2508" w:rsidRDefault="00AF2508">
            <w:pPr>
              <w:pStyle w:val="TableText"/>
            </w:pPr>
            <w:r>
              <w:t>319</w:t>
            </w:r>
          </w:p>
        </w:tc>
        <w:tc>
          <w:tcPr>
            <w:tcW w:w="3273" w:type="dxa"/>
          </w:tcPr>
          <w:p w:rsidR="00AF2508" w:rsidRDefault="00AF2508">
            <w:pPr>
              <w:pStyle w:val="TableText"/>
            </w:pPr>
            <w:r>
              <w:t>Welding</w:t>
            </w:r>
          </w:p>
        </w:tc>
        <w:tc>
          <w:tcPr>
            <w:tcW w:w="660" w:type="dxa"/>
          </w:tcPr>
          <w:p w:rsidR="00AF2508" w:rsidRDefault="00AF2508">
            <w:pPr>
              <w:pStyle w:val="TableText"/>
            </w:pPr>
            <w:r>
              <w:t>482</w:t>
            </w:r>
          </w:p>
        </w:tc>
        <w:tc>
          <w:tcPr>
            <w:tcW w:w="3000" w:type="dxa"/>
          </w:tcPr>
          <w:p w:rsidR="00AF2508" w:rsidRDefault="00AF2508">
            <w:pPr>
              <w:pStyle w:val="TableText"/>
            </w:pPr>
            <w:r>
              <w:t>Track rail clearances</w:t>
            </w:r>
          </w:p>
        </w:tc>
      </w:tr>
      <w:tr w:rsidR="00AF2508">
        <w:trPr>
          <w:cantSplit/>
        </w:trPr>
        <w:tc>
          <w:tcPr>
            <w:tcW w:w="660" w:type="dxa"/>
          </w:tcPr>
          <w:p w:rsidR="00AF2508" w:rsidRDefault="00AF2508">
            <w:pPr>
              <w:pStyle w:val="TableText"/>
            </w:pPr>
            <w:r>
              <w:t>407</w:t>
            </w:r>
          </w:p>
        </w:tc>
        <w:tc>
          <w:tcPr>
            <w:tcW w:w="3273" w:type="dxa"/>
          </w:tcPr>
          <w:p w:rsidR="00AF2508" w:rsidRDefault="00AF2508">
            <w:pPr>
              <w:pStyle w:val="TableText"/>
            </w:pPr>
            <w:r>
              <w:t>Loads—temperature effect</w:t>
            </w:r>
          </w:p>
        </w:tc>
        <w:tc>
          <w:tcPr>
            <w:tcW w:w="660" w:type="dxa"/>
          </w:tcPr>
          <w:p w:rsidR="00AF2508" w:rsidRDefault="00AF2508">
            <w:pPr>
              <w:pStyle w:val="TableText"/>
            </w:pPr>
            <w:r>
              <w:t>483</w:t>
            </w:r>
          </w:p>
        </w:tc>
        <w:tc>
          <w:tcPr>
            <w:tcW w:w="3000" w:type="dxa"/>
          </w:tcPr>
          <w:p w:rsidR="00AF2508" w:rsidRDefault="00AF2508">
            <w:pPr>
              <w:pStyle w:val="TableText"/>
            </w:pPr>
            <w:r>
              <w:t>Track rail fastening</w:t>
            </w:r>
          </w:p>
        </w:tc>
      </w:tr>
      <w:tr w:rsidR="00AF2508">
        <w:trPr>
          <w:cantSplit/>
        </w:trPr>
        <w:tc>
          <w:tcPr>
            <w:tcW w:w="660" w:type="dxa"/>
          </w:tcPr>
          <w:p w:rsidR="00AF2508" w:rsidRDefault="00AF2508">
            <w:pPr>
              <w:pStyle w:val="TableText"/>
            </w:pPr>
            <w:r>
              <w:t>408</w:t>
            </w:r>
          </w:p>
        </w:tc>
        <w:tc>
          <w:tcPr>
            <w:tcW w:w="3273" w:type="dxa"/>
          </w:tcPr>
          <w:p w:rsidR="00AF2508" w:rsidRDefault="00AF2508">
            <w:pPr>
              <w:pStyle w:val="TableText"/>
            </w:pPr>
            <w:r>
              <w:t>Loads—erection stresses</w:t>
            </w:r>
          </w:p>
        </w:tc>
        <w:tc>
          <w:tcPr>
            <w:tcW w:w="660" w:type="dxa"/>
          </w:tcPr>
          <w:p w:rsidR="00AF2508" w:rsidRDefault="00AF2508">
            <w:pPr>
              <w:pStyle w:val="TableText"/>
            </w:pPr>
            <w:r>
              <w:t>484</w:t>
            </w:r>
          </w:p>
        </w:tc>
        <w:tc>
          <w:tcPr>
            <w:tcW w:w="3000" w:type="dxa"/>
          </w:tcPr>
          <w:p w:rsidR="00AF2508" w:rsidRDefault="00AF2508">
            <w:pPr>
              <w:pStyle w:val="TableText"/>
            </w:pPr>
            <w:r>
              <w:t>Track rail stops</w:t>
            </w:r>
          </w:p>
        </w:tc>
      </w:tr>
      <w:tr w:rsidR="00AF2508">
        <w:trPr>
          <w:cantSplit/>
        </w:trPr>
        <w:tc>
          <w:tcPr>
            <w:tcW w:w="660" w:type="dxa"/>
          </w:tcPr>
          <w:p w:rsidR="00AF2508" w:rsidRDefault="00AF2508">
            <w:pPr>
              <w:pStyle w:val="TableText"/>
            </w:pPr>
            <w:r>
              <w:t>429</w:t>
            </w:r>
          </w:p>
        </w:tc>
        <w:tc>
          <w:tcPr>
            <w:tcW w:w="3273" w:type="dxa"/>
          </w:tcPr>
          <w:p w:rsidR="00AF2508" w:rsidRDefault="00AF2508">
            <w:pPr>
              <w:pStyle w:val="TableText"/>
            </w:pPr>
            <w:r>
              <w:t>Latticing and plating of struts</w:t>
            </w:r>
          </w:p>
        </w:tc>
        <w:tc>
          <w:tcPr>
            <w:tcW w:w="660" w:type="dxa"/>
          </w:tcPr>
          <w:p w:rsidR="00AF2508" w:rsidRDefault="00AF2508">
            <w:pPr>
              <w:pStyle w:val="TableText"/>
            </w:pPr>
            <w:r>
              <w:t>486</w:t>
            </w:r>
          </w:p>
        </w:tc>
        <w:tc>
          <w:tcPr>
            <w:tcW w:w="3000" w:type="dxa"/>
          </w:tcPr>
          <w:p w:rsidR="00AF2508" w:rsidRDefault="00AF2508">
            <w:pPr>
              <w:pStyle w:val="TableText"/>
            </w:pPr>
            <w:r>
              <w:t>Runway crane clearances</w:t>
            </w:r>
          </w:p>
        </w:tc>
      </w:tr>
      <w:tr w:rsidR="00AF2508">
        <w:trPr>
          <w:cantSplit/>
        </w:trPr>
        <w:tc>
          <w:tcPr>
            <w:tcW w:w="660" w:type="dxa"/>
          </w:tcPr>
          <w:p w:rsidR="00AF2508" w:rsidRDefault="00AF2508">
            <w:pPr>
              <w:pStyle w:val="TableText"/>
            </w:pPr>
            <w:r>
              <w:t>430*</w:t>
            </w:r>
          </w:p>
        </w:tc>
        <w:tc>
          <w:tcPr>
            <w:tcW w:w="3273" w:type="dxa"/>
          </w:tcPr>
          <w:p w:rsidR="00AF2508" w:rsidRDefault="00AF2508">
            <w:pPr>
              <w:pStyle w:val="TableText"/>
            </w:pPr>
            <w:r>
              <w:t>Struts—minimum lattice bar dimen-sions</w:t>
            </w:r>
          </w:p>
        </w:tc>
        <w:tc>
          <w:tcPr>
            <w:tcW w:w="660" w:type="dxa"/>
          </w:tcPr>
          <w:p w:rsidR="00AF2508" w:rsidRDefault="00AF2508">
            <w:pPr>
              <w:pStyle w:val="TableText"/>
            </w:pPr>
            <w:r>
              <w:t>488</w:t>
            </w:r>
          </w:p>
        </w:tc>
        <w:tc>
          <w:tcPr>
            <w:tcW w:w="3000" w:type="dxa"/>
          </w:tcPr>
          <w:p w:rsidR="00AF2508" w:rsidRDefault="00AF2508">
            <w:pPr>
              <w:pStyle w:val="TableText"/>
            </w:pPr>
            <w:r>
              <w:t>Outside crane equipage</w:t>
            </w:r>
          </w:p>
        </w:tc>
      </w:tr>
      <w:tr w:rsidR="00AF2508">
        <w:trPr>
          <w:cantSplit/>
        </w:trPr>
        <w:tc>
          <w:tcPr>
            <w:tcW w:w="660" w:type="dxa"/>
          </w:tcPr>
          <w:p w:rsidR="00AF2508" w:rsidRDefault="00AF2508">
            <w:pPr>
              <w:pStyle w:val="TableText"/>
            </w:pPr>
            <w:r>
              <w:t>431</w:t>
            </w:r>
          </w:p>
        </w:tc>
        <w:tc>
          <w:tcPr>
            <w:tcW w:w="3273" w:type="dxa"/>
          </w:tcPr>
          <w:p w:rsidR="00AF2508" w:rsidRDefault="00AF2508">
            <w:pPr>
              <w:pStyle w:val="TableText"/>
            </w:pPr>
            <w:r>
              <w:t>Struts—angle of lattice bars</w:t>
            </w:r>
          </w:p>
        </w:tc>
        <w:tc>
          <w:tcPr>
            <w:tcW w:w="660" w:type="dxa"/>
          </w:tcPr>
          <w:p w:rsidR="00AF2508" w:rsidRDefault="00AF2508">
            <w:pPr>
              <w:pStyle w:val="TableText"/>
            </w:pPr>
            <w:r>
              <w:t>501</w:t>
            </w:r>
          </w:p>
        </w:tc>
        <w:tc>
          <w:tcPr>
            <w:tcW w:w="3000" w:type="dxa"/>
          </w:tcPr>
          <w:p w:rsidR="00AF2508" w:rsidRDefault="00AF2508">
            <w:pPr>
              <w:pStyle w:val="TableText"/>
            </w:pPr>
            <w:r>
              <w:t>Grooving for drums and pulleys</w:t>
            </w:r>
          </w:p>
        </w:tc>
      </w:tr>
      <w:tr w:rsidR="00AF2508">
        <w:trPr>
          <w:cantSplit/>
        </w:trPr>
        <w:tc>
          <w:tcPr>
            <w:tcW w:w="660" w:type="dxa"/>
          </w:tcPr>
          <w:p w:rsidR="00AF2508" w:rsidRDefault="00AF2508">
            <w:pPr>
              <w:pStyle w:val="TableText"/>
            </w:pPr>
            <w:r>
              <w:t>432</w:t>
            </w:r>
          </w:p>
        </w:tc>
        <w:tc>
          <w:tcPr>
            <w:tcW w:w="3273" w:type="dxa"/>
          </w:tcPr>
          <w:p w:rsidR="00AF2508" w:rsidRDefault="00AF2508">
            <w:pPr>
              <w:pStyle w:val="TableText"/>
            </w:pPr>
            <w:r>
              <w:t>Struts—batten plates</w:t>
            </w:r>
          </w:p>
        </w:tc>
        <w:tc>
          <w:tcPr>
            <w:tcW w:w="660" w:type="dxa"/>
          </w:tcPr>
          <w:p w:rsidR="00AF2508" w:rsidRDefault="00AF2508">
            <w:pPr>
              <w:pStyle w:val="TableText"/>
            </w:pPr>
            <w:r>
              <w:t>502</w:t>
            </w:r>
          </w:p>
        </w:tc>
        <w:tc>
          <w:tcPr>
            <w:tcW w:w="3000" w:type="dxa"/>
          </w:tcPr>
          <w:p w:rsidR="00AF2508" w:rsidRDefault="00AF2508">
            <w:pPr>
              <w:pStyle w:val="TableText"/>
            </w:pPr>
            <w:r>
              <w:t>Ungrooved rope drums</w:t>
            </w:r>
          </w:p>
        </w:tc>
      </w:tr>
      <w:tr w:rsidR="00AF2508">
        <w:trPr>
          <w:cantSplit/>
        </w:trPr>
        <w:tc>
          <w:tcPr>
            <w:tcW w:w="660" w:type="dxa"/>
          </w:tcPr>
          <w:p w:rsidR="00AF2508" w:rsidRDefault="00AF2508">
            <w:pPr>
              <w:pStyle w:val="TableText"/>
            </w:pPr>
            <w:r>
              <w:t>434</w:t>
            </w:r>
          </w:p>
        </w:tc>
        <w:tc>
          <w:tcPr>
            <w:tcW w:w="3273" w:type="dxa"/>
          </w:tcPr>
          <w:p w:rsidR="00AF2508" w:rsidRDefault="00AF2508">
            <w:pPr>
              <w:pStyle w:val="TableText"/>
            </w:pPr>
            <w:r>
              <w:t>Struts—spacing of bars and plates</w:t>
            </w:r>
          </w:p>
        </w:tc>
        <w:tc>
          <w:tcPr>
            <w:tcW w:w="660" w:type="dxa"/>
          </w:tcPr>
          <w:p w:rsidR="00AF2508" w:rsidRDefault="00AF2508">
            <w:pPr>
              <w:pStyle w:val="TableText"/>
            </w:pPr>
            <w:r>
              <w:t>507</w:t>
            </w:r>
          </w:p>
        </w:tc>
        <w:tc>
          <w:tcPr>
            <w:tcW w:w="3000" w:type="dxa"/>
          </w:tcPr>
          <w:p w:rsidR="00AF2508" w:rsidRDefault="00AF2508">
            <w:pPr>
              <w:pStyle w:val="TableText"/>
            </w:pPr>
            <w:r>
              <w:t>Shaft keys, types of</w:t>
            </w:r>
          </w:p>
        </w:tc>
      </w:tr>
      <w:tr w:rsidR="00AF2508">
        <w:trPr>
          <w:cantSplit/>
        </w:trPr>
        <w:tc>
          <w:tcPr>
            <w:tcW w:w="660" w:type="dxa"/>
          </w:tcPr>
          <w:p w:rsidR="00AF2508" w:rsidRDefault="00AF2508">
            <w:pPr>
              <w:pStyle w:val="TableText"/>
            </w:pPr>
            <w:r>
              <w:t>435</w:t>
            </w:r>
          </w:p>
        </w:tc>
        <w:tc>
          <w:tcPr>
            <w:tcW w:w="3273" w:type="dxa"/>
          </w:tcPr>
          <w:p w:rsidR="00AF2508" w:rsidRDefault="00AF2508">
            <w:pPr>
              <w:pStyle w:val="TableText"/>
            </w:pPr>
            <w:r>
              <w:t>Struts—rivets in columns</w:t>
            </w:r>
          </w:p>
        </w:tc>
        <w:tc>
          <w:tcPr>
            <w:tcW w:w="660" w:type="dxa"/>
          </w:tcPr>
          <w:p w:rsidR="00AF2508" w:rsidRDefault="00AF2508">
            <w:pPr>
              <w:pStyle w:val="TableText"/>
            </w:pPr>
            <w:r>
              <w:t>511</w:t>
            </w:r>
          </w:p>
        </w:tc>
        <w:tc>
          <w:tcPr>
            <w:tcW w:w="3000" w:type="dxa"/>
          </w:tcPr>
          <w:p w:rsidR="00AF2508" w:rsidRDefault="00AF2508">
            <w:pPr>
              <w:pStyle w:val="TableText"/>
            </w:pPr>
            <w:r>
              <w:t>Sheave diameters</w:t>
            </w:r>
          </w:p>
        </w:tc>
      </w:tr>
      <w:tr w:rsidR="00AF2508">
        <w:trPr>
          <w:cantSplit/>
        </w:trPr>
        <w:tc>
          <w:tcPr>
            <w:tcW w:w="660" w:type="dxa"/>
          </w:tcPr>
          <w:p w:rsidR="00AF2508" w:rsidRDefault="00AF2508">
            <w:pPr>
              <w:pStyle w:val="TableText"/>
            </w:pPr>
            <w:r>
              <w:t>437</w:t>
            </w:r>
          </w:p>
        </w:tc>
        <w:tc>
          <w:tcPr>
            <w:tcW w:w="3273" w:type="dxa"/>
          </w:tcPr>
          <w:p w:rsidR="00AF2508" w:rsidRDefault="00AF2508">
            <w:pPr>
              <w:pStyle w:val="TableText"/>
            </w:pPr>
            <w:r>
              <w:t>Effective span of members subject to bending</w:t>
            </w:r>
          </w:p>
        </w:tc>
        <w:tc>
          <w:tcPr>
            <w:tcW w:w="660" w:type="dxa"/>
          </w:tcPr>
          <w:p w:rsidR="00AF2508" w:rsidRDefault="00AF2508">
            <w:pPr>
              <w:pStyle w:val="TableText"/>
            </w:pPr>
            <w:r>
              <w:t>521</w:t>
            </w:r>
          </w:p>
        </w:tc>
        <w:tc>
          <w:tcPr>
            <w:tcW w:w="3000" w:type="dxa"/>
          </w:tcPr>
          <w:p w:rsidR="00AF2508" w:rsidRDefault="00AF2508">
            <w:pPr>
              <w:pStyle w:val="TableText"/>
            </w:pPr>
            <w:r>
              <w:t>Track wheels, avoid overhang</w:t>
            </w:r>
          </w:p>
        </w:tc>
      </w:tr>
      <w:tr w:rsidR="00AF2508">
        <w:trPr>
          <w:cantSplit/>
        </w:trPr>
        <w:tc>
          <w:tcPr>
            <w:tcW w:w="660" w:type="dxa"/>
          </w:tcPr>
          <w:p w:rsidR="00AF2508" w:rsidRDefault="00AF2508">
            <w:pPr>
              <w:pStyle w:val="TableText"/>
            </w:pPr>
            <w:r>
              <w:t>438</w:t>
            </w:r>
          </w:p>
        </w:tc>
        <w:tc>
          <w:tcPr>
            <w:tcW w:w="3273" w:type="dxa"/>
          </w:tcPr>
          <w:p w:rsidR="00AF2508" w:rsidRDefault="00AF2508">
            <w:pPr>
              <w:pStyle w:val="TableText"/>
            </w:pPr>
            <w:r>
              <w:t>Effective depth of members subject to bending</w:t>
            </w:r>
          </w:p>
        </w:tc>
        <w:tc>
          <w:tcPr>
            <w:tcW w:w="660" w:type="dxa"/>
          </w:tcPr>
          <w:p w:rsidR="00AF2508" w:rsidRDefault="00AF2508">
            <w:pPr>
              <w:pStyle w:val="TableText"/>
            </w:pPr>
            <w:r>
              <w:t>523</w:t>
            </w:r>
          </w:p>
        </w:tc>
        <w:tc>
          <w:tcPr>
            <w:tcW w:w="3000" w:type="dxa"/>
          </w:tcPr>
          <w:p w:rsidR="00AF2508" w:rsidRDefault="00AF2508">
            <w:pPr>
              <w:pStyle w:val="TableText"/>
            </w:pPr>
            <w:r>
              <w:t>Track wheels, size and depths</w:t>
            </w:r>
          </w:p>
        </w:tc>
      </w:tr>
      <w:tr w:rsidR="00AF2508">
        <w:trPr>
          <w:cantSplit/>
        </w:trPr>
        <w:tc>
          <w:tcPr>
            <w:tcW w:w="660" w:type="dxa"/>
          </w:tcPr>
          <w:p w:rsidR="00AF2508" w:rsidRDefault="00AF2508">
            <w:pPr>
              <w:pStyle w:val="TableText"/>
            </w:pPr>
            <w:r>
              <w:t>444</w:t>
            </w:r>
          </w:p>
        </w:tc>
        <w:tc>
          <w:tcPr>
            <w:tcW w:w="3273" w:type="dxa"/>
          </w:tcPr>
          <w:p w:rsidR="00AF2508" w:rsidRDefault="00AF2508">
            <w:pPr>
              <w:pStyle w:val="TableText"/>
            </w:pPr>
            <w:r>
              <w:t>Strength and ‘Z’ of members subject to bending</w:t>
            </w:r>
          </w:p>
        </w:tc>
        <w:tc>
          <w:tcPr>
            <w:tcW w:w="660" w:type="dxa"/>
          </w:tcPr>
          <w:p w:rsidR="00AF2508" w:rsidRDefault="00AF2508">
            <w:pPr>
              <w:pStyle w:val="TableText"/>
            </w:pPr>
            <w:r>
              <w:t>524</w:t>
            </w:r>
          </w:p>
        </w:tc>
        <w:tc>
          <w:tcPr>
            <w:tcW w:w="3000" w:type="dxa"/>
          </w:tcPr>
          <w:p w:rsidR="00AF2508" w:rsidRDefault="00AF2508">
            <w:pPr>
              <w:pStyle w:val="TableText"/>
            </w:pPr>
            <w:r>
              <w:t>Track wheels, diameters</w:t>
            </w:r>
          </w:p>
        </w:tc>
      </w:tr>
      <w:tr w:rsidR="00AF2508">
        <w:trPr>
          <w:cantSplit/>
        </w:trPr>
        <w:tc>
          <w:tcPr>
            <w:tcW w:w="660" w:type="dxa"/>
          </w:tcPr>
          <w:p w:rsidR="00AF2508" w:rsidRDefault="00AF2508">
            <w:pPr>
              <w:pStyle w:val="TableText"/>
            </w:pPr>
            <w:r>
              <w:t>445</w:t>
            </w:r>
          </w:p>
        </w:tc>
        <w:tc>
          <w:tcPr>
            <w:tcW w:w="3273" w:type="dxa"/>
          </w:tcPr>
          <w:p w:rsidR="00AF2508" w:rsidRDefault="00AF2508">
            <w:pPr>
              <w:pStyle w:val="TableText"/>
            </w:pPr>
            <w:r>
              <w:t>Strength and ‘Z’ of plate girders</w:t>
            </w:r>
          </w:p>
        </w:tc>
        <w:tc>
          <w:tcPr>
            <w:tcW w:w="660" w:type="dxa"/>
          </w:tcPr>
          <w:p w:rsidR="00AF2508" w:rsidRDefault="00AF2508">
            <w:pPr>
              <w:pStyle w:val="TableText"/>
            </w:pPr>
            <w:r>
              <w:t>525</w:t>
            </w:r>
          </w:p>
        </w:tc>
        <w:tc>
          <w:tcPr>
            <w:tcW w:w="3000" w:type="dxa"/>
          </w:tcPr>
          <w:p w:rsidR="00AF2508" w:rsidRDefault="00AF2508">
            <w:pPr>
              <w:pStyle w:val="TableText"/>
            </w:pPr>
            <w:r>
              <w:t>Track wheels, tread width</w:t>
            </w:r>
          </w:p>
        </w:tc>
      </w:tr>
      <w:tr w:rsidR="00AF2508">
        <w:trPr>
          <w:cantSplit/>
        </w:trPr>
        <w:tc>
          <w:tcPr>
            <w:tcW w:w="660" w:type="dxa"/>
          </w:tcPr>
          <w:p w:rsidR="00AF2508" w:rsidRDefault="00AF2508">
            <w:pPr>
              <w:pStyle w:val="TableText"/>
            </w:pPr>
            <w:r>
              <w:t>446</w:t>
            </w:r>
          </w:p>
        </w:tc>
        <w:tc>
          <w:tcPr>
            <w:tcW w:w="3273" w:type="dxa"/>
          </w:tcPr>
          <w:p w:rsidR="00AF2508" w:rsidRDefault="00AF2508">
            <w:pPr>
              <w:pStyle w:val="TableText"/>
            </w:pPr>
            <w:r>
              <w:t>Plate girder flange rivets</w:t>
            </w:r>
          </w:p>
        </w:tc>
        <w:tc>
          <w:tcPr>
            <w:tcW w:w="660" w:type="dxa"/>
          </w:tcPr>
          <w:p w:rsidR="00AF2508" w:rsidRDefault="00AF2508">
            <w:pPr>
              <w:pStyle w:val="TableText"/>
            </w:pPr>
            <w:r>
              <w:t>540</w:t>
            </w:r>
          </w:p>
        </w:tc>
        <w:tc>
          <w:tcPr>
            <w:tcW w:w="3000" w:type="dxa"/>
          </w:tcPr>
          <w:p w:rsidR="00AF2508" w:rsidRDefault="00AF2508">
            <w:pPr>
              <w:pStyle w:val="TableText"/>
            </w:pPr>
            <w:r>
              <w:t>Holding brakes on manual hoists</w:t>
            </w:r>
          </w:p>
        </w:tc>
      </w:tr>
      <w:tr w:rsidR="00AF2508">
        <w:trPr>
          <w:cantSplit/>
        </w:trPr>
        <w:tc>
          <w:tcPr>
            <w:tcW w:w="660" w:type="dxa"/>
          </w:tcPr>
          <w:p w:rsidR="00AF2508" w:rsidRDefault="00AF2508">
            <w:pPr>
              <w:pStyle w:val="TableText"/>
            </w:pPr>
            <w:r>
              <w:t>447</w:t>
            </w:r>
          </w:p>
        </w:tc>
        <w:tc>
          <w:tcPr>
            <w:tcW w:w="3273" w:type="dxa"/>
          </w:tcPr>
          <w:p w:rsidR="00AF2508" w:rsidRDefault="00AF2508">
            <w:pPr>
              <w:pStyle w:val="TableText"/>
            </w:pPr>
            <w:r>
              <w:t>Distribution of wheel loads on plate girders</w:t>
            </w:r>
          </w:p>
        </w:tc>
        <w:tc>
          <w:tcPr>
            <w:tcW w:w="660" w:type="dxa"/>
          </w:tcPr>
          <w:p w:rsidR="00AF2508" w:rsidRDefault="00AF2508">
            <w:pPr>
              <w:pStyle w:val="TableText"/>
            </w:pPr>
            <w:r>
              <w:t>542</w:t>
            </w:r>
          </w:p>
        </w:tc>
        <w:tc>
          <w:tcPr>
            <w:tcW w:w="3000" w:type="dxa"/>
          </w:tcPr>
          <w:p w:rsidR="00AF2508" w:rsidRDefault="00AF2508">
            <w:pPr>
              <w:pStyle w:val="TableText"/>
            </w:pPr>
            <w:r>
              <w:t>Pressure gauges, visible to driver</w:t>
            </w:r>
          </w:p>
        </w:tc>
      </w:tr>
      <w:tr w:rsidR="00AF2508">
        <w:trPr>
          <w:cantSplit/>
        </w:trPr>
        <w:tc>
          <w:tcPr>
            <w:tcW w:w="660" w:type="dxa"/>
          </w:tcPr>
          <w:p w:rsidR="00AF2508" w:rsidRDefault="00AF2508">
            <w:pPr>
              <w:pStyle w:val="TableText"/>
            </w:pPr>
            <w:r>
              <w:t>448</w:t>
            </w:r>
          </w:p>
        </w:tc>
        <w:tc>
          <w:tcPr>
            <w:tcW w:w="3273" w:type="dxa"/>
          </w:tcPr>
          <w:p w:rsidR="00AF2508" w:rsidRDefault="00AF2508">
            <w:pPr>
              <w:pStyle w:val="TableText"/>
            </w:pPr>
            <w:r>
              <w:t>Plate girder flange section</w:t>
            </w:r>
          </w:p>
        </w:tc>
        <w:tc>
          <w:tcPr>
            <w:tcW w:w="660" w:type="dxa"/>
          </w:tcPr>
          <w:p w:rsidR="00AF2508" w:rsidRDefault="00AF2508">
            <w:pPr>
              <w:pStyle w:val="TableText"/>
            </w:pPr>
            <w:r>
              <w:t>543</w:t>
            </w:r>
          </w:p>
        </w:tc>
        <w:tc>
          <w:tcPr>
            <w:tcW w:w="3000" w:type="dxa"/>
          </w:tcPr>
          <w:p w:rsidR="00AF2508" w:rsidRDefault="00AF2508">
            <w:pPr>
              <w:pStyle w:val="TableText"/>
            </w:pPr>
            <w:r>
              <w:t>Engine exhausts</w:t>
            </w:r>
          </w:p>
        </w:tc>
      </w:tr>
      <w:tr w:rsidR="00AF2508">
        <w:trPr>
          <w:cantSplit/>
        </w:trPr>
        <w:tc>
          <w:tcPr>
            <w:tcW w:w="660" w:type="dxa"/>
          </w:tcPr>
          <w:p w:rsidR="00AF2508" w:rsidRDefault="00AF2508">
            <w:pPr>
              <w:pStyle w:val="TableText"/>
            </w:pPr>
            <w:r>
              <w:t>449</w:t>
            </w:r>
          </w:p>
        </w:tc>
        <w:tc>
          <w:tcPr>
            <w:tcW w:w="3273" w:type="dxa"/>
          </w:tcPr>
          <w:p w:rsidR="00AF2508" w:rsidRDefault="00AF2508">
            <w:pPr>
              <w:pStyle w:val="TableText"/>
            </w:pPr>
            <w:r>
              <w:t>Plate girder and stiffeners</w:t>
            </w:r>
          </w:p>
        </w:tc>
        <w:tc>
          <w:tcPr>
            <w:tcW w:w="660" w:type="dxa"/>
          </w:tcPr>
          <w:p w:rsidR="00AF2508" w:rsidRDefault="00AF2508">
            <w:pPr>
              <w:pStyle w:val="TableText"/>
            </w:pPr>
            <w:r>
              <w:t>544</w:t>
            </w:r>
          </w:p>
        </w:tc>
        <w:tc>
          <w:tcPr>
            <w:tcW w:w="3000" w:type="dxa"/>
          </w:tcPr>
          <w:p w:rsidR="00AF2508" w:rsidRDefault="00AF2508">
            <w:pPr>
              <w:pStyle w:val="TableText"/>
            </w:pPr>
            <w:r>
              <w:t>Cylinder drain cocks, etc</w:t>
            </w:r>
          </w:p>
        </w:tc>
      </w:tr>
      <w:tr w:rsidR="00AF2508">
        <w:trPr>
          <w:cantSplit/>
        </w:trPr>
        <w:tc>
          <w:tcPr>
            <w:tcW w:w="660" w:type="dxa"/>
          </w:tcPr>
          <w:p w:rsidR="00AF2508" w:rsidRDefault="00AF2508">
            <w:pPr>
              <w:pStyle w:val="TableText"/>
            </w:pPr>
            <w:r>
              <w:t>451</w:t>
            </w:r>
          </w:p>
        </w:tc>
        <w:tc>
          <w:tcPr>
            <w:tcW w:w="3273" w:type="dxa"/>
          </w:tcPr>
          <w:p w:rsidR="00AF2508" w:rsidRDefault="00AF2508">
            <w:pPr>
              <w:pStyle w:val="TableText"/>
            </w:pPr>
            <w:r>
              <w:t>Plate girder stiffeners at loads</w:t>
            </w:r>
          </w:p>
        </w:tc>
        <w:tc>
          <w:tcPr>
            <w:tcW w:w="660" w:type="dxa"/>
          </w:tcPr>
          <w:p w:rsidR="00AF2508" w:rsidRDefault="00AF2508">
            <w:pPr>
              <w:pStyle w:val="TableText"/>
            </w:pPr>
            <w:r>
              <w:t>548</w:t>
            </w:r>
          </w:p>
        </w:tc>
        <w:tc>
          <w:tcPr>
            <w:tcW w:w="3000" w:type="dxa"/>
          </w:tcPr>
          <w:p w:rsidR="00AF2508" w:rsidRDefault="00AF2508">
            <w:pPr>
              <w:pStyle w:val="TableText"/>
            </w:pPr>
            <w:r>
              <w:t>Controls handy and easy</w:t>
            </w:r>
          </w:p>
        </w:tc>
      </w:tr>
      <w:tr w:rsidR="00AF2508">
        <w:trPr>
          <w:cantSplit/>
        </w:trPr>
        <w:tc>
          <w:tcPr>
            <w:tcW w:w="660" w:type="dxa"/>
          </w:tcPr>
          <w:p w:rsidR="00AF2508" w:rsidRDefault="00AF2508">
            <w:pPr>
              <w:pStyle w:val="TableText"/>
            </w:pPr>
            <w:r>
              <w:t>452</w:t>
            </w:r>
          </w:p>
        </w:tc>
        <w:tc>
          <w:tcPr>
            <w:tcW w:w="3273" w:type="dxa"/>
          </w:tcPr>
          <w:p w:rsidR="00AF2508" w:rsidRDefault="00AF2508">
            <w:pPr>
              <w:pStyle w:val="TableText"/>
            </w:pPr>
            <w:r>
              <w:t>Plate girder stiffeners on both sides of web</w:t>
            </w:r>
          </w:p>
        </w:tc>
        <w:tc>
          <w:tcPr>
            <w:tcW w:w="660" w:type="dxa"/>
          </w:tcPr>
          <w:p w:rsidR="00AF2508" w:rsidRDefault="00AF2508">
            <w:pPr>
              <w:pStyle w:val="TableText"/>
            </w:pPr>
            <w:r>
              <w:t>811</w:t>
            </w:r>
          </w:p>
        </w:tc>
        <w:tc>
          <w:tcPr>
            <w:tcW w:w="3000" w:type="dxa"/>
          </w:tcPr>
          <w:p w:rsidR="00AF2508" w:rsidRDefault="00AF2508">
            <w:pPr>
              <w:pStyle w:val="TableText"/>
            </w:pPr>
            <w:r>
              <w:t>Drilling</w:t>
            </w:r>
          </w:p>
        </w:tc>
      </w:tr>
      <w:tr w:rsidR="00AF2508">
        <w:trPr>
          <w:cantSplit/>
        </w:trPr>
        <w:tc>
          <w:tcPr>
            <w:tcW w:w="660" w:type="dxa"/>
          </w:tcPr>
          <w:p w:rsidR="00AF2508" w:rsidRDefault="00AF2508">
            <w:pPr>
              <w:pStyle w:val="TableText"/>
            </w:pPr>
            <w:r>
              <w:t>453</w:t>
            </w:r>
          </w:p>
        </w:tc>
        <w:tc>
          <w:tcPr>
            <w:tcW w:w="3273" w:type="dxa"/>
          </w:tcPr>
          <w:p w:rsidR="00AF2508" w:rsidRDefault="00AF2508">
            <w:pPr>
              <w:pStyle w:val="TableText"/>
            </w:pPr>
            <w:r>
              <w:t>Plate girder stiffener proportioning</w:t>
            </w:r>
          </w:p>
        </w:tc>
        <w:tc>
          <w:tcPr>
            <w:tcW w:w="660" w:type="dxa"/>
          </w:tcPr>
          <w:p w:rsidR="00AF2508" w:rsidRDefault="00AF2508">
            <w:pPr>
              <w:pStyle w:val="TableText"/>
            </w:pPr>
            <w:r>
              <w:t>812</w:t>
            </w:r>
          </w:p>
        </w:tc>
        <w:tc>
          <w:tcPr>
            <w:tcW w:w="3000" w:type="dxa"/>
          </w:tcPr>
          <w:p w:rsidR="00AF2508" w:rsidRDefault="00AF2508">
            <w:pPr>
              <w:pStyle w:val="TableText"/>
            </w:pPr>
            <w:r>
              <w:t>Punching</w:t>
            </w:r>
          </w:p>
        </w:tc>
      </w:tr>
      <w:tr w:rsidR="00AF2508">
        <w:trPr>
          <w:cantSplit/>
        </w:trPr>
        <w:tc>
          <w:tcPr>
            <w:tcW w:w="660" w:type="dxa"/>
          </w:tcPr>
          <w:p w:rsidR="00AF2508" w:rsidRDefault="00AF2508">
            <w:pPr>
              <w:pStyle w:val="TableText"/>
            </w:pPr>
            <w:r>
              <w:t>456</w:t>
            </w:r>
          </w:p>
        </w:tc>
        <w:tc>
          <w:tcPr>
            <w:tcW w:w="3273" w:type="dxa"/>
          </w:tcPr>
          <w:p w:rsidR="00AF2508" w:rsidRDefault="00AF2508">
            <w:pPr>
              <w:pStyle w:val="TableText"/>
            </w:pPr>
            <w:r>
              <w:t>Truss web tension members</w:t>
            </w:r>
          </w:p>
        </w:tc>
        <w:tc>
          <w:tcPr>
            <w:tcW w:w="660" w:type="dxa"/>
          </w:tcPr>
          <w:p w:rsidR="00AF2508" w:rsidRDefault="00AF2508">
            <w:pPr>
              <w:pStyle w:val="TableText"/>
            </w:pPr>
            <w:r>
              <w:t>813</w:t>
            </w:r>
          </w:p>
        </w:tc>
        <w:tc>
          <w:tcPr>
            <w:tcW w:w="3000" w:type="dxa"/>
          </w:tcPr>
          <w:p w:rsidR="00AF2508" w:rsidRDefault="00AF2508">
            <w:pPr>
              <w:pStyle w:val="TableText"/>
            </w:pPr>
            <w:r>
              <w:t>Reaming</w:t>
            </w:r>
          </w:p>
        </w:tc>
      </w:tr>
      <w:tr w:rsidR="00AF2508">
        <w:trPr>
          <w:cantSplit/>
        </w:trPr>
        <w:tc>
          <w:tcPr>
            <w:tcW w:w="660" w:type="dxa"/>
          </w:tcPr>
          <w:p w:rsidR="00AF2508" w:rsidRDefault="00AF2508">
            <w:pPr>
              <w:pStyle w:val="TableText"/>
            </w:pPr>
            <w:r>
              <w:t>458</w:t>
            </w:r>
          </w:p>
        </w:tc>
        <w:tc>
          <w:tcPr>
            <w:tcW w:w="3273" w:type="dxa"/>
          </w:tcPr>
          <w:p w:rsidR="00AF2508" w:rsidRDefault="00AF2508">
            <w:pPr>
              <w:pStyle w:val="TableText"/>
            </w:pPr>
            <w:r>
              <w:t>Camber of girders and trusses</w:t>
            </w:r>
          </w:p>
        </w:tc>
        <w:tc>
          <w:tcPr>
            <w:tcW w:w="660" w:type="dxa"/>
          </w:tcPr>
          <w:p w:rsidR="00AF2508" w:rsidRDefault="00AF2508">
            <w:pPr>
              <w:pStyle w:val="TableText"/>
            </w:pPr>
            <w:r>
              <w:t>814</w:t>
            </w:r>
          </w:p>
        </w:tc>
        <w:tc>
          <w:tcPr>
            <w:tcW w:w="3000" w:type="dxa"/>
          </w:tcPr>
          <w:p w:rsidR="00AF2508" w:rsidRDefault="00AF2508">
            <w:pPr>
              <w:pStyle w:val="TableText"/>
            </w:pPr>
            <w:r>
              <w:t>Countersunk rivets</w:t>
            </w:r>
          </w:p>
        </w:tc>
      </w:tr>
      <w:tr w:rsidR="00AF2508">
        <w:trPr>
          <w:cantSplit/>
        </w:trPr>
        <w:tc>
          <w:tcPr>
            <w:tcW w:w="660" w:type="dxa"/>
          </w:tcPr>
          <w:p w:rsidR="00AF2508" w:rsidRDefault="00AF2508">
            <w:pPr>
              <w:pStyle w:val="TableText"/>
            </w:pPr>
            <w:r>
              <w:t>461</w:t>
            </w:r>
          </w:p>
        </w:tc>
        <w:tc>
          <w:tcPr>
            <w:tcW w:w="3273" w:type="dxa"/>
          </w:tcPr>
          <w:p w:rsidR="00AF2508" w:rsidRDefault="00AF2508">
            <w:pPr>
              <w:pStyle w:val="TableText"/>
            </w:pPr>
            <w:r>
              <w:t>Joint splice plate, symmetry of</w:t>
            </w:r>
          </w:p>
        </w:tc>
        <w:tc>
          <w:tcPr>
            <w:tcW w:w="660" w:type="dxa"/>
          </w:tcPr>
          <w:p w:rsidR="00AF2508" w:rsidRDefault="00AF2508">
            <w:pPr>
              <w:pStyle w:val="TableText"/>
            </w:pPr>
            <w:r>
              <w:t>815</w:t>
            </w:r>
          </w:p>
        </w:tc>
        <w:tc>
          <w:tcPr>
            <w:tcW w:w="3000" w:type="dxa"/>
          </w:tcPr>
          <w:p w:rsidR="00AF2508" w:rsidRDefault="00AF2508">
            <w:pPr>
              <w:pStyle w:val="TableText"/>
            </w:pPr>
            <w:r>
              <w:t>Riveting method</w:t>
            </w:r>
          </w:p>
        </w:tc>
      </w:tr>
      <w:tr w:rsidR="00AF2508">
        <w:trPr>
          <w:cantSplit/>
        </w:trPr>
        <w:tc>
          <w:tcPr>
            <w:tcW w:w="660" w:type="dxa"/>
          </w:tcPr>
          <w:p w:rsidR="00AF2508" w:rsidRDefault="00AF2508">
            <w:pPr>
              <w:pStyle w:val="TableText"/>
            </w:pPr>
            <w:r>
              <w:t>462</w:t>
            </w:r>
          </w:p>
        </w:tc>
        <w:tc>
          <w:tcPr>
            <w:tcW w:w="3273" w:type="dxa"/>
          </w:tcPr>
          <w:p w:rsidR="00AF2508" w:rsidRDefault="00AF2508">
            <w:pPr>
              <w:pStyle w:val="TableText"/>
            </w:pPr>
            <w:r>
              <w:t>Joint splice plate, section of</w:t>
            </w:r>
          </w:p>
        </w:tc>
        <w:tc>
          <w:tcPr>
            <w:tcW w:w="660" w:type="dxa"/>
          </w:tcPr>
          <w:p w:rsidR="00AF2508" w:rsidRDefault="00AF2508">
            <w:pPr>
              <w:pStyle w:val="TableText"/>
            </w:pPr>
            <w:r>
              <w:t>817</w:t>
            </w:r>
          </w:p>
        </w:tc>
        <w:tc>
          <w:tcPr>
            <w:tcW w:w="3000" w:type="dxa"/>
          </w:tcPr>
          <w:p w:rsidR="00AF2508" w:rsidRDefault="00AF2508">
            <w:pPr>
              <w:pStyle w:val="TableText"/>
            </w:pPr>
            <w:r>
              <w:t>Clearances for bolts</w:t>
            </w:r>
          </w:p>
        </w:tc>
      </w:tr>
      <w:tr w:rsidR="00AF2508">
        <w:trPr>
          <w:cantSplit/>
        </w:trPr>
        <w:tc>
          <w:tcPr>
            <w:tcW w:w="660" w:type="dxa"/>
          </w:tcPr>
          <w:p w:rsidR="00AF2508" w:rsidRDefault="00AF2508">
            <w:pPr>
              <w:pStyle w:val="TableText"/>
            </w:pPr>
            <w:r>
              <w:t>463</w:t>
            </w:r>
          </w:p>
        </w:tc>
        <w:tc>
          <w:tcPr>
            <w:tcW w:w="3273" w:type="dxa"/>
          </w:tcPr>
          <w:p w:rsidR="00AF2508" w:rsidRDefault="00AF2508">
            <w:pPr>
              <w:pStyle w:val="TableText"/>
            </w:pPr>
            <w:r>
              <w:t>Web joints</w:t>
            </w:r>
          </w:p>
        </w:tc>
        <w:tc>
          <w:tcPr>
            <w:tcW w:w="660" w:type="dxa"/>
          </w:tcPr>
          <w:p w:rsidR="00AF2508" w:rsidRDefault="00AF2508">
            <w:pPr>
              <w:pStyle w:val="TableText"/>
            </w:pPr>
            <w:r>
              <w:t>818</w:t>
            </w:r>
          </w:p>
        </w:tc>
        <w:tc>
          <w:tcPr>
            <w:tcW w:w="3000" w:type="dxa"/>
          </w:tcPr>
          <w:p w:rsidR="00AF2508" w:rsidRDefault="00AF2508">
            <w:pPr>
              <w:pStyle w:val="TableText"/>
            </w:pPr>
            <w:r>
              <w:t>Washers</w:t>
            </w:r>
          </w:p>
        </w:tc>
      </w:tr>
      <w:tr w:rsidR="00AF2508">
        <w:trPr>
          <w:cantSplit/>
        </w:trPr>
        <w:tc>
          <w:tcPr>
            <w:tcW w:w="660" w:type="dxa"/>
          </w:tcPr>
          <w:p w:rsidR="00AF2508" w:rsidRDefault="00AF2508">
            <w:pPr>
              <w:pStyle w:val="TableText"/>
            </w:pPr>
            <w:r>
              <w:t>464</w:t>
            </w:r>
          </w:p>
        </w:tc>
        <w:tc>
          <w:tcPr>
            <w:tcW w:w="3273" w:type="dxa"/>
          </w:tcPr>
          <w:p w:rsidR="00AF2508" w:rsidRDefault="00AF2508">
            <w:pPr>
              <w:pStyle w:val="TableText"/>
            </w:pPr>
            <w:r>
              <w:t>Rivet shearing area</w:t>
            </w:r>
          </w:p>
        </w:tc>
        <w:tc>
          <w:tcPr>
            <w:tcW w:w="660" w:type="dxa"/>
          </w:tcPr>
          <w:p w:rsidR="00AF2508" w:rsidRDefault="00AF2508">
            <w:pPr>
              <w:pStyle w:val="TableText"/>
            </w:pPr>
            <w:r>
              <w:t>820</w:t>
            </w:r>
          </w:p>
        </w:tc>
        <w:tc>
          <w:tcPr>
            <w:tcW w:w="3000" w:type="dxa"/>
          </w:tcPr>
          <w:p w:rsidR="00AF2508" w:rsidRDefault="00AF2508">
            <w:pPr>
              <w:pStyle w:val="TableText"/>
            </w:pPr>
            <w:r>
              <w:t>Shop painting</w:t>
            </w:r>
          </w:p>
        </w:tc>
      </w:tr>
      <w:tr w:rsidR="00AF2508">
        <w:trPr>
          <w:cantSplit/>
        </w:trPr>
        <w:tc>
          <w:tcPr>
            <w:tcW w:w="660" w:type="dxa"/>
          </w:tcPr>
          <w:p w:rsidR="00AF2508" w:rsidRDefault="00AF2508">
            <w:pPr>
              <w:pStyle w:val="TableText"/>
            </w:pPr>
            <w:r>
              <w:t>466</w:t>
            </w:r>
          </w:p>
        </w:tc>
        <w:tc>
          <w:tcPr>
            <w:tcW w:w="3273" w:type="dxa"/>
          </w:tcPr>
          <w:p w:rsidR="00AF2508" w:rsidRDefault="00AF2508">
            <w:pPr>
              <w:pStyle w:val="TableText"/>
            </w:pPr>
            <w:r>
              <w:t>Rivet minimum pitch</w:t>
            </w:r>
          </w:p>
        </w:tc>
        <w:tc>
          <w:tcPr>
            <w:tcW w:w="660" w:type="dxa"/>
          </w:tcPr>
          <w:p w:rsidR="00AF2508" w:rsidRDefault="00AF2508">
            <w:pPr>
              <w:pStyle w:val="TableText"/>
            </w:pPr>
            <w:r>
              <w:t>821</w:t>
            </w:r>
          </w:p>
        </w:tc>
        <w:tc>
          <w:tcPr>
            <w:tcW w:w="3000" w:type="dxa"/>
          </w:tcPr>
          <w:p w:rsidR="00AF2508" w:rsidRDefault="00AF2508">
            <w:pPr>
              <w:pStyle w:val="TableText"/>
            </w:pPr>
            <w:r>
              <w:t>Painting of inaccessible parts</w:t>
            </w:r>
          </w:p>
        </w:tc>
      </w:tr>
      <w:tr w:rsidR="00AF2508">
        <w:trPr>
          <w:cantSplit/>
        </w:trPr>
        <w:tc>
          <w:tcPr>
            <w:tcW w:w="660" w:type="dxa"/>
          </w:tcPr>
          <w:p w:rsidR="00AF2508" w:rsidRDefault="00AF2508">
            <w:pPr>
              <w:pStyle w:val="TableText"/>
            </w:pPr>
            <w:r>
              <w:t>467</w:t>
            </w:r>
          </w:p>
        </w:tc>
        <w:tc>
          <w:tcPr>
            <w:tcW w:w="3273" w:type="dxa"/>
          </w:tcPr>
          <w:p w:rsidR="00AF2508" w:rsidRDefault="00AF2508">
            <w:pPr>
              <w:pStyle w:val="TableText"/>
            </w:pPr>
            <w:r>
              <w:t>Rivet maximum pitch</w:t>
            </w:r>
          </w:p>
        </w:tc>
        <w:tc>
          <w:tcPr>
            <w:tcW w:w="660" w:type="dxa"/>
          </w:tcPr>
          <w:p w:rsidR="00AF2508" w:rsidRDefault="00AF2508">
            <w:pPr>
              <w:pStyle w:val="TableText"/>
            </w:pPr>
            <w:r>
              <w:t>822</w:t>
            </w:r>
          </w:p>
        </w:tc>
        <w:tc>
          <w:tcPr>
            <w:tcW w:w="3000" w:type="dxa"/>
          </w:tcPr>
          <w:p w:rsidR="00AF2508" w:rsidRDefault="00AF2508">
            <w:pPr>
              <w:pStyle w:val="TableText"/>
            </w:pPr>
            <w:r>
              <w:t>Field painting</w:t>
            </w:r>
          </w:p>
        </w:tc>
      </w:tr>
      <w:tr w:rsidR="00AF2508">
        <w:trPr>
          <w:cantSplit/>
        </w:trPr>
        <w:tc>
          <w:tcPr>
            <w:tcW w:w="660" w:type="dxa"/>
          </w:tcPr>
          <w:p w:rsidR="00AF2508" w:rsidRDefault="00AF2508">
            <w:pPr>
              <w:pStyle w:val="TableText"/>
            </w:pPr>
            <w:r>
              <w:t>468</w:t>
            </w:r>
          </w:p>
        </w:tc>
        <w:tc>
          <w:tcPr>
            <w:tcW w:w="3273" w:type="dxa"/>
          </w:tcPr>
          <w:p w:rsidR="00AF2508" w:rsidRDefault="00AF2508">
            <w:pPr>
              <w:pStyle w:val="TableText"/>
            </w:pPr>
            <w:r>
              <w:t>Rivet edge distance</w:t>
            </w:r>
          </w:p>
        </w:tc>
        <w:tc>
          <w:tcPr>
            <w:tcW w:w="660" w:type="dxa"/>
          </w:tcPr>
          <w:p w:rsidR="00AF2508" w:rsidRDefault="00AF2508">
            <w:pPr>
              <w:pStyle w:val="TableText"/>
            </w:pPr>
            <w:r>
              <w:t>823</w:t>
            </w:r>
          </w:p>
        </w:tc>
        <w:tc>
          <w:tcPr>
            <w:tcW w:w="3000" w:type="dxa"/>
          </w:tcPr>
          <w:p w:rsidR="00AF2508" w:rsidRDefault="00AF2508">
            <w:pPr>
              <w:pStyle w:val="TableText"/>
            </w:pPr>
            <w:r>
              <w:t>Painting, general</w:t>
            </w:r>
          </w:p>
        </w:tc>
      </w:tr>
      <w:tr w:rsidR="00AF2508">
        <w:trPr>
          <w:cantSplit/>
        </w:trPr>
        <w:tc>
          <w:tcPr>
            <w:tcW w:w="660" w:type="dxa"/>
          </w:tcPr>
          <w:p w:rsidR="00AF2508" w:rsidRDefault="00AF2508">
            <w:pPr>
              <w:pStyle w:val="TableText"/>
            </w:pPr>
            <w:r>
              <w:t>469</w:t>
            </w:r>
          </w:p>
        </w:tc>
        <w:tc>
          <w:tcPr>
            <w:tcW w:w="3273" w:type="dxa"/>
          </w:tcPr>
          <w:p w:rsidR="00AF2508" w:rsidRDefault="00AF2508">
            <w:pPr>
              <w:pStyle w:val="TableText"/>
            </w:pPr>
            <w:r>
              <w:t>Rivets through packings</w:t>
            </w:r>
          </w:p>
        </w:tc>
        <w:tc>
          <w:tcPr>
            <w:tcW w:w="660" w:type="dxa"/>
          </w:tcPr>
          <w:p w:rsidR="00AF2508" w:rsidRDefault="00AF2508">
            <w:pPr>
              <w:pStyle w:val="TableText"/>
            </w:pPr>
            <w:r>
              <w:t>824</w:t>
            </w:r>
          </w:p>
        </w:tc>
        <w:tc>
          <w:tcPr>
            <w:tcW w:w="3000" w:type="dxa"/>
          </w:tcPr>
          <w:p w:rsidR="00AF2508" w:rsidRDefault="00AF2508">
            <w:pPr>
              <w:pStyle w:val="TableText"/>
            </w:pPr>
            <w:r>
              <w:t>Bright or machined surfaces</w:t>
            </w:r>
          </w:p>
        </w:tc>
      </w:tr>
      <w:tr w:rsidR="00AF2508">
        <w:trPr>
          <w:cantSplit/>
        </w:trPr>
        <w:tc>
          <w:tcPr>
            <w:tcW w:w="660" w:type="dxa"/>
          </w:tcPr>
          <w:p w:rsidR="00AF2508" w:rsidRDefault="00AF2508">
            <w:pPr>
              <w:pStyle w:val="TableText"/>
            </w:pPr>
            <w:r>
              <w:t>470</w:t>
            </w:r>
          </w:p>
        </w:tc>
        <w:tc>
          <w:tcPr>
            <w:tcW w:w="3273" w:type="dxa"/>
          </w:tcPr>
          <w:p w:rsidR="00AF2508" w:rsidRDefault="00AF2508">
            <w:pPr>
              <w:pStyle w:val="TableText"/>
            </w:pPr>
            <w:r>
              <w:t>Rivets in tension</w:t>
            </w:r>
          </w:p>
        </w:tc>
        <w:tc>
          <w:tcPr>
            <w:tcW w:w="660" w:type="dxa"/>
          </w:tcPr>
          <w:p w:rsidR="00AF2508" w:rsidRDefault="00AF2508">
            <w:pPr>
              <w:pStyle w:val="TableText"/>
            </w:pPr>
            <w:r>
              <w:t>825</w:t>
            </w:r>
          </w:p>
        </w:tc>
        <w:tc>
          <w:tcPr>
            <w:tcW w:w="3000" w:type="dxa"/>
          </w:tcPr>
          <w:p w:rsidR="00AF2508" w:rsidRDefault="00AF2508">
            <w:pPr>
              <w:pStyle w:val="TableText"/>
            </w:pPr>
            <w:r>
              <w:t>Surfaces to be concrete protected</w:t>
            </w:r>
          </w:p>
        </w:tc>
      </w:tr>
      <w:tr w:rsidR="00AF2508">
        <w:trPr>
          <w:cantSplit/>
        </w:trPr>
        <w:tc>
          <w:tcPr>
            <w:tcW w:w="660" w:type="dxa"/>
          </w:tcPr>
          <w:p w:rsidR="00AF2508" w:rsidRDefault="00AF2508">
            <w:pPr>
              <w:pStyle w:val="TableText"/>
            </w:pPr>
            <w:r>
              <w:t>471</w:t>
            </w:r>
          </w:p>
        </w:tc>
        <w:tc>
          <w:tcPr>
            <w:tcW w:w="3273" w:type="dxa"/>
          </w:tcPr>
          <w:p w:rsidR="00AF2508" w:rsidRDefault="00AF2508">
            <w:pPr>
              <w:pStyle w:val="TableText"/>
            </w:pPr>
            <w:r>
              <w:t>Rivet gauge lines</w:t>
            </w:r>
          </w:p>
        </w:tc>
        <w:tc>
          <w:tcPr>
            <w:tcW w:w="660" w:type="dxa"/>
          </w:tcPr>
          <w:p w:rsidR="00AF2508" w:rsidRDefault="00AF2508">
            <w:pPr>
              <w:pStyle w:val="TableText"/>
            </w:pPr>
            <w:r>
              <w:t>1006</w:t>
            </w:r>
          </w:p>
        </w:tc>
        <w:tc>
          <w:tcPr>
            <w:tcW w:w="3000" w:type="dxa"/>
          </w:tcPr>
          <w:p w:rsidR="00AF2508" w:rsidRDefault="00AF2508">
            <w:pPr>
              <w:pStyle w:val="TableText"/>
            </w:pPr>
            <w:r>
              <w:t>No passengers on cranes</w:t>
            </w:r>
          </w:p>
        </w:tc>
      </w:tr>
      <w:tr w:rsidR="00AF2508">
        <w:trPr>
          <w:cantSplit/>
        </w:trPr>
        <w:tc>
          <w:tcPr>
            <w:tcW w:w="660" w:type="dxa"/>
          </w:tcPr>
          <w:p w:rsidR="00AF2508" w:rsidRDefault="00AF2508">
            <w:pPr>
              <w:pStyle w:val="TableText"/>
            </w:pPr>
            <w:r>
              <w:t>472</w:t>
            </w:r>
          </w:p>
        </w:tc>
        <w:tc>
          <w:tcPr>
            <w:tcW w:w="3273" w:type="dxa"/>
          </w:tcPr>
          <w:p w:rsidR="00AF2508" w:rsidRDefault="00AF2508">
            <w:pPr>
              <w:pStyle w:val="TableText"/>
            </w:pPr>
            <w:r>
              <w:t>Rivet effective diameter</w:t>
            </w:r>
          </w:p>
        </w:tc>
        <w:tc>
          <w:tcPr>
            <w:tcW w:w="660" w:type="dxa"/>
          </w:tcPr>
          <w:p w:rsidR="00AF2508" w:rsidRDefault="00AF2508">
            <w:pPr>
              <w:pStyle w:val="TableText"/>
            </w:pPr>
            <w:r>
              <w:t>1007</w:t>
            </w:r>
          </w:p>
        </w:tc>
        <w:tc>
          <w:tcPr>
            <w:tcW w:w="3000" w:type="dxa"/>
          </w:tcPr>
          <w:p w:rsidR="00AF2508" w:rsidRDefault="00AF2508">
            <w:pPr>
              <w:pStyle w:val="TableText"/>
            </w:pPr>
            <w:r>
              <w:t>Cabin, location, size, etc</w:t>
            </w:r>
          </w:p>
        </w:tc>
      </w:tr>
      <w:tr w:rsidR="00AF2508">
        <w:trPr>
          <w:cantSplit/>
        </w:trPr>
        <w:tc>
          <w:tcPr>
            <w:tcW w:w="660" w:type="dxa"/>
          </w:tcPr>
          <w:p w:rsidR="00AF2508" w:rsidRDefault="00AF2508">
            <w:pPr>
              <w:pStyle w:val="TableText"/>
            </w:pPr>
            <w:r>
              <w:t>473</w:t>
            </w:r>
          </w:p>
        </w:tc>
        <w:tc>
          <w:tcPr>
            <w:tcW w:w="3273" w:type="dxa"/>
          </w:tcPr>
          <w:p w:rsidR="00AF2508" w:rsidRDefault="00AF2508">
            <w:pPr>
              <w:pStyle w:val="TableText"/>
            </w:pPr>
            <w:r>
              <w:t>Drainholes to prevent corrosion</w:t>
            </w:r>
          </w:p>
        </w:tc>
        <w:tc>
          <w:tcPr>
            <w:tcW w:w="660" w:type="dxa"/>
          </w:tcPr>
          <w:p w:rsidR="00AF2508" w:rsidRDefault="00AF2508">
            <w:pPr>
              <w:pStyle w:val="TableText"/>
            </w:pPr>
            <w:r>
              <w:t>1008</w:t>
            </w:r>
          </w:p>
        </w:tc>
        <w:tc>
          <w:tcPr>
            <w:tcW w:w="3000" w:type="dxa"/>
          </w:tcPr>
          <w:p w:rsidR="00AF2508" w:rsidRDefault="00AF2508">
            <w:pPr>
              <w:pStyle w:val="TableText"/>
            </w:pPr>
            <w:r>
              <w:t>Warning devices</w:t>
            </w:r>
          </w:p>
        </w:tc>
      </w:tr>
      <w:tr w:rsidR="00AF2508">
        <w:trPr>
          <w:cantSplit/>
        </w:trPr>
        <w:tc>
          <w:tcPr>
            <w:tcW w:w="660" w:type="dxa"/>
          </w:tcPr>
          <w:p w:rsidR="00AF2508" w:rsidRDefault="00AF2508">
            <w:pPr>
              <w:pStyle w:val="TableText"/>
            </w:pPr>
            <w:r>
              <w:t>474</w:t>
            </w:r>
          </w:p>
        </w:tc>
        <w:tc>
          <w:tcPr>
            <w:tcW w:w="3273" w:type="dxa"/>
          </w:tcPr>
          <w:p w:rsidR="00AF2508" w:rsidRDefault="00AF2508">
            <w:pPr>
              <w:pStyle w:val="TableText"/>
            </w:pPr>
            <w:r>
              <w:t>Brickwork bearing pressures</w:t>
            </w:r>
          </w:p>
        </w:tc>
        <w:tc>
          <w:tcPr>
            <w:tcW w:w="660" w:type="dxa"/>
          </w:tcPr>
          <w:p w:rsidR="00AF2508" w:rsidRDefault="00AF2508">
            <w:pPr>
              <w:pStyle w:val="TableText"/>
            </w:pPr>
            <w:r>
              <w:t>1009</w:t>
            </w:r>
          </w:p>
        </w:tc>
        <w:tc>
          <w:tcPr>
            <w:tcW w:w="3000" w:type="dxa"/>
          </w:tcPr>
          <w:p w:rsidR="00AF2508" w:rsidRDefault="00AF2508">
            <w:pPr>
              <w:pStyle w:val="TableText"/>
            </w:pPr>
            <w:r>
              <w:t>Cabin protection in hot places</w:t>
            </w:r>
          </w:p>
        </w:tc>
      </w:tr>
      <w:tr w:rsidR="00AF2508">
        <w:trPr>
          <w:cantSplit/>
        </w:trPr>
        <w:tc>
          <w:tcPr>
            <w:tcW w:w="660" w:type="dxa"/>
          </w:tcPr>
          <w:p w:rsidR="00AF2508" w:rsidRDefault="00AF2508">
            <w:pPr>
              <w:pStyle w:val="TableText"/>
            </w:pPr>
            <w:r>
              <w:t>475</w:t>
            </w:r>
          </w:p>
        </w:tc>
        <w:tc>
          <w:tcPr>
            <w:tcW w:w="3273" w:type="dxa"/>
          </w:tcPr>
          <w:p w:rsidR="00AF2508" w:rsidRDefault="00AF2508">
            <w:pPr>
              <w:pStyle w:val="TableText"/>
            </w:pPr>
            <w:r>
              <w:t>Concrete bearing pressures</w:t>
            </w:r>
          </w:p>
        </w:tc>
        <w:tc>
          <w:tcPr>
            <w:tcW w:w="660" w:type="dxa"/>
          </w:tcPr>
          <w:p w:rsidR="00AF2508" w:rsidRDefault="00AF2508">
            <w:pPr>
              <w:pStyle w:val="TableText"/>
            </w:pPr>
            <w:r>
              <w:t>1121</w:t>
            </w:r>
          </w:p>
        </w:tc>
        <w:tc>
          <w:tcPr>
            <w:tcW w:w="3000" w:type="dxa"/>
          </w:tcPr>
          <w:p w:rsidR="00AF2508" w:rsidRDefault="00AF2508">
            <w:pPr>
              <w:pStyle w:val="TableText"/>
            </w:pPr>
            <w:r>
              <w:t>Driver, duties on leaving cabin</w:t>
            </w:r>
          </w:p>
        </w:tc>
      </w:tr>
      <w:tr w:rsidR="00AF2508">
        <w:trPr>
          <w:cantSplit/>
        </w:trPr>
        <w:tc>
          <w:tcPr>
            <w:tcW w:w="660" w:type="dxa"/>
          </w:tcPr>
          <w:p w:rsidR="00AF2508" w:rsidRDefault="00AF2508">
            <w:pPr>
              <w:pStyle w:val="TableText"/>
            </w:pPr>
            <w:r>
              <w:t>476</w:t>
            </w:r>
          </w:p>
        </w:tc>
        <w:tc>
          <w:tcPr>
            <w:tcW w:w="3273" w:type="dxa"/>
          </w:tcPr>
          <w:p w:rsidR="00AF2508" w:rsidRDefault="00AF2508">
            <w:pPr>
              <w:pStyle w:val="TableText"/>
            </w:pPr>
            <w:r>
              <w:t>Pier tops</w:t>
            </w:r>
          </w:p>
        </w:tc>
        <w:tc>
          <w:tcPr>
            <w:tcW w:w="660" w:type="dxa"/>
          </w:tcPr>
          <w:p w:rsidR="00AF2508" w:rsidRDefault="00AF2508">
            <w:pPr>
              <w:pStyle w:val="TableText"/>
            </w:pPr>
            <w:r>
              <w:t>1122</w:t>
            </w:r>
          </w:p>
        </w:tc>
        <w:tc>
          <w:tcPr>
            <w:tcW w:w="3000" w:type="dxa"/>
          </w:tcPr>
          <w:p w:rsidR="00AF2508" w:rsidRDefault="00AF2508">
            <w:pPr>
              <w:pStyle w:val="TableText"/>
            </w:pPr>
            <w:r>
              <w:t>Driver must lock crane against wind</w:t>
            </w:r>
          </w:p>
        </w:tc>
      </w:tr>
      <w:tr w:rsidR="00AF2508">
        <w:trPr>
          <w:cantSplit/>
        </w:trPr>
        <w:tc>
          <w:tcPr>
            <w:tcW w:w="660" w:type="dxa"/>
          </w:tcPr>
          <w:p w:rsidR="00AF2508" w:rsidRDefault="00AF2508">
            <w:pPr>
              <w:pStyle w:val="TableText"/>
            </w:pPr>
            <w:r>
              <w:t>477</w:t>
            </w:r>
          </w:p>
        </w:tc>
        <w:tc>
          <w:tcPr>
            <w:tcW w:w="3273" w:type="dxa"/>
          </w:tcPr>
          <w:p w:rsidR="00AF2508" w:rsidRDefault="00AF2508">
            <w:pPr>
              <w:pStyle w:val="TableText"/>
            </w:pPr>
            <w:r>
              <w:t>Bearing pressures, eccentric</w:t>
            </w:r>
          </w:p>
        </w:tc>
        <w:tc>
          <w:tcPr>
            <w:tcW w:w="660" w:type="dxa"/>
          </w:tcPr>
          <w:p w:rsidR="00AF2508" w:rsidRDefault="00AF2508">
            <w:pPr>
              <w:pStyle w:val="TableText"/>
            </w:pPr>
            <w:r>
              <w:t>1301</w:t>
            </w:r>
          </w:p>
        </w:tc>
        <w:tc>
          <w:tcPr>
            <w:tcW w:w="3000" w:type="dxa"/>
          </w:tcPr>
          <w:p w:rsidR="00AF2508" w:rsidRDefault="00AF2508">
            <w:pPr>
              <w:pStyle w:val="TableText"/>
            </w:pPr>
            <w:r>
              <w:t>Repair authorisation</w:t>
            </w:r>
          </w:p>
        </w:tc>
      </w:tr>
      <w:tr w:rsidR="00AF2508">
        <w:trPr>
          <w:cantSplit/>
        </w:trPr>
        <w:tc>
          <w:tcPr>
            <w:tcW w:w="660" w:type="dxa"/>
          </w:tcPr>
          <w:p w:rsidR="00AF2508" w:rsidRDefault="00AF2508">
            <w:pPr>
              <w:pStyle w:val="TableText"/>
            </w:pPr>
            <w:r>
              <w:t>478</w:t>
            </w:r>
          </w:p>
        </w:tc>
        <w:tc>
          <w:tcPr>
            <w:tcW w:w="3273" w:type="dxa"/>
          </w:tcPr>
          <w:p w:rsidR="00AF2508" w:rsidRDefault="00AF2508">
            <w:pPr>
              <w:pStyle w:val="TableText"/>
            </w:pPr>
            <w:r>
              <w:t>Piles</w:t>
            </w:r>
          </w:p>
        </w:tc>
        <w:tc>
          <w:tcPr>
            <w:tcW w:w="660" w:type="dxa"/>
          </w:tcPr>
          <w:p w:rsidR="00AF2508" w:rsidRDefault="00AF2508">
            <w:pPr>
              <w:pStyle w:val="TableText"/>
            </w:pPr>
            <w:r>
              <w:t>1302</w:t>
            </w:r>
          </w:p>
        </w:tc>
        <w:tc>
          <w:tcPr>
            <w:tcW w:w="3000" w:type="dxa"/>
          </w:tcPr>
          <w:p w:rsidR="00AF2508" w:rsidRDefault="00AF2508">
            <w:pPr>
              <w:pStyle w:val="TableText"/>
            </w:pPr>
            <w:r>
              <w:t>Repair man, duties before repair</w:t>
            </w:r>
          </w:p>
        </w:tc>
      </w:tr>
      <w:tr w:rsidR="00AF2508">
        <w:trPr>
          <w:cantSplit/>
        </w:trPr>
        <w:tc>
          <w:tcPr>
            <w:tcW w:w="660" w:type="dxa"/>
          </w:tcPr>
          <w:p w:rsidR="00AF2508" w:rsidRDefault="00AF2508">
            <w:pPr>
              <w:pStyle w:val="TableText"/>
            </w:pPr>
            <w:r>
              <w:t>479</w:t>
            </w:r>
          </w:p>
        </w:tc>
        <w:tc>
          <w:tcPr>
            <w:tcW w:w="3273" w:type="dxa"/>
          </w:tcPr>
          <w:p w:rsidR="00AF2508" w:rsidRDefault="00AF2508">
            <w:pPr>
              <w:pStyle w:val="TableText"/>
            </w:pPr>
            <w:r>
              <w:t>Foundations (bearing pressures)</w:t>
            </w:r>
          </w:p>
        </w:tc>
        <w:tc>
          <w:tcPr>
            <w:tcW w:w="660" w:type="dxa"/>
          </w:tcPr>
          <w:p w:rsidR="00AF2508" w:rsidRDefault="00AF2508">
            <w:pPr>
              <w:pStyle w:val="TableText"/>
            </w:pPr>
            <w:r>
              <w:t>1303</w:t>
            </w:r>
          </w:p>
        </w:tc>
        <w:tc>
          <w:tcPr>
            <w:tcW w:w="3000" w:type="dxa"/>
          </w:tcPr>
          <w:p w:rsidR="00AF2508" w:rsidRDefault="00AF2508">
            <w:pPr>
              <w:pStyle w:val="TableText"/>
            </w:pPr>
            <w:r>
              <w:t>Repair man, to prevent parts falling</w:t>
            </w:r>
          </w:p>
        </w:tc>
      </w:tr>
      <w:tr w:rsidR="00AF2508">
        <w:trPr>
          <w:cantSplit/>
        </w:trPr>
        <w:tc>
          <w:tcPr>
            <w:tcW w:w="660" w:type="dxa"/>
            <w:tcBorders>
              <w:bottom w:val="single" w:sz="6" w:space="0" w:color="auto"/>
            </w:tcBorders>
          </w:tcPr>
          <w:p w:rsidR="00AF2508" w:rsidRDefault="00AF2508">
            <w:pPr>
              <w:pStyle w:val="TableText"/>
            </w:pPr>
            <w:r>
              <w:t>480</w:t>
            </w:r>
          </w:p>
        </w:tc>
        <w:tc>
          <w:tcPr>
            <w:tcW w:w="3273" w:type="dxa"/>
            <w:tcBorders>
              <w:bottom w:val="single" w:sz="6" w:space="0" w:color="auto"/>
            </w:tcBorders>
          </w:tcPr>
          <w:p w:rsidR="00AF2508" w:rsidRDefault="00AF2508">
            <w:pPr>
              <w:pStyle w:val="TableText"/>
            </w:pPr>
            <w:r>
              <w:t>Track rail sizes</w:t>
            </w:r>
          </w:p>
        </w:tc>
        <w:tc>
          <w:tcPr>
            <w:tcW w:w="660" w:type="dxa"/>
            <w:tcBorders>
              <w:bottom w:val="single" w:sz="6" w:space="0" w:color="auto"/>
            </w:tcBorders>
          </w:tcPr>
          <w:p w:rsidR="00AF2508" w:rsidRDefault="00AF2508">
            <w:pPr>
              <w:pStyle w:val="TableText"/>
            </w:pPr>
          </w:p>
        </w:tc>
        <w:tc>
          <w:tcPr>
            <w:tcW w:w="3000" w:type="dxa"/>
            <w:tcBorders>
              <w:bottom w:val="single" w:sz="6" w:space="0" w:color="auto"/>
            </w:tcBorders>
          </w:tcPr>
          <w:p w:rsidR="00AF2508" w:rsidRDefault="00AF2508">
            <w:pPr>
              <w:pStyle w:val="TableText"/>
            </w:pPr>
          </w:p>
        </w:tc>
      </w:tr>
    </w:tbl>
    <w:p w:rsidR="00AF2508" w:rsidRDefault="00AF2508">
      <w:pPr>
        <w:pStyle w:val="Amain"/>
        <w:ind w:left="798" w:hanging="399"/>
        <w:rPr>
          <w:color w:val="000000"/>
          <w:sz w:val="20"/>
        </w:rPr>
      </w:pPr>
      <w:r>
        <w:rPr>
          <w:color w:val="000000"/>
          <w:sz w:val="20"/>
        </w:rPr>
        <w:t>*</w:t>
      </w:r>
      <w:r>
        <w:rPr>
          <w:color w:val="000000"/>
          <w:sz w:val="20"/>
        </w:rPr>
        <w:tab/>
        <w:t>It shall not be necessary to conform with rule 430, par 2.</w:t>
      </w:r>
    </w:p>
    <w:p w:rsidR="00AF2508" w:rsidRDefault="00AF2508"/>
    <w:p w:rsidR="00AF2508" w:rsidRDefault="00AF2508">
      <w:pPr>
        <w:pStyle w:val="Amain"/>
        <w:tabs>
          <w:tab w:val="clear" w:pos="900"/>
          <w:tab w:val="left" w:pos="360"/>
        </w:tabs>
      </w:pPr>
      <w:r>
        <w:rPr>
          <w:color w:val="000000"/>
        </w:rPr>
        <w:tab/>
        <w:t>(174)</w:t>
      </w:r>
      <w:r>
        <w:rPr>
          <w:color w:val="000000"/>
        </w:rPr>
        <w:tab/>
        <w:t>Earth, clay, shale, sand, grit, powders, chippings, borings, spalls, punchings, clippings, swarf, offcuts or other aggregates or liquids shall not be used as counter or other balance, bias or operating weights unless encased in accordance with a design first submitted to and approved by the chief inspector.</w:t>
      </w:r>
    </w:p>
    <w:p w:rsidR="00AF2508" w:rsidRDefault="00AF2508">
      <w:pPr>
        <w:pStyle w:val="Amain"/>
        <w:rPr>
          <w:color w:val="000000"/>
        </w:rPr>
      </w:pPr>
      <w:r>
        <w:rPr>
          <w:color w:val="000000"/>
        </w:rPr>
        <w:tab/>
        <w:t>(175)</w:t>
      </w:r>
      <w:r>
        <w:rPr>
          <w:color w:val="000000"/>
        </w:rPr>
        <w:tab/>
        <w:t>Every portable counter, bias, balance or operating weight shall have permanently, clearly and distinctly stamped, engraved or embossed on them, its correct weight in pounds.</w:t>
      </w:r>
    </w:p>
    <w:p w:rsidR="00AF2508" w:rsidRDefault="00AF2508">
      <w:pPr>
        <w:pStyle w:val="Amain"/>
        <w:rPr>
          <w:color w:val="000000"/>
        </w:rPr>
      </w:pPr>
      <w:r>
        <w:rPr>
          <w:color w:val="000000"/>
        </w:rPr>
        <w:tab/>
        <w:t>(176)</w:t>
      </w:r>
      <w:r>
        <w:rPr>
          <w:color w:val="000000"/>
        </w:rPr>
        <w:tab/>
        <w:t>If a weight consists of detachable or demountable sections, each section shall be so marked with its own individual weight, only.</w:t>
      </w:r>
    </w:p>
    <w:p w:rsidR="00AF2508" w:rsidRDefault="00AF2508">
      <w:pPr>
        <w:pStyle w:val="Amain"/>
        <w:rPr>
          <w:color w:val="000000"/>
        </w:rPr>
      </w:pPr>
      <w:r>
        <w:rPr>
          <w:color w:val="000000"/>
        </w:rPr>
        <w:tab/>
        <w:t>(177)</w:t>
      </w:r>
      <w:r>
        <w:rPr>
          <w:color w:val="000000"/>
        </w:rPr>
        <w:tab/>
        <w:t xml:space="preserve">The figures and letters used in marking weights shall not be less than </w:t>
      </w:r>
      <w:r>
        <w:rPr>
          <w:color w:val="000000"/>
          <w:position w:val="6"/>
          <w:sz w:val="18"/>
        </w:rPr>
        <w:t>1</w:t>
      </w:r>
      <w:r>
        <w:rPr>
          <w:color w:val="000000"/>
        </w:rPr>
        <w:t>/</w:t>
      </w:r>
      <w:r>
        <w:rPr>
          <w:color w:val="000000"/>
          <w:sz w:val="18"/>
        </w:rPr>
        <w:t>2</w:t>
      </w:r>
      <w:r>
        <w:rPr>
          <w:color w:val="000000"/>
        </w:rPr>
        <w:t xml:space="preserve"> an inch in depth.</w:t>
      </w:r>
    </w:p>
    <w:p w:rsidR="00AF2508" w:rsidRDefault="00AF2508">
      <w:pPr>
        <w:pStyle w:val="Amain"/>
      </w:pPr>
      <w:r>
        <w:rPr>
          <w:color w:val="000000"/>
        </w:rPr>
        <w:tab/>
        <w:t>(178)</w:t>
      </w:r>
      <w:r>
        <w:rPr>
          <w:color w:val="000000"/>
        </w:rPr>
        <w:tab/>
        <w:t>No figures other than those stating the weight as mentioned in subsections (175) to (177) shall be marked on any portable weight.</w:t>
      </w:r>
    </w:p>
    <w:p w:rsidR="00AF2508" w:rsidRDefault="00AF2508">
      <w:pPr>
        <w:pStyle w:val="Amain"/>
        <w:rPr>
          <w:color w:val="000000"/>
        </w:rPr>
      </w:pPr>
      <w:r>
        <w:rPr>
          <w:color w:val="000000"/>
        </w:rPr>
        <w:tab/>
        <w:t>(179)</w:t>
      </w:r>
      <w:r>
        <w:rPr>
          <w:color w:val="000000"/>
        </w:rPr>
        <w:tab/>
        <w:t>Live counter, bias, balance or operating weights that are not of metal shall be encased, framed, or otherwise protected or fenced in a way approved by the chief inspector.</w:t>
      </w:r>
    </w:p>
    <w:p w:rsidR="00AF2508" w:rsidRDefault="00AF2508">
      <w:pPr>
        <w:pStyle w:val="Amain"/>
      </w:pPr>
      <w:r>
        <w:rPr>
          <w:color w:val="000000"/>
        </w:rPr>
        <w:tab/>
        <w:t>(180)</w:t>
      </w:r>
      <w:r>
        <w:rPr>
          <w:color w:val="000000"/>
        </w:rPr>
        <w:tab/>
        <w:t>The chief inspector may, if the chief inspector considers appropriate, disallow the use of any such material or the chief inspector may require the use of an appropriate metal instead of it.</w:t>
      </w:r>
    </w:p>
    <w:p w:rsidR="00AF2508" w:rsidRDefault="00AF2508">
      <w:pPr>
        <w:pStyle w:val="Amain"/>
      </w:pPr>
      <w:r>
        <w:rPr>
          <w:color w:val="000000"/>
        </w:rPr>
        <w:tab/>
        <w:t>(181)</w:t>
      </w:r>
      <w:r>
        <w:rPr>
          <w:color w:val="000000"/>
        </w:rPr>
        <w:tab/>
        <w:t xml:space="preserve">If a portable counter, bias, balance or operating weight has a permanent handle, the handle shall be of round section mild steel of not less than </w:t>
      </w:r>
      <w:r>
        <w:rPr>
          <w:color w:val="000000"/>
          <w:position w:val="6"/>
          <w:sz w:val="18"/>
        </w:rPr>
        <w:t>5</w:t>
      </w:r>
      <w:r>
        <w:rPr>
          <w:color w:val="000000"/>
        </w:rPr>
        <w:t>/</w:t>
      </w:r>
      <w:r>
        <w:rPr>
          <w:color w:val="000000"/>
          <w:sz w:val="18"/>
        </w:rPr>
        <w:t>8</w:t>
      </w:r>
      <w:r>
        <w:rPr>
          <w:color w:val="000000"/>
        </w:rPr>
        <w:t xml:space="preserve"> of an inch in diameter and shall be so devised as to eliminate all corners, vees, or other features that might damage lashings or other ropes used in connection with it.</w:t>
      </w:r>
    </w:p>
    <w:p w:rsidR="00AF2508" w:rsidRDefault="00AF2508">
      <w:pPr>
        <w:pStyle w:val="Amain"/>
      </w:pPr>
      <w:r>
        <w:rPr>
          <w:color w:val="000000"/>
        </w:rPr>
        <w:tab/>
        <w:t>(182)</w:t>
      </w:r>
      <w:r>
        <w:rPr>
          <w:color w:val="000000"/>
        </w:rPr>
        <w:tab/>
        <w:t>Drawings of all portable counter, bias, balance or operating weights that are of concrete, stone or encased materials shall be submitted to the chief inspector for approval before manufacture and the weights shall not be used unless manufactured in accordance with an approved design.</w:t>
      </w:r>
    </w:p>
    <w:p w:rsidR="00AF2508" w:rsidRDefault="00AF2508">
      <w:pPr>
        <w:pStyle w:val="Amain"/>
        <w:rPr>
          <w:color w:val="000000"/>
        </w:rPr>
      </w:pPr>
      <w:r>
        <w:rPr>
          <w:color w:val="000000"/>
        </w:rPr>
        <w:tab/>
        <w:t>(183)</w:t>
      </w:r>
      <w:r>
        <w:rPr>
          <w:color w:val="000000"/>
        </w:rPr>
        <w:tab/>
        <w:t xml:space="preserve">The thickness of a brake band shall not exceed </w:t>
      </w:r>
      <w:r>
        <w:rPr>
          <w:color w:val="000000"/>
          <w:position w:val="6"/>
          <w:sz w:val="18"/>
        </w:rPr>
        <w:t>1</w:t>
      </w:r>
      <w:r>
        <w:rPr>
          <w:color w:val="000000"/>
        </w:rPr>
        <w:t>/</w:t>
      </w:r>
      <w:r>
        <w:rPr>
          <w:color w:val="000000"/>
          <w:sz w:val="18"/>
        </w:rPr>
        <w:t>125</w:t>
      </w:r>
      <w:r>
        <w:rPr>
          <w:color w:val="000000"/>
        </w:rPr>
        <w:t xml:space="preserve"> part of the diameter of the drum on which it wraps.</w:t>
      </w:r>
    </w:p>
    <w:p w:rsidR="00AF2508" w:rsidRDefault="00AF2508">
      <w:pPr>
        <w:pStyle w:val="Amain"/>
      </w:pPr>
      <w:r>
        <w:rPr>
          <w:color w:val="000000"/>
        </w:rPr>
        <w:tab/>
        <w:t>(184)</w:t>
      </w:r>
      <w:r>
        <w:rPr>
          <w:color w:val="000000"/>
        </w:rPr>
        <w:tab/>
        <w:t xml:space="preserve">However, no brake band shall exceed </w:t>
      </w:r>
      <w:r>
        <w:rPr>
          <w:color w:val="000000"/>
          <w:position w:val="6"/>
          <w:sz w:val="18"/>
        </w:rPr>
        <w:t>1</w:t>
      </w:r>
      <w:r>
        <w:rPr>
          <w:color w:val="000000"/>
        </w:rPr>
        <w:t>/</w:t>
      </w:r>
      <w:r>
        <w:rPr>
          <w:color w:val="000000"/>
          <w:sz w:val="18"/>
        </w:rPr>
        <w:t>2</w:t>
      </w:r>
      <w:r>
        <w:rPr>
          <w:color w:val="000000"/>
        </w:rPr>
        <w:t xml:space="preserve"> an inch in thickness.</w:t>
      </w:r>
    </w:p>
    <w:p w:rsidR="00AF2508" w:rsidRDefault="00AF2508">
      <w:pPr>
        <w:pStyle w:val="Amain"/>
      </w:pPr>
      <w:r>
        <w:rPr>
          <w:color w:val="000000"/>
        </w:rPr>
        <w:tab/>
        <w:t>(185)</w:t>
      </w:r>
      <w:r>
        <w:rPr>
          <w:color w:val="000000"/>
        </w:rPr>
        <w:tab/>
        <w:t xml:space="preserve">No transverse fillet weld shall be made on any brake band. </w:t>
      </w:r>
    </w:p>
    <w:p w:rsidR="00AF2508" w:rsidRDefault="00AF2508">
      <w:pPr>
        <w:pStyle w:val="Amain"/>
      </w:pPr>
      <w:r>
        <w:rPr>
          <w:color w:val="000000"/>
        </w:rPr>
        <w:tab/>
        <w:t>(186)</w:t>
      </w:r>
      <w:r>
        <w:rPr>
          <w:color w:val="000000"/>
        </w:rPr>
        <w:tab/>
        <w:t>Single rivets or single bolts shall not be used to connect end fittings to brake bands, or to make joints in brake bands.</w:t>
      </w:r>
    </w:p>
    <w:p w:rsidR="00AF2508" w:rsidRDefault="00AF2508">
      <w:pPr>
        <w:pStyle w:val="Amain"/>
      </w:pPr>
      <w:r>
        <w:rPr>
          <w:color w:val="000000"/>
        </w:rPr>
        <w:tab/>
        <w:t>(187)</w:t>
      </w:r>
      <w:r>
        <w:rPr>
          <w:color w:val="000000"/>
        </w:rPr>
        <w:tab/>
        <w:t>If there is more than 1 row of rivet or other holes in a brake band, the least distance measured obliquely between any hole and the nearest hole that is in another transverse row shall not be less than </w:t>
      </w:r>
      <w:r>
        <w:rPr>
          <w:color w:val="000000"/>
          <w:position w:val="6"/>
          <w:sz w:val="18"/>
        </w:rPr>
        <w:t>2</w:t>
      </w:r>
      <w:r>
        <w:rPr>
          <w:color w:val="000000"/>
        </w:rPr>
        <w:t>/</w:t>
      </w:r>
      <w:r>
        <w:rPr>
          <w:color w:val="000000"/>
          <w:sz w:val="18"/>
        </w:rPr>
        <w:t>3</w:t>
      </w:r>
      <w:r>
        <w:rPr>
          <w:color w:val="000000"/>
        </w:rPr>
        <w:t xml:space="preserve"> of the minimum distance between adjacent holes in any transverse row.</w:t>
      </w:r>
    </w:p>
    <w:p w:rsidR="00AF2508" w:rsidRDefault="00AF2508">
      <w:pPr>
        <w:pStyle w:val="Amain"/>
        <w:rPr>
          <w:color w:val="000000"/>
        </w:rPr>
      </w:pPr>
      <w:r>
        <w:rPr>
          <w:color w:val="000000"/>
        </w:rPr>
        <w:tab/>
        <w:t>(188)</w:t>
      </w:r>
      <w:r>
        <w:rPr>
          <w:color w:val="000000"/>
        </w:rPr>
        <w:tab/>
        <w:t>If brake shoes or brake linings are of timber, only selected timbers of approved types shall be used.</w:t>
      </w:r>
    </w:p>
    <w:p w:rsidR="00AF2508" w:rsidRDefault="00AF2508">
      <w:pPr>
        <w:pStyle w:val="Amain"/>
      </w:pPr>
      <w:r>
        <w:rPr>
          <w:color w:val="000000"/>
        </w:rPr>
        <w:tab/>
        <w:t>(189)</w:t>
      </w:r>
      <w:r>
        <w:rPr>
          <w:color w:val="000000"/>
        </w:rPr>
        <w:tab/>
        <w:t>They shall be fastened in place in an approved way.</w:t>
      </w:r>
    </w:p>
    <w:p w:rsidR="00AF2508" w:rsidRDefault="00AF2508">
      <w:pPr>
        <w:pStyle w:val="Amain"/>
        <w:rPr>
          <w:color w:val="000000"/>
        </w:rPr>
      </w:pPr>
      <w:r>
        <w:rPr>
          <w:color w:val="000000"/>
        </w:rPr>
        <w:tab/>
        <w:t>(190)</w:t>
      </w:r>
      <w:r>
        <w:rPr>
          <w:color w:val="000000"/>
        </w:rPr>
        <w:tab/>
        <w:t>The depth of flanges of break drums, measured radially above braking surfaces, shall not be less than twice the combined thickness of brake band and brake lining.</w:t>
      </w:r>
    </w:p>
    <w:p w:rsidR="00AF2508" w:rsidRDefault="00AF2508">
      <w:pPr>
        <w:pStyle w:val="Amain"/>
      </w:pPr>
      <w:r>
        <w:rPr>
          <w:color w:val="000000"/>
        </w:rPr>
        <w:tab/>
        <w:t>(191)</w:t>
      </w:r>
      <w:r>
        <w:rPr>
          <w:color w:val="000000"/>
        </w:rPr>
        <w:tab/>
        <w:t xml:space="preserve">If the lining consists of wooden blocks, it may for the purpose of fixing flange depths, be deemed to be </w:t>
      </w:r>
      <w:r>
        <w:rPr>
          <w:color w:val="000000"/>
          <w:position w:val="6"/>
          <w:sz w:val="18"/>
        </w:rPr>
        <w:t>1</w:t>
      </w:r>
      <w:r>
        <w:rPr>
          <w:color w:val="000000"/>
        </w:rPr>
        <w:t>/</w:t>
      </w:r>
      <w:r>
        <w:rPr>
          <w:color w:val="000000"/>
          <w:sz w:val="18"/>
        </w:rPr>
        <w:t>4</w:t>
      </w:r>
      <w:r>
        <w:rPr>
          <w:color w:val="000000"/>
        </w:rPr>
        <w:t xml:space="preserve"> of an inch in thickness.</w:t>
      </w:r>
    </w:p>
    <w:p w:rsidR="00AF2508" w:rsidRDefault="00AF2508">
      <w:pPr>
        <w:pStyle w:val="Amain"/>
        <w:rPr>
          <w:color w:val="000000"/>
        </w:rPr>
      </w:pPr>
      <w:r>
        <w:rPr>
          <w:color w:val="000000"/>
        </w:rPr>
        <w:tab/>
        <w:t>(192)</w:t>
      </w:r>
      <w:r>
        <w:rPr>
          <w:color w:val="000000"/>
        </w:rPr>
        <w:tab/>
        <w:t>U-clips attached to brake bands to prevent their lateral displacement from break drums, shall overlap the edges of the drums by a distance at least equal to 3 times the combined thickness of brake band and lining.</w:t>
      </w:r>
    </w:p>
    <w:p w:rsidR="00AF2508" w:rsidRDefault="00AF2508">
      <w:pPr>
        <w:pStyle w:val="Amain"/>
      </w:pPr>
      <w:r>
        <w:rPr>
          <w:color w:val="000000"/>
        </w:rPr>
        <w:tab/>
        <w:t>(193)</w:t>
      </w:r>
      <w:r>
        <w:rPr>
          <w:color w:val="000000"/>
        </w:rPr>
        <w:tab/>
        <w:t xml:space="preserve">If the lining consists of wooden blocks, it may, for the purpose of fixing the overlap, be deemed to be </w:t>
      </w:r>
      <w:r>
        <w:rPr>
          <w:color w:val="000000"/>
          <w:position w:val="6"/>
          <w:sz w:val="18"/>
        </w:rPr>
        <w:t>1</w:t>
      </w:r>
      <w:r>
        <w:rPr>
          <w:color w:val="000000"/>
        </w:rPr>
        <w:t>/</w:t>
      </w:r>
      <w:r>
        <w:rPr>
          <w:color w:val="000000"/>
          <w:sz w:val="18"/>
        </w:rPr>
        <w:t>4</w:t>
      </w:r>
      <w:r>
        <w:rPr>
          <w:color w:val="000000"/>
        </w:rPr>
        <w:t xml:space="preserve"> of an inch in thickness.</w:t>
      </w:r>
    </w:p>
    <w:p w:rsidR="00AF2508" w:rsidRDefault="00AF2508">
      <w:pPr>
        <w:pStyle w:val="Amain"/>
      </w:pPr>
      <w:r>
        <w:rPr>
          <w:color w:val="000000"/>
        </w:rPr>
        <w:tab/>
        <w:t>(194)</w:t>
      </w:r>
      <w:r>
        <w:rPr>
          <w:color w:val="000000"/>
        </w:rPr>
        <w:tab/>
        <w:t>Aluminium rivets or pegs shall not be used to secure brake linings.</w:t>
      </w:r>
    </w:p>
    <w:p w:rsidR="00AF2508" w:rsidRDefault="00AF2508">
      <w:pPr>
        <w:pStyle w:val="Amain"/>
      </w:pPr>
      <w:r>
        <w:rPr>
          <w:color w:val="000000"/>
        </w:rPr>
        <w:tab/>
        <w:t>(195)</w:t>
      </w:r>
      <w:r>
        <w:rPr>
          <w:color w:val="000000"/>
        </w:rPr>
        <w:tab/>
        <w:t xml:space="preserve">Brake linings of metal, except approved sintered metal, shall not be used. </w:t>
      </w:r>
    </w:p>
    <w:p w:rsidR="00AF2508" w:rsidRDefault="00AF2508">
      <w:pPr>
        <w:pStyle w:val="Amain"/>
      </w:pPr>
      <w:r>
        <w:rPr>
          <w:color w:val="000000"/>
        </w:rPr>
        <w:tab/>
        <w:t>(196)</w:t>
      </w:r>
      <w:r>
        <w:rPr>
          <w:color w:val="000000"/>
        </w:rPr>
        <w:tab/>
        <w:t>The linings of brake bands shall extend at least to the edges of the bands to which they attach.</w:t>
      </w:r>
    </w:p>
    <w:p w:rsidR="00AF2508" w:rsidRDefault="00AF2508">
      <w:pPr>
        <w:pStyle w:val="Amain"/>
      </w:pPr>
      <w:r>
        <w:rPr>
          <w:color w:val="000000"/>
        </w:rPr>
        <w:tab/>
        <w:t>(197)</w:t>
      </w:r>
      <w:r>
        <w:rPr>
          <w:color w:val="000000"/>
        </w:rPr>
        <w:tab/>
        <w:t>The edges of brake bands, and brake linings, shall be cleanly finished and smooth.</w:t>
      </w:r>
    </w:p>
    <w:p w:rsidR="00AF2508" w:rsidRDefault="00AF2508">
      <w:pPr>
        <w:pStyle w:val="Amain"/>
      </w:pPr>
      <w:r>
        <w:rPr>
          <w:color w:val="000000"/>
        </w:rPr>
        <w:tab/>
        <w:t>(198)</w:t>
      </w:r>
      <w:r>
        <w:rPr>
          <w:color w:val="000000"/>
        </w:rPr>
        <w:tab/>
        <w:t>Leather or combustible fabric brake bands may be used only if specifically approved.</w:t>
      </w:r>
    </w:p>
    <w:p w:rsidR="00AF2508" w:rsidRDefault="00AF2508">
      <w:pPr>
        <w:pStyle w:val="Amain"/>
      </w:pPr>
      <w:r>
        <w:rPr>
          <w:color w:val="000000"/>
        </w:rPr>
        <w:tab/>
        <w:t>(199)</w:t>
      </w:r>
      <w:r>
        <w:rPr>
          <w:color w:val="000000"/>
        </w:rPr>
        <w:tab/>
        <w:t>Closing weights used in solenoid brakes shall not move through a total distance greater than 3 inches unless effectively cushioned to eliminate hammering and impact effects.</w:t>
      </w:r>
    </w:p>
    <w:p w:rsidR="00AF2508" w:rsidRDefault="00AF2508">
      <w:pPr>
        <w:pStyle w:val="Amain"/>
      </w:pPr>
      <w:r>
        <w:rPr>
          <w:color w:val="000000"/>
        </w:rPr>
        <w:tab/>
        <w:t>(200)</w:t>
      </w:r>
      <w:r>
        <w:rPr>
          <w:color w:val="000000"/>
        </w:rPr>
        <w:tab/>
        <w:t>Stops shall be provided to ensure that the shoes of shoe type brakes do not trail on the drums when the brakes are open.</w:t>
      </w:r>
    </w:p>
    <w:p w:rsidR="00AF2508" w:rsidRDefault="00AF2508">
      <w:pPr>
        <w:pStyle w:val="Amain"/>
      </w:pPr>
      <w:r>
        <w:rPr>
          <w:color w:val="000000"/>
        </w:rPr>
        <w:tab/>
        <w:t>(201)</w:t>
      </w:r>
      <w:r>
        <w:rPr>
          <w:color w:val="000000"/>
        </w:rPr>
        <w:tab/>
        <w:t>The angular movement of a pawl about its hinge pin while idling over its mating teeth shall not exceed 12°.</w:t>
      </w:r>
    </w:p>
    <w:p w:rsidR="00AF2508" w:rsidRDefault="00AF2508">
      <w:pPr>
        <w:pStyle w:val="Amain"/>
        <w:rPr>
          <w:color w:val="000000"/>
        </w:rPr>
      </w:pPr>
      <w:r>
        <w:rPr>
          <w:color w:val="000000"/>
        </w:rPr>
        <w:tab/>
        <w:t>(202)</w:t>
      </w:r>
      <w:r>
        <w:rPr>
          <w:color w:val="000000"/>
        </w:rPr>
        <w:tab/>
        <w:t>If practicable, pawls shall have springs to accelerate their speed of engagement.</w:t>
      </w:r>
    </w:p>
    <w:p w:rsidR="00AF2508" w:rsidRDefault="00AF2508">
      <w:pPr>
        <w:pStyle w:val="Amain"/>
      </w:pPr>
      <w:r>
        <w:rPr>
          <w:color w:val="000000"/>
        </w:rPr>
        <w:tab/>
        <w:t>(203)</w:t>
      </w:r>
      <w:r>
        <w:rPr>
          <w:color w:val="000000"/>
        </w:rPr>
        <w:tab/>
        <w:t>The springs shall be of approved design.</w:t>
      </w:r>
    </w:p>
    <w:p w:rsidR="00AF2508" w:rsidRDefault="00AF2508">
      <w:pPr>
        <w:pStyle w:val="Amain"/>
        <w:rPr>
          <w:color w:val="000000"/>
        </w:rPr>
      </w:pPr>
      <w:r>
        <w:rPr>
          <w:color w:val="000000"/>
        </w:rPr>
        <w:tab/>
        <w:t>(204)</w:t>
      </w:r>
      <w:r>
        <w:rPr>
          <w:color w:val="000000"/>
        </w:rPr>
        <w:tab/>
        <w:t>Pawls shall not have devices for locking them in engaged or disengaged positions.</w:t>
      </w:r>
    </w:p>
    <w:p w:rsidR="00AF2508" w:rsidRDefault="00AF2508">
      <w:pPr>
        <w:pStyle w:val="Amain"/>
      </w:pPr>
      <w:r>
        <w:rPr>
          <w:color w:val="000000"/>
        </w:rPr>
        <w:tab/>
        <w:t>(205)</w:t>
      </w:r>
      <w:r>
        <w:rPr>
          <w:color w:val="000000"/>
        </w:rPr>
        <w:tab/>
        <w:t>However, subsection (204) does not prevent the use of approved interlocking devices.</w:t>
      </w:r>
    </w:p>
    <w:p w:rsidR="00AF2508" w:rsidRDefault="00AF2508">
      <w:pPr>
        <w:pStyle w:val="Amain"/>
      </w:pPr>
      <w:r>
        <w:rPr>
          <w:color w:val="000000"/>
        </w:rPr>
        <w:tab/>
        <w:t>(206)</w:t>
      </w:r>
      <w:r>
        <w:rPr>
          <w:color w:val="000000"/>
        </w:rPr>
        <w:tab/>
        <w:t>If a pawl has attached to it an operating grip, handle, or trigger, the attachment shall be so devised, and located that it may be safely used.</w:t>
      </w:r>
    </w:p>
    <w:p w:rsidR="00AF2508" w:rsidRDefault="00AF2508">
      <w:pPr>
        <w:pStyle w:val="Amain"/>
      </w:pPr>
      <w:r>
        <w:rPr>
          <w:color w:val="000000"/>
        </w:rPr>
        <w:tab/>
        <w:t>(207)</w:t>
      </w:r>
      <w:r>
        <w:rPr>
          <w:color w:val="000000"/>
        </w:rPr>
        <w:tab/>
        <w:t>Apparatus including the grips, handles and triggers as mentioned in subsection (206) for disengaging and holding pawls in the disengaged position shall be devised and arranged to be actuated by a person located at the driving or operating position of the mechanism or machinery concerned.</w:t>
      </w:r>
    </w:p>
    <w:p w:rsidR="00AF2508" w:rsidRDefault="00AF2508">
      <w:pPr>
        <w:pStyle w:val="Amain"/>
      </w:pPr>
      <w:r>
        <w:tab/>
        <w:t>(208)</w:t>
      </w:r>
      <w:r>
        <w:tab/>
        <w:t>The pawl disengaging and holding apparatus shall not be actuated by foot, but shall comprise a simple hand mechanism.</w:t>
      </w:r>
    </w:p>
    <w:p w:rsidR="00AF2508" w:rsidRDefault="00AF2508">
      <w:pPr>
        <w:pStyle w:val="Amain"/>
      </w:pPr>
      <w:r>
        <w:tab/>
        <w:t>(209)</w:t>
      </w:r>
      <w:r>
        <w:tab/>
        <w:t>It shall be so devised and arranged that it will, when suitably actuated, return the pawl to the engaged position by reliable and effective means.</w:t>
      </w:r>
    </w:p>
    <w:p w:rsidR="00AF2508" w:rsidRDefault="00AF2508">
      <w:pPr>
        <w:pStyle w:val="Amain"/>
      </w:pPr>
      <w:r>
        <w:tab/>
        <w:t>(210)</w:t>
      </w:r>
      <w:r>
        <w:tab/>
        <w:t>It shall be so devised and located that it shall not be necessary for a person to stoop or relax his or her grip on any crank handle while actuating the pawl mechanism.</w:t>
      </w:r>
    </w:p>
    <w:p w:rsidR="00AF2508" w:rsidRDefault="00AF2508">
      <w:pPr>
        <w:pStyle w:val="Amain"/>
      </w:pPr>
      <w:r>
        <w:rPr>
          <w:color w:val="000000"/>
        </w:rPr>
        <w:tab/>
        <w:t>(211)</w:t>
      </w:r>
      <w:r>
        <w:rPr>
          <w:color w:val="000000"/>
        </w:rPr>
        <w:tab/>
        <w:t>Pawls shall be so designed that their active extremities alone, make contact with the mating teeth.</w:t>
      </w:r>
    </w:p>
    <w:p w:rsidR="00AF2508" w:rsidRDefault="00AF2508">
      <w:pPr>
        <w:pStyle w:val="Amain"/>
      </w:pPr>
      <w:r>
        <w:rPr>
          <w:color w:val="000000"/>
        </w:rPr>
        <w:tab/>
        <w:t>(212)</w:t>
      </w:r>
      <w:r>
        <w:rPr>
          <w:color w:val="000000"/>
        </w:rPr>
        <w:tab/>
        <w:t>Pawls or the teeth with which they engage (or both) shall be so designed that the pawls tend to lock in engagement and so that the load holds the pawl in engagement.</w:t>
      </w:r>
    </w:p>
    <w:p w:rsidR="00AF2508" w:rsidRDefault="00AF2508">
      <w:pPr>
        <w:pStyle w:val="Amain"/>
      </w:pPr>
      <w:r>
        <w:rPr>
          <w:color w:val="000000"/>
        </w:rPr>
        <w:tab/>
        <w:t>(213)</w:t>
      </w:r>
      <w:r>
        <w:rPr>
          <w:color w:val="000000"/>
        </w:rPr>
        <w:tab/>
        <w:t>The angle contained between the 2 lines joining the tip of a pawl to the respective centres of rotation of the pawl and its mating teeth shall not be less than 105° and not more than 120°.</w:t>
      </w:r>
    </w:p>
    <w:p w:rsidR="00AF2508" w:rsidRDefault="00AF2508">
      <w:pPr>
        <w:pStyle w:val="Amain"/>
      </w:pPr>
      <w:r>
        <w:tab/>
        <w:t>(214)</w:t>
      </w:r>
      <w:r>
        <w:tab/>
        <w:t>If the pawl is used in tension, the angle contained between the 2 lines joining the tip of the engaged tooth of the rachet and the centres mentioned in subsection (213) shall not be less than 60° or more than 75°.</w:t>
      </w:r>
    </w:p>
    <w:p w:rsidR="00AF2508" w:rsidRDefault="00AF2508">
      <w:pPr>
        <w:pStyle w:val="Amain"/>
      </w:pPr>
      <w:r>
        <w:rPr>
          <w:color w:val="000000"/>
        </w:rPr>
        <w:tab/>
        <w:t>(215)</w:t>
      </w:r>
      <w:r>
        <w:rPr>
          <w:color w:val="000000"/>
        </w:rPr>
        <w:tab/>
        <w:t>Gravity operated pawls shall be so balanced that if released while disengaged, they will immediately and automatically re-engage with their mating teeth.</w:t>
      </w:r>
    </w:p>
    <w:p w:rsidR="00AF2508" w:rsidRDefault="00AF2508">
      <w:pPr>
        <w:pStyle w:val="Amain"/>
      </w:pPr>
      <w:r>
        <w:rPr>
          <w:color w:val="000000"/>
        </w:rPr>
        <w:tab/>
        <w:t>(216)</w:t>
      </w:r>
      <w:r>
        <w:rPr>
          <w:color w:val="000000"/>
        </w:rPr>
        <w:tab/>
        <w:t>Safety non-splintering glass or non-splintering non-inflammable plastic shall be used in all transparent wind or weather screens of driving stations, if liable to be struck by loads or by slings, hooks or other lifting media.</w:t>
      </w:r>
    </w:p>
    <w:p w:rsidR="00AF2508" w:rsidRDefault="00AF2508">
      <w:pPr>
        <w:pStyle w:val="Amain"/>
        <w:rPr>
          <w:color w:val="000000"/>
        </w:rPr>
      </w:pPr>
      <w:r>
        <w:rPr>
          <w:color w:val="000000"/>
        </w:rPr>
        <w:tab/>
        <w:t>(217)</w:t>
      </w:r>
      <w:r>
        <w:rPr>
          <w:color w:val="000000"/>
        </w:rPr>
        <w:tab/>
        <w:t>Petrol and other inflammable liquids shall be stored in robust metal tanks having screwed filling plugs and screw-down outlet valves.</w:t>
      </w:r>
    </w:p>
    <w:p w:rsidR="00AF2508" w:rsidRDefault="00AF2508">
      <w:pPr>
        <w:pStyle w:val="Amain"/>
        <w:rPr>
          <w:color w:val="000000"/>
        </w:rPr>
      </w:pPr>
      <w:r>
        <w:rPr>
          <w:color w:val="000000"/>
        </w:rPr>
        <w:tab/>
        <w:t>(218)</w:t>
      </w:r>
      <w:r>
        <w:rPr>
          <w:color w:val="000000"/>
        </w:rPr>
        <w:tab/>
        <w:t>The tanks shall be so located that they are not subject to undue heating, and all desirable provision shall be made to ensure that fumes do not become ignited and do not accumulate.</w:t>
      </w:r>
    </w:p>
    <w:p w:rsidR="00AF2508" w:rsidRDefault="00AF2508">
      <w:pPr>
        <w:pStyle w:val="Amain"/>
        <w:rPr>
          <w:color w:val="000000"/>
        </w:rPr>
      </w:pPr>
      <w:r>
        <w:rPr>
          <w:color w:val="000000"/>
        </w:rPr>
        <w:tab/>
        <w:t>(219)</w:t>
      </w:r>
      <w:r>
        <w:rPr>
          <w:color w:val="000000"/>
        </w:rPr>
        <w:tab/>
        <w:t>Tanks shall be well clear of all electrified wirings, switchgear, control gear and apparatus.</w:t>
      </w:r>
    </w:p>
    <w:p w:rsidR="00AF2508" w:rsidRDefault="00AF2508">
      <w:pPr>
        <w:pStyle w:val="Amain"/>
        <w:rPr>
          <w:color w:val="000000"/>
        </w:rPr>
      </w:pPr>
      <w:r>
        <w:rPr>
          <w:color w:val="000000"/>
        </w:rPr>
        <w:tab/>
        <w:t>(220)</w:t>
      </w:r>
      <w:r>
        <w:rPr>
          <w:color w:val="000000"/>
        </w:rPr>
        <w:tab/>
        <w:t>If practicable inflammable liquid tanks shall be located on the outer sides of driving stations.</w:t>
      </w:r>
    </w:p>
    <w:p w:rsidR="00AF2508" w:rsidRDefault="00AF2508">
      <w:pPr>
        <w:pStyle w:val="Amain"/>
      </w:pPr>
      <w:r>
        <w:rPr>
          <w:color w:val="000000"/>
        </w:rPr>
        <w:tab/>
        <w:t>(221)</w:t>
      </w:r>
      <w:r>
        <w:rPr>
          <w:color w:val="000000"/>
        </w:rPr>
        <w:tab/>
        <w:t>They shall not be closely adjacent to access facilities.</w:t>
      </w:r>
    </w:p>
    <w:p w:rsidR="00AF2508" w:rsidRDefault="00AF2508">
      <w:pPr>
        <w:pStyle w:val="Amain"/>
      </w:pPr>
      <w:r>
        <w:rPr>
          <w:color w:val="000000"/>
        </w:rPr>
        <w:tab/>
        <w:t>(222)</w:t>
      </w:r>
      <w:r>
        <w:rPr>
          <w:color w:val="000000"/>
        </w:rPr>
        <w:tab/>
        <w:t>If cranes, lifts, hoists, scaffolding or plant having internal</w:t>
      </w:r>
      <w:r>
        <w:rPr>
          <w:color w:val="000000"/>
        </w:rPr>
        <w:noBreakHyphen/>
        <w:t>combustion engines are required to operate indoors or in confined or poorly ventilated places, effective means shall be taken to remove all exhaust gases and to ensure all desirable ventilation.</w:t>
      </w:r>
    </w:p>
    <w:p w:rsidR="00AF2508" w:rsidRDefault="00AF2508">
      <w:pPr>
        <w:pStyle w:val="Amain"/>
      </w:pPr>
      <w:r>
        <w:rPr>
          <w:color w:val="000000"/>
        </w:rPr>
        <w:tab/>
        <w:t>(223)</w:t>
      </w:r>
      <w:r>
        <w:rPr>
          <w:color w:val="000000"/>
        </w:rPr>
        <w:tab/>
        <w:t>Exhaust steam, hot water, and the exhaust gases from internal</w:t>
      </w:r>
      <w:r>
        <w:rPr>
          <w:color w:val="000000"/>
        </w:rPr>
        <w:noBreakHyphen/>
        <w:t>combustion engines, shall be effectively conveyed and directed away from driving stations and from crane and hoist crews.</w:t>
      </w:r>
    </w:p>
    <w:p w:rsidR="00AF2508" w:rsidRDefault="00AF2508">
      <w:pPr>
        <w:pStyle w:val="Amain"/>
      </w:pPr>
      <w:r>
        <w:rPr>
          <w:color w:val="000000"/>
        </w:rPr>
        <w:tab/>
        <w:t>(224)</w:t>
      </w:r>
      <w:r>
        <w:rPr>
          <w:color w:val="000000"/>
        </w:rPr>
        <w:tab/>
        <w:t>If any jib or derrick crane or hoist is not designed to lift its maximum safe working load at all attainable postions of the jib or derrick without breach of the provisions of this regulation, it shall have an approved load-radius indicator, and the indicator shall be constantly maintained in good working order and condition.</w:t>
      </w:r>
    </w:p>
    <w:p w:rsidR="00AF2508" w:rsidRDefault="00AF2508">
      <w:pPr>
        <w:pStyle w:val="Amain"/>
      </w:pPr>
      <w:r>
        <w:rPr>
          <w:color w:val="000000"/>
        </w:rPr>
        <w:tab/>
        <w:t>(225)</w:t>
      </w:r>
      <w:r>
        <w:rPr>
          <w:color w:val="000000"/>
        </w:rPr>
        <w:tab/>
        <w:t>The load-radius indicator previously mentioned shall function automatically, and be so devised and constructed that for each position in which the jib or derrick may be placed, it exhibits and indicates clearly and conspicuously to the crane driver at the main driving station of the crane the safe working load corresponding to the position, determined in accordance with this regulation.</w:t>
      </w:r>
    </w:p>
    <w:p w:rsidR="00AF2508" w:rsidRDefault="00AF2508">
      <w:pPr>
        <w:pStyle w:val="Amain"/>
      </w:pPr>
      <w:r>
        <w:tab/>
        <w:t>(226)</w:t>
      </w:r>
      <w:r>
        <w:tab/>
        <w:t>The load markings on a load-radius indicator shall be of a permanent nature, and it shall be an offence to obliterate or to incorrectly mark or incorrectly graduate, the indicator, or to so alter the indicator that it reads or indicates incorrectly.</w:t>
      </w:r>
    </w:p>
    <w:p w:rsidR="00AF2508" w:rsidRDefault="00AF2508">
      <w:pPr>
        <w:pStyle w:val="AH4SubDiv"/>
      </w:pPr>
      <w:bookmarkStart w:id="229" w:name="_Toc161636890"/>
      <w:r>
        <w:t>Stability</w:t>
      </w:r>
      <w:bookmarkEnd w:id="229"/>
    </w:p>
    <w:p w:rsidR="00AF2508" w:rsidRDefault="00AF2508">
      <w:pPr>
        <w:pStyle w:val="AH5Sec"/>
      </w:pPr>
      <w:bookmarkStart w:id="230" w:name="_Toc161636891"/>
      <w:r>
        <w:rPr>
          <w:rStyle w:val="CharSectNo"/>
        </w:rPr>
        <w:t>128</w:t>
      </w:r>
      <w:bookmarkEnd w:id="230"/>
      <w:r>
        <w:tab/>
        <w:t xml:space="preserve">  </w:t>
      </w:r>
    </w:p>
    <w:p w:rsidR="00AF2508" w:rsidRDefault="00AF2508">
      <w:pPr>
        <w:pStyle w:val="Amain"/>
        <w:rPr>
          <w:color w:val="000000"/>
        </w:rPr>
      </w:pPr>
      <w:r>
        <w:rPr>
          <w:color w:val="000000"/>
        </w:rPr>
        <w:tab/>
        <w:t>(1)</w:t>
      </w:r>
      <w:r>
        <w:rPr>
          <w:color w:val="000000"/>
        </w:rPr>
        <w:tab/>
        <w:t>Every crane and hoist shall have and at all times retain at least the ratios of stability against overturning shown in table 128 as appropriate to its type, and to the loadings acting on it.</w:t>
      </w:r>
    </w:p>
    <w:p w:rsidR="00AF2508" w:rsidRDefault="00AF2508">
      <w:pPr>
        <w:pStyle w:val="Amain"/>
      </w:pPr>
      <w:r>
        <w:rPr>
          <w:color w:val="000000"/>
        </w:rPr>
        <w:tab/>
        <w:t>(2)</w:t>
      </w:r>
      <w:r>
        <w:rPr>
          <w:color w:val="000000"/>
        </w:rPr>
        <w:tab/>
        <w:t>If more than 1 such ratio is shown, the stability shall be separately assessed with regard to each set of contributing circumstances.</w:t>
      </w:r>
    </w:p>
    <w:p w:rsidR="00AF2508" w:rsidRDefault="00AF2508">
      <w:pPr>
        <w:pStyle w:val="02Text"/>
        <w:sectPr w:rsidR="00AF2508">
          <w:headerReference w:type="even" r:id="rId78"/>
          <w:headerReference w:type="default" r:id="rId79"/>
          <w:footerReference w:type="even" r:id="rId80"/>
          <w:footerReference w:type="default" r:id="rId81"/>
          <w:footerReference w:type="first" r:id="rId82"/>
          <w:pgSz w:w="11907" w:h="16839" w:code="9"/>
          <w:pgMar w:top="3000" w:right="1900" w:bottom="2500" w:left="2300" w:header="2480" w:footer="2100" w:gutter="0"/>
          <w:cols w:space="720"/>
          <w:docGrid w:linePitch="254"/>
        </w:sectPr>
      </w:pPr>
    </w:p>
    <w:p w:rsidR="00AF2508" w:rsidRDefault="00AF2508">
      <w:pPr>
        <w:pStyle w:val="TableHd"/>
      </w:pPr>
      <w:r>
        <w:t>Table 128</w:t>
      </w:r>
    </w:p>
    <w:tbl>
      <w:tblPr>
        <w:tblW w:w="0" w:type="auto"/>
        <w:tblLayout w:type="fixed"/>
        <w:tblCellMar>
          <w:left w:w="120" w:type="dxa"/>
          <w:right w:w="120" w:type="dxa"/>
        </w:tblCellMar>
        <w:tblLook w:val="0000" w:firstRow="0" w:lastRow="0" w:firstColumn="0" w:lastColumn="0" w:noHBand="0" w:noVBand="0"/>
      </w:tblPr>
      <w:tblGrid>
        <w:gridCol w:w="2380"/>
        <w:gridCol w:w="20"/>
        <w:gridCol w:w="580"/>
        <w:gridCol w:w="40"/>
        <w:gridCol w:w="1640"/>
        <w:gridCol w:w="1080"/>
        <w:gridCol w:w="1560"/>
        <w:gridCol w:w="1320"/>
        <w:gridCol w:w="855"/>
        <w:gridCol w:w="825"/>
        <w:gridCol w:w="1135"/>
        <w:gridCol w:w="20"/>
      </w:tblGrid>
      <w:tr w:rsidR="00AF2508">
        <w:trPr>
          <w:gridAfter w:val="1"/>
          <w:wAfter w:w="20" w:type="dxa"/>
          <w:cantSplit/>
          <w:trHeight w:val="604"/>
          <w:tblHeader/>
        </w:trPr>
        <w:tc>
          <w:tcPr>
            <w:tcW w:w="2980" w:type="dxa"/>
            <w:gridSpan w:val="3"/>
          </w:tcPr>
          <w:p w:rsidR="00AF2508" w:rsidRDefault="00AF2508">
            <w:pPr>
              <w:pStyle w:val="TableColHd"/>
              <w:rPr>
                <w:sz w:val="16"/>
              </w:rPr>
            </w:pPr>
          </w:p>
        </w:tc>
        <w:tc>
          <w:tcPr>
            <w:tcW w:w="1680" w:type="dxa"/>
            <w:gridSpan w:val="2"/>
          </w:tcPr>
          <w:p w:rsidR="00AF2508" w:rsidRDefault="00AF2508">
            <w:pPr>
              <w:pStyle w:val="TableColHd"/>
              <w:rPr>
                <w:sz w:val="16"/>
              </w:rPr>
            </w:pPr>
          </w:p>
        </w:tc>
        <w:tc>
          <w:tcPr>
            <w:tcW w:w="1080" w:type="dxa"/>
          </w:tcPr>
          <w:p w:rsidR="00AF2508" w:rsidRDefault="00AF2508">
            <w:pPr>
              <w:pStyle w:val="TableColHd"/>
              <w:rPr>
                <w:sz w:val="16"/>
              </w:rPr>
            </w:pPr>
          </w:p>
        </w:tc>
        <w:tc>
          <w:tcPr>
            <w:tcW w:w="2880" w:type="dxa"/>
            <w:gridSpan w:val="2"/>
            <w:tcBorders>
              <w:bottom w:val="single" w:sz="4" w:space="0" w:color="auto"/>
            </w:tcBorders>
          </w:tcPr>
          <w:p w:rsidR="00AF2508" w:rsidRDefault="00AF2508">
            <w:pPr>
              <w:pStyle w:val="TableColHd"/>
              <w:spacing w:before="120"/>
              <w:jc w:val="center"/>
            </w:pPr>
            <w:r>
              <w:t>wind loads in accordance with section 123</w:t>
            </w:r>
          </w:p>
        </w:tc>
        <w:tc>
          <w:tcPr>
            <w:tcW w:w="1680" w:type="dxa"/>
            <w:gridSpan w:val="2"/>
            <w:tcBorders>
              <w:bottom w:val="nil"/>
            </w:tcBorders>
          </w:tcPr>
          <w:p w:rsidR="00AF2508" w:rsidRDefault="00AF2508">
            <w:pPr>
              <w:pStyle w:val="TableColHd"/>
              <w:rPr>
                <w:sz w:val="16"/>
              </w:rPr>
            </w:pPr>
          </w:p>
        </w:tc>
        <w:tc>
          <w:tcPr>
            <w:tcW w:w="1135" w:type="dxa"/>
          </w:tcPr>
          <w:p w:rsidR="00AF2508" w:rsidRDefault="00AF2508">
            <w:pPr>
              <w:pStyle w:val="TableColHd"/>
              <w:rPr>
                <w:sz w:val="16"/>
              </w:rPr>
            </w:pPr>
          </w:p>
        </w:tc>
      </w:tr>
      <w:tr w:rsidR="00AF2508">
        <w:trPr>
          <w:gridAfter w:val="1"/>
          <w:wAfter w:w="20" w:type="dxa"/>
          <w:cantSplit/>
          <w:trHeight w:val="1080"/>
          <w:tblHeader/>
        </w:trPr>
        <w:tc>
          <w:tcPr>
            <w:tcW w:w="2380" w:type="dxa"/>
            <w:tcBorders>
              <w:bottom w:val="single" w:sz="6" w:space="0" w:color="auto"/>
            </w:tcBorders>
            <w:vAlign w:val="bottom"/>
          </w:tcPr>
          <w:p w:rsidR="00AF2508" w:rsidRDefault="00AF2508">
            <w:pPr>
              <w:pStyle w:val="TableColHd"/>
            </w:pPr>
            <w:r>
              <w:t>type of crane or hoist</w:t>
            </w:r>
          </w:p>
        </w:tc>
        <w:tc>
          <w:tcPr>
            <w:tcW w:w="600" w:type="dxa"/>
            <w:gridSpan w:val="2"/>
            <w:tcBorders>
              <w:bottom w:val="single" w:sz="6" w:space="0" w:color="auto"/>
            </w:tcBorders>
            <w:vAlign w:val="bottom"/>
          </w:tcPr>
          <w:p w:rsidR="00AF2508" w:rsidRDefault="00AF2508">
            <w:pPr>
              <w:pStyle w:val="TableColHd"/>
              <w:rPr>
                <w:sz w:val="16"/>
              </w:rPr>
            </w:pPr>
            <w:r>
              <w:rPr>
                <w:sz w:val="16"/>
              </w:rPr>
              <w:t>ref</w:t>
            </w:r>
          </w:p>
        </w:tc>
        <w:tc>
          <w:tcPr>
            <w:tcW w:w="1680" w:type="dxa"/>
            <w:gridSpan w:val="2"/>
            <w:tcBorders>
              <w:bottom w:val="single" w:sz="6" w:space="0" w:color="auto"/>
            </w:tcBorders>
            <w:vAlign w:val="bottom"/>
          </w:tcPr>
          <w:p w:rsidR="00AF2508" w:rsidRDefault="00AF2508">
            <w:pPr>
              <w:pStyle w:val="TableColHd"/>
              <w:rPr>
                <w:sz w:val="16"/>
              </w:rPr>
            </w:pPr>
            <w:r>
              <w:rPr>
                <w:sz w:val="16"/>
              </w:rPr>
              <w:t>live loads exclusive of wind load but inclusive of horizontal forces</w:t>
            </w:r>
          </w:p>
        </w:tc>
        <w:tc>
          <w:tcPr>
            <w:tcW w:w="1080" w:type="dxa"/>
            <w:tcBorders>
              <w:bottom w:val="single" w:sz="6" w:space="0" w:color="auto"/>
            </w:tcBorders>
            <w:vAlign w:val="bottom"/>
          </w:tcPr>
          <w:p w:rsidR="00AF2508" w:rsidRDefault="00AF2508">
            <w:pPr>
              <w:pStyle w:val="TableColHd"/>
              <w:rPr>
                <w:sz w:val="16"/>
              </w:rPr>
            </w:pPr>
            <w:r>
              <w:rPr>
                <w:sz w:val="16"/>
              </w:rPr>
              <w:t>dead loads</w:t>
            </w:r>
          </w:p>
        </w:tc>
        <w:tc>
          <w:tcPr>
            <w:tcW w:w="1560" w:type="dxa"/>
            <w:tcBorders>
              <w:bottom w:val="single" w:sz="6" w:space="0" w:color="auto"/>
            </w:tcBorders>
            <w:vAlign w:val="bottom"/>
          </w:tcPr>
          <w:p w:rsidR="00AF2508" w:rsidRDefault="00AF2508">
            <w:pPr>
              <w:pStyle w:val="TableColHd"/>
              <w:rPr>
                <w:sz w:val="16"/>
              </w:rPr>
            </w:pPr>
            <w:r>
              <w:rPr>
                <w:sz w:val="16"/>
              </w:rPr>
              <w:t>crane or hoist assumed in operation</w:t>
            </w:r>
          </w:p>
        </w:tc>
        <w:tc>
          <w:tcPr>
            <w:tcW w:w="1320" w:type="dxa"/>
            <w:tcBorders>
              <w:bottom w:val="single" w:sz="6" w:space="0" w:color="auto"/>
            </w:tcBorders>
            <w:vAlign w:val="bottom"/>
          </w:tcPr>
          <w:p w:rsidR="00AF2508" w:rsidRDefault="00AF2508">
            <w:pPr>
              <w:pStyle w:val="TableColHd"/>
              <w:rPr>
                <w:sz w:val="16"/>
              </w:rPr>
            </w:pPr>
            <w:r>
              <w:rPr>
                <w:sz w:val="16"/>
              </w:rPr>
              <w:t>crane or hoist assumed not in operation</w:t>
            </w:r>
          </w:p>
        </w:tc>
        <w:tc>
          <w:tcPr>
            <w:tcW w:w="1680" w:type="dxa"/>
            <w:gridSpan w:val="2"/>
            <w:tcBorders>
              <w:bottom w:val="single" w:sz="6" w:space="0" w:color="auto"/>
            </w:tcBorders>
          </w:tcPr>
          <w:p w:rsidR="00AF2508" w:rsidRDefault="00AF2508">
            <w:pPr>
              <w:pStyle w:val="TableColHd"/>
              <w:rPr>
                <w:sz w:val="16"/>
              </w:rPr>
            </w:pPr>
            <w:r>
              <w:rPr>
                <w:sz w:val="16"/>
              </w:rPr>
              <w:t>1 load equal to 30% of working load—acting vertically upwards at point of application of working load</w:t>
            </w:r>
          </w:p>
        </w:tc>
        <w:tc>
          <w:tcPr>
            <w:tcW w:w="1135" w:type="dxa"/>
            <w:tcBorders>
              <w:bottom w:val="single" w:sz="6" w:space="0" w:color="auto"/>
            </w:tcBorders>
            <w:vAlign w:val="bottom"/>
          </w:tcPr>
          <w:p w:rsidR="00AF2508" w:rsidRDefault="00AF2508">
            <w:pPr>
              <w:pStyle w:val="TableColHd"/>
              <w:rPr>
                <w:sz w:val="16"/>
              </w:rPr>
            </w:pPr>
            <w:r>
              <w:rPr>
                <w:sz w:val="16"/>
              </w:rPr>
              <w:t>ratio of stability—minimum</w:t>
            </w:r>
          </w:p>
        </w:tc>
      </w:tr>
      <w:tr w:rsidR="00AF2508">
        <w:trPr>
          <w:gridAfter w:val="1"/>
          <w:wAfter w:w="20" w:type="dxa"/>
          <w:cantSplit/>
        </w:trPr>
        <w:tc>
          <w:tcPr>
            <w:tcW w:w="2400" w:type="dxa"/>
            <w:gridSpan w:val="2"/>
            <w:tcBorders>
              <w:top w:val="single" w:sz="6" w:space="0" w:color="auto"/>
            </w:tcBorders>
          </w:tcPr>
          <w:p w:rsidR="00AF2508" w:rsidRDefault="00AF2508">
            <w:pPr>
              <w:ind w:right="-20" w:firstLine="20"/>
              <w:rPr>
                <w:color w:val="000000"/>
                <w:sz w:val="20"/>
              </w:rPr>
            </w:pPr>
            <w:r>
              <w:rPr>
                <w:color w:val="000000"/>
                <w:sz w:val="20"/>
              </w:rPr>
              <w:t>stationary crane or hoist or any travelling crane or hoist other than undermentioned</w:t>
            </w:r>
          </w:p>
        </w:tc>
        <w:tc>
          <w:tcPr>
            <w:tcW w:w="620" w:type="dxa"/>
            <w:gridSpan w:val="2"/>
            <w:tcBorders>
              <w:top w:val="single" w:sz="6" w:space="0" w:color="auto"/>
            </w:tcBorders>
          </w:tcPr>
          <w:p w:rsidR="00AF2508" w:rsidRDefault="00AF2508">
            <w:pPr>
              <w:spacing w:before="280"/>
              <w:ind w:right="-20"/>
              <w:rPr>
                <w:color w:val="000000"/>
                <w:sz w:val="20"/>
              </w:rPr>
            </w:pPr>
            <w:r>
              <w:rPr>
                <w:color w:val="000000"/>
                <w:sz w:val="20"/>
              </w:rPr>
              <w:t>A</w:t>
            </w:r>
          </w:p>
        </w:tc>
        <w:tc>
          <w:tcPr>
            <w:tcW w:w="1640" w:type="dxa"/>
            <w:tcBorders>
              <w:top w:val="single" w:sz="6" w:space="0" w:color="auto"/>
            </w:tcBorders>
          </w:tcPr>
          <w:p w:rsidR="00AF2508" w:rsidRDefault="00AF2508">
            <w:pPr>
              <w:ind w:right="-20"/>
              <w:rPr>
                <w:color w:val="000000"/>
                <w:sz w:val="20"/>
              </w:rPr>
            </w:pPr>
            <w:r>
              <w:rPr>
                <w:color w:val="000000"/>
                <w:sz w:val="20"/>
              </w:rPr>
              <w:fldChar w:fldCharType="begin"/>
            </w:r>
            <w:r>
              <w:rPr>
                <w:color w:val="000000"/>
                <w:sz w:val="20"/>
              </w:rPr>
              <w:instrText xml:space="preserve"> EQ \B\LC\{(\A\HS10\AL(  include,  omit,  omit)) </w:instrText>
            </w:r>
            <w:r>
              <w:rPr>
                <w:color w:val="000000"/>
                <w:sz w:val="20"/>
              </w:rPr>
              <w:fldChar w:fldCharType="end"/>
            </w:r>
          </w:p>
        </w:tc>
        <w:tc>
          <w:tcPr>
            <w:tcW w:w="1080" w:type="dxa"/>
            <w:tcBorders>
              <w:top w:val="single" w:sz="6" w:space="0" w:color="auto"/>
            </w:tcBorders>
          </w:tcPr>
          <w:p w:rsidR="00AF2508" w:rsidRDefault="00AF2508">
            <w:pPr>
              <w:ind w:left="20" w:right="-20"/>
              <w:rPr>
                <w:color w:val="000000"/>
                <w:sz w:val="20"/>
              </w:rPr>
            </w:pPr>
            <w:r>
              <w:rPr>
                <w:color w:val="000000"/>
                <w:sz w:val="20"/>
              </w:rPr>
              <w:t>include</w:t>
            </w:r>
            <w:r>
              <w:rPr>
                <w:color w:val="000000"/>
                <w:sz w:val="20"/>
              </w:rPr>
              <w:br/>
              <w:t>include</w:t>
            </w:r>
            <w:r>
              <w:rPr>
                <w:color w:val="000000"/>
                <w:sz w:val="20"/>
              </w:rPr>
              <w:br/>
              <w:t>include</w:t>
            </w:r>
          </w:p>
        </w:tc>
        <w:tc>
          <w:tcPr>
            <w:tcW w:w="1560" w:type="dxa"/>
            <w:tcBorders>
              <w:top w:val="single" w:sz="6" w:space="0" w:color="auto"/>
            </w:tcBorders>
          </w:tcPr>
          <w:p w:rsidR="00AF2508" w:rsidRDefault="00AF2508">
            <w:pPr>
              <w:ind w:right="-20"/>
              <w:rPr>
                <w:color w:val="000000"/>
                <w:sz w:val="20"/>
              </w:rPr>
            </w:pPr>
            <w:r>
              <w:rPr>
                <w:color w:val="000000"/>
                <w:sz w:val="20"/>
              </w:rPr>
              <w:t>include</w:t>
            </w:r>
            <w:r>
              <w:rPr>
                <w:color w:val="000000"/>
                <w:sz w:val="20"/>
              </w:rPr>
              <w:br/>
              <w:t>omit</w:t>
            </w:r>
            <w:r>
              <w:rPr>
                <w:color w:val="000000"/>
                <w:sz w:val="20"/>
              </w:rPr>
              <w:br/>
              <w:t>. .</w:t>
            </w:r>
          </w:p>
        </w:tc>
        <w:tc>
          <w:tcPr>
            <w:tcW w:w="1320" w:type="dxa"/>
            <w:tcBorders>
              <w:top w:val="single" w:sz="6" w:space="0" w:color="auto"/>
            </w:tcBorders>
          </w:tcPr>
          <w:p w:rsidR="00AF2508" w:rsidRDefault="00AF2508">
            <w:pPr>
              <w:ind w:right="-20"/>
              <w:rPr>
                <w:color w:val="000000"/>
                <w:sz w:val="20"/>
              </w:rPr>
            </w:pPr>
            <w:r>
              <w:rPr>
                <w:color w:val="000000"/>
                <w:sz w:val="20"/>
              </w:rPr>
              <w:t>. .</w:t>
            </w:r>
            <w:r>
              <w:rPr>
                <w:color w:val="000000"/>
                <w:sz w:val="20"/>
              </w:rPr>
              <w:br/>
              <w:t>omit</w:t>
            </w:r>
            <w:r>
              <w:rPr>
                <w:color w:val="000000"/>
                <w:sz w:val="20"/>
              </w:rPr>
              <w:br/>
              <w:t>include</w:t>
            </w:r>
          </w:p>
        </w:tc>
        <w:tc>
          <w:tcPr>
            <w:tcW w:w="1680" w:type="dxa"/>
            <w:gridSpan w:val="2"/>
            <w:tcBorders>
              <w:top w:val="single" w:sz="6" w:space="0" w:color="auto"/>
            </w:tcBorders>
          </w:tcPr>
          <w:p w:rsidR="00AF2508" w:rsidRDefault="00AF2508">
            <w:pPr>
              <w:ind w:right="-20"/>
              <w:rPr>
                <w:color w:val="000000"/>
                <w:sz w:val="20"/>
              </w:rPr>
            </w:pPr>
            <w:r>
              <w:rPr>
                <w:color w:val="000000"/>
                <w:sz w:val="20"/>
              </w:rPr>
              <w:t>omit</w:t>
            </w:r>
            <w:r>
              <w:rPr>
                <w:color w:val="000000"/>
                <w:sz w:val="20"/>
              </w:rPr>
              <w:br/>
              <w:t>omit</w:t>
            </w:r>
            <w:r>
              <w:rPr>
                <w:color w:val="000000"/>
                <w:sz w:val="20"/>
              </w:rPr>
              <w:br/>
              <w:t>omit</w:t>
            </w:r>
          </w:p>
        </w:tc>
        <w:tc>
          <w:tcPr>
            <w:tcW w:w="1135" w:type="dxa"/>
            <w:tcBorders>
              <w:top w:val="single" w:sz="6" w:space="0" w:color="auto"/>
            </w:tcBorders>
          </w:tcPr>
          <w:p w:rsidR="00AF2508" w:rsidRDefault="00AF2508">
            <w:pPr>
              <w:ind w:right="-20"/>
              <w:rPr>
                <w:color w:val="000000"/>
                <w:sz w:val="20"/>
              </w:rPr>
            </w:pPr>
            <w:r>
              <w:rPr>
                <w:color w:val="000000"/>
                <w:sz w:val="20"/>
              </w:rPr>
              <w:t>1.3</w:t>
            </w:r>
            <w:r>
              <w:rPr>
                <w:color w:val="000000"/>
                <w:sz w:val="20"/>
              </w:rPr>
              <w:br/>
              <w:t>1.8</w:t>
            </w:r>
            <w:r>
              <w:rPr>
                <w:color w:val="000000"/>
                <w:sz w:val="20"/>
              </w:rPr>
              <w:br/>
              <w:t>1.5</w:t>
            </w:r>
          </w:p>
        </w:tc>
      </w:tr>
      <w:tr w:rsidR="00AF2508">
        <w:trPr>
          <w:gridAfter w:val="1"/>
          <w:wAfter w:w="20" w:type="dxa"/>
          <w:cantSplit/>
        </w:trPr>
        <w:tc>
          <w:tcPr>
            <w:tcW w:w="2400" w:type="dxa"/>
            <w:gridSpan w:val="2"/>
          </w:tcPr>
          <w:p w:rsidR="00AF2508" w:rsidRDefault="00AF2508">
            <w:pPr>
              <w:spacing w:before="760"/>
              <w:ind w:right="-20"/>
              <w:rPr>
                <w:color w:val="000000"/>
                <w:sz w:val="20"/>
              </w:rPr>
            </w:pPr>
            <w:r>
              <w:rPr>
                <w:color w:val="000000"/>
                <w:sz w:val="20"/>
              </w:rPr>
              <w:t>travelling slewing cranes and tower slewing cranes</w:t>
            </w:r>
          </w:p>
        </w:tc>
        <w:tc>
          <w:tcPr>
            <w:tcW w:w="620" w:type="dxa"/>
            <w:gridSpan w:val="2"/>
          </w:tcPr>
          <w:p w:rsidR="00AF2508" w:rsidRDefault="00AF2508">
            <w:pPr>
              <w:spacing w:before="760"/>
              <w:ind w:right="-20"/>
              <w:rPr>
                <w:color w:val="000000"/>
                <w:sz w:val="20"/>
              </w:rPr>
            </w:pPr>
            <w:r>
              <w:rPr>
                <w:color w:val="000000"/>
                <w:sz w:val="20"/>
              </w:rPr>
              <w:t>B</w:t>
            </w:r>
          </w:p>
        </w:tc>
        <w:bookmarkStart w:id="231" w:name="_MON_1090412642"/>
        <w:bookmarkStart w:id="232" w:name="_MON_1090412699"/>
        <w:bookmarkStart w:id="233" w:name="_MON_1090822641"/>
        <w:bookmarkStart w:id="234" w:name="_MON_1090823194"/>
        <w:bookmarkStart w:id="235" w:name="_MON_1090823354"/>
        <w:bookmarkStart w:id="236" w:name="_MON_1159698761"/>
        <w:bookmarkStart w:id="237" w:name="_MON_1160831920"/>
        <w:bookmarkStart w:id="238" w:name="_MON_1235378808"/>
        <w:bookmarkEnd w:id="231"/>
        <w:bookmarkEnd w:id="232"/>
        <w:bookmarkEnd w:id="233"/>
        <w:bookmarkEnd w:id="234"/>
        <w:bookmarkEnd w:id="235"/>
        <w:bookmarkEnd w:id="236"/>
        <w:bookmarkEnd w:id="237"/>
        <w:bookmarkEnd w:id="238"/>
        <w:bookmarkStart w:id="239" w:name="_MON_1090412029"/>
        <w:bookmarkEnd w:id="239"/>
        <w:tc>
          <w:tcPr>
            <w:tcW w:w="1640" w:type="dxa"/>
          </w:tcPr>
          <w:p w:rsidR="00AF2508" w:rsidRDefault="00AF2508">
            <w:pPr>
              <w:ind w:left="-80" w:right="-20"/>
              <w:rPr>
                <w:color w:val="000000"/>
                <w:sz w:val="20"/>
              </w:rPr>
            </w:pPr>
            <w:r>
              <w:rPr>
                <w:color w:val="000000"/>
                <w:sz w:val="20"/>
              </w:rPr>
              <w:object w:dxaOrig="1005" w:dyaOrig="2175">
                <v:shape id="_x0000_i1041" type="#_x0000_t75" style="width:50.25pt;height:108.75pt" o:ole="" fillcolor="window">
                  <v:imagedata r:id="rId83" o:title=""/>
                </v:shape>
                <o:OLEObject Type="Embed" ProgID="Word.Picture.8" ShapeID="_x0000_i1041" DrawAspect="Content" ObjectID="_1595940266" r:id="rId84"/>
              </w:object>
            </w:r>
          </w:p>
        </w:tc>
        <w:tc>
          <w:tcPr>
            <w:tcW w:w="1080" w:type="dxa"/>
          </w:tcPr>
          <w:p w:rsidR="00AF2508" w:rsidRDefault="00AF2508">
            <w:pPr>
              <w:spacing w:before="120"/>
              <w:ind w:right="-20"/>
              <w:rPr>
                <w:color w:val="000000"/>
                <w:sz w:val="20"/>
              </w:rPr>
            </w:pPr>
            <w:r>
              <w:rPr>
                <w:color w:val="000000"/>
                <w:sz w:val="20"/>
              </w:rPr>
              <w:t>include</w:t>
            </w:r>
            <w:r>
              <w:rPr>
                <w:color w:val="000000"/>
                <w:sz w:val="20"/>
              </w:rPr>
              <w:br/>
              <w:t>include</w:t>
            </w:r>
            <w:r>
              <w:rPr>
                <w:color w:val="000000"/>
                <w:sz w:val="20"/>
              </w:rPr>
              <w:br/>
              <w:t>include</w:t>
            </w:r>
            <w:r>
              <w:rPr>
                <w:color w:val="000000"/>
                <w:sz w:val="20"/>
              </w:rPr>
              <w:br/>
              <w:t>include</w:t>
            </w:r>
            <w:r>
              <w:rPr>
                <w:color w:val="000000"/>
                <w:sz w:val="20"/>
              </w:rPr>
              <w:br/>
              <w:t>include</w:t>
            </w:r>
            <w:r>
              <w:rPr>
                <w:color w:val="000000"/>
                <w:sz w:val="20"/>
              </w:rPr>
              <w:br/>
            </w:r>
            <w:r>
              <w:rPr>
                <w:color w:val="000000"/>
                <w:sz w:val="20"/>
              </w:rPr>
              <w:br/>
            </w:r>
            <w:r>
              <w:rPr>
                <w:color w:val="000000"/>
                <w:sz w:val="20"/>
              </w:rPr>
              <w:br/>
              <w:t>include</w:t>
            </w:r>
          </w:p>
        </w:tc>
        <w:tc>
          <w:tcPr>
            <w:tcW w:w="1560" w:type="dxa"/>
          </w:tcPr>
          <w:p w:rsidR="00AF2508" w:rsidRDefault="00AF2508">
            <w:pPr>
              <w:spacing w:before="120"/>
              <w:ind w:right="-20"/>
              <w:rPr>
                <w:color w:val="000000"/>
                <w:sz w:val="20"/>
              </w:rPr>
            </w:pPr>
            <w:r>
              <w:rPr>
                <w:color w:val="000000"/>
                <w:sz w:val="20"/>
              </w:rPr>
              <w:t>omit</w:t>
            </w:r>
            <w:r>
              <w:rPr>
                <w:color w:val="000000"/>
                <w:sz w:val="20"/>
              </w:rPr>
              <w:br/>
              <w:t>include</w:t>
            </w:r>
            <w:r>
              <w:rPr>
                <w:color w:val="000000"/>
                <w:sz w:val="20"/>
              </w:rPr>
              <w:br/>
              <w:t>omit</w:t>
            </w:r>
            <w:r>
              <w:rPr>
                <w:color w:val="000000"/>
                <w:sz w:val="20"/>
              </w:rPr>
              <w:br/>
              <w:t>omit</w:t>
            </w:r>
            <w:r>
              <w:rPr>
                <w:color w:val="000000"/>
                <w:sz w:val="20"/>
              </w:rPr>
              <w:br/>
              <w:t>. .</w:t>
            </w:r>
            <w:r>
              <w:rPr>
                <w:color w:val="000000"/>
                <w:sz w:val="20"/>
              </w:rPr>
              <w:br/>
            </w:r>
            <w:r>
              <w:rPr>
                <w:color w:val="000000"/>
                <w:sz w:val="20"/>
              </w:rPr>
              <w:br/>
            </w:r>
            <w:r>
              <w:rPr>
                <w:color w:val="000000"/>
                <w:sz w:val="20"/>
              </w:rPr>
              <w:br/>
              <w:t>. .</w:t>
            </w:r>
          </w:p>
        </w:tc>
        <w:tc>
          <w:tcPr>
            <w:tcW w:w="1320" w:type="dxa"/>
          </w:tcPr>
          <w:p w:rsidR="00AF2508" w:rsidRDefault="00AF2508">
            <w:pPr>
              <w:spacing w:before="120"/>
              <w:ind w:right="-20"/>
              <w:rPr>
                <w:color w:val="000000"/>
                <w:sz w:val="20"/>
              </w:rPr>
            </w:pPr>
            <w:r>
              <w:rPr>
                <w:color w:val="000000"/>
                <w:sz w:val="20"/>
              </w:rPr>
              <w:t>omit</w:t>
            </w:r>
            <w:r>
              <w:rPr>
                <w:color w:val="000000"/>
                <w:sz w:val="20"/>
              </w:rPr>
              <w:br/>
              <w:t>. .</w:t>
            </w:r>
            <w:r>
              <w:rPr>
                <w:color w:val="000000"/>
                <w:sz w:val="20"/>
              </w:rPr>
              <w:br/>
              <w:t>omit</w:t>
            </w:r>
            <w:r>
              <w:rPr>
                <w:color w:val="000000"/>
                <w:sz w:val="20"/>
              </w:rPr>
              <w:br/>
              <w:t>omit</w:t>
            </w:r>
            <w:r>
              <w:rPr>
                <w:color w:val="000000"/>
                <w:sz w:val="20"/>
              </w:rPr>
              <w:br/>
              <w:t>include wind acting from the rear.</w:t>
            </w:r>
            <w:r>
              <w:rPr>
                <w:color w:val="000000"/>
                <w:sz w:val="20"/>
              </w:rPr>
              <w:br/>
              <w:t>include wind acting from front or from side</w:t>
            </w:r>
          </w:p>
        </w:tc>
        <w:tc>
          <w:tcPr>
            <w:tcW w:w="1680" w:type="dxa"/>
            <w:gridSpan w:val="2"/>
          </w:tcPr>
          <w:p w:rsidR="00AF2508" w:rsidRDefault="00AF2508">
            <w:pPr>
              <w:spacing w:before="120"/>
              <w:ind w:right="-20"/>
              <w:rPr>
                <w:color w:val="000000"/>
                <w:sz w:val="20"/>
              </w:rPr>
            </w:pPr>
            <w:r>
              <w:rPr>
                <w:color w:val="000000"/>
                <w:sz w:val="20"/>
              </w:rPr>
              <w:t>omit</w:t>
            </w:r>
            <w:r>
              <w:rPr>
                <w:color w:val="000000"/>
                <w:sz w:val="20"/>
              </w:rPr>
              <w:br/>
              <w:t>omit</w:t>
            </w:r>
            <w:r>
              <w:rPr>
                <w:color w:val="000000"/>
                <w:sz w:val="20"/>
              </w:rPr>
              <w:br/>
              <w:t>omit</w:t>
            </w:r>
            <w:r>
              <w:rPr>
                <w:color w:val="000000"/>
                <w:sz w:val="20"/>
              </w:rPr>
              <w:br/>
              <w:t>include</w:t>
            </w:r>
            <w:r>
              <w:rPr>
                <w:color w:val="000000"/>
                <w:sz w:val="20"/>
              </w:rPr>
              <w:br/>
              <w:t>omit</w:t>
            </w:r>
            <w:r>
              <w:rPr>
                <w:color w:val="000000"/>
                <w:sz w:val="20"/>
              </w:rPr>
              <w:br/>
            </w:r>
            <w:r>
              <w:rPr>
                <w:color w:val="000000"/>
                <w:sz w:val="20"/>
              </w:rPr>
              <w:br/>
            </w:r>
            <w:r>
              <w:rPr>
                <w:color w:val="000000"/>
                <w:sz w:val="20"/>
              </w:rPr>
              <w:br/>
              <w:t>omit</w:t>
            </w:r>
          </w:p>
        </w:tc>
        <w:tc>
          <w:tcPr>
            <w:tcW w:w="1135" w:type="dxa"/>
          </w:tcPr>
          <w:p w:rsidR="00AF2508" w:rsidRDefault="00AF2508">
            <w:pPr>
              <w:spacing w:before="120"/>
              <w:ind w:right="-20"/>
              <w:rPr>
                <w:color w:val="000000"/>
                <w:sz w:val="20"/>
              </w:rPr>
            </w:pPr>
            <w:r>
              <w:rPr>
                <w:color w:val="000000"/>
                <w:sz w:val="20"/>
              </w:rPr>
              <w:t>1.3</w:t>
            </w:r>
            <w:r>
              <w:rPr>
                <w:color w:val="000000"/>
                <w:sz w:val="20"/>
              </w:rPr>
              <w:br/>
              <w:t>1.0</w:t>
            </w:r>
            <w:r>
              <w:rPr>
                <w:color w:val="000000"/>
                <w:sz w:val="20"/>
              </w:rPr>
              <w:br/>
              <w:t>1.4</w:t>
            </w:r>
            <w:r>
              <w:rPr>
                <w:color w:val="000000"/>
                <w:sz w:val="20"/>
              </w:rPr>
              <w:br/>
              <w:t>1.0</w:t>
            </w:r>
            <w:r>
              <w:rPr>
                <w:color w:val="000000"/>
                <w:sz w:val="20"/>
              </w:rPr>
              <w:br/>
              <w:t>1.5</w:t>
            </w:r>
            <w:r>
              <w:rPr>
                <w:color w:val="000000"/>
                <w:sz w:val="20"/>
              </w:rPr>
              <w:br/>
            </w:r>
            <w:r>
              <w:rPr>
                <w:color w:val="000000"/>
                <w:sz w:val="20"/>
              </w:rPr>
              <w:br/>
            </w:r>
            <w:r>
              <w:rPr>
                <w:color w:val="000000"/>
                <w:sz w:val="20"/>
              </w:rPr>
              <w:br/>
              <w:t>1.0</w:t>
            </w:r>
          </w:p>
        </w:tc>
      </w:tr>
      <w:tr w:rsidR="00AF2508">
        <w:trPr>
          <w:gridAfter w:val="1"/>
          <w:wAfter w:w="20" w:type="dxa"/>
          <w:cantSplit/>
        </w:trPr>
        <w:tc>
          <w:tcPr>
            <w:tcW w:w="2400" w:type="dxa"/>
            <w:gridSpan w:val="2"/>
          </w:tcPr>
          <w:p w:rsidR="00AF2508" w:rsidRDefault="00AF2508">
            <w:pPr>
              <w:keepNext/>
              <w:ind w:right="-20"/>
              <w:rPr>
                <w:color w:val="000000"/>
                <w:sz w:val="20"/>
              </w:rPr>
            </w:pPr>
          </w:p>
        </w:tc>
        <w:tc>
          <w:tcPr>
            <w:tcW w:w="620" w:type="dxa"/>
            <w:gridSpan w:val="2"/>
          </w:tcPr>
          <w:p w:rsidR="00AF2508" w:rsidRDefault="00AF2508">
            <w:pPr>
              <w:keepNext/>
              <w:ind w:right="-20"/>
              <w:rPr>
                <w:color w:val="000000"/>
                <w:sz w:val="20"/>
              </w:rPr>
            </w:pPr>
          </w:p>
        </w:tc>
        <w:tc>
          <w:tcPr>
            <w:tcW w:w="5600" w:type="dxa"/>
            <w:gridSpan w:val="4"/>
          </w:tcPr>
          <w:p w:rsidR="00AF2508" w:rsidRDefault="00AF2508">
            <w:pPr>
              <w:keepNext/>
              <w:ind w:right="-20"/>
              <w:jc w:val="center"/>
              <w:rPr>
                <w:color w:val="000000"/>
                <w:sz w:val="20"/>
              </w:rPr>
            </w:pPr>
            <w:r>
              <w:rPr>
                <w:color w:val="000000"/>
                <w:sz w:val="20"/>
              </w:rPr>
              <w:t xml:space="preserve">repeat all shown for </w:t>
            </w:r>
            <w:r>
              <w:rPr>
                <w:i/>
                <w:color w:val="000000"/>
                <w:sz w:val="20"/>
              </w:rPr>
              <w:t>stationary cranes</w:t>
            </w:r>
            <w:r>
              <w:rPr>
                <w:color w:val="000000"/>
                <w:sz w:val="20"/>
              </w:rPr>
              <w:t xml:space="preserve"> and add—</w:t>
            </w:r>
          </w:p>
        </w:tc>
        <w:tc>
          <w:tcPr>
            <w:tcW w:w="1680" w:type="dxa"/>
            <w:gridSpan w:val="2"/>
          </w:tcPr>
          <w:p w:rsidR="00AF2508" w:rsidRDefault="00AF2508">
            <w:pPr>
              <w:keepNext/>
              <w:ind w:right="-20"/>
              <w:rPr>
                <w:color w:val="000000"/>
                <w:sz w:val="20"/>
              </w:rPr>
            </w:pPr>
          </w:p>
        </w:tc>
        <w:tc>
          <w:tcPr>
            <w:tcW w:w="1135" w:type="dxa"/>
          </w:tcPr>
          <w:p w:rsidR="00AF2508" w:rsidRDefault="00AF2508">
            <w:pPr>
              <w:keepNext/>
              <w:ind w:right="-20"/>
              <w:rPr>
                <w:color w:val="000000"/>
                <w:sz w:val="20"/>
              </w:rPr>
            </w:pPr>
          </w:p>
        </w:tc>
      </w:tr>
      <w:tr w:rsidR="00AF2508">
        <w:trPr>
          <w:cantSplit/>
        </w:trPr>
        <w:tc>
          <w:tcPr>
            <w:tcW w:w="2400" w:type="dxa"/>
            <w:gridSpan w:val="2"/>
            <w:tcBorders>
              <w:bottom w:val="single" w:sz="6" w:space="0" w:color="auto"/>
            </w:tcBorders>
          </w:tcPr>
          <w:p w:rsidR="00AF2508" w:rsidRDefault="00AF2508">
            <w:pPr>
              <w:spacing w:before="360" w:after="120"/>
              <w:ind w:left="160" w:right="-20" w:hanging="140"/>
              <w:rPr>
                <w:color w:val="000000"/>
                <w:sz w:val="20"/>
              </w:rPr>
            </w:pPr>
            <w:r>
              <w:rPr>
                <w:color w:val="000000"/>
                <w:sz w:val="20"/>
              </w:rPr>
              <w:t>floating cranes</w:t>
            </w:r>
          </w:p>
        </w:tc>
        <w:tc>
          <w:tcPr>
            <w:tcW w:w="620" w:type="dxa"/>
            <w:gridSpan w:val="2"/>
            <w:tcBorders>
              <w:bottom w:val="single" w:sz="6" w:space="0" w:color="auto"/>
            </w:tcBorders>
          </w:tcPr>
          <w:p w:rsidR="00AF2508" w:rsidRDefault="00AF2508">
            <w:pPr>
              <w:spacing w:before="360" w:after="120"/>
              <w:ind w:right="-20"/>
              <w:rPr>
                <w:color w:val="000000"/>
                <w:sz w:val="20"/>
              </w:rPr>
            </w:pPr>
            <w:r>
              <w:rPr>
                <w:color w:val="000000"/>
                <w:sz w:val="20"/>
              </w:rPr>
              <w:t>C</w:t>
            </w:r>
          </w:p>
        </w:tc>
        <w:bookmarkStart w:id="240" w:name="_MON_1090822027"/>
        <w:bookmarkStart w:id="241" w:name="_MON_1159698762"/>
        <w:bookmarkStart w:id="242" w:name="_MON_1235378810"/>
        <w:bookmarkEnd w:id="240"/>
        <w:bookmarkEnd w:id="241"/>
        <w:bookmarkEnd w:id="242"/>
        <w:bookmarkStart w:id="243" w:name="_MON_1090412561"/>
        <w:bookmarkEnd w:id="243"/>
        <w:tc>
          <w:tcPr>
            <w:tcW w:w="1640" w:type="dxa"/>
            <w:tcBorders>
              <w:bottom w:val="single" w:sz="6" w:space="0" w:color="auto"/>
            </w:tcBorders>
          </w:tcPr>
          <w:p w:rsidR="00AF2508" w:rsidRDefault="00AF2508">
            <w:pPr>
              <w:ind w:right="-20"/>
              <w:rPr>
                <w:color w:val="000000"/>
                <w:sz w:val="16"/>
              </w:rPr>
            </w:pPr>
            <w:r>
              <w:rPr>
                <w:color w:val="000000"/>
                <w:sz w:val="20"/>
              </w:rPr>
              <w:object w:dxaOrig="1351" w:dyaOrig="766">
                <v:shape id="_x0000_i1042" type="#_x0000_t75" style="width:67.5pt;height:38.25pt" o:ole="" fillcolor="window">
                  <v:imagedata r:id="rId85" o:title=""/>
                </v:shape>
                <o:OLEObject Type="Embed" ProgID="Word.Picture.8" ShapeID="_x0000_i1042" DrawAspect="Content" ObjectID="_1595940267" r:id="rId86"/>
              </w:object>
            </w:r>
          </w:p>
        </w:tc>
        <w:tc>
          <w:tcPr>
            <w:tcW w:w="1080" w:type="dxa"/>
            <w:tcBorders>
              <w:bottom w:val="single" w:sz="6" w:space="0" w:color="auto"/>
            </w:tcBorders>
          </w:tcPr>
          <w:p w:rsidR="00AF2508" w:rsidRDefault="00AF2508">
            <w:pPr>
              <w:spacing w:before="120" w:after="60"/>
              <w:ind w:left="-60" w:right="-120"/>
              <w:rPr>
                <w:color w:val="000000"/>
                <w:sz w:val="20"/>
              </w:rPr>
            </w:pPr>
            <w:r>
              <w:rPr>
                <w:color w:val="000000"/>
                <w:sz w:val="20"/>
              </w:rPr>
              <w:t>include</w:t>
            </w:r>
          </w:p>
          <w:p w:rsidR="00AF2508" w:rsidRDefault="00AF2508">
            <w:pPr>
              <w:spacing w:after="120"/>
              <w:ind w:left="-60" w:right="-120"/>
              <w:rPr>
                <w:color w:val="000000"/>
                <w:sz w:val="16"/>
              </w:rPr>
            </w:pPr>
            <w:r>
              <w:rPr>
                <w:color w:val="000000"/>
                <w:sz w:val="20"/>
              </w:rPr>
              <w:t>include</w:t>
            </w:r>
          </w:p>
        </w:tc>
        <w:tc>
          <w:tcPr>
            <w:tcW w:w="1560" w:type="dxa"/>
            <w:tcBorders>
              <w:bottom w:val="single" w:sz="6" w:space="0" w:color="auto"/>
            </w:tcBorders>
          </w:tcPr>
          <w:p w:rsidR="00AF2508" w:rsidRDefault="00AF2508">
            <w:pPr>
              <w:spacing w:before="120" w:after="60"/>
              <w:ind w:right="-20"/>
              <w:rPr>
                <w:color w:val="000000"/>
                <w:sz w:val="16"/>
              </w:rPr>
            </w:pPr>
            <w:r>
              <w:rPr>
                <w:color w:val="000000"/>
                <w:sz w:val="16"/>
              </w:rPr>
              <w:t>. .</w:t>
            </w:r>
          </w:p>
          <w:p w:rsidR="00AF2508" w:rsidRDefault="00AF2508">
            <w:pPr>
              <w:spacing w:after="120"/>
              <w:ind w:right="-20"/>
              <w:rPr>
                <w:color w:val="000000"/>
                <w:sz w:val="16"/>
              </w:rPr>
            </w:pPr>
            <w:r>
              <w:rPr>
                <w:color w:val="000000"/>
                <w:sz w:val="16"/>
              </w:rPr>
              <w:t>. .</w:t>
            </w:r>
          </w:p>
        </w:tc>
        <w:tc>
          <w:tcPr>
            <w:tcW w:w="1320" w:type="dxa"/>
            <w:tcBorders>
              <w:bottom w:val="single" w:sz="6" w:space="0" w:color="auto"/>
            </w:tcBorders>
          </w:tcPr>
          <w:p w:rsidR="00AF2508" w:rsidRDefault="00AF2508">
            <w:pPr>
              <w:spacing w:before="120" w:after="60"/>
              <w:ind w:right="-100"/>
              <w:rPr>
                <w:color w:val="000000"/>
                <w:sz w:val="20"/>
              </w:rPr>
            </w:pPr>
            <w:r>
              <w:rPr>
                <w:color w:val="000000"/>
                <w:sz w:val="20"/>
              </w:rPr>
              <w:t>include</w:t>
            </w:r>
          </w:p>
          <w:p w:rsidR="00AF2508" w:rsidRDefault="00AF2508">
            <w:pPr>
              <w:spacing w:after="120"/>
              <w:ind w:right="-100"/>
              <w:rPr>
                <w:color w:val="000000"/>
                <w:sz w:val="16"/>
              </w:rPr>
            </w:pPr>
            <w:r>
              <w:rPr>
                <w:color w:val="000000"/>
                <w:sz w:val="20"/>
              </w:rPr>
              <w:t>include</w:t>
            </w:r>
          </w:p>
        </w:tc>
        <w:tc>
          <w:tcPr>
            <w:tcW w:w="855" w:type="dxa"/>
            <w:tcBorders>
              <w:bottom w:val="single" w:sz="6" w:space="0" w:color="auto"/>
            </w:tcBorders>
          </w:tcPr>
          <w:p w:rsidR="00AF2508" w:rsidRDefault="00AF2508">
            <w:pPr>
              <w:spacing w:before="120" w:after="60"/>
              <w:ind w:right="-20"/>
              <w:rPr>
                <w:color w:val="000000"/>
                <w:sz w:val="20"/>
              </w:rPr>
            </w:pPr>
            <w:r>
              <w:rPr>
                <w:color w:val="000000"/>
                <w:sz w:val="20"/>
              </w:rPr>
              <w:t>omit</w:t>
            </w:r>
          </w:p>
          <w:p w:rsidR="00AF2508" w:rsidRDefault="00AF2508">
            <w:pPr>
              <w:spacing w:after="120"/>
              <w:ind w:right="-20"/>
              <w:rPr>
                <w:color w:val="000000"/>
                <w:sz w:val="16"/>
              </w:rPr>
            </w:pPr>
            <w:r>
              <w:rPr>
                <w:color w:val="000000"/>
                <w:sz w:val="20"/>
              </w:rPr>
              <w:t>omit</w:t>
            </w:r>
          </w:p>
        </w:tc>
        <w:tc>
          <w:tcPr>
            <w:tcW w:w="1980" w:type="dxa"/>
            <w:gridSpan w:val="3"/>
            <w:tcBorders>
              <w:bottom w:val="single" w:sz="6" w:space="0" w:color="auto"/>
            </w:tcBorders>
          </w:tcPr>
          <w:p w:rsidR="00AF2508" w:rsidRDefault="00AF2508">
            <w:pPr>
              <w:pStyle w:val="Formula"/>
            </w:pPr>
            <w:r>
              <w:rPr>
                <w:position w:val="-52"/>
              </w:rPr>
              <w:object w:dxaOrig="1840" w:dyaOrig="1140">
                <v:shape id="_x0000_i1043" type="#_x0000_t75" style="width:92.25pt;height:57pt" o:ole="" fillcolor="window">
                  <v:imagedata r:id="rId87" o:title=""/>
                </v:shape>
                <o:OLEObject Type="Embed" ProgID="Equation.2" ShapeID="_x0000_i1043" DrawAspect="Content" ObjectID="_1595940268" r:id="rId88"/>
              </w:object>
            </w:r>
          </w:p>
        </w:tc>
      </w:tr>
    </w:tbl>
    <w:p w:rsidR="00AF2508" w:rsidRDefault="00AF2508">
      <w:pPr>
        <w:spacing w:before="60"/>
        <w:rPr>
          <w:sz w:val="20"/>
        </w:rPr>
      </w:pPr>
      <w:r>
        <w:rPr>
          <w:sz w:val="20"/>
        </w:rPr>
        <w:t>Reference B includes cranes travelling on horizontal, level tracks, without superelevation.  If these conditions are not ensured, full allowance must be made for more adverse circumstances.</w:t>
      </w:r>
    </w:p>
    <w:p w:rsidR="00AF2508" w:rsidRDefault="00AF2508">
      <w:pPr>
        <w:pStyle w:val="02TextLandscape"/>
        <w:sectPr w:rsidR="00AF2508">
          <w:headerReference w:type="even" r:id="rId89"/>
          <w:headerReference w:type="default" r:id="rId90"/>
          <w:footerReference w:type="even" r:id="rId91"/>
          <w:footerReference w:type="default" r:id="rId92"/>
          <w:pgSz w:w="16839" w:h="11907" w:orient="landscape" w:code="9"/>
          <w:pgMar w:top="2300" w:right="3000" w:bottom="1900" w:left="2500" w:header="2480" w:footer="2100" w:gutter="0"/>
          <w:cols w:space="720"/>
          <w:docGrid w:linePitch="254"/>
        </w:sectPr>
      </w:pPr>
    </w:p>
    <w:p w:rsidR="00AF2508" w:rsidRDefault="00AF2508">
      <w:pPr>
        <w:pStyle w:val="Amain"/>
        <w:rPr>
          <w:color w:val="000000"/>
        </w:rPr>
      </w:pPr>
      <w:r>
        <w:rPr>
          <w:color w:val="000000"/>
        </w:rPr>
        <w:tab/>
        <w:t>(3)</w:t>
      </w:r>
      <w:r>
        <w:rPr>
          <w:color w:val="000000"/>
        </w:rPr>
        <w:tab/>
        <w:t>The ratio of stability of any crane or hoist shall be determined in each instance by dividing the moment of the loadings that stabilise the crane or hoist by the moment of the loadings that tend to overturn it, all the moments being measured about the point or line around which overturning takes place.</w:t>
      </w:r>
    </w:p>
    <w:p w:rsidR="00AF2508" w:rsidRDefault="00AF2508">
      <w:pPr>
        <w:pStyle w:val="Amain"/>
      </w:pPr>
      <w:r>
        <w:rPr>
          <w:color w:val="000000"/>
        </w:rPr>
        <w:tab/>
        <w:t>(4)</w:t>
      </w:r>
      <w:r>
        <w:rPr>
          <w:color w:val="000000"/>
        </w:rPr>
        <w:tab/>
        <w:t>In assessing the overturning loadings, the provisions of section 125 shall be disregarded.</w:t>
      </w:r>
    </w:p>
    <w:p w:rsidR="00AF2508" w:rsidRDefault="00AF2508">
      <w:pPr>
        <w:pStyle w:val="Amain"/>
      </w:pPr>
      <w:r>
        <w:rPr>
          <w:color w:val="000000"/>
        </w:rPr>
        <w:tab/>
        <w:t>(5)</w:t>
      </w:r>
      <w:r>
        <w:rPr>
          <w:color w:val="000000"/>
        </w:rPr>
        <w:tab/>
        <w:t>Unless and until approved by the chief inspector, rail clamps, outriggers or other devices for augmenting the stability of cranes or hoists shall be disregarded in assessing overturning moments.</w:t>
      </w:r>
    </w:p>
    <w:p w:rsidR="00AF2508" w:rsidRDefault="00AF2508">
      <w:pPr>
        <w:pStyle w:val="Amain"/>
      </w:pPr>
      <w:r>
        <w:rPr>
          <w:color w:val="000000"/>
        </w:rPr>
        <w:tab/>
        <w:t>(6)</w:t>
      </w:r>
      <w:r>
        <w:rPr>
          <w:color w:val="000000"/>
        </w:rPr>
        <w:tab/>
        <w:t>If the dead load of any crane or hoist is insufficient to prevent the crane or hoist being blown along its tracks with all track wheels locked, or if the brakes are incapable of completely locking all the track wheels, approved means shall be adopted by which the crane or hoist may be secured against wind loadings.</w:t>
      </w:r>
    </w:p>
    <w:p w:rsidR="00AF2508" w:rsidRDefault="00AF2508">
      <w:pPr>
        <w:pStyle w:val="Amain"/>
      </w:pPr>
      <w:r>
        <w:tab/>
        <w:t>(7)</w:t>
      </w:r>
      <w:r>
        <w:tab/>
        <w:t>In assessing the braking grip of wheels on track rails a coefficient of friction not greater than 0.1 shall be assumed.</w:t>
      </w:r>
    </w:p>
    <w:p w:rsidR="00AF2508" w:rsidRDefault="00AF2508">
      <w:pPr>
        <w:pStyle w:val="Amain"/>
      </w:pPr>
      <w:r>
        <w:tab/>
        <w:t>(8)</w:t>
      </w:r>
      <w:r>
        <w:tab/>
        <w:t>Wind loadings in accordance with section 123 shall be assumed, but irrespective of whether the crane is in operation or not, the intensity of wind loading shall be assumed to be that appropriate when the crane is not operating.</w:t>
      </w:r>
    </w:p>
    <w:p w:rsidR="00AF2508" w:rsidRDefault="00AF2508">
      <w:pPr>
        <w:pStyle w:val="AH4SubDiv"/>
      </w:pPr>
      <w:bookmarkStart w:id="244" w:name="_Toc161636892"/>
      <w:r>
        <w:t>Test loads</w:t>
      </w:r>
      <w:bookmarkEnd w:id="244"/>
    </w:p>
    <w:p w:rsidR="00AF2508" w:rsidRDefault="00AF2508">
      <w:pPr>
        <w:pStyle w:val="AH5Sec"/>
      </w:pPr>
      <w:bookmarkStart w:id="245" w:name="_Toc161636893"/>
      <w:r>
        <w:rPr>
          <w:rStyle w:val="CharSectNo"/>
        </w:rPr>
        <w:t>129</w:t>
      </w:r>
      <w:bookmarkEnd w:id="245"/>
      <w:r>
        <w:tab/>
        <w:t xml:space="preserve">  </w:t>
      </w:r>
    </w:p>
    <w:p w:rsidR="00AF2508" w:rsidRDefault="00AF2508">
      <w:pPr>
        <w:pStyle w:val="Amain"/>
        <w:rPr>
          <w:color w:val="000000"/>
        </w:rPr>
      </w:pPr>
      <w:r>
        <w:rPr>
          <w:color w:val="000000"/>
        </w:rPr>
        <w:tab/>
        <w:t>(1)</w:t>
      </w:r>
      <w:r>
        <w:rPr>
          <w:color w:val="000000"/>
        </w:rPr>
        <w:tab/>
        <w:t>Except if the chief inspector otherwise requires, each test load shall weigh 1</w:t>
      </w:r>
      <w:r>
        <w:rPr>
          <w:color w:val="000000"/>
          <w:position w:val="6"/>
          <w:sz w:val="18"/>
        </w:rPr>
        <w:t>1</w:t>
      </w:r>
      <w:r>
        <w:rPr>
          <w:color w:val="000000"/>
        </w:rPr>
        <w:t>/</w:t>
      </w:r>
      <w:r>
        <w:rPr>
          <w:color w:val="000000"/>
          <w:sz w:val="18"/>
        </w:rPr>
        <w:t>4</w:t>
      </w:r>
      <w:r>
        <w:rPr>
          <w:color w:val="000000"/>
        </w:rPr>
        <w:t xml:space="preserve"> times the working load of the crane, hoist or part of it that is to be tested.</w:t>
      </w:r>
    </w:p>
    <w:p w:rsidR="00AF2508" w:rsidRDefault="00AF2508">
      <w:pPr>
        <w:pStyle w:val="Amain"/>
      </w:pPr>
      <w:r>
        <w:rPr>
          <w:color w:val="000000"/>
        </w:rPr>
        <w:tab/>
        <w:t>(2)</w:t>
      </w:r>
      <w:r>
        <w:rPr>
          <w:color w:val="000000"/>
        </w:rPr>
        <w:tab/>
        <w:t>No person shall apply any greater test load unless the person has first obtained the assent of the chief inspector.</w:t>
      </w:r>
    </w:p>
    <w:p w:rsidR="00AF2508" w:rsidRDefault="00AF2508">
      <w:pPr>
        <w:pStyle w:val="Amain"/>
      </w:pPr>
      <w:r>
        <w:rPr>
          <w:color w:val="000000"/>
        </w:rPr>
        <w:tab/>
        <w:t>(3)</w:t>
      </w:r>
      <w:r>
        <w:rPr>
          <w:color w:val="000000"/>
        </w:rPr>
        <w:tab/>
        <w:t>Not more than 1 test load shall be raised, lowered or transported by or on any crane or hoist or lift or scaffolding at any 1 time.</w:t>
      </w:r>
    </w:p>
    <w:p w:rsidR="00AF2508" w:rsidRDefault="00AF2508">
      <w:pPr>
        <w:pStyle w:val="Amain"/>
      </w:pPr>
      <w:r>
        <w:tab/>
        <w:t>(4)</w:t>
      </w:r>
      <w:r>
        <w:tab/>
        <w:t>If a greater number of simultaneous test loads are necessary the approval of the chief inspector shall be obtained before the loads are raised, lowered or transported.</w:t>
      </w:r>
    </w:p>
    <w:p w:rsidR="00AF2508" w:rsidRDefault="00AF2508">
      <w:pPr>
        <w:pStyle w:val="AH4SubDiv"/>
      </w:pPr>
      <w:bookmarkStart w:id="246" w:name="_Toc161636894"/>
      <w:r>
        <w:t>Mechanical</w:t>
      </w:r>
      <w:bookmarkEnd w:id="246"/>
    </w:p>
    <w:p w:rsidR="00AF2508" w:rsidRDefault="00AF2508">
      <w:pPr>
        <w:pStyle w:val="AH5Sec"/>
      </w:pPr>
      <w:bookmarkStart w:id="247" w:name="_Toc161636895"/>
      <w:r>
        <w:rPr>
          <w:rStyle w:val="CharSectNo"/>
        </w:rPr>
        <w:t>130</w:t>
      </w:r>
      <w:bookmarkEnd w:id="247"/>
      <w:r>
        <w:tab/>
        <w:t xml:space="preserve">  </w:t>
      </w:r>
    </w:p>
    <w:p w:rsidR="00AF2508" w:rsidRDefault="00AF2508">
      <w:pPr>
        <w:pStyle w:val="Amain"/>
      </w:pPr>
      <w:r>
        <w:rPr>
          <w:color w:val="000000"/>
        </w:rPr>
        <w:tab/>
        <w:t>(1)</w:t>
      </w:r>
      <w:r>
        <w:rPr>
          <w:color w:val="000000"/>
        </w:rPr>
        <w:tab/>
        <w:t>The diameter of the shank of any forged steel lifting hook shall not, when measured at the bottom of the thread, be less than that determined by the formula—</w:t>
      </w:r>
    </w:p>
    <w:p w:rsidR="00AF2508" w:rsidRDefault="00AF2508">
      <w:pPr>
        <w:pStyle w:val="Formula"/>
      </w:pPr>
      <w:r>
        <w:rPr>
          <w:rStyle w:val="charItals"/>
        </w:rPr>
        <w:t xml:space="preserve">t  </w:t>
      </w:r>
      <w:r>
        <w:t>= 0.65</w:t>
      </w:r>
      <w:r>
        <w:fldChar w:fldCharType="begin"/>
      </w:r>
      <w:r>
        <w:instrText xml:space="preserve"> EQ \R(</w:instrText>
      </w:r>
      <w:r>
        <w:rPr>
          <w:i/>
        </w:rPr>
        <w:instrText>w</w:instrText>
      </w:r>
      <w:r>
        <w:instrText xml:space="preserve">) </w:instrText>
      </w:r>
      <w:r>
        <w:fldChar w:fldCharType="end"/>
      </w:r>
      <w:r>
        <w:t xml:space="preserve">  inches.</w:t>
      </w:r>
    </w:p>
    <w:p w:rsidR="00AF2508" w:rsidRDefault="00AF2508">
      <w:pPr>
        <w:pStyle w:val="Amain"/>
      </w:pPr>
      <w:r>
        <w:tab/>
        <w:t>(2)</w:t>
      </w:r>
      <w:r>
        <w:tab/>
        <w:t>In subsection (1):</w:t>
      </w:r>
    </w:p>
    <w:p w:rsidR="00AF2508" w:rsidRDefault="00AF2508">
      <w:pPr>
        <w:pStyle w:val="aDef"/>
      </w:pPr>
      <w:r>
        <w:rPr>
          <w:rStyle w:val="charItals"/>
          <w:b/>
        </w:rPr>
        <w:t>t</w:t>
      </w:r>
      <w:r>
        <w:t xml:space="preserve"> means the diameter of the hook shank in inches.</w:t>
      </w:r>
    </w:p>
    <w:p w:rsidR="00AF2508" w:rsidRDefault="00AF2508">
      <w:pPr>
        <w:pStyle w:val="aDef"/>
      </w:pPr>
      <w:r>
        <w:rPr>
          <w:rStyle w:val="charItals"/>
          <w:b/>
        </w:rPr>
        <w:t>w</w:t>
      </w:r>
      <w:r>
        <w:t xml:space="preserve"> means the maximum tensile load in tons in the hook shank.</w:t>
      </w:r>
    </w:p>
    <w:p w:rsidR="00AF2508" w:rsidRDefault="00AF2508">
      <w:pPr>
        <w:pStyle w:val="Amain"/>
      </w:pPr>
      <w:r>
        <w:tab/>
        <w:t>(3)</w:t>
      </w:r>
      <w:r>
        <w:tab/>
        <w:t xml:space="preserve">For subsection (1) the increases in load </w:t>
      </w:r>
      <w:r>
        <w:rPr>
          <w:rStyle w:val="charItals"/>
          <w:b/>
        </w:rPr>
        <w:t>w</w:t>
      </w:r>
      <w:r>
        <w:t xml:space="preserve"> otherwise prescribed by section 125 may be disregarded, except if the hoisting mechanism of the crane is within classification 4, in which case the compensating ratio shall be assumed to be 1.2, and the hook designed for the increased load.</w:t>
      </w:r>
    </w:p>
    <w:p w:rsidR="00AF2508" w:rsidRDefault="00AF2508">
      <w:pPr>
        <w:pStyle w:val="Amain"/>
      </w:pPr>
      <w:r>
        <w:rPr>
          <w:color w:val="000000"/>
        </w:rPr>
        <w:tab/>
        <w:t>(4)</w:t>
      </w:r>
      <w:r>
        <w:rPr>
          <w:color w:val="000000"/>
        </w:rPr>
        <w:tab/>
        <w:t>If the shank of a lifting hook is not provided with a screw thread, the hook shall be proportioned as though it were so provided, but if instead of a screw thread the shank is recessed in an approved way to accommodate a split washer or cone, the tensile stress at the recessed part may exceed that permissible if a screw thread were used in the ratio 1.67:1.</w:t>
      </w:r>
    </w:p>
    <w:p w:rsidR="00AF2508" w:rsidRDefault="00AF2508">
      <w:pPr>
        <w:pStyle w:val="Amain"/>
      </w:pPr>
      <w:r>
        <w:tab/>
        <w:t>(5)</w:t>
      </w:r>
      <w:r>
        <w:tab/>
        <w:t>Upset heads shall not be formed on hook shanks after the shanks have been inserted in their trunnions, shackles, swivels or other supports.</w:t>
      </w:r>
    </w:p>
    <w:p w:rsidR="00AF2508" w:rsidRDefault="00AF2508">
      <w:pPr>
        <w:pStyle w:val="Amain"/>
      </w:pPr>
      <w:r>
        <w:rPr>
          <w:color w:val="000000"/>
        </w:rPr>
        <w:tab/>
        <w:t>(6)</w:t>
      </w:r>
      <w:r>
        <w:rPr>
          <w:color w:val="000000"/>
        </w:rPr>
        <w:tab/>
        <w:t xml:space="preserve">Notwithstanding the provisions of section 4, no lifting hook shall be of less computed strength than one of forged steel proportioned in accordance with diagram 130.1 and diagram 130.2, having regard to the bight diameter, </w:t>
      </w:r>
      <w:r>
        <w:rPr>
          <w:b/>
          <w:color w:val="000000"/>
        </w:rPr>
        <w:t>C</w:t>
      </w:r>
      <w:r>
        <w:rPr>
          <w:color w:val="000000"/>
        </w:rPr>
        <w:t>, which shall be determined from the formula—</w:t>
      </w:r>
    </w:p>
    <w:p w:rsidR="00AF2508" w:rsidRDefault="00AF2508">
      <w:pPr>
        <w:pStyle w:val="Formula"/>
      </w:pPr>
      <w:r>
        <w:t>C = 1.84</w:t>
      </w:r>
      <w:r>
        <w:fldChar w:fldCharType="begin"/>
      </w:r>
      <w:r>
        <w:instrText xml:space="preserve"> EQ \R(</w:instrText>
      </w:r>
      <w:r>
        <w:rPr>
          <w:i/>
        </w:rPr>
        <w:instrText>w</w:instrText>
      </w:r>
      <w:r>
        <w:instrText xml:space="preserve">) </w:instrText>
      </w:r>
      <w:r>
        <w:fldChar w:fldCharType="end"/>
      </w:r>
    </w:p>
    <w:p w:rsidR="00AF2508" w:rsidRDefault="00AF2508">
      <w:pPr>
        <w:pStyle w:val="Amainreturn"/>
      </w:pPr>
      <w:r>
        <w:t>for hooks for loads not greater than 3</w:t>
      </w:r>
      <w:r>
        <w:rPr>
          <w:position w:val="6"/>
          <w:sz w:val="18"/>
        </w:rPr>
        <w:t>1</w:t>
      </w:r>
      <w:r>
        <w:t>/</w:t>
      </w:r>
      <w:r>
        <w:rPr>
          <w:sz w:val="18"/>
        </w:rPr>
        <w:t>2</w:t>
      </w:r>
      <w:r>
        <w:t xml:space="preserve"> tons, or</w:t>
      </w:r>
    </w:p>
    <w:p w:rsidR="00AF2508" w:rsidRDefault="00AF2508">
      <w:pPr>
        <w:pStyle w:val="Formula"/>
      </w:pPr>
      <w:r>
        <w:t>C=1.5</w:t>
      </w:r>
      <w:r>
        <w:fldChar w:fldCharType="begin"/>
      </w:r>
      <w:r>
        <w:instrText xml:space="preserve"> EQ \R(</w:instrText>
      </w:r>
      <w:r>
        <w:rPr>
          <w:i/>
        </w:rPr>
        <w:instrText>w</w:instrText>
      </w:r>
      <w:r>
        <w:instrText xml:space="preserve">) </w:instrText>
      </w:r>
      <w:r>
        <w:fldChar w:fldCharType="end"/>
      </w:r>
    </w:p>
    <w:p w:rsidR="00AF2508" w:rsidRDefault="00AF2508">
      <w:pPr>
        <w:pStyle w:val="Amainreturn"/>
      </w:pPr>
      <w:r>
        <w:t>for hooks for greater loads.</w:t>
      </w:r>
    </w:p>
    <w:p w:rsidR="00AF2508" w:rsidRDefault="00AF2508">
      <w:pPr>
        <w:pStyle w:val="Amain"/>
      </w:pPr>
      <w:r>
        <w:tab/>
        <w:t>(7)</w:t>
      </w:r>
      <w:r>
        <w:tab/>
        <w:t>In subsection (6):</w:t>
      </w:r>
    </w:p>
    <w:p w:rsidR="00AF2508" w:rsidRDefault="00AF2508">
      <w:pPr>
        <w:pStyle w:val="aDef"/>
      </w:pPr>
      <w:r>
        <w:rPr>
          <w:rStyle w:val="charItals"/>
          <w:b/>
        </w:rPr>
        <w:t>w</w:t>
      </w:r>
      <w:r>
        <w:t>—see subsection (2).</w:t>
      </w:r>
    </w:p>
    <w:p w:rsidR="00AF2508" w:rsidRDefault="00AF2508">
      <w:pPr>
        <w:pStyle w:val="02Text"/>
        <w:sectPr w:rsidR="00AF2508">
          <w:headerReference w:type="even" r:id="rId93"/>
          <w:headerReference w:type="default" r:id="rId94"/>
          <w:footerReference w:type="even" r:id="rId95"/>
          <w:footerReference w:type="default" r:id="rId96"/>
          <w:footerReference w:type="first" r:id="rId97"/>
          <w:pgSz w:w="11907" w:h="16839" w:code="9"/>
          <w:pgMar w:top="3000" w:right="1900" w:bottom="2500" w:left="2300" w:header="2480" w:footer="2100" w:gutter="0"/>
          <w:cols w:space="720"/>
          <w:docGrid w:linePitch="254"/>
        </w:sectPr>
      </w:pPr>
    </w:p>
    <w:p w:rsidR="00AF2508" w:rsidRDefault="00AF2508">
      <w:pPr>
        <w:pStyle w:val="TableHd"/>
      </w:pPr>
      <w:r>
        <w:t>Diagram 130.1</w:t>
      </w:r>
    </w:p>
    <w:bookmarkStart w:id="248" w:name="_MON_1235378812"/>
    <w:bookmarkEnd w:id="248"/>
    <w:p w:rsidR="00AF2508" w:rsidRDefault="00AF2508">
      <w:pPr>
        <w:jc w:val="center"/>
      </w:pPr>
      <w:r>
        <w:object w:dxaOrig="10351" w:dyaOrig="5881">
          <v:shape id="_x0000_i1044" type="#_x0000_t75" style="width:378.75pt;height:195.75pt" o:ole="" o:allowoverlap="f" fillcolor="window">
            <v:imagedata r:id="rId98" o:title=""/>
          </v:shape>
          <o:OLEObject Type="Embed" ProgID="Word.Picture.8" ShapeID="_x0000_i1044" DrawAspect="Content" ObjectID="_1595940269" r:id="rId99"/>
        </w:object>
      </w:r>
    </w:p>
    <w:p w:rsidR="00AF2508" w:rsidRDefault="00AF2508">
      <w:pPr>
        <w:pStyle w:val="TableHd"/>
        <w:keepNext w:val="0"/>
      </w:pPr>
      <w:r>
        <w:t>Diagram 130.2</w:t>
      </w:r>
    </w:p>
    <w:p w:rsidR="00AF2508" w:rsidRDefault="00136775">
      <w:pPr>
        <w:pStyle w:val="Amain"/>
        <w:jc w:val="center"/>
        <w:rPr>
          <w:b/>
        </w:rPr>
      </w:pPr>
      <w:r>
        <w:rPr>
          <w:noProof/>
          <w:lang w:eastAsia="en-AU"/>
        </w:rPr>
        <w:drawing>
          <wp:inline distT="0" distB="0" distL="0" distR="0">
            <wp:extent cx="4657725" cy="2600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57725" cy="2600325"/>
                    </a:xfrm>
                    <a:prstGeom prst="rect">
                      <a:avLst/>
                    </a:prstGeom>
                    <a:noFill/>
                    <a:ln>
                      <a:noFill/>
                    </a:ln>
                  </pic:spPr>
                </pic:pic>
              </a:graphicData>
            </a:graphic>
          </wp:inline>
        </w:drawing>
      </w:r>
    </w:p>
    <w:p w:rsidR="00AF2508" w:rsidRDefault="00AF2508">
      <w:pPr>
        <w:pStyle w:val="02TextLandscape"/>
        <w:sectPr w:rsidR="00AF2508">
          <w:headerReference w:type="even" r:id="rId101"/>
          <w:headerReference w:type="default" r:id="rId102"/>
          <w:footerReference w:type="even" r:id="rId103"/>
          <w:footerReference w:type="default" r:id="rId104"/>
          <w:pgSz w:w="16839" w:h="11907" w:orient="landscape" w:code="9"/>
          <w:pgMar w:top="2300" w:right="3000" w:bottom="1900" w:left="2500" w:header="2480" w:footer="2100" w:gutter="0"/>
          <w:cols w:space="720"/>
          <w:docGrid w:linePitch="254"/>
        </w:sectPr>
      </w:pPr>
    </w:p>
    <w:p w:rsidR="00AF2508" w:rsidRDefault="00AF2508">
      <w:pPr>
        <w:pStyle w:val="Amain"/>
      </w:pPr>
      <w:r>
        <w:tab/>
        <w:t>(8)</w:t>
      </w:r>
      <w:r>
        <w:tab/>
        <w:t>Except as may be provided in the following subsections, all lifting hooks shall be precisely of the form defined by diagram 130.1 and diagram 130.2.</w:t>
      </w:r>
    </w:p>
    <w:p w:rsidR="00AF2508" w:rsidRDefault="00AF2508">
      <w:pPr>
        <w:pStyle w:val="Amain"/>
        <w:rPr>
          <w:color w:val="000000"/>
        </w:rPr>
      </w:pPr>
      <w:r>
        <w:rPr>
          <w:color w:val="000000"/>
        </w:rPr>
        <w:tab/>
        <w:t>(9)</w:t>
      </w:r>
      <w:r>
        <w:rPr>
          <w:color w:val="000000"/>
        </w:rPr>
        <w:tab/>
        <w:t>Ramshorn lifting hooks shall be precisely of the form defined by diagram 130.3.</w:t>
      </w:r>
    </w:p>
    <w:p w:rsidR="00AF2508" w:rsidRDefault="00AF2508">
      <w:pPr>
        <w:pStyle w:val="Amain"/>
        <w:rPr>
          <w:color w:val="000000"/>
        </w:rPr>
      </w:pPr>
      <w:r>
        <w:rPr>
          <w:color w:val="000000"/>
        </w:rPr>
        <w:tab/>
        <w:t>(10)</w:t>
      </w:r>
      <w:r>
        <w:rPr>
          <w:color w:val="000000"/>
        </w:rPr>
        <w:tab/>
        <w:t xml:space="preserve">No ramshorn hook shall be of less computed strength than one of forged steel, proportioned in accordance with diagram 130.3, having regard to the shank throat diameter </w:t>
      </w:r>
      <w:r>
        <w:rPr>
          <w:rStyle w:val="charItals"/>
          <w:b/>
        </w:rPr>
        <w:t>t</w:t>
      </w:r>
      <w:r>
        <w:rPr>
          <w:color w:val="000000"/>
        </w:rPr>
        <w:t>, which shall be measured at the bottom of the thread.</w:t>
      </w:r>
    </w:p>
    <w:p w:rsidR="00AF2508" w:rsidRDefault="00AF2508">
      <w:pPr>
        <w:pStyle w:val="TableHd"/>
        <w:keepNext w:val="0"/>
      </w:pPr>
      <w:r>
        <w:t>Diagram 130.3</w:t>
      </w:r>
    </w:p>
    <w:p w:rsidR="00AF2508" w:rsidRDefault="00136775">
      <w:r>
        <w:rPr>
          <w:noProof/>
          <w:lang w:eastAsia="en-AU"/>
        </w:rPr>
        <w:drawing>
          <wp:inline distT="0" distB="0" distL="0" distR="0">
            <wp:extent cx="2686050" cy="369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86050" cy="3695700"/>
                    </a:xfrm>
                    <a:prstGeom prst="rect">
                      <a:avLst/>
                    </a:prstGeom>
                    <a:noFill/>
                    <a:ln>
                      <a:noFill/>
                    </a:ln>
                  </pic:spPr>
                </pic:pic>
              </a:graphicData>
            </a:graphic>
          </wp:inline>
        </w:drawing>
      </w:r>
    </w:p>
    <w:p w:rsidR="00AF2508" w:rsidRDefault="00AF2508"/>
    <w:p w:rsidR="00AF2508" w:rsidRDefault="00AF2508">
      <w:pPr>
        <w:pStyle w:val="Amain"/>
        <w:keepNext/>
      </w:pPr>
      <w:r>
        <w:rPr>
          <w:color w:val="000000"/>
        </w:rPr>
        <w:tab/>
        <w:t>(11)</w:t>
      </w:r>
      <w:r>
        <w:rPr>
          <w:color w:val="000000"/>
        </w:rPr>
        <w:tab/>
        <w:t>The stress in any rope drum shall be determined from the formula—</w:t>
      </w:r>
    </w:p>
    <w:tbl>
      <w:tblPr>
        <w:tblW w:w="0" w:type="auto"/>
        <w:tblInd w:w="800" w:type="dxa"/>
        <w:tblLayout w:type="fixed"/>
        <w:tblCellMar>
          <w:left w:w="80" w:type="dxa"/>
          <w:right w:w="80" w:type="dxa"/>
        </w:tblCellMar>
        <w:tblLook w:val="0000" w:firstRow="0" w:lastRow="0" w:firstColumn="0" w:lastColumn="0" w:noHBand="0" w:noVBand="0"/>
      </w:tblPr>
      <w:tblGrid>
        <w:gridCol w:w="440"/>
        <w:gridCol w:w="480"/>
        <w:gridCol w:w="320"/>
        <w:gridCol w:w="380"/>
        <w:gridCol w:w="340"/>
        <w:gridCol w:w="260"/>
        <w:gridCol w:w="4560"/>
      </w:tblGrid>
      <w:tr w:rsidR="00AF2508">
        <w:trPr>
          <w:cantSplit/>
        </w:trPr>
        <w:tc>
          <w:tcPr>
            <w:tcW w:w="440" w:type="dxa"/>
          </w:tcPr>
          <w:p w:rsidR="00AF2508" w:rsidRDefault="00AF2508">
            <w:pPr>
              <w:pStyle w:val="Amain"/>
              <w:rPr>
                <w:color w:val="000000"/>
              </w:rPr>
            </w:pPr>
            <w:r>
              <w:rPr>
                <w:rFonts w:ascii="Symbol" w:hAnsi="Symbol"/>
                <w:color w:val="000000"/>
                <w:position w:val="-12"/>
                <w:sz w:val="60"/>
              </w:rPr>
              <w:t></w:t>
            </w:r>
          </w:p>
        </w:tc>
        <w:tc>
          <w:tcPr>
            <w:tcW w:w="480" w:type="dxa"/>
            <w:tcBorders>
              <w:top w:val="single" w:sz="6" w:space="0" w:color="auto"/>
            </w:tcBorders>
          </w:tcPr>
          <w:p w:rsidR="00AF2508" w:rsidRDefault="00AF2508">
            <w:pPr>
              <w:pStyle w:val="Amain"/>
              <w:rPr>
                <w:color w:val="000000"/>
              </w:rPr>
            </w:pPr>
            <w:r>
              <w:rPr>
                <w:rStyle w:val="charItals"/>
              </w:rPr>
              <w:t xml:space="preserve">ƒ </w:t>
            </w:r>
            <w:r>
              <w:rPr>
                <w:color w:val="000000"/>
                <w:position w:val="6"/>
                <w:sz w:val="12"/>
              </w:rPr>
              <w:t xml:space="preserve">2 </w:t>
            </w:r>
            <w:r>
              <w:rPr>
                <w:color w:val="000000"/>
                <w:sz w:val="28"/>
              </w:rPr>
              <w:t>+</w:t>
            </w:r>
          </w:p>
        </w:tc>
        <w:tc>
          <w:tcPr>
            <w:tcW w:w="320" w:type="dxa"/>
            <w:tcBorders>
              <w:top w:val="single" w:sz="6" w:space="0" w:color="auto"/>
            </w:tcBorders>
          </w:tcPr>
          <w:p w:rsidR="00AF2508" w:rsidRDefault="00AF2508">
            <w:pPr>
              <w:pStyle w:val="Amain"/>
              <w:rPr>
                <w:color w:val="000000"/>
              </w:rPr>
            </w:pPr>
            <w:r>
              <w:rPr>
                <w:rFonts w:ascii="Symbol" w:hAnsi="Symbol"/>
                <w:color w:val="000000"/>
                <w:sz w:val="60"/>
              </w:rPr>
              <w:t></w:t>
            </w:r>
          </w:p>
        </w:tc>
        <w:tc>
          <w:tcPr>
            <w:tcW w:w="380" w:type="dxa"/>
            <w:tcBorders>
              <w:top w:val="single" w:sz="6" w:space="0" w:color="auto"/>
            </w:tcBorders>
          </w:tcPr>
          <w:p w:rsidR="00AF2508" w:rsidRDefault="00AF2508">
            <w:pPr>
              <w:pStyle w:val="Amain"/>
              <w:rPr>
                <w:color w:val="000000"/>
              </w:rPr>
            </w:pPr>
            <w:r>
              <w:rPr>
                <w:color w:val="000000"/>
              </w:rPr>
              <w:fldChar w:fldCharType="begin"/>
            </w:r>
            <w:r>
              <w:rPr>
                <w:color w:val="000000"/>
              </w:rPr>
              <w:instrText xml:space="preserve"> EQ \F(</w:instrText>
            </w:r>
            <w:r>
              <w:rPr>
                <w:i/>
                <w:color w:val="000000"/>
              </w:rPr>
              <w:instrText>T</w:instrText>
            </w:r>
            <w:r>
              <w:rPr>
                <w:color w:val="000000"/>
              </w:rPr>
              <w:instrText>,</w:instrText>
            </w:r>
            <w:r>
              <w:rPr>
                <w:i/>
                <w:color w:val="000000"/>
              </w:rPr>
              <w:instrText>pt</w:instrText>
            </w:r>
            <w:r>
              <w:rPr>
                <w:color w:val="000000"/>
              </w:rPr>
              <w:instrText xml:space="preserve">) </w:instrText>
            </w:r>
            <w:r>
              <w:rPr>
                <w:color w:val="000000"/>
              </w:rPr>
              <w:fldChar w:fldCharType="end"/>
            </w:r>
            <w:r>
              <w:rPr>
                <w:color w:val="000000"/>
              </w:rPr>
              <w:tab/>
            </w:r>
          </w:p>
        </w:tc>
        <w:tc>
          <w:tcPr>
            <w:tcW w:w="340" w:type="dxa"/>
            <w:tcBorders>
              <w:top w:val="single" w:sz="6" w:space="0" w:color="auto"/>
            </w:tcBorders>
          </w:tcPr>
          <w:p w:rsidR="00AF2508" w:rsidRDefault="00AF2508">
            <w:pPr>
              <w:pStyle w:val="Amain"/>
              <w:rPr>
                <w:color w:val="000000"/>
              </w:rPr>
            </w:pPr>
            <w:r>
              <w:rPr>
                <w:rFonts w:ascii="Symbol" w:hAnsi="Symbol"/>
                <w:color w:val="000000"/>
                <w:sz w:val="60"/>
              </w:rPr>
              <w:t></w:t>
            </w:r>
          </w:p>
        </w:tc>
        <w:tc>
          <w:tcPr>
            <w:tcW w:w="260" w:type="dxa"/>
          </w:tcPr>
          <w:p w:rsidR="00AF2508" w:rsidRDefault="00AF2508">
            <w:pPr>
              <w:pStyle w:val="Amain"/>
              <w:rPr>
                <w:color w:val="000000"/>
              </w:rPr>
            </w:pPr>
            <w:r>
              <w:rPr>
                <w:color w:val="000000"/>
                <w:position w:val="6"/>
                <w:sz w:val="12"/>
              </w:rPr>
              <w:t>2</w:t>
            </w:r>
          </w:p>
        </w:tc>
        <w:tc>
          <w:tcPr>
            <w:tcW w:w="4560" w:type="dxa"/>
          </w:tcPr>
          <w:p w:rsidR="00AF2508" w:rsidRDefault="00AF2508">
            <w:pPr>
              <w:pStyle w:val="Amain"/>
              <w:spacing w:before="240" w:after="80"/>
              <w:rPr>
                <w:color w:val="000000"/>
              </w:rPr>
            </w:pPr>
            <w:r>
              <w:rPr>
                <w:color w:val="000000"/>
              </w:rPr>
              <w:t>pounds per square inch.</w:t>
            </w:r>
          </w:p>
        </w:tc>
      </w:tr>
    </w:tbl>
    <w:p w:rsidR="00AF2508" w:rsidRDefault="00AF2508">
      <w:pPr>
        <w:pStyle w:val="Amain"/>
      </w:pPr>
      <w:r>
        <w:tab/>
        <w:t>(12)</w:t>
      </w:r>
      <w:r>
        <w:tab/>
        <w:t>In subsection (11):</w:t>
      </w:r>
    </w:p>
    <w:p w:rsidR="00AF2508" w:rsidRDefault="00AF2508">
      <w:pPr>
        <w:pStyle w:val="aDef"/>
      </w:pPr>
      <w:r>
        <w:rPr>
          <w:rStyle w:val="charItals"/>
          <w:b/>
        </w:rPr>
        <w:t>ƒ</w:t>
      </w:r>
      <w:r>
        <w:t xml:space="preserve"> means the maximum transverse stress in pounds per square inch.</w:t>
      </w:r>
    </w:p>
    <w:p w:rsidR="00AF2508" w:rsidRDefault="00AF2508">
      <w:pPr>
        <w:pStyle w:val="aDef"/>
      </w:pPr>
      <w:r>
        <w:rPr>
          <w:b/>
          <w:i/>
        </w:rPr>
        <w:t>p</w:t>
      </w:r>
      <w:r>
        <w:t xml:space="preserve"> </w:t>
      </w:r>
      <w:r>
        <w:rPr>
          <w:rStyle w:val="charItals"/>
          <w:i w:val="0"/>
        </w:rPr>
        <w:t>means</w:t>
      </w:r>
      <w:r>
        <w:t xml:space="preserve"> the pitch of the rope grooves or least distance measured centre to centre between adjacent turns of rope on the drum.</w:t>
      </w:r>
    </w:p>
    <w:p w:rsidR="00AF2508" w:rsidRDefault="00AF2508">
      <w:pPr>
        <w:pStyle w:val="aDef"/>
      </w:pPr>
      <w:r>
        <w:rPr>
          <w:b/>
          <w:i/>
        </w:rPr>
        <w:t>t</w:t>
      </w:r>
      <w:r>
        <w:t xml:space="preserve"> means the radial thickness of the drum.</w:t>
      </w:r>
    </w:p>
    <w:p w:rsidR="00AF2508" w:rsidRDefault="00AF2508">
      <w:pPr>
        <w:pStyle w:val="aDef"/>
      </w:pPr>
      <w:r>
        <w:rPr>
          <w:b/>
          <w:i/>
        </w:rPr>
        <w:t>T</w:t>
      </w:r>
      <w:r>
        <w:t xml:space="preserve"> </w:t>
      </w:r>
      <w:r>
        <w:rPr>
          <w:rStyle w:val="charItals"/>
          <w:i w:val="0"/>
        </w:rPr>
        <w:t>means</w:t>
      </w:r>
      <w:r>
        <w:t xml:space="preserve"> the maximum tensile load in any 1 rope winding on the drum, in pounds.</w:t>
      </w:r>
    </w:p>
    <w:p w:rsidR="00AF2508" w:rsidRDefault="00AF2508">
      <w:pPr>
        <w:pStyle w:val="Amain"/>
      </w:pPr>
      <w:r>
        <w:tab/>
        <w:t>(13)</w:t>
      </w:r>
      <w:r>
        <w:tab/>
        <w:t xml:space="preserve">For grooved drums </w:t>
      </w:r>
      <w:r>
        <w:rPr>
          <w:b/>
          <w:i/>
        </w:rPr>
        <w:t>t</w:t>
      </w:r>
      <w:r>
        <w:t xml:space="preserve"> shall be measured at the bottom of the grooves; </w:t>
      </w:r>
      <w:r>
        <w:rPr>
          <w:b/>
          <w:i/>
        </w:rPr>
        <w:t>p</w:t>
      </w:r>
      <w:r>
        <w:t xml:space="preserve"> and </w:t>
      </w:r>
      <w:r>
        <w:rPr>
          <w:b/>
          <w:i/>
        </w:rPr>
        <w:t>t</w:t>
      </w:r>
      <w:r>
        <w:t xml:space="preserve"> shall be measured in inches.</w:t>
      </w:r>
    </w:p>
    <w:p w:rsidR="00AF2508" w:rsidRDefault="00AF2508">
      <w:pPr>
        <w:pStyle w:val="Amain"/>
      </w:pPr>
      <w:r>
        <w:tab/>
        <w:t>(14)</w:t>
      </w:r>
      <w:r>
        <w:tab/>
        <w:t>The stress so determined shall not exceed—</w:t>
      </w:r>
    </w:p>
    <w:p w:rsidR="00AF2508" w:rsidRDefault="00AF2508">
      <w:pPr>
        <w:pStyle w:val="Apara"/>
      </w:pPr>
      <w:r>
        <w:tab/>
        <w:t>(a)</w:t>
      </w:r>
      <w:r>
        <w:tab/>
        <w:t>4 800 pounds per square inch for cast iron drums; or</w:t>
      </w:r>
    </w:p>
    <w:p w:rsidR="00AF2508" w:rsidRDefault="00AF2508">
      <w:pPr>
        <w:pStyle w:val="Apara"/>
      </w:pPr>
      <w:r>
        <w:tab/>
        <w:t>(b)</w:t>
      </w:r>
      <w:r>
        <w:tab/>
        <w:t>9 600 pounds per square inch for cast steel drums; or</w:t>
      </w:r>
    </w:p>
    <w:p w:rsidR="00AF2508" w:rsidRDefault="00AF2508">
      <w:pPr>
        <w:pStyle w:val="Apara"/>
      </w:pPr>
      <w:r>
        <w:tab/>
        <w:t>(c)</w:t>
      </w:r>
      <w:r>
        <w:tab/>
        <w:t>12 000 pounds per square inch for mild steel drums.</w:t>
      </w:r>
    </w:p>
    <w:p w:rsidR="00AF2508" w:rsidRDefault="00AF2508">
      <w:pPr>
        <w:pStyle w:val="Amain"/>
        <w:spacing w:before="240"/>
      </w:pPr>
      <w:r>
        <w:tab/>
        <w:t>(15)</w:t>
      </w:r>
      <w:r>
        <w:tab/>
        <w:t>In determining the stresses in a rope drum it shall not be necessary to increase the forces or moments producing the stresses in the ratios otherwise prescribed by section 125.</w:t>
      </w:r>
    </w:p>
    <w:p w:rsidR="00AF2508" w:rsidRDefault="00AF2508">
      <w:pPr>
        <w:pStyle w:val="Amain"/>
        <w:keepNext/>
      </w:pPr>
      <w:r>
        <w:tab/>
        <w:t>(16)</w:t>
      </w:r>
      <w:r>
        <w:tab/>
        <w:t>If a metal shaft of circular section is subject to simultaneous transverse and torsional stresses the resultant shearing stress shall be determined by the formula—</w:t>
      </w:r>
    </w:p>
    <w:p w:rsidR="00AF2508" w:rsidRDefault="00AF2508">
      <w:pPr>
        <w:pStyle w:val="Amain"/>
        <w:jc w:val="center"/>
        <w:rPr>
          <w:color w:val="000000"/>
        </w:rPr>
      </w:pPr>
      <w:r>
        <w:rPr>
          <w:color w:val="000000"/>
        </w:rPr>
        <w:fldChar w:fldCharType="begin"/>
      </w:r>
      <w:r>
        <w:rPr>
          <w:color w:val="000000"/>
        </w:rPr>
        <w:instrText xml:space="preserve"> EQ \F(\R(</w:instrText>
      </w:r>
      <w:r>
        <w:rPr>
          <w:i/>
          <w:color w:val="000000"/>
        </w:rPr>
        <w:instrText>ƒ</w:instrText>
      </w:r>
      <w:r>
        <w:rPr>
          <w:color w:val="000000"/>
        </w:rPr>
        <w:instrText xml:space="preserve"> </w:instrText>
      </w:r>
      <w:r>
        <w:rPr>
          <w:color w:val="000000"/>
          <w:position w:val="6"/>
          <w:sz w:val="12"/>
        </w:rPr>
        <w:instrText>2</w:instrText>
      </w:r>
      <w:r>
        <w:rPr>
          <w:color w:val="000000"/>
        </w:rPr>
        <w:instrText xml:space="preserve"> </w:instrText>
      </w:r>
      <w:r>
        <w:rPr>
          <w:color w:val="000000"/>
          <w:sz w:val="28"/>
        </w:rPr>
        <w:instrText>+</w:instrText>
      </w:r>
      <w:r>
        <w:rPr>
          <w:color w:val="000000"/>
        </w:rPr>
        <w:instrText xml:space="preserve"> 4</w:instrText>
      </w:r>
      <w:r>
        <w:rPr>
          <w:i/>
          <w:color w:val="000000"/>
        </w:rPr>
        <w:instrText>ƒ</w:instrText>
      </w:r>
      <w:r>
        <w:rPr>
          <w:i/>
          <w:color w:val="000000"/>
          <w:sz w:val="20"/>
        </w:rPr>
        <w:instrText>s</w:instrText>
      </w:r>
      <w:r>
        <w:rPr>
          <w:color w:val="000000"/>
          <w:position w:val="6"/>
          <w:sz w:val="12"/>
        </w:rPr>
        <w:instrText>2</w:instrText>
      </w:r>
      <w:r>
        <w:rPr>
          <w:color w:val="000000"/>
        </w:rPr>
        <w:instrText xml:space="preserve">),2)  </w:instrText>
      </w:r>
      <w:r>
        <w:rPr>
          <w:color w:val="000000"/>
        </w:rPr>
        <w:fldChar w:fldCharType="end"/>
      </w:r>
      <w:r>
        <w:rPr>
          <w:color w:val="000000"/>
        </w:rPr>
        <w:t>tons per square inch.</w:t>
      </w:r>
    </w:p>
    <w:p w:rsidR="00AF2508" w:rsidRDefault="00AF2508">
      <w:pPr>
        <w:pStyle w:val="Amain"/>
        <w:keepNext/>
      </w:pPr>
      <w:r>
        <w:tab/>
        <w:t>(17)</w:t>
      </w:r>
      <w:r>
        <w:tab/>
        <w:t>In subsection (16):</w:t>
      </w:r>
    </w:p>
    <w:p w:rsidR="00AF2508" w:rsidRDefault="00AF2508">
      <w:pPr>
        <w:pStyle w:val="aDef"/>
      </w:pPr>
      <w:r>
        <w:rPr>
          <w:rStyle w:val="charItals"/>
          <w:b/>
        </w:rPr>
        <w:t>ƒ</w:t>
      </w:r>
      <w:r>
        <w:t xml:space="preserve"> means the maximum transverse stress at the section under consideration.</w:t>
      </w:r>
    </w:p>
    <w:p w:rsidR="00AF2508" w:rsidRDefault="00AF2508">
      <w:pPr>
        <w:pStyle w:val="aDef"/>
      </w:pPr>
      <w:r>
        <w:rPr>
          <w:rStyle w:val="charItals"/>
          <w:b/>
        </w:rPr>
        <w:t>ƒs</w:t>
      </w:r>
      <w:r>
        <w:t xml:space="preserve"> means the maximum torsional stress at the same section.</w:t>
      </w:r>
    </w:p>
    <w:p w:rsidR="00AF2508" w:rsidRDefault="00AF2508">
      <w:pPr>
        <w:pStyle w:val="Amain"/>
      </w:pPr>
      <w:r>
        <w:rPr>
          <w:color w:val="000000"/>
        </w:rPr>
        <w:tab/>
        <w:t>(18)</w:t>
      </w:r>
      <w:r>
        <w:rPr>
          <w:color w:val="000000"/>
        </w:rPr>
        <w:tab/>
        <w:t>If a metal shaft of circular section is subject to simultaneous transverse and torsional stresses the resultant tensile stress shall be determined by the formula—</w:t>
      </w:r>
    </w:p>
    <w:p w:rsidR="00AF2508" w:rsidRDefault="00AF2508">
      <w:pPr>
        <w:pStyle w:val="Amain"/>
        <w:jc w:val="center"/>
        <w:rPr>
          <w:color w:val="000000"/>
        </w:rPr>
      </w:pPr>
      <w:r>
        <w:rPr>
          <w:color w:val="000000"/>
        </w:rPr>
        <w:t>0.375</w:t>
      </w:r>
      <w:r>
        <w:rPr>
          <w:rStyle w:val="charItals"/>
        </w:rPr>
        <w:t xml:space="preserve">ƒ </w:t>
      </w:r>
      <w:r>
        <w:rPr>
          <w:color w:val="000000"/>
          <w:sz w:val="28"/>
        </w:rPr>
        <w:t>+</w:t>
      </w:r>
      <w:r>
        <w:rPr>
          <w:color w:val="000000"/>
        </w:rPr>
        <w:t xml:space="preserve"> 0.625</w:t>
      </w:r>
      <w:r>
        <w:rPr>
          <w:color w:val="000000"/>
        </w:rPr>
        <w:fldChar w:fldCharType="begin"/>
      </w:r>
      <w:r>
        <w:rPr>
          <w:color w:val="000000"/>
        </w:rPr>
        <w:instrText xml:space="preserve"> EQ \R(</w:instrText>
      </w:r>
      <w:r>
        <w:rPr>
          <w:i/>
          <w:color w:val="000000"/>
        </w:rPr>
        <w:instrText>ƒ</w:instrText>
      </w:r>
      <w:r>
        <w:rPr>
          <w:color w:val="000000"/>
        </w:rPr>
        <w:instrText xml:space="preserve"> </w:instrText>
      </w:r>
      <w:r>
        <w:rPr>
          <w:color w:val="000000"/>
          <w:position w:val="6"/>
          <w:sz w:val="12"/>
        </w:rPr>
        <w:instrText>2</w:instrText>
      </w:r>
      <w:r>
        <w:rPr>
          <w:color w:val="000000"/>
        </w:rPr>
        <w:instrText xml:space="preserve"> </w:instrText>
      </w:r>
      <w:r>
        <w:rPr>
          <w:color w:val="000000"/>
          <w:sz w:val="28"/>
        </w:rPr>
        <w:instrText>+</w:instrText>
      </w:r>
      <w:r>
        <w:rPr>
          <w:color w:val="000000"/>
        </w:rPr>
        <w:instrText xml:space="preserve"> 4</w:instrText>
      </w:r>
      <w:r>
        <w:rPr>
          <w:i/>
          <w:color w:val="000000"/>
        </w:rPr>
        <w:instrText>ƒ</w:instrText>
      </w:r>
      <w:r>
        <w:rPr>
          <w:i/>
          <w:color w:val="000000"/>
          <w:sz w:val="20"/>
        </w:rPr>
        <w:instrText>s</w:instrText>
      </w:r>
      <w:r>
        <w:rPr>
          <w:color w:val="000000"/>
          <w:position w:val="6"/>
          <w:sz w:val="12"/>
        </w:rPr>
        <w:instrText>2</w:instrText>
      </w:r>
      <w:r>
        <w:rPr>
          <w:color w:val="000000"/>
        </w:rPr>
        <w:instrText xml:space="preserve">)  </w:instrText>
      </w:r>
      <w:r>
        <w:rPr>
          <w:color w:val="000000"/>
        </w:rPr>
        <w:fldChar w:fldCharType="end"/>
      </w:r>
      <w:r>
        <w:rPr>
          <w:color w:val="000000"/>
        </w:rPr>
        <w:t>tons per square inch.</w:t>
      </w:r>
    </w:p>
    <w:p w:rsidR="00AF2508" w:rsidRDefault="00AF2508">
      <w:pPr>
        <w:pStyle w:val="Amain"/>
      </w:pPr>
      <w:r>
        <w:tab/>
        <w:t>(19)</w:t>
      </w:r>
      <w:r>
        <w:tab/>
        <w:t>In subsection (18):</w:t>
      </w:r>
    </w:p>
    <w:p w:rsidR="00AF2508" w:rsidRDefault="00AF2508">
      <w:pPr>
        <w:pStyle w:val="aDef"/>
      </w:pPr>
      <w:r>
        <w:rPr>
          <w:rStyle w:val="charItals"/>
          <w:b/>
        </w:rPr>
        <w:t>ƒ</w:t>
      </w:r>
      <w:r>
        <w:t>—see subsection (17).</w:t>
      </w:r>
    </w:p>
    <w:p w:rsidR="00AF2508" w:rsidRDefault="00AF2508">
      <w:pPr>
        <w:pStyle w:val="aDef"/>
      </w:pPr>
      <w:r>
        <w:rPr>
          <w:rStyle w:val="charItals"/>
          <w:b/>
        </w:rPr>
        <w:t>ƒs</w:t>
      </w:r>
      <w:r>
        <w:t>—see subsection (17).</w:t>
      </w:r>
    </w:p>
    <w:p w:rsidR="00AF2508" w:rsidRDefault="00AF2508">
      <w:pPr>
        <w:pStyle w:val="Amain"/>
      </w:pPr>
      <w:r>
        <w:rPr>
          <w:color w:val="000000"/>
        </w:rPr>
        <w:tab/>
        <w:t>(20)</w:t>
      </w:r>
      <w:r>
        <w:rPr>
          <w:color w:val="000000"/>
        </w:rPr>
        <w:tab/>
        <w:t>The computed linear deflection of a metal shaft shall not exceed </w:t>
      </w:r>
      <w:r>
        <w:rPr>
          <w:color w:val="000000"/>
          <w:position w:val="6"/>
          <w:sz w:val="18"/>
        </w:rPr>
        <w:t>1</w:t>
      </w:r>
      <w:r>
        <w:rPr>
          <w:color w:val="000000"/>
        </w:rPr>
        <w:t>/</w:t>
      </w:r>
      <w:r>
        <w:rPr>
          <w:color w:val="000000"/>
          <w:sz w:val="18"/>
        </w:rPr>
        <w:t>1200</w:t>
      </w:r>
      <w:r>
        <w:rPr>
          <w:color w:val="000000"/>
        </w:rPr>
        <w:t xml:space="preserve"> part of the span of the shaft.</w:t>
      </w:r>
    </w:p>
    <w:p w:rsidR="00AF2508" w:rsidRDefault="00AF2508">
      <w:pPr>
        <w:pStyle w:val="Amain"/>
      </w:pPr>
      <w:r>
        <w:tab/>
        <w:t>(21)</w:t>
      </w:r>
      <w:r>
        <w:tab/>
        <w:t>If the shaft functions as a cantilever, the deflection shall not exceed </w:t>
      </w:r>
      <w:r>
        <w:rPr>
          <w:position w:val="6"/>
          <w:sz w:val="18"/>
        </w:rPr>
        <w:t>1</w:t>
      </w:r>
      <w:r>
        <w:t>/</w:t>
      </w:r>
      <w:r>
        <w:rPr>
          <w:sz w:val="18"/>
        </w:rPr>
        <w:t>600</w:t>
      </w:r>
      <w:r>
        <w:t xml:space="preserve"> part of the length of the cantilever.</w:t>
      </w:r>
    </w:p>
    <w:p w:rsidR="00AF2508" w:rsidRDefault="00AF2508">
      <w:pPr>
        <w:pStyle w:val="Amain"/>
      </w:pPr>
      <w:r>
        <w:tab/>
        <w:t>(22)</w:t>
      </w:r>
      <w:r>
        <w:tab/>
        <w:t>For the purpose of computing linear deflections the modulus of elasticity of mild steel shall be deemed to be 13 000 tons per square inch and it shall not be necessary to increase the forces producing deflections in the way otherwise provided by section 125.</w:t>
      </w:r>
    </w:p>
    <w:p w:rsidR="00AF2508" w:rsidRDefault="00AF2508">
      <w:pPr>
        <w:pStyle w:val="Amain"/>
      </w:pPr>
      <w:r>
        <w:rPr>
          <w:color w:val="000000"/>
        </w:rPr>
        <w:tab/>
        <w:t>(23)</w:t>
      </w:r>
      <w:r>
        <w:rPr>
          <w:color w:val="000000"/>
        </w:rPr>
        <w:tab/>
        <w:t>If any shaft has a keyway, featherway, or similar recess greater in any sectional dimension than that provided by British Standard Specification No 46, part 1, 1929, or if a shaft is within classification 3 or 4 or is subject to alteration of stress under power and has any keyway, featherway or similar recess, the stress in the shaft shall be considered to be increased thereby in the ratio—</w:t>
      </w:r>
    </w:p>
    <w:tbl>
      <w:tblPr>
        <w:tblW w:w="0" w:type="auto"/>
        <w:tblInd w:w="2760" w:type="dxa"/>
        <w:tblLayout w:type="fixed"/>
        <w:tblCellMar>
          <w:left w:w="80" w:type="dxa"/>
          <w:right w:w="80" w:type="dxa"/>
        </w:tblCellMar>
        <w:tblLook w:val="0000" w:firstRow="0" w:lastRow="0" w:firstColumn="0" w:lastColumn="0" w:noHBand="0" w:noVBand="0"/>
      </w:tblPr>
      <w:tblGrid>
        <w:gridCol w:w="1760"/>
      </w:tblGrid>
      <w:tr w:rsidR="00AF2508">
        <w:trPr>
          <w:cantSplit/>
        </w:trPr>
        <w:tc>
          <w:tcPr>
            <w:tcW w:w="1760" w:type="dxa"/>
            <w:tcBorders>
              <w:bottom w:val="single" w:sz="6" w:space="0" w:color="auto"/>
            </w:tcBorders>
          </w:tcPr>
          <w:p w:rsidR="00AF2508" w:rsidRDefault="00AF2508">
            <w:pPr>
              <w:pStyle w:val="Amain"/>
              <w:keepNext/>
              <w:jc w:val="center"/>
              <w:rPr>
                <w:color w:val="000000"/>
              </w:rPr>
            </w:pPr>
            <w:r>
              <w:rPr>
                <w:color w:val="000000"/>
              </w:rPr>
              <w:t>1</w:t>
            </w:r>
          </w:p>
        </w:tc>
      </w:tr>
    </w:tbl>
    <w:p w:rsidR="00AF2508" w:rsidRDefault="00AF2508">
      <w:pPr>
        <w:pStyle w:val="Amain"/>
        <w:jc w:val="center"/>
        <w:rPr>
          <w:color w:val="000000"/>
        </w:rPr>
      </w:pPr>
      <w:r>
        <w:rPr>
          <w:color w:val="000000"/>
        </w:rPr>
        <w:t xml:space="preserve">1 — </w:t>
      </w:r>
      <w:r>
        <w:rPr>
          <w:color w:val="000000"/>
        </w:rPr>
        <w:fldChar w:fldCharType="begin"/>
      </w:r>
      <w:r>
        <w:rPr>
          <w:color w:val="000000"/>
        </w:rPr>
        <w:instrText xml:space="preserve"> EQ \F(0.2</w:instrText>
      </w:r>
      <w:r>
        <w:rPr>
          <w:i/>
          <w:color w:val="000000"/>
        </w:rPr>
        <w:instrText>b</w:instrText>
      </w:r>
      <w:r>
        <w:rPr>
          <w:color w:val="000000"/>
        </w:rPr>
        <w:instrText>,</w:instrText>
      </w:r>
      <w:r>
        <w:rPr>
          <w:b/>
          <w:color w:val="000000"/>
        </w:rPr>
        <w:instrText>D</w:instrText>
      </w:r>
      <w:r>
        <w:rPr>
          <w:color w:val="000000"/>
        </w:rPr>
        <w:instrText xml:space="preserve">)  </w:instrText>
      </w:r>
      <w:r>
        <w:rPr>
          <w:color w:val="000000"/>
        </w:rPr>
        <w:fldChar w:fldCharType="end"/>
      </w:r>
      <w:r>
        <w:rPr>
          <w:color w:val="000000"/>
        </w:rPr>
        <w:t xml:space="preserve">— </w:t>
      </w:r>
      <w:r>
        <w:rPr>
          <w:color w:val="000000"/>
        </w:rPr>
        <w:fldChar w:fldCharType="begin"/>
      </w:r>
      <w:r>
        <w:rPr>
          <w:color w:val="000000"/>
        </w:rPr>
        <w:instrText xml:space="preserve"> EQ \F(1.1</w:instrText>
      </w:r>
      <w:r>
        <w:rPr>
          <w:i/>
          <w:color w:val="000000"/>
        </w:rPr>
        <w:instrText>d</w:instrText>
      </w:r>
      <w:r>
        <w:rPr>
          <w:color w:val="000000"/>
        </w:rPr>
        <w:instrText>,</w:instrText>
      </w:r>
      <w:r>
        <w:rPr>
          <w:b/>
          <w:color w:val="000000"/>
        </w:rPr>
        <w:instrText>D</w:instrText>
      </w:r>
      <w:r>
        <w:rPr>
          <w:color w:val="000000"/>
        </w:rPr>
        <w:instrText xml:space="preserve">) </w:instrText>
      </w:r>
      <w:r>
        <w:rPr>
          <w:color w:val="000000"/>
        </w:rPr>
        <w:fldChar w:fldCharType="end"/>
      </w:r>
      <w:r>
        <w:rPr>
          <w:color w:val="000000"/>
        </w:rPr>
        <w:t xml:space="preserve">    .</w:t>
      </w:r>
    </w:p>
    <w:p w:rsidR="00AF2508" w:rsidRDefault="00AF2508">
      <w:pPr>
        <w:pStyle w:val="Amain"/>
      </w:pPr>
      <w:r>
        <w:tab/>
        <w:t>(24)</w:t>
      </w:r>
      <w:r>
        <w:tab/>
        <w:t>In subsection (23):</w:t>
      </w:r>
    </w:p>
    <w:p w:rsidR="00AF2508" w:rsidRDefault="00AF2508">
      <w:pPr>
        <w:pStyle w:val="aDef"/>
      </w:pPr>
      <w:r>
        <w:rPr>
          <w:rStyle w:val="charItals"/>
          <w:b/>
        </w:rPr>
        <w:t>b</w:t>
      </w:r>
      <w:r>
        <w:t xml:space="preserve"> means the breadth.</w:t>
      </w:r>
    </w:p>
    <w:p w:rsidR="00AF2508" w:rsidRDefault="00AF2508">
      <w:pPr>
        <w:pStyle w:val="aDef"/>
      </w:pPr>
      <w:r>
        <w:rPr>
          <w:rStyle w:val="charItals"/>
          <w:b/>
        </w:rPr>
        <w:t>d</w:t>
      </w:r>
      <w:r>
        <w:t xml:space="preserve"> means the depth of the keyway, featherway or similar recess.</w:t>
      </w:r>
    </w:p>
    <w:p w:rsidR="00AF2508" w:rsidRDefault="00AF2508">
      <w:pPr>
        <w:pStyle w:val="aDef"/>
      </w:pPr>
      <w:r>
        <w:rPr>
          <w:b/>
        </w:rPr>
        <w:t>D</w:t>
      </w:r>
      <w:r>
        <w:t xml:space="preserve"> means the diameter of the shaft.</w:t>
      </w:r>
    </w:p>
    <w:p w:rsidR="00AF2508" w:rsidRDefault="00AF2508">
      <w:pPr>
        <w:pStyle w:val="Amain"/>
      </w:pPr>
      <w:r>
        <w:tab/>
        <w:t>(25)</w:t>
      </w:r>
      <w:r>
        <w:tab/>
        <w:t>For subsections (23) and (24), all dimensions must be measured in the same units.</w:t>
      </w:r>
    </w:p>
    <w:p w:rsidR="00AF2508" w:rsidRDefault="00AF2508">
      <w:pPr>
        <w:pStyle w:val="Amain"/>
        <w:rPr>
          <w:color w:val="000000"/>
        </w:rPr>
      </w:pPr>
      <w:r>
        <w:rPr>
          <w:color w:val="000000"/>
        </w:rPr>
        <w:tab/>
        <w:t>(26)</w:t>
      </w:r>
      <w:r>
        <w:rPr>
          <w:color w:val="000000"/>
        </w:rPr>
        <w:tab/>
        <w:t xml:space="preserve">For the purposes of design only, spur gears that are not within the central </w:t>
      </w:r>
      <w:r>
        <w:rPr>
          <w:color w:val="000000"/>
          <w:position w:val="6"/>
          <w:sz w:val="18"/>
        </w:rPr>
        <w:t>1</w:t>
      </w:r>
      <w:r>
        <w:rPr>
          <w:color w:val="000000"/>
        </w:rPr>
        <w:t>/</w:t>
      </w:r>
      <w:r>
        <w:rPr>
          <w:color w:val="000000"/>
          <w:sz w:val="18"/>
        </w:rPr>
        <w:t>3</w:t>
      </w:r>
      <w:r>
        <w:rPr>
          <w:color w:val="000000"/>
        </w:rPr>
        <w:t xml:space="preserve"> of the span of their supporting shafts, and cantilevered spur gears that are spaced at a greater distance than </w:t>
      </w:r>
      <w:r>
        <w:rPr>
          <w:color w:val="000000"/>
          <w:position w:val="6"/>
          <w:sz w:val="18"/>
        </w:rPr>
        <w:t>1</w:t>
      </w:r>
      <w:r>
        <w:rPr>
          <w:color w:val="000000"/>
        </w:rPr>
        <w:t>/</w:t>
      </w:r>
      <w:r>
        <w:rPr>
          <w:color w:val="000000"/>
          <w:sz w:val="18"/>
        </w:rPr>
        <w:t>2</w:t>
      </w:r>
      <w:r>
        <w:rPr>
          <w:color w:val="000000"/>
        </w:rPr>
        <w:t xml:space="preserve"> of their own face width from the nearest support shall be classified in the next higher group than the mechanisms with which they are integral.</w:t>
      </w:r>
    </w:p>
    <w:p w:rsidR="00AF2508" w:rsidRDefault="00AF2508">
      <w:pPr>
        <w:pStyle w:val="Amain"/>
      </w:pPr>
      <w:r>
        <w:rPr>
          <w:color w:val="000000"/>
        </w:rPr>
        <w:tab/>
        <w:t>(27)</w:t>
      </w:r>
      <w:r>
        <w:rPr>
          <w:color w:val="000000"/>
        </w:rPr>
        <w:tab/>
        <w:t>Spur gears of mechanisms within classification 4 shall not be mounted in positions that would subject them to such restriction.</w:t>
      </w:r>
    </w:p>
    <w:p w:rsidR="00AF2508" w:rsidRDefault="00AF2508">
      <w:pPr>
        <w:pStyle w:val="Amain"/>
        <w:keepLines/>
        <w:rPr>
          <w:color w:val="000000"/>
        </w:rPr>
      </w:pPr>
      <w:r>
        <w:rPr>
          <w:color w:val="000000"/>
        </w:rPr>
        <w:tab/>
        <w:t>(28)</w:t>
      </w:r>
      <w:r>
        <w:rPr>
          <w:color w:val="000000"/>
        </w:rPr>
        <w:tab/>
        <w:t>If mounted on short heavy shafts and contained in rigid, close-fitting boxings that have been machined by methods ensuring correct alignment and meshing, spur gears with machined teeth may, if running in lubricant and completely protected against entry of foreign matter, be classified in the next lower group than the mechanisms with which they are integral.</w:t>
      </w:r>
    </w:p>
    <w:p w:rsidR="00AF2508" w:rsidRDefault="00AF2508">
      <w:pPr>
        <w:pStyle w:val="Amain"/>
      </w:pPr>
      <w:r>
        <w:rPr>
          <w:color w:val="000000"/>
        </w:rPr>
        <w:tab/>
        <w:t>(29)</w:t>
      </w:r>
      <w:r>
        <w:rPr>
          <w:color w:val="000000"/>
        </w:rPr>
        <w:tab/>
        <w:t>This classification shall apply to spur gears of mechanisms within classifications 2, 3 or 4, and is solely for purpose of design.</w:t>
      </w:r>
    </w:p>
    <w:p w:rsidR="00AF2508" w:rsidRDefault="00AF2508">
      <w:pPr>
        <w:pStyle w:val="Amain"/>
      </w:pPr>
      <w:r>
        <w:rPr>
          <w:color w:val="000000"/>
        </w:rPr>
        <w:tab/>
        <w:t>(30)</w:t>
      </w:r>
      <w:r>
        <w:rPr>
          <w:color w:val="000000"/>
        </w:rPr>
        <w:tab/>
        <w:t>Unless approved by the chief inspector spur, spiral or worm gears having other than machined teeth shall not be used in hoisting or luffing mechanisms within classifications 3 or 4, or in hand or power-operated chain or wire rope lifting blocks.</w:t>
      </w:r>
    </w:p>
    <w:p w:rsidR="00AF2508" w:rsidRDefault="00AF2508">
      <w:pPr>
        <w:pStyle w:val="Amain"/>
        <w:keepNext/>
      </w:pPr>
      <w:r>
        <w:rPr>
          <w:color w:val="000000"/>
        </w:rPr>
        <w:tab/>
        <w:t>(31)</w:t>
      </w:r>
      <w:r>
        <w:rPr>
          <w:color w:val="000000"/>
        </w:rPr>
        <w:tab/>
        <w:t>Notwithstanding the provisions of subsection (38) for purposes of design only, spur, spiral or worm gears used as follows may, if not otherwise in a lower classification, be considered to be within classification 2—</w:t>
      </w:r>
    </w:p>
    <w:p w:rsidR="00AF2508" w:rsidRDefault="00AF2508">
      <w:pPr>
        <w:pStyle w:val="Apara"/>
      </w:pPr>
      <w:r>
        <w:tab/>
        <w:t>(a)</w:t>
      </w:r>
      <w:r>
        <w:tab/>
        <w:t>in travelling or traversing mechanisms of cranes or hoists where promoting or controlling movements in only horizontal paths, and not subject to wind loadings; and</w:t>
      </w:r>
    </w:p>
    <w:p w:rsidR="00AF2508" w:rsidRDefault="00AF2508">
      <w:pPr>
        <w:pStyle w:val="Apara"/>
      </w:pPr>
      <w:r>
        <w:tab/>
        <w:t>(b)</w:t>
      </w:r>
      <w:r>
        <w:tab/>
        <w:t>in mechanisms driving continuous unidirectional conveyors that are provided with independent automatic devices to prevent reversal.</w:t>
      </w:r>
    </w:p>
    <w:p w:rsidR="00AF2508" w:rsidRDefault="00AF2508">
      <w:pPr>
        <w:pStyle w:val="Amain"/>
      </w:pPr>
      <w:r>
        <w:rPr>
          <w:color w:val="000000"/>
        </w:rPr>
        <w:tab/>
        <w:t>(32)</w:t>
      </w:r>
      <w:r>
        <w:rPr>
          <w:color w:val="000000"/>
        </w:rPr>
        <w:tab/>
        <w:t>Spur teeth that are not machined shall be considered as simple cantilevers, each bearing at its free extremity a tangential bending force equal to the pitch circle load the spur gear is required to transmit, having due regard to the increases prescribed by section 125.</w:t>
      </w:r>
    </w:p>
    <w:p w:rsidR="00AF2508" w:rsidRDefault="00AF2508">
      <w:pPr>
        <w:pStyle w:val="Amain"/>
      </w:pPr>
      <w:r>
        <w:tab/>
        <w:t>(33)</w:t>
      </w:r>
      <w:r>
        <w:tab/>
        <w:t>The stresses so determined shall not exceed the relevant and appropriate maximum prescribed by section 126, and modified by subsection (47).</w:t>
      </w:r>
    </w:p>
    <w:p w:rsidR="00AF2508" w:rsidRDefault="00AF2508">
      <w:pPr>
        <w:pStyle w:val="Amain"/>
        <w:rPr>
          <w:color w:val="000000"/>
        </w:rPr>
      </w:pPr>
      <w:r>
        <w:rPr>
          <w:color w:val="000000"/>
        </w:rPr>
        <w:tab/>
        <w:t>(34)</w:t>
      </w:r>
      <w:r>
        <w:rPr>
          <w:color w:val="000000"/>
        </w:rPr>
        <w:tab/>
        <w:t>If spur teeth are effectively supported by a single shroud extending in height to at least the pitch circle, tooth stresses may be considered to have been thereby reduced by 10%.</w:t>
      </w:r>
    </w:p>
    <w:p w:rsidR="00AF2508" w:rsidRDefault="00AF2508">
      <w:pPr>
        <w:pStyle w:val="Amain"/>
        <w:rPr>
          <w:color w:val="000000"/>
        </w:rPr>
      </w:pPr>
      <w:r>
        <w:rPr>
          <w:color w:val="000000"/>
        </w:rPr>
        <w:tab/>
        <w:t>(35)</w:t>
      </w:r>
      <w:r>
        <w:rPr>
          <w:color w:val="000000"/>
        </w:rPr>
        <w:tab/>
        <w:t>Effective double shrouds of such height may be considered to reduce tooth stresses by 33%.</w:t>
      </w:r>
    </w:p>
    <w:p w:rsidR="00AF2508" w:rsidRDefault="00AF2508">
      <w:pPr>
        <w:pStyle w:val="Amain"/>
        <w:rPr>
          <w:color w:val="000000"/>
        </w:rPr>
      </w:pPr>
      <w:r>
        <w:rPr>
          <w:color w:val="000000"/>
        </w:rPr>
        <w:tab/>
        <w:t>(36)</w:t>
      </w:r>
      <w:r>
        <w:rPr>
          <w:color w:val="000000"/>
        </w:rPr>
        <w:tab/>
        <w:t>These reductions shall not be made if the face of the spur gear concerned exceeds 3 times the circumferential pitch of the teeth for a single shroud, or 5 times the pitch for double shrouds.</w:t>
      </w:r>
    </w:p>
    <w:p w:rsidR="00AF2508" w:rsidRDefault="00AF2508">
      <w:pPr>
        <w:pStyle w:val="Amain"/>
      </w:pPr>
      <w:r>
        <w:rPr>
          <w:color w:val="000000"/>
        </w:rPr>
        <w:tab/>
        <w:t>(37)</w:t>
      </w:r>
      <w:r>
        <w:rPr>
          <w:color w:val="000000"/>
        </w:rPr>
        <w:tab/>
        <w:t>Subject to the same limitations, an effective single shroud extending to the top of the teeth may be considered to reduce tooth stresses by 16%, and effective double shrouds of the same height by 50%.</w:t>
      </w:r>
    </w:p>
    <w:p w:rsidR="00AF2508" w:rsidRDefault="00AF2508">
      <w:pPr>
        <w:pStyle w:val="Amain"/>
      </w:pPr>
      <w:r>
        <w:rPr>
          <w:color w:val="000000"/>
        </w:rPr>
        <w:tab/>
        <w:t>(38)</w:t>
      </w:r>
      <w:r>
        <w:rPr>
          <w:color w:val="000000"/>
        </w:rPr>
        <w:tab/>
        <w:t>Spur gears of the following materials shall not, for the purposes of design, be considered to be in a lower group than classification 2 if machined, or classification 3 if not machined:</w:t>
      </w:r>
    </w:p>
    <w:p w:rsidR="00AF2508" w:rsidRDefault="00AF2508">
      <w:pPr>
        <w:pStyle w:val="Apara"/>
      </w:pPr>
      <w:r>
        <w:tab/>
        <w:t>(a)</w:t>
      </w:r>
      <w:r>
        <w:tab/>
        <w:t>cast metals, other than steel;</w:t>
      </w:r>
    </w:p>
    <w:p w:rsidR="00AF2508" w:rsidRDefault="00AF2508">
      <w:pPr>
        <w:pStyle w:val="Apara"/>
      </w:pPr>
      <w:r>
        <w:tab/>
        <w:t>(b)</w:t>
      </w:r>
      <w:r>
        <w:tab/>
        <w:t>extruded metals;</w:t>
      </w:r>
    </w:p>
    <w:p w:rsidR="00AF2508" w:rsidRDefault="00AF2508">
      <w:pPr>
        <w:pStyle w:val="Apara"/>
      </w:pPr>
      <w:r>
        <w:tab/>
        <w:t>(c)</w:t>
      </w:r>
      <w:r>
        <w:tab/>
        <w:t>synthetics, including impregnated fabrics and fibres;</w:t>
      </w:r>
    </w:p>
    <w:p w:rsidR="00AF2508" w:rsidRDefault="00AF2508">
      <w:pPr>
        <w:pStyle w:val="Apara"/>
      </w:pPr>
      <w:r>
        <w:tab/>
        <w:t>(d)</w:t>
      </w:r>
      <w:r>
        <w:tab/>
        <w:t>leather;</w:t>
      </w:r>
    </w:p>
    <w:p w:rsidR="00AF2508" w:rsidRDefault="00AF2508">
      <w:pPr>
        <w:pStyle w:val="Apara"/>
      </w:pPr>
      <w:r>
        <w:tab/>
        <w:t>(e)</w:t>
      </w:r>
      <w:r>
        <w:tab/>
        <w:t>timber, including vegetable fibres.</w:t>
      </w:r>
    </w:p>
    <w:p w:rsidR="00AF2508" w:rsidRDefault="00AF2508">
      <w:pPr>
        <w:pStyle w:val="Amain"/>
        <w:keepNext/>
      </w:pPr>
      <w:r>
        <w:rPr>
          <w:color w:val="000000"/>
        </w:rPr>
        <w:tab/>
        <w:t>(39)</w:t>
      </w:r>
      <w:r>
        <w:rPr>
          <w:color w:val="000000"/>
        </w:rPr>
        <w:tab/>
        <w:t>The transverse stress at the base of a machined straight involute tooth of a plain or helical spur gear shall be determined from the formula—</w:t>
      </w:r>
    </w:p>
    <w:p w:rsidR="00AF2508" w:rsidRDefault="00AF2508">
      <w:pPr>
        <w:pStyle w:val="Amain"/>
        <w:spacing w:before="40" w:after="20"/>
        <w:jc w:val="center"/>
        <w:rPr>
          <w:color w:val="000000"/>
        </w:rPr>
      </w:pPr>
      <w:r>
        <w:rPr>
          <w:color w:val="000000"/>
        </w:rPr>
        <w:fldChar w:fldCharType="begin"/>
      </w:r>
      <w:r>
        <w:rPr>
          <w:color w:val="000000"/>
        </w:rPr>
        <w:instrText xml:space="preserve"> EQ \F(</w:instrText>
      </w:r>
      <w:r>
        <w:rPr>
          <w:b/>
          <w:color w:val="000000"/>
        </w:rPr>
        <w:instrText>WP</w:instrText>
      </w:r>
      <w:r>
        <w:rPr>
          <w:color w:val="000000"/>
        </w:rPr>
        <w:instrText>,</w:instrText>
      </w:r>
      <w:r>
        <w:rPr>
          <w:b/>
          <w:color w:val="000000"/>
        </w:rPr>
        <w:instrText>FZ</w:instrText>
      </w:r>
      <w:r>
        <w:rPr>
          <w:color w:val="000000"/>
        </w:rPr>
        <w:instrText xml:space="preserve">)  </w:instrText>
      </w:r>
      <w:r>
        <w:rPr>
          <w:color w:val="000000"/>
        </w:rPr>
        <w:fldChar w:fldCharType="end"/>
      </w:r>
      <w:r>
        <w:rPr>
          <w:color w:val="000000"/>
        </w:rPr>
        <w:t>pounds per square inch.</w:t>
      </w:r>
    </w:p>
    <w:p w:rsidR="00AF2508" w:rsidRDefault="00AF2508">
      <w:pPr>
        <w:pStyle w:val="Amain"/>
      </w:pPr>
      <w:r>
        <w:tab/>
        <w:t>(40)</w:t>
      </w:r>
      <w:r>
        <w:tab/>
        <w:t>In subsection (39):</w:t>
      </w:r>
    </w:p>
    <w:p w:rsidR="00AF2508" w:rsidRDefault="00AF2508">
      <w:pPr>
        <w:pStyle w:val="aDef"/>
      </w:pPr>
      <w:r>
        <w:rPr>
          <w:b/>
        </w:rPr>
        <w:t>F</w:t>
      </w:r>
      <w:r>
        <w:t xml:space="preserve"> means the effective face of the spur gear measured in inches parallel to the axis of rotation of the gear.</w:t>
      </w:r>
    </w:p>
    <w:p w:rsidR="00AF2508" w:rsidRDefault="00AF2508">
      <w:pPr>
        <w:pStyle w:val="aDef"/>
      </w:pPr>
      <w:r>
        <w:rPr>
          <w:b/>
        </w:rPr>
        <w:t>P</w:t>
      </w:r>
      <w:r>
        <w:t xml:space="preserve"> means the diametral pitch in the diametral plane of rotation.</w:t>
      </w:r>
    </w:p>
    <w:p w:rsidR="00AF2508" w:rsidRDefault="00AF2508">
      <w:pPr>
        <w:pStyle w:val="aDef"/>
      </w:pPr>
      <w:r>
        <w:rPr>
          <w:b/>
        </w:rPr>
        <w:t>W</w:t>
      </w:r>
      <w:r>
        <w:t xml:space="preserve"> means the tooth load in pounds as referred to in subsection (45).</w:t>
      </w:r>
    </w:p>
    <w:p w:rsidR="00AF2508" w:rsidRDefault="00AF2508">
      <w:pPr>
        <w:pStyle w:val="aDef"/>
      </w:pPr>
      <w:r>
        <w:rPr>
          <w:b/>
        </w:rPr>
        <w:t>Z</w:t>
      </w:r>
      <w:r>
        <w:t xml:space="preserve"> means a coefficient to be obtained from table 130.1, relevant and appropriate to the number of teeth of the gear and to the obliquity of the path of contact of mating teeth from planes tangential to the shortest line joining the centre of rotation of the gear to the like centre of its mating gear.</w:t>
      </w:r>
    </w:p>
    <w:p w:rsidR="00AF2508" w:rsidRDefault="00AF2508">
      <w:pPr>
        <w:pStyle w:val="Amain"/>
      </w:pPr>
      <w:r>
        <w:tab/>
        <w:t>(41)</w:t>
      </w:r>
      <w:r>
        <w:tab/>
        <w:t xml:space="preserve">If the tooth is machined in accordance with Fellows standard 20° stub proportions, </w:t>
      </w:r>
      <w:r>
        <w:rPr>
          <w:b/>
        </w:rPr>
        <w:t>P</w:t>
      </w:r>
      <w:r>
        <w:t xml:space="preserve"> shall be the diametral pitch in the diametral plane of rotation.</w:t>
      </w:r>
    </w:p>
    <w:p w:rsidR="00AF2508" w:rsidRDefault="00AF2508">
      <w:pPr>
        <w:pStyle w:val="Amain"/>
      </w:pPr>
      <w:r>
        <w:tab/>
        <w:t>(42)</w:t>
      </w:r>
      <w:r>
        <w:tab/>
        <w:t>The transverse stress determined in accordance with subsection (39) shall not exceed the relevant and appropriate maximum prescribed by section 126 and modified by subsection (47).</w:t>
      </w:r>
    </w:p>
    <w:p w:rsidR="00AF2508" w:rsidRDefault="00AF2508">
      <w:pPr>
        <w:pStyle w:val="TableHd"/>
        <w:ind w:left="1368" w:hanging="1368"/>
      </w:pPr>
      <w:r>
        <w:t>Table 130.1</w:t>
      </w:r>
      <w:r>
        <w:tab/>
        <w:t xml:space="preserve">Coefficients </w:t>
      </w:r>
      <w:r>
        <w:rPr>
          <w:rStyle w:val="charItals"/>
        </w:rPr>
        <w:t>Z</w:t>
      </w:r>
      <w:r>
        <w:t xml:space="preserve"> relating to teeth of spur gearing</w:t>
      </w:r>
    </w:p>
    <w:tbl>
      <w:tblPr>
        <w:tblW w:w="0" w:type="auto"/>
        <w:tblInd w:w="-40" w:type="dxa"/>
        <w:tblLayout w:type="fixed"/>
        <w:tblCellMar>
          <w:left w:w="80" w:type="dxa"/>
          <w:right w:w="80" w:type="dxa"/>
        </w:tblCellMar>
        <w:tblLook w:val="0000" w:firstRow="0" w:lastRow="0" w:firstColumn="0" w:lastColumn="0" w:noHBand="0" w:noVBand="0"/>
      </w:tblPr>
      <w:tblGrid>
        <w:gridCol w:w="560"/>
        <w:gridCol w:w="800"/>
        <w:gridCol w:w="700"/>
        <w:gridCol w:w="720"/>
        <w:gridCol w:w="540"/>
        <w:gridCol w:w="600"/>
        <w:gridCol w:w="600"/>
        <w:gridCol w:w="600"/>
        <w:gridCol w:w="600"/>
        <w:gridCol w:w="600"/>
        <w:gridCol w:w="600"/>
        <w:gridCol w:w="600"/>
      </w:tblGrid>
      <w:tr w:rsidR="00AF2508">
        <w:trPr>
          <w:cantSplit/>
          <w:tblHeader/>
        </w:trPr>
        <w:tc>
          <w:tcPr>
            <w:tcW w:w="560" w:type="dxa"/>
            <w:tcBorders>
              <w:top w:val="single" w:sz="6" w:space="0" w:color="auto"/>
            </w:tcBorders>
          </w:tcPr>
          <w:p w:rsidR="00AF2508" w:rsidRDefault="00AF2508">
            <w:pPr>
              <w:pStyle w:val="TableColHd"/>
              <w:rPr>
                <w:sz w:val="14"/>
              </w:rPr>
            </w:pPr>
          </w:p>
        </w:tc>
        <w:tc>
          <w:tcPr>
            <w:tcW w:w="800" w:type="dxa"/>
            <w:vMerge w:val="restart"/>
            <w:tcBorders>
              <w:top w:val="single" w:sz="6" w:space="0" w:color="auto"/>
              <w:left w:val="single" w:sz="6" w:space="0" w:color="auto"/>
              <w:right w:val="single" w:sz="6" w:space="0" w:color="auto"/>
            </w:tcBorders>
            <w:vAlign w:val="bottom"/>
          </w:tcPr>
          <w:p w:rsidR="00AF2508" w:rsidRDefault="00AF2508">
            <w:pPr>
              <w:pStyle w:val="TableColHd"/>
              <w:rPr>
                <w:sz w:val="14"/>
              </w:rPr>
            </w:pPr>
            <w:r>
              <w:rPr>
                <w:sz w:val="14"/>
              </w:rPr>
              <w:t>14</w:t>
            </w:r>
            <w:r>
              <w:rPr>
                <w:position w:val="4"/>
                <w:sz w:val="10"/>
              </w:rPr>
              <w:t>1</w:t>
            </w:r>
            <w:r>
              <w:rPr>
                <w:sz w:val="14"/>
              </w:rPr>
              <w:t>/</w:t>
            </w:r>
            <w:r>
              <w:rPr>
                <w:sz w:val="10"/>
              </w:rPr>
              <w:t>2</w:t>
            </w:r>
            <w:r>
              <w:rPr>
                <w:sz w:val="14"/>
              </w:rPr>
              <w:t>° involute t</w:t>
            </w:r>
            <w:r>
              <w:rPr>
                <w:color w:val="000000"/>
                <w:sz w:val="14"/>
              </w:rPr>
              <w:t>eeth or cycloidal teeth</w:t>
            </w:r>
          </w:p>
        </w:tc>
        <w:tc>
          <w:tcPr>
            <w:tcW w:w="700" w:type="dxa"/>
            <w:vMerge w:val="restart"/>
            <w:tcBorders>
              <w:top w:val="single" w:sz="6" w:space="0" w:color="auto"/>
              <w:left w:val="single" w:sz="6" w:space="0" w:color="auto"/>
              <w:right w:val="single" w:sz="6" w:space="0" w:color="auto"/>
            </w:tcBorders>
            <w:vAlign w:val="bottom"/>
          </w:tcPr>
          <w:p w:rsidR="00AF2508" w:rsidRDefault="00AF2508">
            <w:pPr>
              <w:pStyle w:val="TableColHd"/>
              <w:rPr>
                <w:sz w:val="14"/>
              </w:rPr>
            </w:pPr>
            <w:r>
              <w:rPr>
                <w:color w:val="000000"/>
                <w:sz w:val="14"/>
              </w:rPr>
              <w:t>20° involute teeth</w:t>
            </w:r>
          </w:p>
        </w:tc>
        <w:tc>
          <w:tcPr>
            <w:tcW w:w="720" w:type="dxa"/>
            <w:vMerge w:val="restart"/>
            <w:tcBorders>
              <w:top w:val="single" w:sz="6" w:space="0" w:color="auto"/>
              <w:right w:val="single" w:sz="6" w:space="0" w:color="auto"/>
            </w:tcBorders>
            <w:vAlign w:val="bottom"/>
          </w:tcPr>
          <w:p w:rsidR="00AF2508" w:rsidRDefault="00AF2508">
            <w:pPr>
              <w:pStyle w:val="TableColHd"/>
              <w:rPr>
                <w:sz w:val="14"/>
              </w:rPr>
            </w:pPr>
            <w:r>
              <w:rPr>
                <w:sz w:val="14"/>
              </w:rPr>
              <w:t>20° i</w:t>
            </w:r>
            <w:r>
              <w:rPr>
                <w:color w:val="000000"/>
                <w:sz w:val="14"/>
              </w:rPr>
              <w:t>nvolute stub teeth</w:t>
            </w:r>
          </w:p>
        </w:tc>
        <w:tc>
          <w:tcPr>
            <w:tcW w:w="4740" w:type="dxa"/>
            <w:gridSpan w:val="8"/>
            <w:tcBorders>
              <w:top w:val="single" w:sz="6" w:space="0" w:color="auto"/>
              <w:bottom w:val="single" w:sz="6" w:space="0" w:color="auto"/>
            </w:tcBorders>
          </w:tcPr>
          <w:p w:rsidR="00AF2508" w:rsidRDefault="00AF2508">
            <w:pPr>
              <w:pStyle w:val="TableColHd"/>
              <w:spacing w:before="60"/>
              <w:rPr>
                <w:sz w:val="14"/>
              </w:rPr>
            </w:pPr>
            <w:r>
              <w:rPr>
                <w:sz w:val="14"/>
              </w:rPr>
              <w:t>Fellow’s 20° stub teeth of undermentioned nominal diametral pitch</w:t>
            </w:r>
          </w:p>
        </w:tc>
      </w:tr>
      <w:tr w:rsidR="00AF2508">
        <w:trPr>
          <w:cantSplit/>
          <w:tblHeader/>
        </w:trPr>
        <w:tc>
          <w:tcPr>
            <w:tcW w:w="560" w:type="dxa"/>
            <w:tcBorders>
              <w:bottom w:val="single" w:sz="6" w:space="0" w:color="auto"/>
            </w:tcBorders>
            <w:vAlign w:val="bottom"/>
          </w:tcPr>
          <w:p w:rsidR="00AF2508" w:rsidRDefault="00AF2508">
            <w:pPr>
              <w:pStyle w:val="TableColHd"/>
              <w:rPr>
                <w:color w:val="000000"/>
                <w:sz w:val="14"/>
              </w:rPr>
            </w:pPr>
            <w:r>
              <w:rPr>
                <w:color w:val="000000"/>
                <w:sz w:val="14"/>
              </w:rPr>
              <w:t>No of teeth</w:t>
            </w:r>
          </w:p>
        </w:tc>
        <w:tc>
          <w:tcPr>
            <w:tcW w:w="800" w:type="dxa"/>
            <w:vMerge/>
            <w:tcBorders>
              <w:left w:val="single" w:sz="6" w:space="0" w:color="auto"/>
              <w:bottom w:val="single" w:sz="6" w:space="0" w:color="auto"/>
              <w:right w:val="single" w:sz="6" w:space="0" w:color="auto"/>
            </w:tcBorders>
          </w:tcPr>
          <w:p w:rsidR="00AF2508" w:rsidRDefault="00AF2508">
            <w:pPr>
              <w:pStyle w:val="TableColHd"/>
              <w:rPr>
                <w:color w:val="000000"/>
                <w:sz w:val="14"/>
              </w:rPr>
            </w:pPr>
          </w:p>
        </w:tc>
        <w:tc>
          <w:tcPr>
            <w:tcW w:w="700" w:type="dxa"/>
            <w:vMerge/>
            <w:tcBorders>
              <w:left w:val="single" w:sz="6" w:space="0" w:color="auto"/>
              <w:bottom w:val="single" w:sz="6" w:space="0" w:color="auto"/>
              <w:right w:val="single" w:sz="6" w:space="0" w:color="auto"/>
            </w:tcBorders>
          </w:tcPr>
          <w:p w:rsidR="00AF2508" w:rsidRDefault="00AF2508">
            <w:pPr>
              <w:pStyle w:val="TableColHd"/>
              <w:rPr>
                <w:color w:val="000000"/>
                <w:sz w:val="14"/>
              </w:rPr>
            </w:pPr>
          </w:p>
        </w:tc>
        <w:tc>
          <w:tcPr>
            <w:tcW w:w="720" w:type="dxa"/>
            <w:vMerge/>
            <w:tcBorders>
              <w:bottom w:val="single" w:sz="6" w:space="0" w:color="auto"/>
              <w:right w:val="single" w:sz="6" w:space="0" w:color="auto"/>
            </w:tcBorders>
          </w:tcPr>
          <w:p w:rsidR="00AF2508" w:rsidRDefault="00AF2508">
            <w:pPr>
              <w:pStyle w:val="TableColHd"/>
              <w:rPr>
                <w:color w:val="000000"/>
                <w:sz w:val="14"/>
              </w:rPr>
            </w:pPr>
          </w:p>
        </w:tc>
        <w:tc>
          <w:tcPr>
            <w:tcW w:w="540" w:type="dxa"/>
            <w:tcBorders>
              <w:bottom w:val="single" w:sz="6" w:space="0" w:color="auto"/>
            </w:tcBorders>
            <w:vAlign w:val="bottom"/>
          </w:tcPr>
          <w:p w:rsidR="00AF2508" w:rsidRDefault="00AF2508">
            <w:pPr>
              <w:pStyle w:val="Amain"/>
              <w:rPr>
                <w:color w:val="000000"/>
              </w:rPr>
            </w:pPr>
            <w:r>
              <w:rPr>
                <w:color w:val="000000"/>
                <w:position w:val="6"/>
                <w:sz w:val="18"/>
              </w:rPr>
              <w:t>4</w:t>
            </w:r>
            <w:r>
              <w:rPr>
                <w:color w:val="000000"/>
              </w:rPr>
              <w:t>/</w:t>
            </w:r>
            <w:r>
              <w:rPr>
                <w:color w:val="000000"/>
                <w:sz w:val="18"/>
              </w:rPr>
              <w:t>5</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AF2508" w:rsidRDefault="00AF2508">
            <w:pPr>
              <w:pStyle w:val="Amain"/>
              <w:rPr>
                <w:color w:val="000000"/>
              </w:rPr>
            </w:pPr>
            <w:r>
              <w:rPr>
                <w:color w:val="000000"/>
                <w:position w:val="6"/>
                <w:sz w:val="18"/>
              </w:rPr>
              <w:t>5</w:t>
            </w:r>
            <w:r>
              <w:rPr>
                <w:color w:val="000000"/>
              </w:rPr>
              <w:t>/</w:t>
            </w:r>
            <w:r>
              <w:rPr>
                <w:color w:val="000000"/>
                <w:sz w:val="18"/>
              </w:rPr>
              <w:t>7</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AF2508" w:rsidRDefault="00AF2508">
            <w:pPr>
              <w:pStyle w:val="Amain"/>
              <w:rPr>
                <w:color w:val="000000"/>
              </w:rPr>
            </w:pPr>
            <w:r>
              <w:rPr>
                <w:color w:val="000000"/>
                <w:position w:val="6"/>
                <w:sz w:val="18"/>
              </w:rPr>
              <w:t>6</w:t>
            </w:r>
            <w:r>
              <w:rPr>
                <w:color w:val="000000"/>
              </w:rPr>
              <w:t>/</w:t>
            </w:r>
            <w:r>
              <w:rPr>
                <w:color w:val="000000"/>
                <w:sz w:val="18"/>
              </w:rPr>
              <w:t>8</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AF2508" w:rsidRDefault="00AF2508">
            <w:pPr>
              <w:pStyle w:val="Amain"/>
              <w:rPr>
                <w:color w:val="000000"/>
              </w:rPr>
            </w:pPr>
            <w:r>
              <w:rPr>
                <w:color w:val="000000"/>
                <w:position w:val="6"/>
                <w:sz w:val="18"/>
              </w:rPr>
              <w:t>7</w:t>
            </w:r>
            <w:r>
              <w:rPr>
                <w:color w:val="000000"/>
              </w:rPr>
              <w:t>/</w:t>
            </w:r>
            <w:r>
              <w:rPr>
                <w:color w:val="000000"/>
                <w:sz w:val="18"/>
              </w:rPr>
              <w:t>9</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AF2508" w:rsidRDefault="00AF2508">
            <w:pPr>
              <w:pStyle w:val="Amain"/>
              <w:rPr>
                <w:color w:val="000000"/>
              </w:rPr>
            </w:pPr>
            <w:r>
              <w:rPr>
                <w:color w:val="000000"/>
                <w:position w:val="6"/>
                <w:sz w:val="18"/>
              </w:rPr>
              <w:t>8</w:t>
            </w:r>
            <w:r>
              <w:rPr>
                <w:color w:val="000000"/>
              </w:rPr>
              <w:t>/</w:t>
            </w:r>
            <w:r>
              <w:rPr>
                <w:color w:val="000000"/>
                <w:sz w:val="18"/>
              </w:rPr>
              <w:t>10</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AF2508" w:rsidRDefault="00AF2508">
            <w:pPr>
              <w:pStyle w:val="Amain"/>
              <w:rPr>
                <w:color w:val="000000"/>
              </w:rPr>
            </w:pPr>
            <w:r>
              <w:rPr>
                <w:color w:val="000000"/>
                <w:position w:val="6"/>
                <w:sz w:val="18"/>
              </w:rPr>
              <w:t>9</w:t>
            </w:r>
            <w:r>
              <w:rPr>
                <w:color w:val="000000"/>
              </w:rPr>
              <w:t>/</w:t>
            </w:r>
            <w:r>
              <w:rPr>
                <w:color w:val="000000"/>
                <w:sz w:val="18"/>
              </w:rPr>
              <w:t>11</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AF2508" w:rsidRDefault="00AF2508">
            <w:pPr>
              <w:pStyle w:val="Amain"/>
              <w:rPr>
                <w:color w:val="000000"/>
              </w:rPr>
            </w:pPr>
            <w:r>
              <w:rPr>
                <w:color w:val="000000"/>
                <w:position w:val="6"/>
                <w:sz w:val="18"/>
              </w:rPr>
              <w:t>10</w:t>
            </w:r>
            <w:r>
              <w:rPr>
                <w:color w:val="000000"/>
              </w:rPr>
              <w:t>/</w:t>
            </w:r>
            <w:r>
              <w:rPr>
                <w:color w:val="000000"/>
                <w:sz w:val="18"/>
              </w:rPr>
              <w:t>12</w:t>
            </w:r>
            <w:r>
              <w:rPr>
                <w:color w:val="000000"/>
              </w:rPr>
              <w:t xml:space="preserve"> </w:t>
            </w:r>
          </w:p>
        </w:tc>
        <w:tc>
          <w:tcPr>
            <w:tcW w:w="600" w:type="dxa"/>
            <w:tcBorders>
              <w:bottom w:val="single" w:sz="6" w:space="0" w:color="auto"/>
            </w:tcBorders>
            <w:vAlign w:val="bottom"/>
          </w:tcPr>
          <w:p w:rsidR="00AF2508" w:rsidRDefault="00AF2508">
            <w:pPr>
              <w:pStyle w:val="Amain"/>
              <w:rPr>
                <w:color w:val="000000"/>
              </w:rPr>
            </w:pPr>
            <w:r>
              <w:rPr>
                <w:color w:val="000000"/>
                <w:position w:val="6"/>
                <w:sz w:val="18"/>
              </w:rPr>
              <w:t>12</w:t>
            </w:r>
            <w:r>
              <w:rPr>
                <w:color w:val="000000"/>
              </w:rPr>
              <w:t>/</w:t>
            </w:r>
            <w:r>
              <w:rPr>
                <w:color w:val="000000"/>
                <w:sz w:val="18"/>
              </w:rPr>
              <w:t>14</w:t>
            </w:r>
            <w:r>
              <w:rPr>
                <w:color w:val="000000"/>
              </w:rPr>
              <w:t xml:space="preserve"> </w:t>
            </w:r>
          </w:p>
        </w:tc>
      </w:tr>
      <w:tr w:rsidR="00AF2508">
        <w:trPr>
          <w:cantSplit/>
        </w:trPr>
        <w:tc>
          <w:tcPr>
            <w:tcW w:w="560" w:type="dxa"/>
            <w:tcBorders>
              <w:top w:val="single" w:sz="6" w:space="0" w:color="auto"/>
            </w:tcBorders>
          </w:tcPr>
          <w:p w:rsidR="00AF2508" w:rsidRDefault="00AF2508">
            <w:pPr>
              <w:pStyle w:val="TableText"/>
              <w:rPr>
                <w:sz w:val="16"/>
              </w:rPr>
            </w:pPr>
            <w:r>
              <w:rPr>
                <w:sz w:val="16"/>
              </w:rPr>
              <w:t>10</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0.176</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0.201</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0.261</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p>
        </w:tc>
        <w:tc>
          <w:tcPr>
            <w:tcW w:w="600" w:type="dxa"/>
            <w:tcBorders>
              <w:top w:val="single" w:sz="6" w:space="0" w:color="auto"/>
            </w:tcBorders>
          </w:tcPr>
          <w:p w:rsidR="00AF2508" w:rsidRDefault="00AF2508">
            <w:pPr>
              <w:pStyle w:val="TableText"/>
              <w:rPr>
                <w:sz w:val="16"/>
              </w:rPr>
            </w:pPr>
          </w:p>
        </w:tc>
      </w:tr>
      <w:tr w:rsidR="00AF2508">
        <w:trPr>
          <w:cantSplit/>
        </w:trPr>
        <w:tc>
          <w:tcPr>
            <w:tcW w:w="560" w:type="dxa"/>
          </w:tcPr>
          <w:p w:rsidR="00AF2508" w:rsidRDefault="00AF2508">
            <w:pPr>
              <w:pStyle w:val="TableText"/>
              <w:rPr>
                <w:sz w:val="16"/>
              </w:rPr>
            </w:pPr>
            <w:r>
              <w:rPr>
                <w:sz w:val="16"/>
              </w:rPr>
              <w:t>11</w:t>
            </w:r>
          </w:p>
        </w:tc>
        <w:tc>
          <w:tcPr>
            <w:tcW w:w="800" w:type="dxa"/>
            <w:tcBorders>
              <w:left w:val="single" w:sz="6" w:space="0" w:color="auto"/>
              <w:right w:val="single" w:sz="6" w:space="0" w:color="auto"/>
            </w:tcBorders>
          </w:tcPr>
          <w:p w:rsidR="00AF2508" w:rsidRDefault="00AF2508">
            <w:pPr>
              <w:pStyle w:val="TableText"/>
              <w:rPr>
                <w:sz w:val="16"/>
              </w:rPr>
            </w:pPr>
            <w:r>
              <w:rPr>
                <w:sz w:val="16"/>
              </w:rPr>
              <w:t>.192</w:t>
            </w:r>
          </w:p>
        </w:tc>
        <w:tc>
          <w:tcPr>
            <w:tcW w:w="700" w:type="dxa"/>
            <w:tcBorders>
              <w:left w:val="single" w:sz="6" w:space="0" w:color="auto"/>
              <w:right w:val="single" w:sz="6" w:space="0" w:color="auto"/>
            </w:tcBorders>
          </w:tcPr>
          <w:p w:rsidR="00AF2508" w:rsidRDefault="00AF2508">
            <w:pPr>
              <w:pStyle w:val="TableText"/>
              <w:rPr>
                <w:sz w:val="16"/>
              </w:rPr>
            </w:pPr>
            <w:r>
              <w:rPr>
                <w:sz w:val="16"/>
              </w:rPr>
              <w:t>.226</w:t>
            </w:r>
          </w:p>
        </w:tc>
        <w:tc>
          <w:tcPr>
            <w:tcW w:w="720" w:type="dxa"/>
            <w:tcBorders>
              <w:left w:val="single" w:sz="6" w:space="0" w:color="auto"/>
              <w:right w:val="single" w:sz="6" w:space="0" w:color="auto"/>
            </w:tcBorders>
          </w:tcPr>
          <w:p w:rsidR="00AF2508" w:rsidRDefault="00AF2508">
            <w:pPr>
              <w:pStyle w:val="TableText"/>
              <w:rPr>
                <w:sz w:val="16"/>
              </w:rPr>
            </w:pPr>
            <w:r>
              <w:rPr>
                <w:sz w:val="16"/>
              </w:rPr>
              <w:t>.289</w:t>
            </w:r>
          </w:p>
        </w:tc>
        <w:tc>
          <w:tcPr>
            <w:tcW w:w="54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Pr>
          <w:p w:rsidR="00AF2508" w:rsidRDefault="00AF2508">
            <w:pPr>
              <w:pStyle w:val="TableText"/>
              <w:rPr>
                <w:sz w:val="16"/>
              </w:rPr>
            </w:pPr>
          </w:p>
        </w:tc>
      </w:tr>
      <w:tr w:rsidR="00AF2508">
        <w:trPr>
          <w:cantSplit/>
        </w:trPr>
        <w:tc>
          <w:tcPr>
            <w:tcW w:w="560" w:type="dxa"/>
            <w:tcBorders>
              <w:top w:val="single" w:sz="6" w:space="0" w:color="auto"/>
            </w:tcBorders>
          </w:tcPr>
          <w:p w:rsidR="00AF2508" w:rsidRDefault="00AF2508">
            <w:pPr>
              <w:pStyle w:val="TableText"/>
              <w:rPr>
                <w:sz w:val="16"/>
              </w:rPr>
            </w:pPr>
            <w:r>
              <w:rPr>
                <w:sz w:val="16"/>
              </w:rPr>
              <w:t>12</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.210</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.245</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.311</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0.302</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0.348</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0.320</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0.314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0.302</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0.314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0.292</w:t>
            </w:r>
          </w:p>
        </w:tc>
        <w:tc>
          <w:tcPr>
            <w:tcW w:w="600" w:type="dxa"/>
            <w:tcBorders>
              <w:top w:val="single" w:sz="6" w:space="0" w:color="auto"/>
            </w:tcBorders>
          </w:tcPr>
          <w:p w:rsidR="00AF2508" w:rsidRDefault="00AF2508">
            <w:pPr>
              <w:pStyle w:val="TableText"/>
              <w:rPr>
                <w:sz w:val="16"/>
              </w:rPr>
            </w:pPr>
            <w:r>
              <w:rPr>
                <w:sz w:val="16"/>
              </w:rPr>
              <w:t>0.289</w:t>
            </w:r>
          </w:p>
        </w:tc>
      </w:tr>
      <w:tr w:rsidR="00AF2508">
        <w:trPr>
          <w:cantSplit/>
        </w:trPr>
        <w:tc>
          <w:tcPr>
            <w:tcW w:w="560" w:type="dxa"/>
          </w:tcPr>
          <w:p w:rsidR="00AF2508" w:rsidRDefault="00AF2508">
            <w:pPr>
              <w:pStyle w:val="TableText"/>
              <w:rPr>
                <w:sz w:val="16"/>
              </w:rPr>
            </w:pPr>
            <w:r>
              <w:rPr>
                <w:sz w:val="16"/>
              </w:rPr>
              <w:t>13</w:t>
            </w:r>
          </w:p>
        </w:tc>
        <w:tc>
          <w:tcPr>
            <w:tcW w:w="800" w:type="dxa"/>
            <w:tcBorders>
              <w:left w:val="single" w:sz="6" w:space="0" w:color="auto"/>
              <w:right w:val="single" w:sz="6" w:space="0" w:color="auto"/>
            </w:tcBorders>
          </w:tcPr>
          <w:p w:rsidR="00AF2508" w:rsidRDefault="00AF2508">
            <w:pPr>
              <w:pStyle w:val="TableText"/>
              <w:rPr>
                <w:sz w:val="16"/>
              </w:rPr>
            </w:pPr>
            <w:r>
              <w:rPr>
                <w:sz w:val="16"/>
              </w:rPr>
              <w:t>.223</w:t>
            </w:r>
          </w:p>
        </w:tc>
        <w:tc>
          <w:tcPr>
            <w:tcW w:w="700" w:type="dxa"/>
            <w:tcBorders>
              <w:left w:val="single" w:sz="6" w:space="0" w:color="auto"/>
              <w:right w:val="single" w:sz="6" w:space="0" w:color="auto"/>
            </w:tcBorders>
          </w:tcPr>
          <w:p w:rsidR="00AF2508" w:rsidRDefault="00AF2508">
            <w:pPr>
              <w:pStyle w:val="TableText"/>
              <w:rPr>
                <w:sz w:val="16"/>
              </w:rPr>
            </w:pPr>
            <w:r>
              <w:rPr>
                <w:sz w:val="16"/>
              </w:rPr>
              <w:t>.264</w:t>
            </w:r>
          </w:p>
        </w:tc>
        <w:tc>
          <w:tcPr>
            <w:tcW w:w="720" w:type="dxa"/>
            <w:tcBorders>
              <w:left w:val="single" w:sz="6" w:space="0" w:color="auto"/>
              <w:right w:val="single" w:sz="6" w:space="0" w:color="auto"/>
            </w:tcBorders>
          </w:tcPr>
          <w:p w:rsidR="00AF2508" w:rsidRDefault="00AF2508">
            <w:pPr>
              <w:pStyle w:val="TableText"/>
              <w:rPr>
                <w:sz w:val="16"/>
              </w:rPr>
            </w:pPr>
            <w:r>
              <w:rPr>
                <w:sz w:val="16"/>
              </w:rPr>
              <w:t>.324</w:t>
            </w:r>
          </w:p>
        </w:tc>
        <w:tc>
          <w:tcPr>
            <w:tcW w:w="540" w:type="dxa"/>
            <w:tcBorders>
              <w:left w:val="single" w:sz="6" w:space="0" w:color="auto"/>
              <w:right w:val="single" w:sz="6" w:space="0" w:color="auto"/>
            </w:tcBorders>
          </w:tcPr>
          <w:p w:rsidR="00AF2508" w:rsidRDefault="00AF2508">
            <w:pPr>
              <w:pStyle w:val="TableText"/>
              <w:rPr>
                <w:sz w:val="16"/>
              </w:rPr>
            </w:pPr>
            <w:r>
              <w:rPr>
                <w:sz w:val="16"/>
              </w:rPr>
              <w:t>.318</w:t>
            </w:r>
          </w:p>
        </w:tc>
        <w:tc>
          <w:tcPr>
            <w:tcW w:w="600" w:type="dxa"/>
            <w:tcBorders>
              <w:left w:val="single" w:sz="6" w:space="0" w:color="auto"/>
              <w:right w:val="single" w:sz="6" w:space="0" w:color="auto"/>
            </w:tcBorders>
          </w:tcPr>
          <w:p w:rsidR="00AF2508" w:rsidRDefault="00AF2508">
            <w:pPr>
              <w:pStyle w:val="TableText"/>
              <w:rPr>
                <w:sz w:val="16"/>
              </w:rPr>
            </w:pPr>
            <w:r>
              <w:rPr>
                <w:sz w:val="16"/>
              </w:rPr>
              <w:t>.361</w:t>
            </w:r>
          </w:p>
        </w:tc>
        <w:tc>
          <w:tcPr>
            <w:tcW w:w="600" w:type="dxa"/>
            <w:tcBorders>
              <w:left w:val="single" w:sz="6" w:space="0" w:color="auto"/>
              <w:right w:val="single" w:sz="6" w:space="0" w:color="auto"/>
            </w:tcBorders>
          </w:tcPr>
          <w:p w:rsidR="00AF2508" w:rsidRDefault="00AF2508">
            <w:pPr>
              <w:pStyle w:val="TableText"/>
              <w:rPr>
                <w:sz w:val="16"/>
              </w:rPr>
            </w:pPr>
            <w:r>
              <w:rPr>
                <w:sz w:val="16"/>
              </w:rPr>
              <w:t>.336</w:t>
            </w:r>
          </w:p>
        </w:tc>
        <w:tc>
          <w:tcPr>
            <w:tcW w:w="600" w:type="dxa"/>
            <w:tcBorders>
              <w:left w:val="single" w:sz="6" w:space="0" w:color="auto"/>
              <w:right w:val="single" w:sz="6" w:space="0" w:color="auto"/>
            </w:tcBorders>
          </w:tcPr>
          <w:p w:rsidR="00AF2508" w:rsidRDefault="00AF2508">
            <w:pPr>
              <w:pStyle w:val="TableText"/>
              <w:rPr>
                <w:sz w:val="16"/>
              </w:rPr>
            </w:pPr>
            <w:r>
              <w:rPr>
                <w:sz w:val="16"/>
              </w:rPr>
              <w:t>.332</w:t>
            </w:r>
          </w:p>
        </w:tc>
        <w:tc>
          <w:tcPr>
            <w:tcW w:w="600" w:type="dxa"/>
            <w:tcBorders>
              <w:left w:val="single" w:sz="6" w:space="0" w:color="auto"/>
              <w:right w:val="single" w:sz="6" w:space="0" w:color="auto"/>
            </w:tcBorders>
          </w:tcPr>
          <w:p w:rsidR="00AF2508" w:rsidRDefault="00AF2508">
            <w:pPr>
              <w:pStyle w:val="TableText"/>
              <w:rPr>
                <w:sz w:val="16"/>
              </w:rPr>
            </w:pPr>
            <w:r>
              <w:rPr>
                <w:sz w:val="16"/>
              </w:rPr>
              <w:t>.317</w:t>
            </w:r>
          </w:p>
        </w:tc>
        <w:tc>
          <w:tcPr>
            <w:tcW w:w="600" w:type="dxa"/>
            <w:tcBorders>
              <w:left w:val="single" w:sz="6" w:space="0" w:color="auto"/>
              <w:right w:val="single" w:sz="6" w:space="0" w:color="auto"/>
            </w:tcBorders>
          </w:tcPr>
          <w:p w:rsidR="00AF2508" w:rsidRDefault="00AF2508">
            <w:pPr>
              <w:pStyle w:val="TableText"/>
              <w:rPr>
                <w:sz w:val="16"/>
              </w:rPr>
            </w:pPr>
            <w:r>
              <w:rPr>
                <w:sz w:val="16"/>
              </w:rPr>
              <w:t>.327</w:t>
            </w:r>
          </w:p>
        </w:tc>
        <w:tc>
          <w:tcPr>
            <w:tcW w:w="600" w:type="dxa"/>
            <w:tcBorders>
              <w:left w:val="single" w:sz="6" w:space="0" w:color="auto"/>
              <w:right w:val="single" w:sz="6" w:space="0" w:color="auto"/>
            </w:tcBorders>
          </w:tcPr>
          <w:p w:rsidR="00AF2508" w:rsidRDefault="00AF2508">
            <w:pPr>
              <w:pStyle w:val="TableText"/>
              <w:rPr>
                <w:sz w:val="16"/>
              </w:rPr>
            </w:pPr>
            <w:r>
              <w:rPr>
                <w:sz w:val="16"/>
              </w:rPr>
              <w:t>.308</w:t>
            </w:r>
          </w:p>
        </w:tc>
        <w:tc>
          <w:tcPr>
            <w:tcW w:w="600" w:type="dxa"/>
          </w:tcPr>
          <w:p w:rsidR="00AF2508" w:rsidRDefault="00AF2508">
            <w:pPr>
              <w:pStyle w:val="TableText"/>
              <w:rPr>
                <w:sz w:val="16"/>
              </w:rPr>
            </w:pPr>
            <w:r>
              <w:rPr>
                <w:sz w:val="16"/>
              </w:rPr>
              <w:t>.302</w:t>
            </w:r>
          </w:p>
        </w:tc>
      </w:tr>
      <w:tr w:rsidR="00AF2508">
        <w:trPr>
          <w:cantSplit/>
        </w:trPr>
        <w:tc>
          <w:tcPr>
            <w:tcW w:w="560" w:type="dxa"/>
          </w:tcPr>
          <w:p w:rsidR="00AF2508" w:rsidRDefault="00AF2508">
            <w:pPr>
              <w:pStyle w:val="TableText"/>
              <w:rPr>
                <w:sz w:val="16"/>
              </w:rPr>
            </w:pPr>
            <w:r>
              <w:rPr>
                <w:sz w:val="16"/>
              </w:rPr>
              <w:t>14</w:t>
            </w:r>
          </w:p>
        </w:tc>
        <w:tc>
          <w:tcPr>
            <w:tcW w:w="800" w:type="dxa"/>
            <w:tcBorders>
              <w:left w:val="single" w:sz="6" w:space="0" w:color="auto"/>
              <w:right w:val="single" w:sz="6" w:space="0" w:color="auto"/>
            </w:tcBorders>
          </w:tcPr>
          <w:p w:rsidR="00AF2508" w:rsidRDefault="00AF2508">
            <w:pPr>
              <w:pStyle w:val="TableText"/>
              <w:rPr>
                <w:sz w:val="16"/>
              </w:rPr>
            </w:pPr>
            <w:r>
              <w:rPr>
                <w:sz w:val="16"/>
              </w:rPr>
              <w:t>.236</w:t>
            </w:r>
          </w:p>
        </w:tc>
        <w:tc>
          <w:tcPr>
            <w:tcW w:w="700" w:type="dxa"/>
            <w:tcBorders>
              <w:left w:val="single" w:sz="6" w:space="0" w:color="auto"/>
              <w:right w:val="single" w:sz="6" w:space="0" w:color="auto"/>
            </w:tcBorders>
          </w:tcPr>
          <w:p w:rsidR="00AF2508" w:rsidRDefault="00AF2508">
            <w:pPr>
              <w:pStyle w:val="TableText"/>
              <w:rPr>
                <w:sz w:val="16"/>
              </w:rPr>
            </w:pPr>
            <w:r>
              <w:rPr>
                <w:sz w:val="16"/>
              </w:rPr>
              <w:t>.276</w:t>
            </w:r>
          </w:p>
        </w:tc>
        <w:tc>
          <w:tcPr>
            <w:tcW w:w="720" w:type="dxa"/>
            <w:tcBorders>
              <w:left w:val="single" w:sz="6" w:space="0" w:color="auto"/>
              <w:right w:val="single" w:sz="6" w:space="0" w:color="auto"/>
            </w:tcBorders>
          </w:tcPr>
          <w:p w:rsidR="00AF2508" w:rsidRDefault="00AF2508">
            <w:pPr>
              <w:pStyle w:val="TableText"/>
              <w:rPr>
                <w:sz w:val="16"/>
              </w:rPr>
            </w:pPr>
            <w:r>
              <w:rPr>
                <w:sz w:val="16"/>
              </w:rPr>
              <w:t>.339</w:t>
            </w:r>
          </w:p>
        </w:tc>
        <w:tc>
          <w:tcPr>
            <w:tcW w:w="540" w:type="dxa"/>
            <w:tcBorders>
              <w:left w:val="single" w:sz="6" w:space="0" w:color="auto"/>
              <w:right w:val="single" w:sz="6" w:space="0" w:color="auto"/>
            </w:tcBorders>
          </w:tcPr>
          <w:p w:rsidR="00AF2508" w:rsidRDefault="00AF2508">
            <w:pPr>
              <w:pStyle w:val="TableText"/>
              <w:rPr>
                <w:sz w:val="16"/>
              </w:rPr>
            </w:pPr>
            <w:r>
              <w:rPr>
                <w:sz w:val="16"/>
              </w:rPr>
              <w:t>.330</w:t>
            </w:r>
          </w:p>
        </w:tc>
        <w:tc>
          <w:tcPr>
            <w:tcW w:w="600" w:type="dxa"/>
            <w:tcBorders>
              <w:left w:val="single" w:sz="6" w:space="0" w:color="auto"/>
              <w:right w:val="single" w:sz="6" w:space="0" w:color="auto"/>
            </w:tcBorders>
          </w:tcPr>
          <w:p w:rsidR="00AF2508" w:rsidRDefault="00AF2508">
            <w:pPr>
              <w:pStyle w:val="TableText"/>
              <w:rPr>
                <w:sz w:val="16"/>
              </w:rPr>
            </w:pPr>
            <w:r>
              <w:rPr>
                <w:sz w:val="16"/>
              </w:rPr>
              <w:t>.374</w:t>
            </w:r>
          </w:p>
        </w:tc>
        <w:tc>
          <w:tcPr>
            <w:tcW w:w="600" w:type="dxa"/>
            <w:tcBorders>
              <w:left w:val="single" w:sz="6" w:space="0" w:color="auto"/>
              <w:right w:val="single" w:sz="6" w:space="0" w:color="auto"/>
            </w:tcBorders>
          </w:tcPr>
          <w:p w:rsidR="00AF2508" w:rsidRDefault="00AF2508">
            <w:pPr>
              <w:pStyle w:val="TableText"/>
              <w:rPr>
                <w:sz w:val="16"/>
              </w:rPr>
            </w:pPr>
            <w:r>
              <w:rPr>
                <w:sz w:val="16"/>
              </w:rPr>
              <w:t>.352</w:t>
            </w:r>
          </w:p>
        </w:tc>
        <w:tc>
          <w:tcPr>
            <w:tcW w:w="600" w:type="dxa"/>
            <w:tcBorders>
              <w:left w:val="single" w:sz="6" w:space="0" w:color="auto"/>
              <w:right w:val="single" w:sz="6" w:space="0" w:color="auto"/>
            </w:tcBorders>
          </w:tcPr>
          <w:p w:rsidR="00AF2508" w:rsidRDefault="00AF2508">
            <w:pPr>
              <w:pStyle w:val="TableText"/>
              <w:rPr>
                <w:sz w:val="16"/>
              </w:rPr>
            </w:pPr>
            <w:r>
              <w:rPr>
                <w:sz w:val="16"/>
              </w:rPr>
              <w:t>.348</w:t>
            </w:r>
          </w:p>
        </w:tc>
        <w:tc>
          <w:tcPr>
            <w:tcW w:w="600" w:type="dxa"/>
            <w:tcBorders>
              <w:left w:val="single" w:sz="6" w:space="0" w:color="auto"/>
              <w:right w:val="single" w:sz="6" w:space="0" w:color="auto"/>
            </w:tcBorders>
          </w:tcPr>
          <w:p w:rsidR="00AF2508" w:rsidRDefault="00AF2508">
            <w:pPr>
              <w:pStyle w:val="TableText"/>
              <w:rPr>
                <w:sz w:val="16"/>
              </w:rPr>
            </w:pPr>
            <w:r>
              <w:rPr>
                <w:sz w:val="16"/>
              </w:rPr>
              <w:t>.332</w:t>
            </w:r>
          </w:p>
        </w:tc>
        <w:tc>
          <w:tcPr>
            <w:tcW w:w="600" w:type="dxa"/>
            <w:tcBorders>
              <w:left w:val="single" w:sz="6" w:space="0" w:color="auto"/>
              <w:right w:val="single" w:sz="6" w:space="0" w:color="auto"/>
            </w:tcBorders>
          </w:tcPr>
          <w:p w:rsidR="00AF2508" w:rsidRDefault="00AF2508">
            <w:pPr>
              <w:pStyle w:val="TableText"/>
              <w:rPr>
                <w:sz w:val="16"/>
              </w:rPr>
            </w:pPr>
            <w:r>
              <w:rPr>
                <w:sz w:val="16"/>
              </w:rPr>
              <w:t>.339</w:t>
            </w:r>
          </w:p>
        </w:tc>
        <w:tc>
          <w:tcPr>
            <w:tcW w:w="600" w:type="dxa"/>
            <w:tcBorders>
              <w:left w:val="single" w:sz="6" w:space="0" w:color="auto"/>
              <w:right w:val="single" w:sz="6" w:space="0" w:color="auto"/>
            </w:tcBorders>
          </w:tcPr>
          <w:p w:rsidR="00AF2508" w:rsidRDefault="00AF2508">
            <w:pPr>
              <w:pStyle w:val="TableText"/>
              <w:rPr>
                <w:sz w:val="16"/>
              </w:rPr>
            </w:pPr>
            <w:r>
              <w:rPr>
                <w:sz w:val="16"/>
              </w:rPr>
              <w:t>.320</w:t>
            </w:r>
          </w:p>
        </w:tc>
        <w:tc>
          <w:tcPr>
            <w:tcW w:w="600" w:type="dxa"/>
          </w:tcPr>
          <w:p w:rsidR="00AF2508" w:rsidRDefault="00AF2508">
            <w:pPr>
              <w:pStyle w:val="TableText"/>
              <w:rPr>
                <w:sz w:val="16"/>
              </w:rPr>
            </w:pPr>
            <w:r>
              <w:rPr>
                <w:sz w:val="16"/>
              </w:rPr>
              <w:t>.314</w:t>
            </w:r>
          </w:p>
        </w:tc>
      </w:tr>
      <w:tr w:rsidR="00AF2508">
        <w:trPr>
          <w:cantSplit/>
        </w:trPr>
        <w:tc>
          <w:tcPr>
            <w:tcW w:w="560" w:type="dxa"/>
          </w:tcPr>
          <w:p w:rsidR="00AF2508" w:rsidRDefault="00AF2508">
            <w:pPr>
              <w:pStyle w:val="TableText"/>
              <w:rPr>
                <w:sz w:val="16"/>
              </w:rPr>
            </w:pPr>
            <w:r>
              <w:rPr>
                <w:sz w:val="16"/>
              </w:rPr>
              <w:t>15</w:t>
            </w:r>
          </w:p>
        </w:tc>
        <w:tc>
          <w:tcPr>
            <w:tcW w:w="800" w:type="dxa"/>
            <w:tcBorders>
              <w:left w:val="single" w:sz="6" w:space="0" w:color="auto"/>
              <w:right w:val="single" w:sz="6" w:space="0" w:color="auto"/>
            </w:tcBorders>
          </w:tcPr>
          <w:p w:rsidR="00AF2508" w:rsidRDefault="00AF2508">
            <w:pPr>
              <w:pStyle w:val="TableText"/>
              <w:rPr>
                <w:sz w:val="16"/>
              </w:rPr>
            </w:pPr>
            <w:r>
              <w:rPr>
                <w:sz w:val="16"/>
              </w:rPr>
              <w:t>.245</w:t>
            </w:r>
          </w:p>
        </w:tc>
        <w:tc>
          <w:tcPr>
            <w:tcW w:w="700" w:type="dxa"/>
            <w:tcBorders>
              <w:left w:val="single" w:sz="6" w:space="0" w:color="auto"/>
              <w:right w:val="single" w:sz="6" w:space="0" w:color="auto"/>
            </w:tcBorders>
          </w:tcPr>
          <w:p w:rsidR="00AF2508" w:rsidRDefault="00AF2508">
            <w:pPr>
              <w:pStyle w:val="TableText"/>
              <w:rPr>
                <w:sz w:val="16"/>
              </w:rPr>
            </w:pPr>
            <w:r>
              <w:rPr>
                <w:sz w:val="16"/>
              </w:rPr>
              <w:t>.289</w:t>
            </w:r>
          </w:p>
        </w:tc>
        <w:tc>
          <w:tcPr>
            <w:tcW w:w="720" w:type="dxa"/>
            <w:tcBorders>
              <w:left w:val="single" w:sz="6" w:space="0" w:color="auto"/>
              <w:right w:val="single" w:sz="6" w:space="0" w:color="auto"/>
            </w:tcBorders>
          </w:tcPr>
          <w:p w:rsidR="00AF2508" w:rsidRDefault="00AF2508">
            <w:pPr>
              <w:pStyle w:val="TableText"/>
              <w:rPr>
                <w:sz w:val="16"/>
              </w:rPr>
            </w:pPr>
            <w:r>
              <w:rPr>
                <w:sz w:val="16"/>
              </w:rPr>
              <w:t>.349</w:t>
            </w:r>
          </w:p>
        </w:tc>
        <w:tc>
          <w:tcPr>
            <w:tcW w:w="540" w:type="dxa"/>
            <w:tcBorders>
              <w:left w:val="single" w:sz="6" w:space="0" w:color="auto"/>
              <w:right w:val="single" w:sz="6" w:space="0" w:color="auto"/>
            </w:tcBorders>
          </w:tcPr>
          <w:p w:rsidR="00AF2508" w:rsidRDefault="00AF2508">
            <w:pPr>
              <w:pStyle w:val="TableText"/>
              <w:rPr>
                <w:sz w:val="16"/>
              </w:rPr>
            </w:pPr>
            <w:r>
              <w:rPr>
                <w:sz w:val="16"/>
              </w:rPr>
              <w:t>.339</w:t>
            </w:r>
          </w:p>
        </w:tc>
        <w:tc>
          <w:tcPr>
            <w:tcW w:w="600" w:type="dxa"/>
            <w:tcBorders>
              <w:left w:val="single" w:sz="6" w:space="0" w:color="auto"/>
              <w:right w:val="single" w:sz="6" w:space="0" w:color="auto"/>
            </w:tcBorders>
          </w:tcPr>
          <w:p w:rsidR="00AF2508" w:rsidRDefault="00AF2508">
            <w:pPr>
              <w:pStyle w:val="TableText"/>
              <w:rPr>
                <w:sz w:val="16"/>
              </w:rPr>
            </w:pPr>
            <w:r>
              <w:rPr>
                <w:sz w:val="16"/>
              </w:rPr>
              <w:t>.386</w:t>
            </w:r>
          </w:p>
        </w:tc>
        <w:tc>
          <w:tcPr>
            <w:tcW w:w="600" w:type="dxa"/>
            <w:tcBorders>
              <w:left w:val="single" w:sz="6" w:space="0" w:color="auto"/>
              <w:right w:val="single" w:sz="6" w:space="0" w:color="auto"/>
            </w:tcBorders>
          </w:tcPr>
          <w:p w:rsidR="00AF2508" w:rsidRDefault="00AF2508">
            <w:pPr>
              <w:pStyle w:val="TableText"/>
              <w:rPr>
                <w:sz w:val="16"/>
              </w:rPr>
            </w:pPr>
            <w:r>
              <w:rPr>
                <w:sz w:val="16"/>
              </w:rPr>
              <w:t>.364</w:t>
            </w:r>
          </w:p>
        </w:tc>
        <w:tc>
          <w:tcPr>
            <w:tcW w:w="600" w:type="dxa"/>
            <w:tcBorders>
              <w:left w:val="single" w:sz="6" w:space="0" w:color="auto"/>
              <w:right w:val="single" w:sz="6" w:space="0" w:color="auto"/>
            </w:tcBorders>
          </w:tcPr>
          <w:p w:rsidR="00AF2508" w:rsidRDefault="00AF2508">
            <w:pPr>
              <w:pStyle w:val="TableText"/>
              <w:rPr>
                <w:sz w:val="16"/>
              </w:rPr>
            </w:pPr>
            <w:r>
              <w:rPr>
                <w:sz w:val="16"/>
              </w:rPr>
              <w:t>.361</w:t>
            </w:r>
          </w:p>
        </w:tc>
        <w:tc>
          <w:tcPr>
            <w:tcW w:w="600" w:type="dxa"/>
            <w:tcBorders>
              <w:left w:val="single" w:sz="6" w:space="0" w:color="auto"/>
              <w:right w:val="single" w:sz="6" w:space="0" w:color="auto"/>
            </w:tcBorders>
          </w:tcPr>
          <w:p w:rsidR="00AF2508" w:rsidRDefault="00AF2508">
            <w:pPr>
              <w:pStyle w:val="TableText"/>
              <w:rPr>
                <w:sz w:val="16"/>
              </w:rPr>
            </w:pPr>
            <w:r>
              <w:rPr>
                <w:sz w:val="16"/>
              </w:rPr>
              <w:t>.346</w:t>
            </w:r>
          </w:p>
        </w:tc>
        <w:tc>
          <w:tcPr>
            <w:tcW w:w="600" w:type="dxa"/>
            <w:tcBorders>
              <w:left w:val="single" w:sz="6" w:space="0" w:color="auto"/>
              <w:right w:val="single" w:sz="6" w:space="0" w:color="auto"/>
            </w:tcBorders>
          </w:tcPr>
          <w:p w:rsidR="00AF2508" w:rsidRDefault="00AF2508">
            <w:pPr>
              <w:pStyle w:val="TableText"/>
              <w:rPr>
                <w:sz w:val="16"/>
              </w:rPr>
            </w:pPr>
            <w:r>
              <w:rPr>
                <w:sz w:val="16"/>
              </w:rPr>
              <w:t>.348</w:t>
            </w:r>
          </w:p>
        </w:tc>
        <w:tc>
          <w:tcPr>
            <w:tcW w:w="600" w:type="dxa"/>
            <w:tcBorders>
              <w:left w:val="single" w:sz="6" w:space="0" w:color="auto"/>
              <w:right w:val="single" w:sz="6" w:space="0" w:color="auto"/>
            </w:tcBorders>
          </w:tcPr>
          <w:p w:rsidR="00AF2508" w:rsidRDefault="00AF2508">
            <w:pPr>
              <w:pStyle w:val="TableText"/>
              <w:rPr>
                <w:sz w:val="16"/>
              </w:rPr>
            </w:pPr>
            <w:r>
              <w:rPr>
                <w:sz w:val="16"/>
              </w:rPr>
              <w:t>.330</w:t>
            </w:r>
          </w:p>
        </w:tc>
        <w:tc>
          <w:tcPr>
            <w:tcW w:w="600" w:type="dxa"/>
          </w:tcPr>
          <w:p w:rsidR="00AF2508" w:rsidRDefault="00AF2508">
            <w:pPr>
              <w:pStyle w:val="TableText"/>
              <w:rPr>
                <w:sz w:val="16"/>
              </w:rPr>
            </w:pPr>
            <w:r>
              <w:rPr>
                <w:sz w:val="16"/>
              </w:rPr>
              <w:t>.324</w:t>
            </w:r>
          </w:p>
        </w:tc>
      </w:tr>
      <w:tr w:rsidR="00AF2508">
        <w:trPr>
          <w:cantSplit/>
        </w:trPr>
        <w:tc>
          <w:tcPr>
            <w:tcW w:w="560" w:type="dxa"/>
            <w:tcBorders>
              <w:top w:val="single" w:sz="6" w:space="0" w:color="auto"/>
            </w:tcBorders>
          </w:tcPr>
          <w:p w:rsidR="00AF2508" w:rsidRDefault="00AF2508">
            <w:pPr>
              <w:pStyle w:val="TableText"/>
              <w:rPr>
                <w:sz w:val="16"/>
              </w:rPr>
            </w:pPr>
            <w:r>
              <w:rPr>
                <w:sz w:val="16"/>
              </w:rPr>
              <w:t>16</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.255</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.295</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.360</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.348</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.396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.374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.370</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.355</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.354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.340</w:t>
            </w:r>
          </w:p>
        </w:tc>
        <w:tc>
          <w:tcPr>
            <w:tcW w:w="600" w:type="dxa"/>
            <w:tcBorders>
              <w:top w:val="single" w:sz="6" w:space="0" w:color="auto"/>
            </w:tcBorders>
          </w:tcPr>
          <w:p w:rsidR="00AF2508" w:rsidRDefault="00AF2508">
            <w:pPr>
              <w:pStyle w:val="TableText"/>
              <w:rPr>
                <w:sz w:val="16"/>
              </w:rPr>
            </w:pPr>
            <w:r>
              <w:rPr>
                <w:sz w:val="16"/>
              </w:rPr>
              <w:t>.333</w:t>
            </w:r>
          </w:p>
        </w:tc>
      </w:tr>
      <w:tr w:rsidR="00AF2508">
        <w:trPr>
          <w:cantSplit/>
        </w:trPr>
        <w:tc>
          <w:tcPr>
            <w:tcW w:w="560" w:type="dxa"/>
          </w:tcPr>
          <w:p w:rsidR="00AF2508" w:rsidRDefault="00AF2508">
            <w:pPr>
              <w:pStyle w:val="TableText"/>
              <w:rPr>
                <w:sz w:val="16"/>
              </w:rPr>
            </w:pPr>
            <w:r>
              <w:rPr>
                <w:sz w:val="16"/>
              </w:rPr>
              <w:t>17</w:t>
            </w:r>
          </w:p>
        </w:tc>
        <w:tc>
          <w:tcPr>
            <w:tcW w:w="800" w:type="dxa"/>
            <w:tcBorders>
              <w:left w:val="single" w:sz="6" w:space="0" w:color="auto"/>
              <w:right w:val="single" w:sz="6" w:space="0" w:color="auto"/>
            </w:tcBorders>
          </w:tcPr>
          <w:p w:rsidR="00AF2508" w:rsidRDefault="00AF2508">
            <w:pPr>
              <w:pStyle w:val="TableText"/>
              <w:rPr>
                <w:sz w:val="16"/>
              </w:rPr>
            </w:pPr>
            <w:r>
              <w:rPr>
                <w:sz w:val="16"/>
              </w:rPr>
              <w:t>.264</w:t>
            </w:r>
          </w:p>
        </w:tc>
        <w:tc>
          <w:tcPr>
            <w:tcW w:w="700" w:type="dxa"/>
            <w:tcBorders>
              <w:left w:val="single" w:sz="6" w:space="0" w:color="auto"/>
              <w:right w:val="single" w:sz="6" w:space="0" w:color="auto"/>
            </w:tcBorders>
          </w:tcPr>
          <w:p w:rsidR="00AF2508" w:rsidRDefault="00AF2508">
            <w:pPr>
              <w:pStyle w:val="TableText"/>
              <w:rPr>
                <w:sz w:val="16"/>
              </w:rPr>
            </w:pPr>
            <w:r>
              <w:rPr>
                <w:sz w:val="16"/>
              </w:rPr>
              <w:t>.302</w:t>
            </w:r>
          </w:p>
        </w:tc>
        <w:tc>
          <w:tcPr>
            <w:tcW w:w="720" w:type="dxa"/>
            <w:tcBorders>
              <w:left w:val="single" w:sz="6" w:space="0" w:color="auto"/>
              <w:right w:val="single" w:sz="6" w:space="0" w:color="auto"/>
            </w:tcBorders>
          </w:tcPr>
          <w:p w:rsidR="00AF2508" w:rsidRDefault="00AF2508">
            <w:pPr>
              <w:pStyle w:val="TableText"/>
              <w:rPr>
                <w:sz w:val="16"/>
              </w:rPr>
            </w:pPr>
            <w:r>
              <w:rPr>
                <w:sz w:val="16"/>
              </w:rPr>
              <w:t>.368</w:t>
            </w:r>
          </w:p>
        </w:tc>
        <w:tc>
          <w:tcPr>
            <w:tcW w:w="540" w:type="dxa"/>
            <w:tcBorders>
              <w:left w:val="single" w:sz="6" w:space="0" w:color="auto"/>
              <w:right w:val="single" w:sz="6" w:space="0" w:color="auto"/>
            </w:tcBorders>
          </w:tcPr>
          <w:p w:rsidR="00AF2508" w:rsidRDefault="00AF2508">
            <w:pPr>
              <w:pStyle w:val="TableText"/>
              <w:rPr>
                <w:sz w:val="16"/>
              </w:rPr>
            </w:pPr>
            <w:r>
              <w:rPr>
                <w:sz w:val="16"/>
              </w:rPr>
              <w:t>.358</w:t>
            </w:r>
          </w:p>
        </w:tc>
        <w:tc>
          <w:tcPr>
            <w:tcW w:w="600" w:type="dxa"/>
            <w:tcBorders>
              <w:left w:val="single" w:sz="6" w:space="0" w:color="auto"/>
              <w:right w:val="single" w:sz="6" w:space="0" w:color="auto"/>
            </w:tcBorders>
          </w:tcPr>
          <w:p w:rsidR="00AF2508" w:rsidRDefault="00AF2508">
            <w:pPr>
              <w:pStyle w:val="TableText"/>
              <w:rPr>
                <w:sz w:val="16"/>
              </w:rPr>
            </w:pPr>
            <w:r>
              <w:rPr>
                <w:sz w:val="16"/>
              </w:rPr>
              <w:t>.405</w:t>
            </w:r>
          </w:p>
        </w:tc>
        <w:tc>
          <w:tcPr>
            <w:tcW w:w="600" w:type="dxa"/>
            <w:tcBorders>
              <w:left w:val="single" w:sz="6" w:space="0" w:color="auto"/>
              <w:right w:val="single" w:sz="6" w:space="0" w:color="auto"/>
            </w:tcBorders>
          </w:tcPr>
          <w:p w:rsidR="00AF2508" w:rsidRDefault="00AF2508">
            <w:pPr>
              <w:pStyle w:val="TableText"/>
              <w:rPr>
                <w:sz w:val="16"/>
              </w:rPr>
            </w:pPr>
            <w:r>
              <w:rPr>
                <w:sz w:val="16"/>
              </w:rPr>
              <w:t>.383</w:t>
            </w:r>
          </w:p>
        </w:tc>
        <w:tc>
          <w:tcPr>
            <w:tcW w:w="600" w:type="dxa"/>
            <w:tcBorders>
              <w:left w:val="single" w:sz="6" w:space="0" w:color="auto"/>
              <w:right w:val="single" w:sz="6" w:space="0" w:color="auto"/>
            </w:tcBorders>
          </w:tcPr>
          <w:p w:rsidR="00AF2508" w:rsidRDefault="00AF2508">
            <w:pPr>
              <w:pStyle w:val="TableText"/>
              <w:rPr>
                <w:sz w:val="16"/>
              </w:rPr>
            </w:pPr>
            <w:r>
              <w:rPr>
                <w:sz w:val="16"/>
              </w:rPr>
              <w:t>.380</w:t>
            </w:r>
          </w:p>
        </w:tc>
        <w:tc>
          <w:tcPr>
            <w:tcW w:w="600" w:type="dxa"/>
            <w:tcBorders>
              <w:left w:val="single" w:sz="6" w:space="0" w:color="auto"/>
              <w:right w:val="single" w:sz="6" w:space="0" w:color="auto"/>
            </w:tcBorders>
          </w:tcPr>
          <w:p w:rsidR="00AF2508" w:rsidRDefault="00AF2508">
            <w:pPr>
              <w:pStyle w:val="TableText"/>
              <w:rPr>
                <w:sz w:val="16"/>
              </w:rPr>
            </w:pPr>
            <w:r>
              <w:rPr>
                <w:sz w:val="16"/>
              </w:rPr>
              <w:t>.364</w:t>
            </w:r>
          </w:p>
        </w:tc>
        <w:tc>
          <w:tcPr>
            <w:tcW w:w="600" w:type="dxa"/>
            <w:tcBorders>
              <w:left w:val="single" w:sz="6" w:space="0" w:color="auto"/>
              <w:right w:val="single" w:sz="6" w:space="0" w:color="auto"/>
            </w:tcBorders>
          </w:tcPr>
          <w:p w:rsidR="00AF2508" w:rsidRDefault="00AF2508">
            <w:pPr>
              <w:pStyle w:val="TableText"/>
              <w:rPr>
                <w:sz w:val="16"/>
              </w:rPr>
            </w:pPr>
            <w:r>
              <w:rPr>
                <w:sz w:val="16"/>
              </w:rPr>
              <w:t>.366</w:t>
            </w:r>
          </w:p>
        </w:tc>
        <w:tc>
          <w:tcPr>
            <w:tcW w:w="600" w:type="dxa"/>
            <w:tcBorders>
              <w:left w:val="single" w:sz="6" w:space="0" w:color="auto"/>
              <w:right w:val="single" w:sz="6" w:space="0" w:color="auto"/>
            </w:tcBorders>
          </w:tcPr>
          <w:p w:rsidR="00AF2508" w:rsidRDefault="00AF2508">
            <w:pPr>
              <w:pStyle w:val="TableText"/>
              <w:rPr>
                <w:sz w:val="16"/>
              </w:rPr>
            </w:pPr>
            <w:r>
              <w:rPr>
                <w:sz w:val="16"/>
              </w:rPr>
              <w:t>.349</w:t>
            </w:r>
          </w:p>
        </w:tc>
        <w:tc>
          <w:tcPr>
            <w:tcW w:w="600" w:type="dxa"/>
          </w:tcPr>
          <w:p w:rsidR="00AF2508" w:rsidRDefault="00AF2508">
            <w:pPr>
              <w:pStyle w:val="TableText"/>
              <w:rPr>
                <w:sz w:val="16"/>
              </w:rPr>
            </w:pPr>
            <w:r>
              <w:rPr>
                <w:sz w:val="16"/>
              </w:rPr>
              <w:t>.342</w:t>
            </w:r>
          </w:p>
        </w:tc>
      </w:tr>
      <w:tr w:rsidR="00AF2508">
        <w:trPr>
          <w:cantSplit/>
        </w:trPr>
        <w:tc>
          <w:tcPr>
            <w:tcW w:w="560" w:type="dxa"/>
          </w:tcPr>
          <w:p w:rsidR="00AF2508" w:rsidRDefault="00AF2508">
            <w:pPr>
              <w:pStyle w:val="TableText"/>
              <w:rPr>
                <w:sz w:val="16"/>
              </w:rPr>
            </w:pPr>
            <w:r>
              <w:rPr>
                <w:sz w:val="16"/>
              </w:rPr>
              <w:t>18</w:t>
            </w:r>
          </w:p>
        </w:tc>
        <w:tc>
          <w:tcPr>
            <w:tcW w:w="800" w:type="dxa"/>
            <w:tcBorders>
              <w:left w:val="single" w:sz="6" w:space="0" w:color="auto"/>
              <w:right w:val="single" w:sz="6" w:space="0" w:color="auto"/>
            </w:tcBorders>
          </w:tcPr>
          <w:p w:rsidR="00AF2508" w:rsidRDefault="00AF2508">
            <w:pPr>
              <w:pStyle w:val="TableText"/>
              <w:rPr>
                <w:sz w:val="16"/>
              </w:rPr>
            </w:pPr>
            <w:r>
              <w:rPr>
                <w:sz w:val="16"/>
              </w:rPr>
              <w:t>.270</w:t>
            </w:r>
          </w:p>
        </w:tc>
        <w:tc>
          <w:tcPr>
            <w:tcW w:w="700" w:type="dxa"/>
            <w:tcBorders>
              <w:left w:val="single" w:sz="6" w:space="0" w:color="auto"/>
              <w:right w:val="single" w:sz="6" w:space="0" w:color="auto"/>
            </w:tcBorders>
          </w:tcPr>
          <w:p w:rsidR="00AF2508" w:rsidRDefault="00AF2508">
            <w:pPr>
              <w:pStyle w:val="TableText"/>
              <w:rPr>
                <w:sz w:val="16"/>
              </w:rPr>
            </w:pPr>
            <w:r>
              <w:rPr>
                <w:sz w:val="16"/>
              </w:rPr>
              <w:t>.308</w:t>
            </w:r>
          </w:p>
        </w:tc>
        <w:tc>
          <w:tcPr>
            <w:tcW w:w="720" w:type="dxa"/>
            <w:tcBorders>
              <w:left w:val="single" w:sz="6" w:space="0" w:color="auto"/>
              <w:right w:val="single" w:sz="6" w:space="0" w:color="auto"/>
            </w:tcBorders>
          </w:tcPr>
          <w:p w:rsidR="00AF2508" w:rsidRDefault="00AF2508">
            <w:pPr>
              <w:pStyle w:val="TableText"/>
              <w:rPr>
                <w:sz w:val="16"/>
              </w:rPr>
            </w:pPr>
            <w:r>
              <w:rPr>
                <w:sz w:val="16"/>
              </w:rPr>
              <w:t>.377</w:t>
            </w:r>
          </w:p>
        </w:tc>
        <w:tc>
          <w:tcPr>
            <w:tcW w:w="540" w:type="dxa"/>
            <w:tcBorders>
              <w:left w:val="single" w:sz="6" w:space="0" w:color="auto"/>
              <w:right w:val="single" w:sz="6" w:space="0" w:color="auto"/>
            </w:tcBorders>
          </w:tcPr>
          <w:p w:rsidR="00AF2508" w:rsidRDefault="00AF2508">
            <w:pPr>
              <w:pStyle w:val="TableText"/>
              <w:rPr>
                <w:sz w:val="16"/>
              </w:rPr>
            </w:pPr>
            <w:r>
              <w:rPr>
                <w:sz w:val="16"/>
              </w:rPr>
              <w:t>.368</w:t>
            </w:r>
          </w:p>
        </w:tc>
        <w:tc>
          <w:tcPr>
            <w:tcW w:w="600" w:type="dxa"/>
            <w:tcBorders>
              <w:left w:val="single" w:sz="6" w:space="0" w:color="auto"/>
              <w:right w:val="single" w:sz="6" w:space="0" w:color="auto"/>
            </w:tcBorders>
          </w:tcPr>
          <w:p w:rsidR="00AF2508" w:rsidRDefault="00AF2508">
            <w:pPr>
              <w:pStyle w:val="TableText"/>
              <w:rPr>
                <w:sz w:val="16"/>
              </w:rPr>
            </w:pPr>
            <w:r>
              <w:rPr>
                <w:sz w:val="16"/>
              </w:rPr>
              <w:t>.411</w:t>
            </w:r>
          </w:p>
        </w:tc>
        <w:tc>
          <w:tcPr>
            <w:tcW w:w="600" w:type="dxa"/>
            <w:tcBorders>
              <w:left w:val="single" w:sz="6" w:space="0" w:color="auto"/>
              <w:right w:val="single" w:sz="6" w:space="0" w:color="auto"/>
            </w:tcBorders>
          </w:tcPr>
          <w:p w:rsidR="00AF2508" w:rsidRDefault="00AF2508">
            <w:pPr>
              <w:pStyle w:val="TableText"/>
              <w:rPr>
                <w:sz w:val="16"/>
              </w:rPr>
            </w:pPr>
            <w:r>
              <w:rPr>
                <w:sz w:val="16"/>
              </w:rPr>
              <w:t>.390</w:t>
            </w:r>
          </w:p>
        </w:tc>
        <w:tc>
          <w:tcPr>
            <w:tcW w:w="600" w:type="dxa"/>
            <w:tcBorders>
              <w:left w:val="single" w:sz="6" w:space="0" w:color="auto"/>
              <w:right w:val="single" w:sz="6" w:space="0" w:color="auto"/>
            </w:tcBorders>
          </w:tcPr>
          <w:p w:rsidR="00AF2508" w:rsidRDefault="00AF2508">
            <w:pPr>
              <w:pStyle w:val="TableText"/>
              <w:rPr>
                <w:sz w:val="16"/>
              </w:rPr>
            </w:pPr>
            <w:r>
              <w:rPr>
                <w:sz w:val="16"/>
              </w:rPr>
              <w:t>.390</w:t>
            </w:r>
          </w:p>
        </w:tc>
        <w:tc>
          <w:tcPr>
            <w:tcW w:w="600" w:type="dxa"/>
            <w:tcBorders>
              <w:left w:val="single" w:sz="6" w:space="0" w:color="auto"/>
              <w:right w:val="single" w:sz="6" w:space="0" w:color="auto"/>
            </w:tcBorders>
          </w:tcPr>
          <w:p w:rsidR="00AF2508" w:rsidRDefault="00AF2508">
            <w:pPr>
              <w:pStyle w:val="TableText"/>
              <w:rPr>
                <w:sz w:val="16"/>
              </w:rPr>
            </w:pPr>
            <w:r>
              <w:rPr>
                <w:sz w:val="16"/>
              </w:rPr>
              <w:t>.374</w:t>
            </w:r>
          </w:p>
        </w:tc>
        <w:tc>
          <w:tcPr>
            <w:tcW w:w="600" w:type="dxa"/>
            <w:tcBorders>
              <w:left w:val="single" w:sz="6" w:space="0" w:color="auto"/>
              <w:right w:val="single" w:sz="6" w:space="0" w:color="auto"/>
            </w:tcBorders>
          </w:tcPr>
          <w:p w:rsidR="00AF2508" w:rsidRDefault="00AF2508">
            <w:pPr>
              <w:pStyle w:val="TableText"/>
              <w:rPr>
                <w:sz w:val="16"/>
              </w:rPr>
            </w:pPr>
            <w:r>
              <w:rPr>
                <w:sz w:val="16"/>
              </w:rPr>
              <w:t>.374</w:t>
            </w:r>
          </w:p>
        </w:tc>
        <w:tc>
          <w:tcPr>
            <w:tcW w:w="600" w:type="dxa"/>
            <w:tcBorders>
              <w:left w:val="single" w:sz="6" w:space="0" w:color="auto"/>
              <w:right w:val="single" w:sz="6" w:space="0" w:color="auto"/>
            </w:tcBorders>
          </w:tcPr>
          <w:p w:rsidR="00AF2508" w:rsidRDefault="00AF2508">
            <w:pPr>
              <w:pStyle w:val="TableText"/>
              <w:rPr>
                <w:sz w:val="16"/>
              </w:rPr>
            </w:pPr>
            <w:r>
              <w:rPr>
                <w:sz w:val="16"/>
              </w:rPr>
              <w:t>.358</w:t>
            </w:r>
          </w:p>
        </w:tc>
        <w:tc>
          <w:tcPr>
            <w:tcW w:w="600" w:type="dxa"/>
          </w:tcPr>
          <w:p w:rsidR="00AF2508" w:rsidRDefault="00AF2508">
            <w:pPr>
              <w:pStyle w:val="TableText"/>
              <w:rPr>
                <w:sz w:val="16"/>
              </w:rPr>
            </w:pPr>
            <w:r>
              <w:rPr>
                <w:sz w:val="16"/>
              </w:rPr>
              <w:t>.349</w:t>
            </w:r>
          </w:p>
        </w:tc>
      </w:tr>
      <w:tr w:rsidR="00AF2508">
        <w:trPr>
          <w:cantSplit/>
        </w:trPr>
        <w:tc>
          <w:tcPr>
            <w:tcW w:w="560" w:type="dxa"/>
          </w:tcPr>
          <w:p w:rsidR="00AF2508" w:rsidRDefault="00AF2508">
            <w:pPr>
              <w:pStyle w:val="TableText"/>
              <w:rPr>
                <w:sz w:val="16"/>
              </w:rPr>
            </w:pPr>
            <w:r>
              <w:rPr>
                <w:sz w:val="16"/>
              </w:rPr>
              <w:t>19</w:t>
            </w:r>
          </w:p>
        </w:tc>
        <w:tc>
          <w:tcPr>
            <w:tcW w:w="800" w:type="dxa"/>
            <w:tcBorders>
              <w:left w:val="single" w:sz="6" w:space="0" w:color="auto"/>
              <w:right w:val="single" w:sz="6" w:space="0" w:color="auto"/>
            </w:tcBorders>
          </w:tcPr>
          <w:p w:rsidR="00AF2508" w:rsidRDefault="00AF2508">
            <w:pPr>
              <w:pStyle w:val="TableText"/>
              <w:rPr>
                <w:sz w:val="16"/>
              </w:rPr>
            </w:pPr>
            <w:r>
              <w:rPr>
                <w:sz w:val="16"/>
              </w:rPr>
              <w:t>.277</w:t>
            </w:r>
          </w:p>
        </w:tc>
        <w:tc>
          <w:tcPr>
            <w:tcW w:w="700" w:type="dxa"/>
            <w:tcBorders>
              <w:left w:val="single" w:sz="6" w:space="0" w:color="auto"/>
              <w:right w:val="single" w:sz="6" w:space="0" w:color="auto"/>
            </w:tcBorders>
          </w:tcPr>
          <w:p w:rsidR="00AF2508" w:rsidRDefault="00AF2508">
            <w:pPr>
              <w:pStyle w:val="TableText"/>
              <w:rPr>
                <w:sz w:val="16"/>
              </w:rPr>
            </w:pPr>
            <w:r>
              <w:rPr>
                <w:sz w:val="16"/>
              </w:rPr>
              <w:t>.314</w:t>
            </w:r>
          </w:p>
        </w:tc>
        <w:tc>
          <w:tcPr>
            <w:tcW w:w="720" w:type="dxa"/>
            <w:tcBorders>
              <w:left w:val="single" w:sz="6" w:space="0" w:color="auto"/>
              <w:right w:val="single" w:sz="6" w:space="0" w:color="auto"/>
            </w:tcBorders>
          </w:tcPr>
          <w:p w:rsidR="00AF2508" w:rsidRDefault="00AF2508">
            <w:pPr>
              <w:pStyle w:val="TableText"/>
              <w:rPr>
                <w:sz w:val="16"/>
              </w:rPr>
            </w:pPr>
            <w:r>
              <w:rPr>
                <w:sz w:val="16"/>
              </w:rPr>
              <w:t>.386</w:t>
            </w:r>
          </w:p>
        </w:tc>
        <w:tc>
          <w:tcPr>
            <w:tcW w:w="540" w:type="dxa"/>
            <w:tcBorders>
              <w:left w:val="single" w:sz="6" w:space="0" w:color="auto"/>
              <w:right w:val="single" w:sz="6" w:space="0" w:color="auto"/>
            </w:tcBorders>
          </w:tcPr>
          <w:p w:rsidR="00AF2508" w:rsidRDefault="00AF2508">
            <w:pPr>
              <w:pStyle w:val="TableText"/>
              <w:rPr>
                <w:sz w:val="16"/>
              </w:rPr>
            </w:pPr>
            <w:r>
              <w:rPr>
                <w:sz w:val="16"/>
              </w:rPr>
              <w:t>.374</w:t>
            </w:r>
          </w:p>
        </w:tc>
        <w:tc>
          <w:tcPr>
            <w:tcW w:w="600" w:type="dxa"/>
            <w:tcBorders>
              <w:left w:val="single" w:sz="6" w:space="0" w:color="auto"/>
              <w:right w:val="single" w:sz="6" w:space="0" w:color="auto"/>
            </w:tcBorders>
          </w:tcPr>
          <w:p w:rsidR="00AF2508" w:rsidRDefault="00AF2508">
            <w:pPr>
              <w:pStyle w:val="TableText"/>
              <w:rPr>
                <w:sz w:val="16"/>
              </w:rPr>
            </w:pPr>
            <w:r>
              <w:rPr>
                <w:sz w:val="16"/>
              </w:rPr>
              <w:t>.414</w:t>
            </w:r>
          </w:p>
        </w:tc>
        <w:tc>
          <w:tcPr>
            <w:tcW w:w="600" w:type="dxa"/>
            <w:tcBorders>
              <w:left w:val="single" w:sz="6" w:space="0" w:color="auto"/>
              <w:right w:val="single" w:sz="6" w:space="0" w:color="auto"/>
            </w:tcBorders>
          </w:tcPr>
          <w:p w:rsidR="00AF2508" w:rsidRDefault="00AF2508">
            <w:pPr>
              <w:pStyle w:val="TableText"/>
              <w:rPr>
                <w:sz w:val="16"/>
              </w:rPr>
            </w:pPr>
            <w:r>
              <w:rPr>
                <w:sz w:val="16"/>
              </w:rPr>
              <w:t>.398</w:t>
            </w:r>
          </w:p>
        </w:tc>
        <w:tc>
          <w:tcPr>
            <w:tcW w:w="600" w:type="dxa"/>
            <w:tcBorders>
              <w:left w:val="single" w:sz="6" w:space="0" w:color="auto"/>
              <w:right w:val="single" w:sz="6" w:space="0" w:color="auto"/>
            </w:tcBorders>
          </w:tcPr>
          <w:p w:rsidR="00AF2508" w:rsidRDefault="00AF2508">
            <w:pPr>
              <w:pStyle w:val="TableText"/>
              <w:rPr>
                <w:sz w:val="16"/>
              </w:rPr>
            </w:pPr>
            <w:r>
              <w:rPr>
                <w:sz w:val="16"/>
              </w:rPr>
              <w:t>.398</w:t>
            </w:r>
          </w:p>
        </w:tc>
        <w:tc>
          <w:tcPr>
            <w:tcW w:w="600" w:type="dxa"/>
            <w:tcBorders>
              <w:left w:val="single" w:sz="6" w:space="0" w:color="auto"/>
              <w:right w:val="single" w:sz="6" w:space="0" w:color="auto"/>
            </w:tcBorders>
          </w:tcPr>
          <w:p w:rsidR="00AF2508" w:rsidRDefault="00AF2508">
            <w:pPr>
              <w:pStyle w:val="TableText"/>
              <w:rPr>
                <w:sz w:val="16"/>
              </w:rPr>
            </w:pPr>
            <w:r>
              <w:rPr>
                <w:sz w:val="16"/>
              </w:rPr>
              <w:t>.383</w:t>
            </w:r>
          </w:p>
        </w:tc>
        <w:tc>
          <w:tcPr>
            <w:tcW w:w="600" w:type="dxa"/>
            <w:tcBorders>
              <w:left w:val="single" w:sz="6" w:space="0" w:color="auto"/>
              <w:right w:val="single" w:sz="6" w:space="0" w:color="auto"/>
            </w:tcBorders>
          </w:tcPr>
          <w:p w:rsidR="00AF2508" w:rsidRDefault="00AF2508">
            <w:pPr>
              <w:pStyle w:val="TableText"/>
              <w:rPr>
                <w:sz w:val="16"/>
              </w:rPr>
            </w:pPr>
            <w:r>
              <w:rPr>
                <w:sz w:val="16"/>
              </w:rPr>
              <w:t>.380</w:t>
            </w:r>
          </w:p>
        </w:tc>
        <w:tc>
          <w:tcPr>
            <w:tcW w:w="600" w:type="dxa"/>
            <w:tcBorders>
              <w:left w:val="single" w:sz="6" w:space="0" w:color="auto"/>
              <w:right w:val="single" w:sz="6" w:space="0" w:color="auto"/>
            </w:tcBorders>
          </w:tcPr>
          <w:p w:rsidR="00AF2508" w:rsidRDefault="00AF2508">
            <w:pPr>
              <w:pStyle w:val="TableText"/>
              <w:rPr>
                <w:sz w:val="16"/>
              </w:rPr>
            </w:pPr>
            <w:r>
              <w:rPr>
                <w:sz w:val="16"/>
              </w:rPr>
              <w:t>.364</w:t>
            </w:r>
          </w:p>
        </w:tc>
        <w:tc>
          <w:tcPr>
            <w:tcW w:w="600" w:type="dxa"/>
          </w:tcPr>
          <w:p w:rsidR="00AF2508" w:rsidRDefault="00AF2508">
            <w:pPr>
              <w:pStyle w:val="TableText"/>
              <w:rPr>
                <w:sz w:val="16"/>
              </w:rPr>
            </w:pPr>
            <w:r>
              <w:rPr>
                <w:sz w:val="16"/>
              </w:rPr>
              <w:t>.355</w:t>
            </w:r>
          </w:p>
        </w:tc>
      </w:tr>
      <w:tr w:rsidR="00AF2508">
        <w:trPr>
          <w:cantSplit/>
        </w:trPr>
        <w:tc>
          <w:tcPr>
            <w:tcW w:w="560" w:type="dxa"/>
          </w:tcPr>
          <w:p w:rsidR="00AF2508" w:rsidRDefault="00AF2508">
            <w:pPr>
              <w:pStyle w:val="TableText"/>
              <w:rPr>
                <w:sz w:val="16"/>
              </w:rPr>
            </w:pPr>
            <w:r>
              <w:rPr>
                <w:sz w:val="16"/>
              </w:rPr>
              <w:t>20</w:t>
            </w:r>
          </w:p>
        </w:tc>
        <w:tc>
          <w:tcPr>
            <w:tcW w:w="800" w:type="dxa"/>
            <w:tcBorders>
              <w:left w:val="single" w:sz="6" w:space="0" w:color="auto"/>
              <w:right w:val="single" w:sz="6" w:space="0" w:color="auto"/>
            </w:tcBorders>
          </w:tcPr>
          <w:p w:rsidR="00AF2508" w:rsidRDefault="00AF2508">
            <w:pPr>
              <w:pStyle w:val="TableText"/>
              <w:rPr>
                <w:sz w:val="16"/>
              </w:rPr>
            </w:pPr>
            <w:r>
              <w:rPr>
                <w:sz w:val="16"/>
              </w:rPr>
              <w:t>.283</w:t>
            </w:r>
          </w:p>
        </w:tc>
        <w:tc>
          <w:tcPr>
            <w:tcW w:w="700" w:type="dxa"/>
            <w:tcBorders>
              <w:left w:val="single" w:sz="6" w:space="0" w:color="auto"/>
              <w:right w:val="single" w:sz="6" w:space="0" w:color="auto"/>
            </w:tcBorders>
          </w:tcPr>
          <w:p w:rsidR="00AF2508" w:rsidRDefault="00AF2508">
            <w:pPr>
              <w:pStyle w:val="TableText"/>
              <w:rPr>
                <w:sz w:val="16"/>
              </w:rPr>
            </w:pPr>
            <w:r>
              <w:rPr>
                <w:sz w:val="16"/>
              </w:rPr>
              <w:t>.320</w:t>
            </w:r>
          </w:p>
        </w:tc>
        <w:tc>
          <w:tcPr>
            <w:tcW w:w="720" w:type="dxa"/>
            <w:tcBorders>
              <w:left w:val="single" w:sz="6" w:space="0" w:color="auto"/>
              <w:right w:val="single" w:sz="6" w:space="0" w:color="auto"/>
            </w:tcBorders>
          </w:tcPr>
          <w:p w:rsidR="00AF2508" w:rsidRDefault="00AF2508">
            <w:pPr>
              <w:pStyle w:val="TableText"/>
              <w:rPr>
                <w:sz w:val="16"/>
              </w:rPr>
            </w:pPr>
            <w:r>
              <w:rPr>
                <w:sz w:val="16"/>
              </w:rPr>
              <w:t>.393</w:t>
            </w:r>
          </w:p>
        </w:tc>
        <w:tc>
          <w:tcPr>
            <w:tcW w:w="540" w:type="dxa"/>
            <w:tcBorders>
              <w:left w:val="single" w:sz="6" w:space="0" w:color="auto"/>
              <w:right w:val="single" w:sz="6" w:space="0" w:color="auto"/>
            </w:tcBorders>
          </w:tcPr>
          <w:p w:rsidR="00AF2508" w:rsidRDefault="00AF2508">
            <w:pPr>
              <w:pStyle w:val="TableText"/>
              <w:rPr>
                <w:sz w:val="16"/>
              </w:rPr>
            </w:pPr>
            <w:r>
              <w:rPr>
                <w:sz w:val="16"/>
              </w:rPr>
              <w:t>.380</w:t>
            </w:r>
          </w:p>
        </w:tc>
        <w:tc>
          <w:tcPr>
            <w:tcW w:w="600" w:type="dxa"/>
            <w:tcBorders>
              <w:left w:val="single" w:sz="6" w:space="0" w:color="auto"/>
              <w:right w:val="single" w:sz="6" w:space="0" w:color="auto"/>
            </w:tcBorders>
          </w:tcPr>
          <w:p w:rsidR="00AF2508" w:rsidRDefault="00AF2508">
            <w:pPr>
              <w:pStyle w:val="TableText"/>
              <w:rPr>
                <w:sz w:val="16"/>
              </w:rPr>
            </w:pPr>
            <w:r>
              <w:rPr>
                <w:sz w:val="16"/>
              </w:rPr>
              <w:t>.425</w:t>
            </w:r>
          </w:p>
        </w:tc>
        <w:tc>
          <w:tcPr>
            <w:tcW w:w="600" w:type="dxa"/>
            <w:tcBorders>
              <w:left w:val="single" w:sz="6" w:space="0" w:color="auto"/>
              <w:right w:val="single" w:sz="6" w:space="0" w:color="auto"/>
            </w:tcBorders>
          </w:tcPr>
          <w:p w:rsidR="00AF2508" w:rsidRDefault="00AF2508">
            <w:pPr>
              <w:pStyle w:val="TableText"/>
              <w:rPr>
                <w:sz w:val="16"/>
              </w:rPr>
            </w:pPr>
            <w:r>
              <w:rPr>
                <w:sz w:val="16"/>
              </w:rPr>
              <w:t>.405</w:t>
            </w:r>
          </w:p>
        </w:tc>
        <w:tc>
          <w:tcPr>
            <w:tcW w:w="600" w:type="dxa"/>
            <w:tcBorders>
              <w:left w:val="single" w:sz="6" w:space="0" w:color="auto"/>
              <w:right w:val="single" w:sz="6" w:space="0" w:color="auto"/>
            </w:tcBorders>
          </w:tcPr>
          <w:p w:rsidR="00AF2508" w:rsidRDefault="00AF2508">
            <w:pPr>
              <w:pStyle w:val="TableText"/>
              <w:rPr>
                <w:sz w:val="16"/>
              </w:rPr>
            </w:pPr>
            <w:r>
              <w:rPr>
                <w:sz w:val="16"/>
              </w:rPr>
              <w:t>.405</w:t>
            </w:r>
          </w:p>
        </w:tc>
        <w:tc>
          <w:tcPr>
            <w:tcW w:w="600" w:type="dxa"/>
            <w:tcBorders>
              <w:left w:val="single" w:sz="6" w:space="0" w:color="auto"/>
              <w:right w:val="single" w:sz="6" w:space="0" w:color="auto"/>
            </w:tcBorders>
          </w:tcPr>
          <w:p w:rsidR="00AF2508" w:rsidRDefault="00AF2508">
            <w:pPr>
              <w:pStyle w:val="TableText"/>
              <w:rPr>
                <w:sz w:val="16"/>
              </w:rPr>
            </w:pPr>
            <w:r>
              <w:rPr>
                <w:sz w:val="16"/>
              </w:rPr>
              <w:t>.390</w:t>
            </w:r>
          </w:p>
        </w:tc>
        <w:tc>
          <w:tcPr>
            <w:tcW w:w="600" w:type="dxa"/>
            <w:tcBorders>
              <w:left w:val="single" w:sz="6" w:space="0" w:color="auto"/>
              <w:right w:val="single" w:sz="6" w:space="0" w:color="auto"/>
            </w:tcBorders>
          </w:tcPr>
          <w:p w:rsidR="00AF2508" w:rsidRDefault="00AF2508">
            <w:pPr>
              <w:pStyle w:val="TableText"/>
              <w:rPr>
                <w:sz w:val="16"/>
              </w:rPr>
            </w:pPr>
            <w:r>
              <w:rPr>
                <w:sz w:val="16"/>
              </w:rPr>
              <w:t>.386</w:t>
            </w:r>
          </w:p>
        </w:tc>
        <w:tc>
          <w:tcPr>
            <w:tcW w:w="600" w:type="dxa"/>
            <w:tcBorders>
              <w:left w:val="single" w:sz="6" w:space="0" w:color="auto"/>
              <w:right w:val="single" w:sz="6" w:space="0" w:color="auto"/>
            </w:tcBorders>
          </w:tcPr>
          <w:p w:rsidR="00AF2508" w:rsidRDefault="00AF2508">
            <w:pPr>
              <w:pStyle w:val="TableText"/>
              <w:rPr>
                <w:sz w:val="16"/>
              </w:rPr>
            </w:pPr>
            <w:r>
              <w:rPr>
                <w:sz w:val="16"/>
              </w:rPr>
              <w:t>.371</w:t>
            </w:r>
          </w:p>
        </w:tc>
        <w:tc>
          <w:tcPr>
            <w:tcW w:w="600" w:type="dxa"/>
          </w:tcPr>
          <w:p w:rsidR="00AF2508" w:rsidRDefault="00AF2508">
            <w:pPr>
              <w:pStyle w:val="TableText"/>
              <w:rPr>
                <w:sz w:val="16"/>
              </w:rPr>
            </w:pPr>
            <w:r>
              <w:rPr>
                <w:sz w:val="16"/>
              </w:rPr>
              <w:t>.361</w:t>
            </w:r>
          </w:p>
        </w:tc>
      </w:tr>
      <w:tr w:rsidR="00AF2508">
        <w:trPr>
          <w:cantSplit/>
        </w:trPr>
        <w:tc>
          <w:tcPr>
            <w:tcW w:w="560" w:type="dxa"/>
            <w:tcBorders>
              <w:top w:val="single" w:sz="6" w:space="0" w:color="auto"/>
            </w:tcBorders>
          </w:tcPr>
          <w:p w:rsidR="00AF2508" w:rsidRDefault="00AF2508">
            <w:pPr>
              <w:pStyle w:val="TableText"/>
              <w:rPr>
                <w:sz w:val="16"/>
              </w:rPr>
            </w:pPr>
            <w:r>
              <w:rPr>
                <w:sz w:val="16"/>
              </w:rPr>
              <w:t>21</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.289</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.326</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.399</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.386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.431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.411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.411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.396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.392</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.377</w:t>
            </w:r>
          </w:p>
        </w:tc>
        <w:tc>
          <w:tcPr>
            <w:tcW w:w="600" w:type="dxa"/>
            <w:tcBorders>
              <w:top w:val="single" w:sz="6" w:space="0" w:color="auto"/>
            </w:tcBorders>
          </w:tcPr>
          <w:p w:rsidR="00AF2508" w:rsidRDefault="00AF2508">
            <w:pPr>
              <w:pStyle w:val="TableText"/>
              <w:rPr>
                <w:sz w:val="16"/>
              </w:rPr>
            </w:pPr>
            <w:r>
              <w:rPr>
                <w:sz w:val="16"/>
              </w:rPr>
              <w:t>.366</w:t>
            </w:r>
          </w:p>
        </w:tc>
      </w:tr>
      <w:tr w:rsidR="00AF2508">
        <w:trPr>
          <w:cantSplit/>
        </w:trPr>
        <w:tc>
          <w:tcPr>
            <w:tcW w:w="560" w:type="dxa"/>
          </w:tcPr>
          <w:p w:rsidR="00AF2508" w:rsidRDefault="00AF2508">
            <w:pPr>
              <w:pStyle w:val="TableText"/>
              <w:rPr>
                <w:sz w:val="16"/>
              </w:rPr>
            </w:pPr>
            <w:r>
              <w:rPr>
                <w:sz w:val="16"/>
              </w:rPr>
              <w:t>22</w:t>
            </w:r>
          </w:p>
        </w:tc>
        <w:tc>
          <w:tcPr>
            <w:tcW w:w="800" w:type="dxa"/>
            <w:tcBorders>
              <w:left w:val="single" w:sz="6" w:space="0" w:color="auto"/>
              <w:right w:val="single" w:sz="6" w:space="0" w:color="auto"/>
            </w:tcBorders>
          </w:tcPr>
          <w:p w:rsidR="00AF2508" w:rsidRDefault="00AF2508">
            <w:pPr>
              <w:pStyle w:val="TableText"/>
              <w:rPr>
                <w:sz w:val="16"/>
              </w:rPr>
            </w:pPr>
            <w:r>
              <w:rPr>
                <w:sz w:val="16"/>
              </w:rPr>
              <w:t>.292</w:t>
            </w:r>
          </w:p>
        </w:tc>
        <w:tc>
          <w:tcPr>
            <w:tcW w:w="700" w:type="dxa"/>
            <w:tcBorders>
              <w:left w:val="single" w:sz="6" w:space="0" w:color="auto"/>
              <w:right w:val="single" w:sz="6" w:space="0" w:color="auto"/>
            </w:tcBorders>
          </w:tcPr>
          <w:p w:rsidR="00AF2508" w:rsidRDefault="00AF2508">
            <w:pPr>
              <w:pStyle w:val="TableText"/>
              <w:rPr>
                <w:sz w:val="16"/>
              </w:rPr>
            </w:pPr>
            <w:r>
              <w:rPr>
                <w:sz w:val="16"/>
              </w:rPr>
              <w:t>.330</w:t>
            </w:r>
          </w:p>
        </w:tc>
        <w:tc>
          <w:tcPr>
            <w:tcW w:w="720" w:type="dxa"/>
            <w:tcBorders>
              <w:left w:val="single" w:sz="6" w:space="0" w:color="auto"/>
              <w:right w:val="single" w:sz="6" w:space="0" w:color="auto"/>
            </w:tcBorders>
          </w:tcPr>
          <w:p w:rsidR="00AF2508" w:rsidRDefault="00AF2508">
            <w:pPr>
              <w:pStyle w:val="TableText"/>
              <w:rPr>
                <w:sz w:val="16"/>
              </w:rPr>
            </w:pPr>
            <w:r>
              <w:rPr>
                <w:sz w:val="16"/>
              </w:rPr>
              <w:t>.404</w:t>
            </w:r>
          </w:p>
        </w:tc>
        <w:tc>
          <w:tcPr>
            <w:tcW w:w="540" w:type="dxa"/>
            <w:tcBorders>
              <w:left w:val="single" w:sz="6" w:space="0" w:color="auto"/>
              <w:right w:val="single" w:sz="6" w:space="0" w:color="auto"/>
            </w:tcBorders>
          </w:tcPr>
          <w:p w:rsidR="00AF2508" w:rsidRDefault="00AF2508">
            <w:pPr>
              <w:pStyle w:val="TableText"/>
              <w:rPr>
                <w:sz w:val="16"/>
              </w:rPr>
            </w:pPr>
            <w:r>
              <w:rPr>
                <w:sz w:val="16"/>
              </w:rPr>
              <w:t>.391</w:t>
            </w:r>
          </w:p>
        </w:tc>
        <w:tc>
          <w:tcPr>
            <w:tcW w:w="600" w:type="dxa"/>
            <w:tcBorders>
              <w:left w:val="single" w:sz="6" w:space="0" w:color="auto"/>
              <w:right w:val="single" w:sz="6" w:space="0" w:color="auto"/>
            </w:tcBorders>
          </w:tcPr>
          <w:p w:rsidR="00AF2508" w:rsidRDefault="00AF2508">
            <w:pPr>
              <w:pStyle w:val="TableText"/>
              <w:rPr>
                <w:sz w:val="16"/>
              </w:rPr>
            </w:pPr>
            <w:r>
              <w:rPr>
                <w:sz w:val="16"/>
              </w:rPr>
              <w:t>.436</w:t>
            </w:r>
          </w:p>
        </w:tc>
        <w:tc>
          <w:tcPr>
            <w:tcW w:w="600" w:type="dxa"/>
            <w:tcBorders>
              <w:left w:val="single" w:sz="6" w:space="0" w:color="auto"/>
              <w:right w:val="single" w:sz="6" w:space="0" w:color="auto"/>
            </w:tcBorders>
          </w:tcPr>
          <w:p w:rsidR="00AF2508" w:rsidRDefault="00AF2508">
            <w:pPr>
              <w:pStyle w:val="TableText"/>
              <w:rPr>
                <w:sz w:val="16"/>
              </w:rPr>
            </w:pPr>
            <w:r>
              <w:rPr>
                <w:sz w:val="16"/>
              </w:rPr>
              <w:t>.417</w:t>
            </w:r>
          </w:p>
        </w:tc>
        <w:tc>
          <w:tcPr>
            <w:tcW w:w="600" w:type="dxa"/>
            <w:tcBorders>
              <w:left w:val="single" w:sz="6" w:space="0" w:color="auto"/>
              <w:right w:val="single" w:sz="6" w:space="0" w:color="auto"/>
            </w:tcBorders>
          </w:tcPr>
          <w:p w:rsidR="00AF2508" w:rsidRDefault="00AF2508">
            <w:pPr>
              <w:pStyle w:val="TableText"/>
              <w:rPr>
                <w:sz w:val="16"/>
              </w:rPr>
            </w:pPr>
            <w:r>
              <w:rPr>
                <w:sz w:val="16"/>
              </w:rPr>
              <w:t>.417</w:t>
            </w:r>
          </w:p>
        </w:tc>
        <w:tc>
          <w:tcPr>
            <w:tcW w:w="600" w:type="dxa"/>
            <w:tcBorders>
              <w:left w:val="single" w:sz="6" w:space="0" w:color="auto"/>
              <w:right w:val="single" w:sz="6" w:space="0" w:color="auto"/>
            </w:tcBorders>
          </w:tcPr>
          <w:p w:rsidR="00AF2508" w:rsidRDefault="00AF2508">
            <w:pPr>
              <w:pStyle w:val="TableText"/>
              <w:rPr>
                <w:sz w:val="16"/>
              </w:rPr>
            </w:pPr>
            <w:r>
              <w:rPr>
                <w:sz w:val="16"/>
              </w:rPr>
              <w:t>.402</w:t>
            </w:r>
          </w:p>
        </w:tc>
        <w:tc>
          <w:tcPr>
            <w:tcW w:w="600" w:type="dxa"/>
            <w:tcBorders>
              <w:left w:val="single" w:sz="6" w:space="0" w:color="auto"/>
              <w:right w:val="single" w:sz="6" w:space="0" w:color="auto"/>
            </w:tcBorders>
          </w:tcPr>
          <w:p w:rsidR="00AF2508" w:rsidRDefault="00AF2508">
            <w:pPr>
              <w:pStyle w:val="TableText"/>
              <w:rPr>
                <w:sz w:val="16"/>
              </w:rPr>
            </w:pPr>
            <w:r>
              <w:rPr>
                <w:sz w:val="16"/>
              </w:rPr>
              <w:t>.397</w:t>
            </w:r>
          </w:p>
        </w:tc>
        <w:tc>
          <w:tcPr>
            <w:tcW w:w="600" w:type="dxa"/>
            <w:tcBorders>
              <w:left w:val="single" w:sz="6" w:space="0" w:color="auto"/>
              <w:right w:val="single" w:sz="6" w:space="0" w:color="auto"/>
            </w:tcBorders>
          </w:tcPr>
          <w:p w:rsidR="00AF2508" w:rsidRDefault="00AF2508">
            <w:pPr>
              <w:pStyle w:val="TableText"/>
              <w:rPr>
                <w:sz w:val="16"/>
              </w:rPr>
            </w:pPr>
            <w:r>
              <w:rPr>
                <w:sz w:val="16"/>
              </w:rPr>
              <w:t>.382</w:t>
            </w:r>
          </w:p>
        </w:tc>
        <w:tc>
          <w:tcPr>
            <w:tcW w:w="600" w:type="dxa"/>
          </w:tcPr>
          <w:p w:rsidR="00AF2508" w:rsidRDefault="00AF2508">
            <w:pPr>
              <w:pStyle w:val="TableText"/>
              <w:rPr>
                <w:sz w:val="16"/>
              </w:rPr>
            </w:pPr>
            <w:r>
              <w:rPr>
                <w:sz w:val="16"/>
              </w:rPr>
              <w:t>.371</w:t>
            </w:r>
          </w:p>
        </w:tc>
      </w:tr>
      <w:tr w:rsidR="00AF2508">
        <w:trPr>
          <w:cantSplit/>
        </w:trPr>
        <w:tc>
          <w:tcPr>
            <w:tcW w:w="560" w:type="dxa"/>
          </w:tcPr>
          <w:p w:rsidR="00AF2508" w:rsidRDefault="00AF2508">
            <w:pPr>
              <w:pStyle w:val="TableText"/>
              <w:rPr>
                <w:sz w:val="16"/>
              </w:rPr>
            </w:pPr>
            <w:r>
              <w:rPr>
                <w:sz w:val="16"/>
              </w:rPr>
              <w:t>23</w:t>
            </w:r>
          </w:p>
        </w:tc>
        <w:tc>
          <w:tcPr>
            <w:tcW w:w="800" w:type="dxa"/>
            <w:tcBorders>
              <w:left w:val="single" w:sz="6" w:space="0" w:color="auto"/>
              <w:right w:val="single" w:sz="6" w:space="0" w:color="auto"/>
            </w:tcBorders>
          </w:tcPr>
          <w:p w:rsidR="00AF2508" w:rsidRDefault="00AF2508">
            <w:pPr>
              <w:pStyle w:val="TableText"/>
              <w:rPr>
                <w:sz w:val="16"/>
              </w:rPr>
            </w:pPr>
            <w:r>
              <w:rPr>
                <w:sz w:val="16"/>
              </w:rPr>
              <w:t>.296</w:t>
            </w:r>
          </w:p>
        </w:tc>
        <w:tc>
          <w:tcPr>
            <w:tcW w:w="700" w:type="dxa"/>
            <w:tcBorders>
              <w:left w:val="single" w:sz="6" w:space="0" w:color="auto"/>
              <w:right w:val="single" w:sz="6" w:space="0" w:color="auto"/>
            </w:tcBorders>
          </w:tcPr>
          <w:p w:rsidR="00AF2508" w:rsidRDefault="00AF2508">
            <w:pPr>
              <w:pStyle w:val="TableText"/>
              <w:rPr>
                <w:sz w:val="16"/>
              </w:rPr>
            </w:pPr>
            <w:r>
              <w:rPr>
                <w:sz w:val="16"/>
              </w:rPr>
              <w:t>.333</w:t>
            </w:r>
          </w:p>
        </w:tc>
        <w:tc>
          <w:tcPr>
            <w:tcW w:w="720" w:type="dxa"/>
            <w:tcBorders>
              <w:left w:val="single" w:sz="6" w:space="0" w:color="auto"/>
              <w:right w:val="single" w:sz="6" w:space="0" w:color="auto"/>
            </w:tcBorders>
          </w:tcPr>
          <w:p w:rsidR="00AF2508" w:rsidRDefault="00AF2508">
            <w:pPr>
              <w:pStyle w:val="TableText"/>
              <w:rPr>
                <w:sz w:val="16"/>
              </w:rPr>
            </w:pPr>
            <w:r>
              <w:rPr>
                <w:sz w:val="16"/>
              </w:rPr>
              <w:t>.408</w:t>
            </w:r>
          </w:p>
        </w:tc>
        <w:tc>
          <w:tcPr>
            <w:tcW w:w="540" w:type="dxa"/>
            <w:tcBorders>
              <w:left w:val="single" w:sz="6" w:space="0" w:color="auto"/>
              <w:right w:val="single" w:sz="6" w:space="0" w:color="auto"/>
            </w:tcBorders>
          </w:tcPr>
          <w:p w:rsidR="00AF2508" w:rsidRDefault="00AF2508">
            <w:pPr>
              <w:pStyle w:val="TableText"/>
              <w:rPr>
                <w:sz w:val="16"/>
              </w:rPr>
            </w:pPr>
            <w:r>
              <w:rPr>
                <w:sz w:val="16"/>
              </w:rPr>
              <w:t>.396</w:t>
            </w:r>
          </w:p>
        </w:tc>
        <w:tc>
          <w:tcPr>
            <w:tcW w:w="600" w:type="dxa"/>
            <w:tcBorders>
              <w:left w:val="single" w:sz="6" w:space="0" w:color="auto"/>
              <w:right w:val="single" w:sz="6" w:space="0" w:color="auto"/>
            </w:tcBorders>
          </w:tcPr>
          <w:p w:rsidR="00AF2508" w:rsidRDefault="00AF2508">
            <w:pPr>
              <w:pStyle w:val="TableText"/>
              <w:rPr>
                <w:sz w:val="16"/>
              </w:rPr>
            </w:pPr>
            <w:r>
              <w:rPr>
                <w:sz w:val="16"/>
              </w:rPr>
              <w:t>.441</w:t>
            </w:r>
          </w:p>
        </w:tc>
        <w:tc>
          <w:tcPr>
            <w:tcW w:w="600" w:type="dxa"/>
            <w:tcBorders>
              <w:left w:val="single" w:sz="6" w:space="0" w:color="auto"/>
              <w:right w:val="single" w:sz="6" w:space="0" w:color="auto"/>
            </w:tcBorders>
          </w:tcPr>
          <w:p w:rsidR="00AF2508" w:rsidRDefault="00AF2508">
            <w:pPr>
              <w:pStyle w:val="TableText"/>
              <w:rPr>
                <w:sz w:val="16"/>
              </w:rPr>
            </w:pPr>
            <w:r>
              <w:rPr>
                <w:sz w:val="16"/>
              </w:rPr>
              <w:t>.422</w:t>
            </w:r>
          </w:p>
        </w:tc>
        <w:tc>
          <w:tcPr>
            <w:tcW w:w="600" w:type="dxa"/>
            <w:tcBorders>
              <w:left w:val="single" w:sz="6" w:space="0" w:color="auto"/>
              <w:right w:val="single" w:sz="6" w:space="0" w:color="auto"/>
            </w:tcBorders>
          </w:tcPr>
          <w:p w:rsidR="00AF2508" w:rsidRDefault="00AF2508">
            <w:pPr>
              <w:pStyle w:val="TableText"/>
              <w:rPr>
                <w:sz w:val="16"/>
              </w:rPr>
            </w:pPr>
            <w:r>
              <w:rPr>
                <w:sz w:val="16"/>
              </w:rPr>
              <w:t>.422</w:t>
            </w:r>
          </w:p>
        </w:tc>
        <w:tc>
          <w:tcPr>
            <w:tcW w:w="600" w:type="dxa"/>
            <w:tcBorders>
              <w:left w:val="single" w:sz="6" w:space="0" w:color="auto"/>
              <w:right w:val="single" w:sz="6" w:space="0" w:color="auto"/>
            </w:tcBorders>
          </w:tcPr>
          <w:p w:rsidR="00AF2508" w:rsidRDefault="00AF2508">
            <w:pPr>
              <w:pStyle w:val="TableText"/>
              <w:rPr>
                <w:sz w:val="16"/>
              </w:rPr>
            </w:pPr>
            <w:r>
              <w:rPr>
                <w:sz w:val="16"/>
              </w:rPr>
              <w:t>.407</w:t>
            </w:r>
          </w:p>
        </w:tc>
        <w:tc>
          <w:tcPr>
            <w:tcW w:w="600" w:type="dxa"/>
            <w:tcBorders>
              <w:left w:val="single" w:sz="6" w:space="0" w:color="auto"/>
              <w:right w:val="single" w:sz="6" w:space="0" w:color="auto"/>
            </w:tcBorders>
          </w:tcPr>
          <w:p w:rsidR="00AF2508" w:rsidRDefault="00AF2508">
            <w:pPr>
              <w:pStyle w:val="TableText"/>
              <w:rPr>
                <w:sz w:val="16"/>
              </w:rPr>
            </w:pPr>
            <w:r>
              <w:rPr>
                <w:sz w:val="16"/>
              </w:rPr>
              <w:t>.402</w:t>
            </w:r>
          </w:p>
        </w:tc>
        <w:tc>
          <w:tcPr>
            <w:tcW w:w="600" w:type="dxa"/>
            <w:tcBorders>
              <w:left w:val="single" w:sz="6" w:space="0" w:color="auto"/>
              <w:right w:val="single" w:sz="6" w:space="0" w:color="auto"/>
            </w:tcBorders>
          </w:tcPr>
          <w:p w:rsidR="00AF2508" w:rsidRDefault="00AF2508">
            <w:pPr>
              <w:pStyle w:val="TableText"/>
              <w:rPr>
                <w:sz w:val="16"/>
              </w:rPr>
            </w:pPr>
            <w:r>
              <w:rPr>
                <w:sz w:val="16"/>
              </w:rPr>
              <w:t>.387</w:t>
            </w:r>
          </w:p>
        </w:tc>
        <w:tc>
          <w:tcPr>
            <w:tcW w:w="600" w:type="dxa"/>
          </w:tcPr>
          <w:p w:rsidR="00AF2508" w:rsidRDefault="00AF2508">
            <w:pPr>
              <w:pStyle w:val="TableText"/>
              <w:rPr>
                <w:sz w:val="16"/>
              </w:rPr>
            </w:pPr>
            <w:r>
              <w:rPr>
                <w:sz w:val="16"/>
              </w:rPr>
              <w:t>.377</w:t>
            </w:r>
          </w:p>
        </w:tc>
      </w:tr>
      <w:tr w:rsidR="00AF2508">
        <w:trPr>
          <w:cantSplit/>
        </w:trPr>
        <w:tc>
          <w:tcPr>
            <w:tcW w:w="560" w:type="dxa"/>
          </w:tcPr>
          <w:p w:rsidR="00AF2508" w:rsidRDefault="00AF2508">
            <w:pPr>
              <w:pStyle w:val="TableText"/>
              <w:rPr>
                <w:sz w:val="16"/>
              </w:rPr>
            </w:pPr>
            <w:r>
              <w:rPr>
                <w:sz w:val="16"/>
              </w:rPr>
              <w:t>24</w:t>
            </w:r>
          </w:p>
        </w:tc>
        <w:tc>
          <w:tcPr>
            <w:tcW w:w="800" w:type="dxa"/>
            <w:tcBorders>
              <w:left w:val="single" w:sz="6" w:space="0" w:color="auto"/>
              <w:right w:val="single" w:sz="6" w:space="0" w:color="auto"/>
            </w:tcBorders>
          </w:tcPr>
          <w:p w:rsidR="00AF2508" w:rsidRDefault="00AF2508">
            <w:pPr>
              <w:pStyle w:val="TableText"/>
              <w:rPr>
                <w:sz w:val="16"/>
              </w:rPr>
            </w:pPr>
            <w:r>
              <w:rPr>
                <w:sz w:val="16"/>
              </w:rPr>
              <w:t>.302</w:t>
            </w:r>
          </w:p>
        </w:tc>
        <w:tc>
          <w:tcPr>
            <w:tcW w:w="700" w:type="dxa"/>
            <w:tcBorders>
              <w:left w:val="single" w:sz="6" w:space="0" w:color="auto"/>
              <w:right w:val="single" w:sz="6" w:space="0" w:color="auto"/>
            </w:tcBorders>
          </w:tcPr>
          <w:p w:rsidR="00AF2508" w:rsidRDefault="00AF2508">
            <w:pPr>
              <w:pStyle w:val="TableText"/>
              <w:rPr>
                <w:sz w:val="16"/>
              </w:rPr>
            </w:pPr>
            <w:r>
              <w:rPr>
                <w:sz w:val="16"/>
              </w:rPr>
              <w:t>.337</w:t>
            </w:r>
          </w:p>
        </w:tc>
        <w:tc>
          <w:tcPr>
            <w:tcW w:w="720" w:type="dxa"/>
            <w:tcBorders>
              <w:left w:val="single" w:sz="6" w:space="0" w:color="auto"/>
              <w:right w:val="single" w:sz="6" w:space="0" w:color="auto"/>
            </w:tcBorders>
          </w:tcPr>
          <w:p w:rsidR="00AF2508" w:rsidRDefault="00AF2508">
            <w:pPr>
              <w:pStyle w:val="TableText"/>
              <w:rPr>
                <w:sz w:val="16"/>
              </w:rPr>
            </w:pPr>
            <w:r>
              <w:rPr>
                <w:sz w:val="16"/>
              </w:rPr>
              <w:t>.411</w:t>
            </w:r>
          </w:p>
        </w:tc>
        <w:tc>
          <w:tcPr>
            <w:tcW w:w="540" w:type="dxa"/>
            <w:tcBorders>
              <w:left w:val="single" w:sz="6" w:space="0" w:color="auto"/>
              <w:right w:val="single" w:sz="6" w:space="0" w:color="auto"/>
            </w:tcBorders>
          </w:tcPr>
          <w:p w:rsidR="00AF2508" w:rsidRDefault="00AF2508">
            <w:pPr>
              <w:pStyle w:val="TableText"/>
              <w:rPr>
                <w:sz w:val="16"/>
              </w:rPr>
            </w:pPr>
            <w:r>
              <w:rPr>
                <w:sz w:val="16"/>
              </w:rPr>
              <w:t>.401</w:t>
            </w:r>
          </w:p>
        </w:tc>
        <w:tc>
          <w:tcPr>
            <w:tcW w:w="600" w:type="dxa"/>
            <w:tcBorders>
              <w:left w:val="single" w:sz="6" w:space="0" w:color="auto"/>
              <w:right w:val="single" w:sz="6" w:space="0" w:color="auto"/>
            </w:tcBorders>
          </w:tcPr>
          <w:p w:rsidR="00AF2508" w:rsidRDefault="00AF2508">
            <w:pPr>
              <w:pStyle w:val="TableText"/>
              <w:rPr>
                <w:sz w:val="16"/>
              </w:rPr>
            </w:pPr>
            <w:r>
              <w:rPr>
                <w:sz w:val="16"/>
              </w:rPr>
              <w:t>.446</w:t>
            </w:r>
          </w:p>
        </w:tc>
        <w:tc>
          <w:tcPr>
            <w:tcW w:w="600" w:type="dxa"/>
            <w:tcBorders>
              <w:left w:val="single" w:sz="6" w:space="0" w:color="auto"/>
              <w:right w:val="single" w:sz="6" w:space="0" w:color="auto"/>
            </w:tcBorders>
          </w:tcPr>
          <w:p w:rsidR="00AF2508" w:rsidRDefault="00AF2508">
            <w:pPr>
              <w:pStyle w:val="TableText"/>
              <w:rPr>
                <w:sz w:val="16"/>
              </w:rPr>
            </w:pPr>
            <w:r>
              <w:rPr>
                <w:sz w:val="16"/>
              </w:rPr>
              <w:t>.427</w:t>
            </w:r>
          </w:p>
        </w:tc>
        <w:tc>
          <w:tcPr>
            <w:tcW w:w="600" w:type="dxa"/>
            <w:tcBorders>
              <w:left w:val="single" w:sz="6" w:space="0" w:color="auto"/>
              <w:right w:val="single" w:sz="6" w:space="0" w:color="auto"/>
            </w:tcBorders>
          </w:tcPr>
          <w:p w:rsidR="00AF2508" w:rsidRDefault="00AF2508">
            <w:pPr>
              <w:pStyle w:val="TableText"/>
              <w:rPr>
                <w:sz w:val="16"/>
              </w:rPr>
            </w:pPr>
            <w:r>
              <w:rPr>
                <w:sz w:val="16"/>
              </w:rPr>
              <w:t>.427</w:t>
            </w:r>
          </w:p>
        </w:tc>
        <w:tc>
          <w:tcPr>
            <w:tcW w:w="600" w:type="dxa"/>
            <w:tcBorders>
              <w:left w:val="single" w:sz="6" w:space="0" w:color="auto"/>
              <w:right w:val="single" w:sz="6" w:space="0" w:color="auto"/>
            </w:tcBorders>
          </w:tcPr>
          <w:p w:rsidR="00AF2508" w:rsidRDefault="00AF2508">
            <w:pPr>
              <w:pStyle w:val="TableText"/>
              <w:rPr>
                <w:sz w:val="16"/>
              </w:rPr>
            </w:pPr>
            <w:r>
              <w:rPr>
                <w:sz w:val="16"/>
              </w:rPr>
              <w:t>.411</w:t>
            </w:r>
          </w:p>
        </w:tc>
        <w:tc>
          <w:tcPr>
            <w:tcW w:w="600" w:type="dxa"/>
            <w:tcBorders>
              <w:left w:val="single" w:sz="6" w:space="0" w:color="auto"/>
              <w:right w:val="single" w:sz="6" w:space="0" w:color="auto"/>
            </w:tcBorders>
          </w:tcPr>
          <w:p w:rsidR="00AF2508" w:rsidRDefault="00AF2508">
            <w:pPr>
              <w:pStyle w:val="TableText"/>
              <w:rPr>
                <w:sz w:val="16"/>
              </w:rPr>
            </w:pPr>
            <w:r>
              <w:rPr>
                <w:sz w:val="16"/>
              </w:rPr>
              <w:t>.405</w:t>
            </w:r>
          </w:p>
        </w:tc>
        <w:tc>
          <w:tcPr>
            <w:tcW w:w="600" w:type="dxa"/>
            <w:tcBorders>
              <w:left w:val="single" w:sz="6" w:space="0" w:color="auto"/>
              <w:right w:val="single" w:sz="6" w:space="0" w:color="auto"/>
            </w:tcBorders>
          </w:tcPr>
          <w:p w:rsidR="00AF2508" w:rsidRDefault="00AF2508">
            <w:pPr>
              <w:pStyle w:val="TableText"/>
              <w:rPr>
                <w:sz w:val="16"/>
              </w:rPr>
            </w:pPr>
            <w:r>
              <w:rPr>
                <w:sz w:val="16"/>
              </w:rPr>
              <w:t>.392</w:t>
            </w:r>
          </w:p>
        </w:tc>
        <w:tc>
          <w:tcPr>
            <w:tcW w:w="600" w:type="dxa"/>
          </w:tcPr>
          <w:p w:rsidR="00AF2508" w:rsidRDefault="00AF2508">
            <w:pPr>
              <w:pStyle w:val="TableText"/>
              <w:rPr>
                <w:sz w:val="16"/>
              </w:rPr>
            </w:pPr>
            <w:r>
              <w:rPr>
                <w:sz w:val="16"/>
              </w:rPr>
              <w:t>.381</w:t>
            </w:r>
          </w:p>
        </w:tc>
      </w:tr>
      <w:tr w:rsidR="00AF2508">
        <w:trPr>
          <w:cantSplit/>
        </w:trPr>
        <w:tc>
          <w:tcPr>
            <w:tcW w:w="560" w:type="dxa"/>
          </w:tcPr>
          <w:p w:rsidR="00AF2508" w:rsidRDefault="00AF2508">
            <w:pPr>
              <w:pStyle w:val="TableText"/>
              <w:rPr>
                <w:sz w:val="16"/>
              </w:rPr>
            </w:pPr>
            <w:r>
              <w:rPr>
                <w:sz w:val="16"/>
              </w:rPr>
              <w:t>25</w:t>
            </w:r>
          </w:p>
        </w:tc>
        <w:tc>
          <w:tcPr>
            <w:tcW w:w="800" w:type="dxa"/>
            <w:tcBorders>
              <w:left w:val="single" w:sz="6" w:space="0" w:color="auto"/>
              <w:right w:val="single" w:sz="6" w:space="0" w:color="auto"/>
            </w:tcBorders>
          </w:tcPr>
          <w:p w:rsidR="00AF2508" w:rsidRDefault="00AF2508">
            <w:pPr>
              <w:pStyle w:val="TableText"/>
              <w:rPr>
                <w:sz w:val="16"/>
              </w:rPr>
            </w:pPr>
            <w:r>
              <w:rPr>
                <w:sz w:val="16"/>
              </w:rPr>
              <w:t>.305</w:t>
            </w:r>
          </w:p>
        </w:tc>
        <w:tc>
          <w:tcPr>
            <w:tcW w:w="700" w:type="dxa"/>
            <w:tcBorders>
              <w:left w:val="single" w:sz="6" w:space="0" w:color="auto"/>
              <w:right w:val="single" w:sz="6" w:space="0" w:color="auto"/>
            </w:tcBorders>
          </w:tcPr>
          <w:p w:rsidR="00AF2508" w:rsidRDefault="00AF2508">
            <w:pPr>
              <w:pStyle w:val="TableText"/>
              <w:rPr>
                <w:sz w:val="16"/>
              </w:rPr>
            </w:pPr>
            <w:r>
              <w:rPr>
                <w:sz w:val="16"/>
              </w:rPr>
              <w:t>.340</w:t>
            </w:r>
          </w:p>
        </w:tc>
        <w:tc>
          <w:tcPr>
            <w:tcW w:w="720" w:type="dxa"/>
            <w:tcBorders>
              <w:left w:val="single" w:sz="6" w:space="0" w:color="auto"/>
              <w:right w:val="single" w:sz="6" w:space="0" w:color="auto"/>
            </w:tcBorders>
          </w:tcPr>
          <w:p w:rsidR="00AF2508" w:rsidRDefault="00AF2508">
            <w:pPr>
              <w:pStyle w:val="TableText"/>
              <w:rPr>
                <w:sz w:val="16"/>
              </w:rPr>
            </w:pPr>
            <w:r>
              <w:rPr>
                <w:sz w:val="16"/>
              </w:rPr>
              <w:t>.416</w:t>
            </w:r>
          </w:p>
        </w:tc>
        <w:tc>
          <w:tcPr>
            <w:tcW w:w="540" w:type="dxa"/>
            <w:tcBorders>
              <w:left w:val="single" w:sz="6" w:space="0" w:color="auto"/>
              <w:right w:val="single" w:sz="6" w:space="0" w:color="auto"/>
            </w:tcBorders>
          </w:tcPr>
          <w:p w:rsidR="00AF2508" w:rsidRDefault="00AF2508">
            <w:pPr>
              <w:pStyle w:val="TableText"/>
              <w:rPr>
                <w:sz w:val="16"/>
              </w:rPr>
            </w:pPr>
            <w:r>
              <w:rPr>
                <w:sz w:val="16"/>
              </w:rPr>
              <w:t>.405</w:t>
            </w:r>
          </w:p>
        </w:tc>
        <w:tc>
          <w:tcPr>
            <w:tcW w:w="600" w:type="dxa"/>
            <w:tcBorders>
              <w:left w:val="single" w:sz="6" w:space="0" w:color="auto"/>
              <w:right w:val="single" w:sz="6" w:space="0" w:color="auto"/>
            </w:tcBorders>
          </w:tcPr>
          <w:p w:rsidR="00AF2508" w:rsidRDefault="00AF2508">
            <w:pPr>
              <w:pStyle w:val="TableText"/>
              <w:rPr>
                <w:sz w:val="16"/>
              </w:rPr>
            </w:pPr>
            <w:r>
              <w:rPr>
                <w:sz w:val="16"/>
              </w:rPr>
              <w:t>.449</w:t>
            </w:r>
          </w:p>
        </w:tc>
        <w:tc>
          <w:tcPr>
            <w:tcW w:w="600" w:type="dxa"/>
            <w:tcBorders>
              <w:left w:val="single" w:sz="6" w:space="0" w:color="auto"/>
              <w:right w:val="single" w:sz="6" w:space="0" w:color="auto"/>
            </w:tcBorders>
          </w:tcPr>
          <w:p w:rsidR="00AF2508" w:rsidRDefault="00AF2508">
            <w:pPr>
              <w:pStyle w:val="TableText"/>
              <w:rPr>
                <w:sz w:val="16"/>
              </w:rPr>
            </w:pPr>
            <w:r>
              <w:rPr>
                <w:sz w:val="16"/>
              </w:rPr>
              <w:t>.432</w:t>
            </w:r>
          </w:p>
        </w:tc>
        <w:tc>
          <w:tcPr>
            <w:tcW w:w="600" w:type="dxa"/>
            <w:tcBorders>
              <w:left w:val="single" w:sz="6" w:space="0" w:color="auto"/>
              <w:right w:val="single" w:sz="6" w:space="0" w:color="auto"/>
            </w:tcBorders>
          </w:tcPr>
          <w:p w:rsidR="00AF2508" w:rsidRDefault="00AF2508">
            <w:pPr>
              <w:pStyle w:val="TableText"/>
              <w:rPr>
                <w:sz w:val="16"/>
              </w:rPr>
            </w:pPr>
            <w:r>
              <w:rPr>
                <w:sz w:val="16"/>
              </w:rPr>
              <w:t>.432</w:t>
            </w:r>
          </w:p>
        </w:tc>
        <w:tc>
          <w:tcPr>
            <w:tcW w:w="600" w:type="dxa"/>
            <w:tcBorders>
              <w:left w:val="single" w:sz="6" w:space="0" w:color="auto"/>
              <w:right w:val="single" w:sz="6" w:space="0" w:color="auto"/>
            </w:tcBorders>
          </w:tcPr>
          <w:p w:rsidR="00AF2508" w:rsidRDefault="00AF2508">
            <w:pPr>
              <w:pStyle w:val="TableText"/>
              <w:rPr>
                <w:sz w:val="16"/>
              </w:rPr>
            </w:pPr>
            <w:r>
              <w:rPr>
                <w:sz w:val="16"/>
              </w:rPr>
              <w:t>.417</w:t>
            </w:r>
          </w:p>
        </w:tc>
        <w:tc>
          <w:tcPr>
            <w:tcW w:w="600" w:type="dxa"/>
            <w:tcBorders>
              <w:left w:val="single" w:sz="6" w:space="0" w:color="auto"/>
              <w:right w:val="single" w:sz="6" w:space="0" w:color="auto"/>
            </w:tcBorders>
          </w:tcPr>
          <w:p w:rsidR="00AF2508" w:rsidRDefault="00AF2508">
            <w:pPr>
              <w:pStyle w:val="TableText"/>
              <w:rPr>
                <w:sz w:val="16"/>
              </w:rPr>
            </w:pPr>
            <w:r>
              <w:rPr>
                <w:sz w:val="16"/>
              </w:rPr>
              <w:t>.409</w:t>
            </w:r>
          </w:p>
        </w:tc>
        <w:tc>
          <w:tcPr>
            <w:tcW w:w="600" w:type="dxa"/>
            <w:tcBorders>
              <w:left w:val="single" w:sz="6" w:space="0" w:color="auto"/>
              <w:right w:val="single" w:sz="6" w:space="0" w:color="auto"/>
            </w:tcBorders>
          </w:tcPr>
          <w:p w:rsidR="00AF2508" w:rsidRDefault="00AF2508">
            <w:pPr>
              <w:pStyle w:val="TableText"/>
              <w:rPr>
                <w:sz w:val="16"/>
              </w:rPr>
            </w:pPr>
            <w:r>
              <w:rPr>
                <w:sz w:val="16"/>
              </w:rPr>
              <w:t>.396</w:t>
            </w:r>
          </w:p>
        </w:tc>
        <w:tc>
          <w:tcPr>
            <w:tcW w:w="600" w:type="dxa"/>
          </w:tcPr>
          <w:p w:rsidR="00AF2508" w:rsidRDefault="00AF2508">
            <w:pPr>
              <w:pStyle w:val="TableText"/>
              <w:rPr>
                <w:sz w:val="16"/>
              </w:rPr>
            </w:pPr>
            <w:r>
              <w:rPr>
                <w:sz w:val="16"/>
              </w:rPr>
              <w:t>.386</w:t>
            </w:r>
          </w:p>
        </w:tc>
      </w:tr>
      <w:tr w:rsidR="00AF2508">
        <w:trPr>
          <w:cantSplit/>
        </w:trPr>
        <w:tc>
          <w:tcPr>
            <w:tcW w:w="560" w:type="dxa"/>
            <w:tcBorders>
              <w:top w:val="single" w:sz="6" w:space="0" w:color="auto"/>
            </w:tcBorders>
          </w:tcPr>
          <w:p w:rsidR="00AF2508" w:rsidRDefault="00AF2508">
            <w:pPr>
              <w:pStyle w:val="TableText"/>
              <w:rPr>
                <w:sz w:val="16"/>
              </w:rPr>
            </w:pPr>
            <w:r>
              <w:rPr>
                <w:sz w:val="16"/>
              </w:rPr>
              <w:t>26</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.308</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.344</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.421</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.409</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.436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.436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.421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.413</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.401</w:t>
            </w:r>
          </w:p>
        </w:tc>
        <w:tc>
          <w:tcPr>
            <w:tcW w:w="600" w:type="dxa"/>
            <w:tcBorders>
              <w:top w:val="single" w:sz="6" w:space="0" w:color="auto"/>
            </w:tcBorders>
          </w:tcPr>
          <w:p w:rsidR="00AF2508" w:rsidRDefault="00AF2508">
            <w:pPr>
              <w:pStyle w:val="TableText"/>
              <w:rPr>
                <w:sz w:val="16"/>
              </w:rPr>
            </w:pPr>
            <w:r>
              <w:rPr>
                <w:sz w:val="16"/>
              </w:rPr>
              <w:t>.389</w:t>
            </w:r>
          </w:p>
        </w:tc>
      </w:tr>
      <w:tr w:rsidR="00AF2508">
        <w:trPr>
          <w:cantSplit/>
        </w:trPr>
        <w:tc>
          <w:tcPr>
            <w:tcW w:w="560" w:type="dxa"/>
          </w:tcPr>
          <w:p w:rsidR="00AF2508" w:rsidRDefault="00AF2508">
            <w:pPr>
              <w:pStyle w:val="TableText"/>
              <w:rPr>
                <w:sz w:val="16"/>
              </w:rPr>
            </w:pPr>
            <w:r>
              <w:rPr>
                <w:sz w:val="16"/>
              </w:rPr>
              <w:t>27</w:t>
            </w:r>
          </w:p>
        </w:tc>
        <w:tc>
          <w:tcPr>
            <w:tcW w:w="800" w:type="dxa"/>
            <w:tcBorders>
              <w:left w:val="single" w:sz="6" w:space="0" w:color="auto"/>
              <w:right w:val="single" w:sz="6" w:space="0" w:color="auto"/>
            </w:tcBorders>
          </w:tcPr>
          <w:p w:rsidR="00AF2508" w:rsidRDefault="00AF2508">
            <w:pPr>
              <w:pStyle w:val="TableText"/>
              <w:rPr>
                <w:sz w:val="16"/>
              </w:rPr>
            </w:pPr>
            <w:r>
              <w:rPr>
                <w:sz w:val="16"/>
              </w:rPr>
              <w:t>.311</w:t>
            </w:r>
          </w:p>
        </w:tc>
        <w:tc>
          <w:tcPr>
            <w:tcW w:w="700" w:type="dxa"/>
            <w:tcBorders>
              <w:left w:val="single" w:sz="6" w:space="0" w:color="auto"/>
              <w:right w:val="single" w:sz="6" w:space="0" w:color="auto"/>
            </w:tcBorders>
          </w:tcPr>
          <w:p w:rsidR="00AF2508" w:rsidRDefault="00AF2508">
            <w:pPr>
              <w:pStyle w:val="TableText"/>
              <w:rPr>
                <w:sz w:val="16"/>
              </w:rPr>
            </w:pPr>
            <w:r>
              <w:rPr>
                <w:sz w:val="16"/>
              </w:rPr>
              <w:t>.348</w:t>
            </w:r>
          </w:p>
        </w:tc>
        <w:tc>
          <w:tcPr>
            <w:tcW w:w="720" w:type="dxa"/>
            <w:tcBorders>
              <w:left w:val="single" w:sz="6" w:space="0" w:color="auto"/>
              <w:right w:val="single" w:sz="6" w:space="0" w:color="auto"/>
            </w:tcBorders>
          </w:tcPr>
          <w:p w:rsidR="00AF2508" w:rsidRDefault="00AF2508">
            <w:pPr>
              <w:pStyle w:val="TableText"/>
              <w:rPr>
                <w:sz w:val="16"/>
              </w:rPr>
            </w:pPr>
            <w:r>
              <w:rPr>
                <w:sz w:val="16"/>
              </w:rPr>
              <w:t>.426</w:t>
            </w:r>
          </w:p>
        </w:tc>
        <w:tc>
          <w:tcPr>
            <w:tcW w:w="540" w:type="dxa"/>
            <w:tcBorders>
              <w:left w:val="single" w:sz="6" w:space="0" w:color="auto"/>
              <w:right w:val="single" w:sz="6" w:space="0" w:color="auto"/>
            </w:tcBorders>
          </w:tcPr>
          <w:p w:rsidR="00AF2508" w:rsidRDefault="00AF2508">
            <w:pPr>
              <w:pStyle w:val="TableText"/>
              <w:rPr>
                <w:sz w:val="16"/>
              </w:rPr>
            </w:pPr>
            <w:r>
              <w:rPr>
                <w:sz w:val="16"/>
              </w:rPr>
              <w:t>.414</w:t>
            </w:r>
          </w:p>
        </w:tc>
        <w:tc>
          <w:tcPr>
            <w:tcW w:w="600" w:type="dxa"/>
            <w:tcBorders>
              <w:left w:val="single" w:sz="6" w:space="0" w:color="auto"/>
              <w:right w:val="single" w:sz="6" w:space="0" w:color="auto"/>
            </w:tcBorders>
          </w:tcPr>
          <w:p w:rsidR="00AF2508" w:rsidRDefault="00AF2508">
            <w:pPr>
              <w:pStyle w:val="TableText"/>
              <w:rPr>
                <w:sz w:val="16"/>
              </w:rPr>
            </w:pPr>
            <w:r>
              <w:rPr>
                <w:sz w:val="16"/>
              </w:rPr>
              <w:t>.458</w:t>
            </w:r>
          </w:p>
        </w:tc>
        <w:tc>
          <w:tcPr>
            <w:tcW w:w="600" w:type="dxa"/>
            <w:tcBorders>
              <w:left w:val="single" w:sz="6" w:space="0" w:color="auto"/>
              <w:right w:val="single" w:sz="6" w:space="0" w:color="auto"/>
            </w:tcBorders>
          </w:tcPr>
          <w:p w:rsidR="00AF2508" w:rsidRDefault="00AF2508">
            <w:pPr>
              <w:pStyle w:val="TableText"/>
              <w:rPr>
                <w:sz w:val="16"/>
              </w:rPr>
            </w:pPr>
            <w:r>
              <w:rPr>
                <w:sz w:val="16"/>
              </w:rPr>
              <w:t>.440</w:t>
            </w:r>
          </w:p>
        </w:tc>
        <w:tc>
          <w:tcPr>
            <w:tcW w:w="600" w:type="dxa"/>
            <w:tcBorders>
              <w:left w:val="single" w:sz="6" w:space="0" w:color="auto"/>
              <w:right w:val="single" w:sz="6" w:space="0" w:color="auto"/>
            </w:tcBorders>
          </w:tcPr>
          <w:p w:rsidR="00AF2508" w:rsidRDefault="00AF2508">
            <w:pPr>
              <w:pStyle w:val="TableText"/>
              <w:rPr>
                <w:sz w:val="16"/>
              </w:rPr>
            </w:pPr>
            <w:r>
              <w:rPr>
                <w:sz w:val="16"/>
              </w:rPr>
              <w:t>.440</w:t>
            </w:r>
          </w:p>
        </w:tc>
        <w:tc>
          <w:tcPr>
            <w:tcW w:w="600" w:type="dxa"/>
            <w:tcBorders>
              <w:left w:val="single" w:sz="6" w:space="0" w:color="auto"/>
              <w:right w:val="single" w:sz="6" w:space="0" w:color="auto"/>
            </w:tcBorders>
          </w:tcPr>
          <w:p w:rsidR="00AF2508" w:rsidRDefault="00AF2508">
            <w:pPr>
              <w:pStyle w:val="TableText"/>
              <w:rPr>
                <w:sz w:val="16"/>
              </w:rPr>
            </w:pPr>
            <w:r>
              <w:rPr>
                <w:sz w:val="16"/>
              </w:rPr>
              <w:t>.425</w:t>
            </w:r>
          </w:p>
        </w:tc>
        <w:tc>
          <w:tcPr>
            <w:tcW w:w="600" w:type="dxa"/>
            <w:tcBorders>
              <w:left w:val="single" w:sz="6" w:space="0" w:color="auto"/>
              <w:right w:val="single" w:sz="6" w:space="0" w:color="auto"/>
            </w:tcBorders>
          </w:tcPr>
          <w:p w:rsidR="00AF2508" w:rsidRDefault="00AF2508">
            <w:pPr>
              <w:pStyle w:val="TableText"/>
              <w:rPr>
                <w:sz w:val="16"/>
              </w:rPr>
            </w:pPr>
            <w:r>
              <w:rPr>
                <w:sz w:val="16"/>
              </w:rPr>
              <w:t>.417</w:t>
            </w:r>
          </w:p>
        </w:tc>
        <w:tc>
          <w:tcPr>
            <w:tcW w:w="600" w:type="dxa"/>
            <w:tcBorders>
              <w:left w:val="single" w:sz="6" w:space="0" w:color="auto"/>
              <w:right w:val="single" w:sz="6" w:space="0" w:color="auto"/>
            </w:tcBorders>
          </w:tcPr>
          <w:p w:rsidR="00AF2508" w:rsidRDefault="00AF2508">
            <w:pPr>
              <w:pStyle w:val="TableText"/>
              <w:rPr>
                <w:sz w:val="16"/>
              </w:rPr>
            </w:pPr>
            <w:r>
              <w:rPr>
                <w:sz w:val="16"/>
              </w:rPr>
              <w:t>.405</w:t>
            </w:r>
          </w:p>
        </w:tc>
        <w:tc>
          <w:tcPr>
            <w:tcW w:w="600" w:type="dxa"/>
          </w:tcPr>
          <w:p w:rsidR="00AF2508" w:rsidRDefault="00AF2508">
            <w:pPr>
              <w:pStyle w:val="TableText"/>
              <w:rPr>
                <w:sz w:val="16"/>
              </w:rPr>
            </w:pPr>
            <w:r>
              <w:rPr>
                <w:sz w:val="16"/>
              </w:rPr>
              <w:t>.392</w:t>
            </w:r>
          </w:p>
        </w:tc>
      </w:tr>
      <w:tr w:rsidR="00AF2508">
        <w:trPr>
          <w:cantSplit/>
        </w:trPr>
        <w:tc>
          <w:tcPr>
            <w:tcW w:w="560" w:type="dxa"/>
          </w:tcPr>
          <w:p w:rsidR="00AF2508" w:rsidRDefault="00AF2508">
            <w:pPr>
              <w:pStyle w:val="TableText"/>
              <w:rPr>
                <w:sz w:val="16"/>
              </w:rPr>
            </w:pPr>
            <w:r>
              <w:rPr>
                <w:sz w:val="16"/>
              </w:rPr>
              <w:t>28</w:t>
            </w:r>
          </w:p>
        </w:tc>
        <w:tc>
          <w:tcPr>
            <w:tcW w:w="800" w:type="dxa"/>
            <w:tcBorders>
              <w:left w:val="single" w:sz="6" w:space="0" w:color="auto"/>
              <w:right w:val="single" w:sz="6" w:space="0" w:color="auto"/>
            </w:tcBorders>
          </w:tcPr>
          <w:p w:rsidR="00AF2508" w:rsidRDefault="00AF2508">
            <w:pPr>
              <w:pStyle w:val="TableText"/>
              <w:rPr>
                <w:sz w:val="16"/>
              </w:rPr>
            </w:pPr>
            <w:r>
              <w:rPr>
                <w:sz w:val="16"/>
              </w:rPr>
              <w:t>.314</w:t>
            </w:r>
          </w:p>
        </w:tc>
        <w:tc>
          <w:tcPr>
            <w:tcW w:w="700" w:type="dxa"/>
            <w:tcBorders>
              <w:left w:val="single" w:sz="6" w:space="0" w:color="auto"/>
              <w:right w:val="single" w:sz="6" w:space="0" w:color="auto"/>
            </w:tcBorders>
          </w:tcPr>
          <w:p w:rsidR="00AF2508" w:rsidRDefault="00AF2508">
            <w:pPr>
              <w:pStyle w:val="TableText"/>
              <w:rPr>
                <w:sz w:val="16"/>
              </w:rPr>
            </w:pPr>
            <w:r>
              <w:rPr>
                <w:sz w:val="16"/>
              </w:rPr>
              <w:t>.352</w:t>
            </w:r>
          </w:p>
        </w:tc>
        <w:tc>
          <w:tcPr>
            <w:tcW w:w="720" w:type="dxa"/>
            <w:tcBorders>
              <w:left w:val="single" w:sz="6" w:space="0" w:color="auto"/>
              <w:right w:val="single" w:sz="6" w:space="0" w:color="auto"/>
            </w:tcBorders>
          </w:tcPr>
          <w:p w:rsidR="00AF2508" w:rsidRDefault="00AF2508">
            <w:pPr>
              <w:pStyle w:val="TableText"/>
              <w:rPr>
                <w:sz w:val="16"/>
              </w:rPr>
            </w:pPr>
            <w:r>
              <w:rPr>
                <w:sz w:val="16"/>
              </w:rPr>
              <w:t>.430</w:t>
            </w:r>
          </w:p>
        </w:tc>
        <w:tc>
          <w:tcPr>
            <w:tcW w:w="540" w:type="dxa"/>
            <w:tcBorders>
              <w:left w:val="single" w:sz="6" w:space="0" w:color="auto"/>
              <w:right w:val="single" w:sz="6" w:space="0" w:color="auto"/>
            </w:tcBorders>
          </w:tcPr>
          <w:p w:rsidR="00AF2508" w:rsidRDefault="00AF2508">
            <w:pPr>
              <w:pStyle w:val="TableText"/>
              <w:rPr>
                <w:sz w:val="16"/>
              </w:rPr>
            </w:pPr>
            <w:r>
              <w:rPr>
                <w:sz w:val="16"/>
              </w:rPr>
              <w:t>.417</w:t>
            </w:r>
          </w:p>
        </w:tc>
        <w:tc>
          <w:tcPr>
            <w:tcW w:w="600" w:type="dxa"/>
            <w:tcBorders>
              <w:left w:val="single" w:sz="6" w:space="0" w:color="auto"/>
              <w:right w:val="single" w:sz="6" w:space="0" w:color="auto"/>
            </w:tcBorders>
          </w:tcPr>
          <w:p w:rsidR="00AF2508" w:rsidRDefault="00AF2508">
            <w:pPr>
              <w:pStyle w:val="TableText"/>
              <w:rPr>
                <w:sz w:val="16"/>
              </w:rPr>
            </w:pPr>
            <w:r>
              <w:rPr>
                <w:sz w:val="16"/>
              </w:rPr>
              <w:t>.461</w:t>
            </w:r>
          </w:p>
        </w:tc>
        <w:tc>
          <w:tcPr>
            <w:tcW w:w="600" w:type="dxa"/>
            <w:tcBorders>
              <w:left w:val="single" w:sz="6" w:space="0" w:color="auto"/>
              <w:right w:val="single" w:sz="6" w:space="0" w:color="auto"/>
            </w:tcBorders>
          </w:tcPr>
          <w:p w:rsidR="00AF2508" w:rsidRDefault="00AF2508">
            <w:pPr>
              <w:pStyle w:val="TableText"/>
              <w:rPr>
                <w:sz w:val="16"/>
              </w:rPr>
            </w:pPr>
            <w:r>
              <w:rPr>
                <w:sz w:val="16"/>
              </w:rPr>
              <w:t>.443</w:t>
            </w:r>
          </w:p>
        </w:tc>
        <w:tc>
          <w:tcPr>
            <w:tcW w:w="600" w:type="dxa"/>
            <w:tcBorders>
              <w:left w:val="single" w:sz="6" w:space="0" w:color="auto"/>
              <w:right w:val="single" w:sz="6" w:space="0" w:color="auto"/>
            </w:tcBorders>
          </w:tcPr>
          <w:p w:rsidR="00AF2508" w:rsidRDefault="00AF2508">
            <w:pPr>
              <w:pStyle w:val="TableText"/>
              <w:rPr>
                <w:sz w:val="16"/>
              </w:rPr>
            </w:pPr>
            <w:r>
              <w:rPr>
                <w:sz w:val="16"/>
              </w:rPr>
              <w:t>.444</w:t>
            </w:r>
          </w:p>
        </w:tc>
        <w:tc>
          <w:tcPr>
            <w:tcW w:w="600" w:type="dxa"/>
            <w:tcBorders>
              <w:left w:val="single" w:sz="6" w:space="0" w:color="auto"/>
              <w:right w:val="single" w:sz="6" w:space="0" w:color="auto"/>
            </w:tcBorders>
          </w:tcPr>
          <w:p w:rsidR="00AF2508" w:rsidRDefault="00AF2508">
            <w:pPr>
              <w:pStyle w:val="TableText"/>
              <w:rPr>
                <w:sz w:val="16"/>
              </w:rPr>
            </w:pPr>
            <w:r>
              <w:rPr>
                <w:sz w:val="16"/>
              </w:rPr>
              <w:t>.427</w:t>
            </w:r>
          </w:p>
        </w:tc>
        <w:tc>
          <w:tcPr>
            <w:tcW w:w="600" w:type="dxa"/>
            <w:tcBorders>
              <w:left w:val="single" w:sz="6" w:space="0" w:color="auto"/>
              <w:right w:val="single" w:sz="6" w:space="0" w:color="auto"/>
            </w:tcBorders>
          </w:tcPr>
          <w:p w:rsidR="00AF2508" w:rsidRDefault="00AF2508">
            <w:pPr>
              <w:pStyle w:val="TableText"/>
              <w:rPr>
                <w:sz w:val="16"/>
              </w:rPr>
            </w:pPr>
            <w:r>
              <w:rPr>
                <w:sz w:val="16"/>
              </w:rPr>
              <w:t>.421</w:t>
            </w:r>
          </w:p>
        </w:tc>
        <w:tc>
          <w:tcPr>
            <w:tcW w:w="600" w:type="dxa"/>
            <w:tcBorders>
              <w:left w:val="single" w:sz="6" w:space="0" w:color="auto"/>
              <w:right w:val="single" w:sz="6" w:space="0" w:color="auto"/>
            </w:tcBorders>
          </w:tcPr>
          <w:p w:rsidR="00AF2508" w:rsidRDefault="00AF2508">
            <w:pPr>
              <w:pStyle w:val="TableText"/>
              <w:rPr>
                <w:sz w:val="16"/>
              </w:rPr>
            </w:pPr>
            <w:r>
              <w:rPr>
                <w:sz w:val="16"/>
              </w:rPr>
              <w:t>.409</w:t>
            </w:r>
          </w:p>
        </w:tc>
        <w:tc>
          <w:tcPr>
            <w:tcW w:w="600" w:type="dxa"/>
          </w:tcPr>
          <w:p w:rsidR="00AF2508" w:rsidRDefault="00AF2508">
            <w:pPr>
              <w:pStyle w:val="TableText"/>
              <w:rPr>
                <w:sz w:val="16"/>
              </w:rPr>
            </w:pPr>
            <w:r>
              <w:rPr>
                <w:sz w:val="16"/>
              </w:rPr>
              <w:t>.396</w:t>
            </w:r>
          </w:p>
        </w:tc>
      </w:tr>
      <w:tr w:rsidR="00AF2508">
        <w:trPr>
          <w:cantSplit/>
        </w:trPr>
        <w:tc>
          <w:tcPr>
            <w:tcW w:w="560" w:type="dxa"/>
          </w:tcPr>
          <w:p w:rsidR="00AF2508" w:rsidRDefault="00AF2508">
            <w:pPr>
              <w:pStyle w:val="TableText"/>
              <w:rPr>
                <w:sz w:val="16"/>
              </w:rPr>
            </w:pPr>
            <w:r>
              <w:rPr>
                <w:sz w:val="16"/>
              </w:rPr>
              <w:t>29</w:t>
            </w:r>
          </w:p>
        </w:tc>
        <w:tc>
          <w:tcPr>
            <w:tcW w:w="800" w:type="dxa"/>
            <w:tcBorders>
              <w:left w:val="single" w:sz="6" w:space="0" w:color="auto"/>
              <w:right w:val="single" w:sz="6" w:space="0" w:color="auto"/>
            </w:tcBorders>
          </w:tcPr>
          <w:p w:rsidR="00AF2508" w:rsidRDefault="00AF2508">
            <w:pPr>
              <w:pStyle w:val="TableText"/>
              <w:rPr>
                <w:sz w:val="16"/>
              </w:rPr>
            </w:pPr>
            <w:r>
              <w:rPr>
                <w:sz w:val="16"/>
              </w:rPr>
              <w:t>.316</w:t>
            </w:r>
          </w:p>
        </w:tc>
        <w:tc>
          <w:tcPr>
            <w:tcW w:w="700" w:type="dxa"/>
            <w:tcBorders>
              <w:left w:val="single" w:sz="6" w:space="0" w:color="auto"/>
              <w:right w:val="single" w:sz="6" w:space="0" w:color="auto"/>
            </w:tcBorders>
          </w:tcPr>
          <w:p w:rsidR="00AF2508" w:rsidRDefault="00AF2508">
            <w:pPr>
              <w:pStyle w:val="TableText"/>
              <w:rPr>
                <w:sz w:val="16"/>
              </w:rPr>
            </w:pPr>
            <w:r>
              <w:rPr>
                <w:sz w:val="16"/>
              </w:rPr>
              <w:t>.355</w:t>
            </w:r>
          </w:p>
        </w:tc>
        <w:tc>
          <w:tcPr>
            <w:tcW w:w="720" w:type="dxa"/>
            <w:tcBorders>
              <w:left w:val="single" w:sz="6" w:space="0" w:color="auto"/>
              <w:right w:val="single" w:sz="6" w:space="0" w:color="auto"/>
            </w:tcBorders>
          </w:tcPr>
          <w:p w:rsidR="00AF2508" w:rsidRDefault="00AF2508">
            <w:pPr>
              <w:pStyle w:val="TableText"/>
              <w:rPr>
                <w:sz w:val="16"/>
              </w:rPr>
            </w:pPr>
            <w:r>
              <w:rPr>
                <w:sz w:val="16"/>
              </w:rPr>
              <w:t>.434</w:t>
            </w:r>
          </w:p>
        </w:tc>
        <w:tc>
          <w:tcPr>
            <w:tcW w:w="540" w:type="dxa"/>
            <w:tcBorders>
              <w:left w:val="single" w:sz="6" w:space="0" w:color="auto"/>
              <w:right w:val="single" w:sz="6" w:space="0" w:color="auto"/>
            </w:tcBorders>
          </w:tcPr>
          <w:p w:rsidR="00AF2508" w:rsidRDefault="00AF2508">
            <w:pPr>
              <w:pStyle w:val="TableText"/>
              <w:rPr>
                <w:sz w:val="16"/>
              </w:rPr>
            </w:pPr>
            <w:r>
              <w:rPr>
                <w:sz w:val="16"/>
              </w:rPr>
              <w:t>.421</w:t>
            </w:r>
          </w:p>
        </w:tc>
        <w:tc>
          <w:tcPr>
            <w:tcW w:w="600" w:type="dxa"/>
            <w:tcBorders>
              <w:left w:val="single" w:sz="6" w:space="0" w:color="auto"/>
              <w:right w:val="single" w:sz="6" w:space="0" w:color="auto"/>
            </w:tcBorders>
          </w:tcPr>
          <w:p w:rsidR="00AF2508" w:rsidRDefault="00AF2508">
            <w:pPr>
              <w:pStyle w:val="TableText"/>
              <w:rPr>
                <w:sz w:val="16"/>
              </w:rPr>
            </w:pPr>
            <w:r>
              <w:rPr>
                <w:sz w:val="16"/>
              </w:rPr>
              <w:t>.465</w:t>
            </w:r>
          </w:p>
        </w:tc>
        <w:tc>
          <w:tcPr>
            <w:tcW w:w="600" w:type="dxa"/>
            <w:tcBorders>
              <w:left w:val="single" w:sz="6" w:space="0" w:color="auto"/>
              <w:right w:val="single" w:sz="6" w:space="0" w:color="auto"/>
            </w:tcBorders>
          </w:tcPr>
          <w:p w:rsidR="00AF2508" w:rsidRDefault="00AF2508">
            <w:pPr>
              <w:pStyle w:val="TableText"/>
              <w:rPr>
                <w:sz w:val="16"/>
              </w:rPr>
            </w:pPr>
            <w:r>
              <w:rPr>
                <w:sz w:val="16"/>
              </w:rPr>
              <w:t>.446</w:t>
            </w:r>
          </w:p>
        </w:tc>
        <w:tc>
          <w:tcPr>
            <w:tcW w:w="600" w:type="dxa"/>
            <w:tcBorders>
              <w:left w:val="single" w:sz="6" w:space="0" w:color="auto"/>
              <w:right w:val="single" w:sz="6" w:space="0" w:color="auto"/>
            </w:tcBorders>
          </w:tcPr>
          <w:p w:rsidR="00AF2508" w:rsidRDefault="00AF2508">
            <w:pPr>
              <w:pStyle w:val="TableText"/>
              <w:rPr>
                <w:sz w:val="16"/>
              </w:rPr>
            </w:pPr>
            <w:r>
              <w:rPr>
                <w:sz w:val="16"/>
              </w:rPr>
              <w:t>.448</w:t>
            </w:r>
          </w:p>
        </w:tc>
        <w:tc>
          <w:tcPr>
            <w:tcW w:w="600" w:type="dxa"/>
            <w:tcBorders>
              <w:left w:val="single" w:sz="6" w:space="0" w:color="auto"/>
              <w:right w:val="single" w:sz="6" w:space="0" w:color="auto"/>
            </w:tcBorders>
          </w:tcPr>
          <w:p w:rsidR="00AF2508" w:rsidRDefault="00AF2508">
            <w:pPr>
              <w:pStyle w:val="TableText"/>
              <w:rPr>
                <w:sz w:val="16"/>
              </w:rPr>
            </w:pPr>
            <w:r>
              <w:rPr>
                <w:sz w:val="16"/>
              </w:rPr>
              <w:t>.430</w:t>
            </w:r>
          </w:p>
        </w:tc>
        <w:tc>
          <w:tcPr>
            <w:tcW w:w="600" w:type="dxa"/>
            <w:tcBorders>
              <w:left w:val="single" w:sz="6" w:space="0" w:color="auto"/>
              <w:right w:val="single" w:sz="6" w:space="0" w:color="auto"/>
            </w:tcBorders>
          </w:tcPr>
          <w:p w:rsidR="00AF2508" w:rsidRDefault="00AF2508">
            <w:pPr>
              <w:pStyle w:val="TableText"/>
              <w:rPr>
                <w:sz w:val="16"/>
              </w:rPr>
            </w:pPr>
            <w:r>
              <w:rPr>
                <w:sz w:val="16"/>
              </w:rPr>
              <w:t>.424</w:t>
            </w:r>
          </w:p>
        </w:tc>
        <w:tc>
          <w:tcPr>
            <w:tcW w:w="600" w:type="dxa"/>
            <w:tcBorders>
              <w:left w:val="single" w:sz="6" w:space="0" w:color="auto"/>
              <w:right w:val="single" w:sz="6" w:space="0" w:color="auto"/>
            </w:tcBorders>
          </w:tcPr>
          <w:p w:rsidR="00AF2508" w:rsidRDefault="00AF2508">
            <w:pPr>
              <w:pStyle w:val="TableText"/>
              <w:rPr>
                <w:sz w:val="16"/>
              </w:rPr>
            </w:pPr>
            <w:r>
              <w:rPr>
                <w:sz w:val="16"/>
              </w:rPr>
              <w:t>.412</w:t>
            </w:r>
          </w:p>
        </w:tc>
        <w:tc>
          <w:tcPr>
            <w:tcW w:w="600" w:type="dxa"/>
          </w:tcPr>
          <w:p w:rsidR="00AF2508" w:rsidRDefault="00AF2508">
            <w:pPr>
              <w:pStyle w:val="TableText"/>
              <w:rPr>
                <w:sz w:val="16"/>
              </w:rPr>
            </w:pPr>
            <w:r>
              <w:rPr>
                <w:sz w:val="16"/>
              </w:rPr>
              <w:t>.399</w:t>
            </w:r>
          </w:p>
        </w:tc>
      </w:tr>
      <w:tr w:rsidR="00AF2508">
        <w:trPr>
          <w:cantSplit/>
        </w:trPr>
        <w:tc>
          <w:tcPr>
            <w:tcW w:w="560" w:type="dxa"/>
          </w:tcPr>
          <w:p w:rsidR="00AF2508" w:rsidRDefault="00AF2508">
            <w:pPr>
              <w:pStyle w:val="TableText"/>
              <w:rPr>
                <w:sz w:val="16"/>
              </w:rPr>
            </w:pPr>
            <w:r>
              <w:rPr>
                <w:sz w:val="16"/>
              </w:rPr>
              <w:t>30</w:t>
            </w:r>
          </w:p>
        </w:tc>
        <w:tc>
          <w:tcPr>
            <w:tcW w:w="800" w:type="dxa"/>
            <w:tcBorders>
              <w:left w:val="single" w:sz="6" w:space="0" w:color="auto"/>
              <w:right w:val="single" w:sz="6" w:space="0" w:color="auto"/>
            </w:tcBorders>
          </w:tcPr>
          <w:p w:rsidR="00AF2508" w:rsidRDefault="00AF2508">
            <w:pPr>
              <w:pStyle w:val="TableText"/>
              <w:rPr>
                <w:sz w:val="16"/>
              </w:rPr>
            </w:pPr>
            <w:r>
              <w:rPr>
                <w:sz w:val="16"/>
              </w:rPr>
              <w:t>.318</w:t>
            </w:r>
          </w:p>
        </w:tc>
        <w:tc>
          <w:tcPr>
            <w:tcW w:w="700" w:type="dxa"/>
            <w:tcBorders>
              <w:left w:val="single" w:sz="6" w:space="0" w:color="auto"/>
              <w:right w:val="single" w:sz="6" w:space="0" w:color="auto"/>
            </w:tcBorders>
          </w:tcPr>
          <w:p w:rsidR="00AF2508" w:rsidRDefault="00AF2508">
            <w:pPr>
              <w:pStyle w:val="TableText"/>
              <w:rPr>
                <w:sz w:val="16"/>
              </w:rPr>
            </w:pPr>
            <w:r>
              <w:rPr>
                <w:sz w:val="16"/>
              </w:rPr>
              <w:t>.358</w:t>
            </w:r>
          </w:p>
        </w:tc>
        <w:tc>
          <w:tcPr>
            <w:tcW w:w="720" w:type="dxa"/>
            <w:tcBorders>
              <w:left w:val="single" w:sz="6" w:space="0" w:color="auto"/>
              <w:right w:val="single" w:sz="6" w:space="0" w:color="auto"/>
            </w:tcBorders>
          </w:tcPr>
          <w:p w:rsidR="00AF2508" w:rsidRDefault="00AF2508">
            <w:pPr>
              <w:pStyle w:val="TableText"/>
              <w:rPr>
                <w:sz w:val="16"/>
              </w:rPr>
            </w:pPr>
            <w:r>
              <w:rPr>
                <w:sz w:val="16"/>
              </w:rPr>
              <w:t>.437</w:t>
            </w:r>
          </w:p>
        </w:tc>
        <w:tc>
          <w:tcPr>
            <w:tcW w:w="540" w:type="dxa"/>
            <w:tcBorders>
              <w:left w:val="single" w:sz="6" w:space="0" w:color="auto"/>
              <w:right w:val="single" w:sz="6" w:space="0" w:color="auto"/>
            </w:tcBorders>
          </w:tcPr>
          <w:p w:rsidR="00AF2508" w:rsidRDefault="00AF2508">
            <w:pPr>
              <w:pStyle w:val="TableText"/>
              <w:rPr>
                <w:sz w:val="16"/>
              </w:rPr>
            </w:pPr>
            <w:r>
              <w:rPr>
                <w:sz w:val="16"/>
              </w:rPr>
              <w:t>.425</w:t>
            </w:r>
          </w:p>
        </w:tc>
        <w:tc>
          <w:tcPr>
            <w:tcW w:w="600" w:type="dxa"/>
            <w:tcBorders>
              <w:left w:val="single" w:sz="6" w:space="0" w:color="auto"/>
              <w:right w:val="single" w:sz="6" w:space="0" w:color="auto"/>
            </w:tcBorders>
          </w:tcPr>
          <w:p w:rsidR="00AF2508" w:rsidRDefault="00AF2508">
            <w:pPr>
              <w:pStyle w:val="TableText"/>
              <w:rPr>
                <w:sz w:val="16"/>
              </w:rPr>
            </w:pPr>
            <w:r>
              <w:rPr>
                <w:sz w:val="16"/>
              </w:rPr>
              <w:t>.468</w:t>
            </w:r>
          </w:p>
        </w:tc>
        <w:tc>
          <w:tcPr>
            <w:tcW w:w="600" w:type="dxa"/>
            <w:tcBorders>
              <w:left w:val="single" w:sz="6" w:space="0" w:color="auto"/>
              <w:right w:val="single" w:sz="6" w:space="0" w:color="auto"/>
            </w:tcBorders>
          </w:tcPr>
          <w:p w:rsidR="00AF2508" w:rsidRDefault="00AF2508">
            <w:pPr>
              <w:pStyle w:val="TableText"/>
              <w:rPr>
                <w:sz w:val="16"/>
              </w:rPr>
            </w:pPr>
            <w:r>
              <w:rPr>
                <w:sz w:val="16"/>
              </w:rPr>
              <w:t>.449</w:t>
            </w:r>
          </w:p>
        </w:tc>
        <w:tc>
          <w:tcPr>
            <w:tcW w:w="600" w:type="dxa"/>
            <w:tcBorders>
              <w:left w:val="single" w:sz="6" w:space="0" w:color="auto"/>
              <w:right w:val="single" w:sz="6" w:space="0" w:color="auto"/>
            </w:tcBorders>
          </w:tcPr>
          <w:p w:rsidR="00AF2508" w:rsidRDefault="00AF2508">
            <w:pPr>
              <w:pStyle w:val="TableText"/>
              <w:rPr>
                <w:sz w:val="16"/>
              </w:rPr>
            </w:pPr>
            <w:r>
              <w:rPr>
                <w:sz w:val="16"/>
              </w:rPr>
              <w:t>.452</w:t>
            </w:r>
          </w:p>
        </w:tc>
        <w:tc>
          <w:tcPr>
            <w:tcW w:w="600" w:type="dxa"/>
            <w:tcBorders>
              <w:left w:val="single" w:sz="6" w:space="0" w:color="auto"/>
              <w:right w:val="single" w:sz="6" w:space="0" w:color="auto"/>
            </w:tcBorders>
          </w:tcPr>
          <w:p w:rsidR="00AF2508" w:rsidRDefault="00AF2508">
            <w:pPr>
              <w:pStyle w:val="TableText"/>
              <w:rPr>
                <w:sz w:val="16"/>
              </w:rPr>
            </w:pPr>
            <w:r>
              <w:rPr>
                <w:sz w:val="16"/>
              </w:rPr>
              <w:t>.433</w:t>
            </w:r>
          </w:p>
        </w:tc>
        <w:tc>
          <w:tcPr>
            <w:tcW w:w="600" w:type="dxa"/>
            <w:tcBorders>
              <w:left w:val="single" w:sz="6" w:space="0" w:color="auto"/>
              <w:right w:val="single" w:sz="6" w:space="0" w:color="auto"/>
            </w:tcBorders>
          </w:tcPr>
          <w:p w:rsidR="00AF2508" w:rsidRDefault="00AF2508">
            <w:pPr>
              <w:pStyle w:val="TableText"/>
              <w:rPr>
                <w:sz w:val="16"/>
              </w:rPr>
            </w:pPr>
            <w:r>
              <w:rPr>
                <w:sz w:val="16"/>
              </w:rPr>
              <w:t>.427</w:t>
            </w:r>
          </w:p>
        </w:tc>
        <w:tc>
          <w:tcPr>
            <w:tcW w:w="600" w:type="dxa"/>
            <w:tcBorders>
              <w:left w:val="single" w:sz="6" w:space="0" w:color="auto"/>
              <w:right w:val="single" w:sz="6" w:space="0" w:color="auto"/>
            </w:tcBorders>
          </w:tcPr>
          <w:p w:rsidR="00AF2508" w:rsidRDefault="00AF2508">
            <w:pPr>
              <w:pStyle w:val="TableText"/>
              <w:rPr>
                <w:sz w:val="16"/>
              </w:rPr>
            </w:pPr>
            <w:r>
              <w:rPr>
                <w:sz w:val="16"/>
              </w:rPr>
              <w:t>.415</w:t>
            </w:r>
          </w:p>
        </w:tc>
        <w:tc>
          <w:tcPr>
            <w:tcW w:w="600" w:type="dxa"/>
          </w:tcPr>
          <w:p w:rsidR="00AF2508" w:rsidRDefault="00AF2508">
            <w:pPr>
              <w:pStyle w:val="TableText"/>
              <w:rPr>
                <w:sz w:val="16"/>
              </w:rPr>
            </w:pPr>
            <w:r>
              <w:rPr>
                <w:sz w:val="16"/>
              </w:rPr>
              <w:t>.402</w:t>
            </w:r>
          </w:p>
        </w:tc>
      </w:tr>
      <w:tr w:rsidR="00AF2508">
        <w:trPr>
          <w:cantSplit/>
        </w:trPr>
        <w:tc>
          <w:tcPr>
            <w:tcW w:w="560" w:type="dxa"/>
            <w:tcBorders>
              <w:top w:val="single" w:sz="6" w:space="0" w:color="auto"/>
            </w:tcBorders>
          </w:tcPr>
          <w:p w:rsidR="00AF2508" w:rsidRDefault="00AF2508">
            <w:pPr>
              <w:pStyle w:val="TableText"/>
              <w:rPr>
                <w:sz w:val="16"/>
              </w:rPr>
            </w:pPr>
            <w:r>
              <w:rPr>
                <w:sz w:val="16"/>
              </w:rPr>
              <w:t>32</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.322</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.364</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.443</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.430</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.471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.458</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.440</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.431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.419</w:t>
            </w:r>
          </w:p>
        </w:tc>
        <w:tc>
          <w:tcPr>
            <w:tcW w:w="600" w:type="dxa"/>
            <w:tcBorders>
              <w:top w:val="single" w:sz="6" w:space="0" w:color="auto"/>
            </w:tcBorders>
          </w:tcPr>
          <w:p w:rsidR="00AF2508" w:rsidRDefault="00AF2508">
            <w:pPr>
              <w:pStyle w:val="TableText"/>
              <w:rPr>
                <w:sz w:val="16"/>
              </w:rPr>
            </w:pPr>
            <w:r>
              <w:rPr>
                <w:sz w:val="16"/>
              </w:rPr>
              <w:t>.408</w:t>
            </w:r>
          </w:p>
        </w:tc>
      </w:tr>
      <w:tr w:rsidR="00AF2508">
        <w:trPr>
          <w:cantSplit/>
        </w:trPr>
        <w:tc>
          <w:tcPr>
            <w:tcW w:w="560" w:type="dxa"/>
          </w:tcPr>
          <w:p w:rsidR="00AF2508" w:rsidRDefault="00AF2508">
            <w:pPr>
              <w:pStyle w:val="TableText"/>
              <w:rPr>
                <w:sz w:val="16"/>
              </w:rPr>
            </w:pPr>
            <w:r>
              <w:rPr>
                <w:sz w:val="16"/>
              </w:rPr>
              <w:t>33</w:t>
            </w:r>
          </w:p>
        </w:tc>
        <w:tc>
          <w:tcPr>
            <w:tcW w:w="800" w:type="dxa"/>
            <w:tcBorders>
              <w:left w:val="single" w:sz="6" w:space="0" w:color="auto"/>
              <w:right w:val="single" w:sz="6" w:space="0" w:color="auto"/>
            </w:tcBorders>
          </w:tcPr>
          <w:p w:rsidR="00AF2508" w:rsidRDefault="00AF2508">
            <w:pPr>
              <w:pStyle w:val="TableText"/>
              <w:rPr>
                <w:sz w:val="16"/>
              </w:rPr>
            </w:pPr>
            <w:r>
              <w:rPr>
                <w:sz w:val="16"/>
              </w:rPr>
              <w:t>.324</w:t>
            </w:r>
          </w:p>
        </w:tc>
        <w:tc>
          <w:tcPr>
            <w:tcW w:w="700" w:type="dxa"/>
            <w:tcBorders>
              <w:left w:val="single" w:sz="6" w:space="0" w:color="auto"/>
              <w:right w:val="single" w:sz="6" w:space="0" w:color="auto"/>
            </w:tcBorders>
          </w:tcPr>
          <w:p w:rsidR="00AF2508" w:rsidRDefault="00AF2508">
            <w:pPr>
              <w:pStyle w:val="TableText"/>
              <w:rPr>
                <w:sz w:val="16"/>
              </w:rPr>
            </w:pPr>
            <w:r>
              <w:rPr>
                <w:sz w:val="16"/>
              </w:rPr>
              <w:t>.367</w:t>
            </w:r>
          </w:p>
        </w:tc>
        <w:tc>
          <w:tcPr>
            <w:tcW w:w="720" w:type="dxa"/>
            <w:tcBorders>
              <w:left w:val="single" w:sz="6" w:space="0" w:color="auto"/>
              <w:right w:val="single" w:sz="6" w:space="0" w:color="auto"/>
            </w:tcBorders>
          </w:tcPr>
          <w:p w:rsidR="00AF2508" w:rsidRDefault="00AF2508">
            <w:pPr>
              <w:pStyle w:val="TableText"/>
              <w:rPr>
                <w:sz w:val="16"/>
              </w:rPr>
            </w:pPr>
            <w:r>
              <w:rPr>
                <w:sz w:val="16"/>
              </w:rPr>
              <w:t>.445</w:t>
            </w:r>
          </w:p>
        </w:tc>
        <w:tc>
          <w:tcPr>
            <w:tcW w:w="540" w:type="dxa"/>
            <w:tcBorders>
              <w:left w:val="single" w:sz="6" w:space="0" w:color="auto"/>
              <w:right w:val="single" w:sz="6" w:space="0" w:color="auto"/>
            </w:tcBorders>
          </w:tcPr>
          <w:p w:rsidR="00AF2508" w:rsidRDefault="00AF2508">
            <w:pPr>
              <w:pStyle w:val="TableText"/>
              <w:rPr>
                <w:sz w:val="16"/>
              </w:rPr>
            </w:pPr>
            <w:r>
              <w:rPr>
                <w:sz w:val="16"/>
              </w:rPr>
              <w:t>.432</w:t>
            </w:r>
          </w:p>
        </w:tc>
        <w:tc>
          <w:tcPr>
            <w:tcW w:w="600" w:type="dxa"/>
            <w:tcBorders>
              <w:left w:val="single" w:sz="6" w:space="0" w:color="auto"/>
              <w:right w:val="single" w:sz="6" w:space="0" w:color="auto"/>
            </w:tcBorders>
          </w:tcPr>
          <w:p w:rsidR="00AF2508" w:rsidRDefault="00AF2508">
            <w:pPr>
              <w:pStyle w:val="TableText"/>
              <w:rPr>
                <w:sz w:val="16"/>
              </w:rPr>
            </w:pPr>
            <w:r>
              <w:rPr>
                <w:sz w:val="16"/>
              </w:rPr>
              <w:t>.474</w:t>
            </w:r>
          </w:p>
        </w:tc>
        <w:tc>
          <w:tcPr>
            <w:tcW w:w="600" w:type="dxa"/>
            <w:tcBorders>
              <w:left w:val="single" w:sz="6" w:space="0" w:color="auto"/>
              <w:right w:val="single" w:sz="6" w:space="0" w:color="auto"/>
            </w:tcBorders>
          </w:tcPr>
          <w:p w:rsidR="00AF2508" w:rsidRDefault="00AF2508">
            <w:pPr>
              <w:pStyle w:val="TableText"/>
              <w:rPr>
                <w:sz w:val="16"/>
              </w:rPr>
            </w:pPr>
            <w:r>
              <w:rPr>
                <w:sz w:val="16"/>
              </w:rPr>
              <w:t>.458</w:t>
            </w:r>
          </w:p>
        </w:tc>
        <w:tc>
          <w:tcPr>
            <w:tcW w:w="600" w:type="dxa"/>
            <w:tcBorders>
              <w:left w:val="single" w:sz="6" w:space="0" w:color="auto"/>
              <w:right w:val="single" w:sz="6" w:space="0" w:color="auto"/>
            </w:tcBorders>
          </w:tcPr>
          <w:p w:rsidR="00AF2508" w:rsidRDefault="00AF2508">
            <w:pPr>
              <w:pStyle w:val="TableText"/>
              <w:rPr>
                <w:sz w:val="16"/>
              </w:rPr>
            </w:pPr>
            <w:r>
              <w:rPr>
                <w:sz w:val="16"/>
              </w:rPr>
              <w:t>.460</w:t>
            </w:r>
          </w:p>
        </w:tc>
        <w:tc>
          <w:tcPr>
            <w:tcW w:w="600" w:type="dxa"/>
            <w:tcBorders>
              <w:left w:val="single" w:sz="6" w:space="0" w:color="auto"/>
              <w:right w:val="single" w:sz="6" w:space="0" w:color="auto"/>
            </w:tcBorders>
          </w:tcPr>
          <w:p w:rsidR="00AF2508" w:rsidRDefault="00AF2508">
            <w:pPr>
              <w:pStyle w:val="TableText"/>
              <w:rPr>
                <w:sz w:val="16"/>
              </w:rPr>
            </w:pPr>
            <w:r>
              <w:rPr>
                <w:sz w:val="16"/>
              </w:rPr>
              <w:t>.443</w:t>
            </w:r>
          </w:p>
        </w:tc>
        <w:tc>
          <w:tcPr>
            <w:tcW w:w="600" w:type="dxa"/>
            <w:tcBorders>
              <w:left w:val="single" w:sz="6" w:space="0" w:color="auto"/>
              <w:right w:val="single" w:sz="6" w:space="0" w:color="auto"/>
            </w:tcBorders>
          </w:tcPr>
          <w:p w:rsidR="00AF2508" w:rsidRDefault="00AF2508">
            <w:pPr>
              <w:pStyle w:val="TableText"/>
              <w:rPr>
                <w:sz w:val="16"/>
              </w:rPr>
            </w:pPr>
            <w:r>
              <w:rPr>
                <w:sz w:val="16"/>
              </w:rPr>
              <w:t>.432</w:t>
            </w:r>
          </w:p>
        </w:tc>
        <w:tc>
          <w:tcPr>
            <w:tcW w:w="600" w:type="dxa"/>
            <w:tcBorders>
              <w:left w:val="single" w:sz="6" w:space="0" w:color="auto"/>
              <w:right w:val="single" w:sz="6" w:space="0" w:color="auto"/>
            </w:tcBorders>
          </w:tcPr>
          <w:p w:rsidR="00AF2508" w:rsidRDefault="00AF2508">
            <w:pPr>
              <w:pStyle w:val="TableText"/>
              <w:rPr>
                <w:sz w:val="16"/>
              </w:rPr>
            </w:pPr>
            <w:r>
              <w:rPr>
                <w:sz w:val="16"/>
              </w:rPr>
              <w:t>.422</w:t>
            </w:r>
          </w:p>
        </w:tc>
        <w:tc>
          <w:tcPr>
            <w:tcW w:w="600" w:type="dxa"/>
          </w:tcPr>
          <w:p w:rsidR="00AF2508" w:rsidRDefault="00AF2508">
            <w:pPr>
              <w:pStyle w:val="TableText"/>
              <w:rPr>
                <w:sz w:val="16"/>
              </w:rPr>
            </w:pPr>
            <w:r>
              <w:rPr>
                <w:sz w:val="16"/>
              </w:rPr>
              <w:t>.411</w:t>
            </w:r>
          </w:p>
        </w:tc>
      </w:tr>
      <w:tr w:rsidR="00AF2508">
        <w:trPr>
          <w:cantSplit/>
        </w:trPr>
        <w:tc>
          <w:tcPr>
            <w:tcW w:w="560" w:type="dxa"/>
            <w:tcBorders>
              <w:bottom w:val="single" w:sz="6" w:space="0" w:color="auto"/>
            </w:tcBorders>
          </w:tcPr>
          <w:p w:rsidR="00AF2508" w:rsidRDefault="00AF2508">
            <w:pPr>
              <w:pStyle w:val="TableText"/>
              <w:rPr>
                <w:sz w:val="16"/>
              </w:rPr>
            </w:pPr>
            <w:r>
              <w:rPr>
                <w:sz w:val="16"/>
              </w:rPr>
              <w:t>35</w:t>
            </w:r>
          </w:p>
        </w:tc>
        <w:tc>
          <w:tcPr>
            <w:tcW w:w="8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.327</w:t>
            </w:r>
          </w:p>
        </w:tc>
        <w:tc>
          <w:tcPr>
            <w:tcW w:w="7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.373</w:t>
            </w:r>
          </w:p>
        </w:tc>
        <w:tc>
          <w:tcPr>
            <w:tcW w:w="72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.449</w:t>
            </w:r>
          </w:p>
        </w:tc>
        <w:tc>
          <w:tcPr>
            <w:tcW w:w="54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.436</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.480</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.463</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.465</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.449</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.438</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.427</w:t>
            </w:r>
          </w:p>
        </w:tc>
        <w:tc>
          <w:tcPr>
            <w:tcW w:w="600" w:type="dxa"/>
            <w:tcBorders>
              <w:bottom w:val="single" w:sz="6" w:space="0" w:color="auto"/>
            </w:tcBorders>
          </w:tcPr>
          <w:p w:rsidR="00AF2508" w:rsidRDefault="00AF2508">
            <w:pPr>
              <w:pStyle w:val="TableText"/>
              <w:rPr>
                <w:sz w:val="16"/>
              </w:rPr>
            </w:pPr>
            <w:r>
              <w:rPr>
                <w:sz w:val="16"/>
              </w:rPr>
              <w:t>.415</w:t>
            </w:r>
          </w:p>
        </w:tc>
      </w:tr>
      <w:tr w:rsidR="00AF2508">
        <w:trPr>
          <w:cantSplit/>
        </w:trPr>
        <w:tc>
          <w:tcPr>
            <w:tcW w:w="560" w:type="dxa"/>
          </w:tcPr>
          <w:p w:rsidR="00AF2508" w:rsidRDefault="00AF2508">
            <w:pPr>
              <w:pStyle w:val="TableText"/>
              <w:rPr>
                <w:sz w:val="16"/>
              </w:rPr>
            </w:pPr>
            <w:r>
              <w:rPr>
                <w:sz w:val="16"/>
              </w:rPr>
              <w:t>37</w:t>
            </w:r>
          </w:p>
        </w:tc>
        <w:tc>
          <w:tcPr>
            <w:tcW w:w="800" w:type="dxa"/>
            <w:tcBorders>
              <w:left w:val="single" w:sz="6" w:space="0" w:color="auto"/>
              <w:right w:val="single" w:sz="6" w:space="0" w:color="auto"/>
            </w:tcBorders>
          </w:tcPr>
          <w:p w:rsidR="00AF2508" w:rsidRDefault="00AF2508">
            <w:pPr>
              <w:pStyle w:val="TableText"/>
              <w:rPr>
                <w:sz w:val="16"/>
              </w:rPr>
            </w:pPr>
            <w:r>
              <w:rPr>
                <w:sz w:val="16"/>
              </w:rPr>
              <w:t>.330</w:t>
            </w:r>
          </w:p>
        </w:tc>
        <w:tc>
          <w:tcPr>
            <w:tcW w:w="700" w:type="dxa"/>
            <w:tcBorders>
              <w:left w:val="single" w:sz="6" w:space="0" w:color="auto"/>
              <w:right w:val="single" w:sz="6" w:space="0" w:color="auto"/>
            </w:tcBorders>
          </w:tcPr>
          <w:p w:rsidR="00AF2508" w:rsidRDefault="00AF2508">
            <w:pPr>
              <w:pStyle w:val="TableText"/>
              <w:rPr>
                <w:sz w:val="16"/>
              </w:rPr>
            </w:pPr>
            <w:r>
              <w:rPr>
                <w:sz w:val="16"/>
              </w:rPr>
              <w:t>.380</w:t>
            </w:r>
          </w:p>
        </w:tc>
        <w:tc>
          <w:tcPr>
            <w:tcW w:w="720" w:type="dxa"/>
            <w:tcBorders>
              <w:left w:val="single" w:sz="6" w:space="0" w:color="auto"/>
              <w:right w:val="single" w:sz="6" w:space="0" w:color="auto"/>
            </w:tcBorders>
          </w:tcPr>
          <w:p w:rsidR="00AF2508" w:rsidRDefault="00AF2508">
            <w:pPr>
              <w:pStyle w:val="TableText"/>
              <w:rPr>
                <w:sz w:val="16"/>
              </w:rPr>
            </w:pPr>
            <w:r>
              <w:rPr>
                <w:sz w:val="16"/>
              </w:rPr>
              <w:t>.454</w:t>
            </w:r>
          </w:p>
        </w:tc>
        <w:tc>
          <w:tcPr>
            <w:tcW w:w="540" w:type="dxa"/>
            <w:tcBorders>
              <w:left w:val="single" w:sz="6" w:space="0" w:color="auto"/>
              <w:right w:val="single" w:sz="6" w:space="0" w:color="auto"/>
            </w:tcBorders>
          </w:tcPr>
          <w:p w:rsidR="00AF2508" w:rsidRDefault="00AF2508">
            <w:pPr>
              <w:pStyle w:val="TableText"/>
              <w:rPr>
                <w:sz w:val="16"/>
              </w:rPr>
            </w:pPr>
            <w:r>
              <w:rPr>
                <w:sz w:val="16"/>
              </w:rPr>
              <w:t>.440</w:t>
            </w:r>
          </w:p>
        </w:tc>
        <w:tc>
          <w:tcPr>
            <w:tcW w:w="600" w:type="dxa"/>
            <w:tcBorders>
              <w:left w:val="single" w:sz="6" w:space="0" w:color="auto"/>
              <w:right w:val="single" w:sz="6" w:space="0" w:color="auto"/>
            </w:tcBorders>
          </w:tcPr>
          <w:p w:rsidR="00AF2508" w:rsidRDefault="00AF2508">
            <w:pPr>
              <w:pStyle w:val="TableText"/>
              <w:rPr>
                <w:sz w:val="16"/>
              </w:rPr>
            </w:pPr>
            <w:r>
              <w:rPr>
                <w:sz w:val="16"/>
              </w:rPr>
              <w:t>.484</w:t>
            </w:r>
          </w:p>
        </w:tc>
        <w:tc>
          <w:tcPr>
            <w:tcW w:w="600" w:type="dxa"/>
            <w:tcBorders>
              <w:left w:val="single" w:sz="6" w:space="0" w:color="auto"/>
              <w:right w:val="single" w:sz="6" w:space="0" w:color="auto"/>
            </w:tcBorders>
          </w:tcPr>
          <w:p w:rsidR="00AF2508" w:rsidRDefault="00AF2508">
            <w:pPr>
              <w:pStyle w:val="TableText"/>
              <w:rPr>
                <w:sz w:val="16"/>
              </w:rPr>
            </w:pPr>
            <w:r>
              <w:rPr>
                <w:sz w:val="16"/>
              </w:rPr>
              <w:t>.468</w:t>
            </w:r>
          </w:p>
        </w:tc>
        <w:tc>
          <w:tcPr>
            <w:tcW w:w="600" w:type="dxa"/>
            <w:tcBorders>
              <w:left w:val="single" w:sz="6" w:space="0" w:color="auto"/>
              <w:right w:val="single" w:sz="6" w:space="0" w:color="auto"/>
            </w:tcBorders>
          </w:tcPr>
          <w:p w:rsidR="00AF2508" w:rsidRDefault="00AF2508">
            <w:pPr>
              <w:pStyle w:val="TableText"/>
              <w:rPr>
                <w:sz w:val="16"/>
              </w:rPr>
            </w:pPr>
            <w:r>
              <w:rPr>
                <w:sz w:val="16"/>
              </w:rPr>
              <w:t>.468</w:t>
            </w:r>
          </w:p>
        </w:tc>
        <w:tc>
          <w:tcPr>
            <w:tcW w:w="600" w:type="dxa"/>
            <w:tcBorders>
              <w:left w:val="single" w:sz="6" w:space="0" w:color="auto"/>
              <w:right w:val="single" w:sz="6" w:space="0" w:color="auto"/>
            </w:tcBorders>
          </w:tcPr>
          <w:p w:rsidR="00AF2508" w:rsidRDefault="00AF2508">
            <w:pPr>
              <w:pStyle w:val="TableText"/>
              <w:rPr>
                <w:sz w:val="16"/>
              </w:rPr>
            </w:pPr>
            <w:r>
              <w:rPr>
                <w:sz w:val="16"/>
              </w:rPr>
              <w:t>.453</w:t>
            </w:r>
          </w:p>
        </w:tc>
        <w:tc>
          <w:tcPr>
            <w:tcW w:w="600" w:type="dxa"/>
            <w:tcBorders>
              <w:left w:val="single" w:sz="6" w:space="0" w:color="auto"/>
              <w:right w:val="single" w:sz="6" w:space="0" w:color="auto"/>
            </w:tcBorders>
          </w:tcPr>
          <w:p w:rsidR="00AF2508" w:rsidRDefault="00AF2508">
            <w:pPr>
              <w:pStyle w:val="TableText"/>
              <w:rPr>
                <w:sz w:val="16"/>
              </w:rPr>
            </w:pPr>
            <w:r>
              <w:rPr>
                <w:sz w:val="16"/>
              </w:rPr>
              <w:t>.442</w:t>
            </w:r>
          </w:p>
        </w:tc>
        <w:tc>
          <w:tcPr>
            <w:tcW w:w="600" w:type="dxa"/>
            <w:tcBorders>
              <w:left w:val="single" w:sz="6" w:space="0" w:color="auto"/>
              <w:right w:val="single" w:sz="6" w:space="0" w:color="auto"/>
            </w:tcBorders>
          </w:tcPr>
          <w:p w:rsidR="00AF2508" w:rsidRDefault="00AF2508">
            <w:pPr>
              <w:pStyle w:val="TableText"/>
              <w:rPr>
                <w:sz w:val="16"/>
              </w:rPr>
            </w:pPr>
            <w:r>
              <w:rPr>
                <w:sz w:val="16"/>
              </w:rPr>
              <w:t>.433</w:t>
            </w:r>
          </w:p>
        </w:tc>
        <w:tc>
          <w:tcPr>
            <w:tcW w:w="600" w:type="dxa"/>
          </w:tcPr>
          <w:p w:rsidR="00AF2508" w:rsidRDefault="00AF2508">
            <w:pPr>
              <w:pStyle w:val="TableText"/>
              <w:rPr>
                <w:sz w:val="16"/>
              </w:rPr>
            </w:pPr>
            <w:r>
              <w:rPr>
                <w:sz w:val="16"/>
              </w:rPr>
              <w:t>.419</w:t>
            </w:r>
          </w:p>
        </w:tc>
      </w:tr>
      <w:tr w:rsidR="00AF2508">
        <w:trPr>
          <w:cantSplit/>
        </w:trPr>
        <w:tc>
          <w:tcPr>
            <w:tcW w:w="560" w:type="dxa"/>
          </w:tcPr>
          <w:p w:rsidR="00AF2508" w:rsidRDefault="00AF2508">
            <w:pPr>
              <w:pStyle w:val="TableText"/>
              <w:rPr>
                <w:sz w:val="16"/>
              </w:rPr>
            </w:pPr>
            <w:r>
              <w:rPr>
                <w:sz w:val="16"/>
              </w:rPr>
              <w:t>39</w:t>
            </w:r>
          </w:p>
        </w:tc>
        <w:tc>
          <w:tcPr>
            <w:tcW w:w="800" w:type="dxa"/>
            <w:tcBorders>
              <w:left w:val="single" w:sz="6" w:space="0" w:color="auto"/>
              <w:right w:val="single" w:sz="6" w:space="0" w:color="auto"/>
            </w:tcBorders>
          </w:tcPr>
          <w:p w:rsidR="00AF2508" w:rsidRDefault="00AF2508">
            <w:pPr>
              <w:pStyle w:val="TableText"/>
              <w:rPr>
                <w:sz w:val="16"/>
              </w:rPr>
            </w:pPr>
            <w:r>
              <w:rPr>
                <w:sz w:val="16"/>
              </w:rPr>
              <w:t>.335</w:t>
            </w:r>
          </w:p>
        </w:tc>
        <w:tc>
          <w:tcPr>
            <w:tcW w:w="700" w:type="dxa"/>
            <w:tcBorders>
              <w:left w:val="single" w:sz="6" w:space="0" w:color="auto"/>
              <w:right w:val="single" w:sz="6" w:space="0" w:color="auto"/>
            </w:tcBorders>
          </w:tcPr>
          <w:p w:rsidR="00AF2508" w:rsidRDefault="00AF2508">
            <w:pPr>
              <w:pStyle w:val="TableText"/>
              <w:rPr>
                <w:sz w:val="16"/>
              </w:rPr>
            </w:pPr>
            <w:r>
              <w:rPr>
                <w:sz w:val="16"/>
              </w:rPr>
              <w:t>.386</w:t>
            </w:r>
          </w:p>
        </w:tc>
        <w:tc>
          <w:tcPr>
            <w:tcW w:w="720" w:type="dxa"/>
            <w:tcBorders>
              <w:left w:val="single" w:sz="6" w:space="0" w:color="auto"/>
              <w:right w:val="single" w:sz="6" w:space="0" w:color="auto"/>
            </w:tcBorders>
          </w:tcPr>
          <w:p w:rsidR="00AF2508" w:rsidRDefault="00AF2508">
            <w:pPr>
              <w:pStyle w:val="TableText"/>
              <w:rPr>
                <w:sz w:val="16"/>
              </w:rPr>
            </w:pPr>
            <w:r>
              <w:rPr>
                <w:sz w:val="16"/>
              </w:rPr>
              <w:t>.457</w:t>
            </w:r>
          </w:p>
        </w:tc>
        <w:tc>
          <w:tcPr>
            <w:tcW w:w="540" w:type="dxa"/>
            <w:tcBorders>
              <w:left w:val="single" w:sz="6" w:space="0" w:color="auto"/>
              <w:right w:val="single" w:sz="6" w:space="0" w:color="auto"/>
            </w:tcBorders>
          </w:tcPr>
          <w:p w:rsidR="00AF2508" w:rsidRDefault="00AF2508">
            <w:pPr>
              <w:pStyle w:val="TableText"/>
              <w:rPr>
                <w:sz w:val="16"/>
              </w:rPr>
            </w:pPr>
            <w:r>
              <w:rPr>
                <w:sz w:val="16"/>
              </w:rPr>
              <w:t>.443</w:t>
            </w:r>
          </w:p>
        </w:tc>
        <w:tc>
          <w:tcPr>
            <w:tcW w:w="600" w:type="dxa"/>
            <w:tcBorders>
              <w:left w:val="single" w:sz="6" w:space="0" w:color="auto"/>
              <w:right w:val="single" w:sz="6" w:space="0" w:color="auto"/>
            </w:tcBorders>
          </w:tcPr>
          <w:p w:rsidR="00AF2508" w:rsidRDefault="00AF2508">
            <w:pPr>
              <w:pStyle w:val="TableText"/>
              <w:rPr>
                <w:sz w:val="16"/>
              </w:rPr>
            </w:pPr>
            <w:r>
              <w:rPr>
                <w:sz w:val="16"/>
              </w:rPr>
              <w:t>.488</w:t>
            </w:r>
          </w:p>
        </w:tc>
        <w:tc>
          <w:tcPr>
            <w:tcW w:w="600" w:type="dxa"/>
            <w:tcBorders>
              <w:left w:val="single" w:sz="6" w:space="0" w:color="auto"/>
              <w:right w:val="single" w:sz="6" w:space="0" w:color="auto"/>
            </w:tcBorders>
          </w:tcPr>
          <w:p w:rsidR="00AF2508" w:rsidRDefault="00AF2508">
            <w:pPr>
              <w:pStyle w:val="TableText"/>
              <w:rPr>
                <w:sz w:val="16"/>
              </w:rPr>
            </w:pPr>
            <w:r>
              <w:rPr>
                <w:sz w:val="16"/>
              </w:rPr>
              <w:t>.471</w:t>
            </w:r>
          </w:p>
        </w:tc>
        <w:tc>
          <w:tcPr>
            <w:tcW w:w="600" w:type="dxa"/>
            <w:tcBorders>
              <w:left w:val="single" w:sz="6" w:space="0" w:color="auto"/>
              <w:right w:val="single" w:sz="6" w:space="0" w:color="auto"/>
            </w:tcBorders>
          </w:tcPr>
          <w:p w:rsidR="00AF2508" w:rsidRDefault="00AF2508">
            <w:pPr>
              <w:pStyle w:val="TableText"/>
              <w:rPr>
                <w:sz w:val="16"/>
              </w:rPr>
            </w:pPr>
            <w:r>
              <w:rPr>
                <w:sz w:val="16"/>
              </w:rPr>
              <w:t>.472</w:t>
            </w:r>
          </w:p>
        </w:tc>
        <w:tc>
          <w:tcPr>
            <w:tcW w:w="600" w:type="dxa"/>
            <w:tcBorders>
              <w:left w:val="single" w:sz="6" w:space="0" w:color="auto"/>
              <w:right w:val="single" w:sz="6" w:space="0" w:color="auto"/>
            </w:tcBorders>
          </w:tcPr>
          <w:p w:rsidR="00AF2508" w:rsidRDefault="00AF2508">
            <w:pPr>
              <w:pStyle w:val="TableText"/>
              <w:rPr>
                <w:sz w:val="16"/>
              </w:rPr>
            </w:pPr>
            <w:r>
              <w:rPr>
                <w:sz w:val="16"/>
              </w:rPr>
              <w:t>.456</w:t>
            </w:r>
          </w:p>
        </w:tc>
        <w:tc>
          <w:tcPr>
            <w:tcW w:w="600" w:type="dxa"/>
            <w:tcBorders>
              <w:left w:val="single" w:sz="6" w:space="0" w:color="auto"/>
              <w:right w:val="single" w:sz="6" w:space="0" w:color="auto"/>
            </w:tcBorders>
          </w:tcPr>
          <w:p w:rsidR="00AF2508" w:rsidRDefault="00AF2508">
            <w:pPr>
              <w:pStyle w:val="TableText"/>
              <w:rPr>
                <w:sz w:val="16"/>
              </w:rPr>
            </w:pPr>
            <w:r>
              <w:rPr>
                <w:sz w:val="16"/>
              </w:rPr>
              <w:t>.445</w:t>
            </w:r>
          </w:p>
        </w:tc>
        <w:tc>
          <w:tcPr>
            <w:tcW w:w="600" w:type="dxa"/>
            <w:tcBorders>
              <w:left w:val="single" w:sz="6" w:space="0" w:color="auto"/>
              <w:right w:val="single" w:sz="6" w:space="0" w:color="auto"/>
            </w:tcBorders>
          </w:tcPr>
          <w:p w:rsidR="00AF2508" w:rsidRDefault="00AF2508">
            <w:pPr>
              <w:pStyle w:val="TableText"/>
              <w:rPr>
                <w:sz w:val="16"/>
              </w:rPr>
            </w:pPr>
            <w:r>
              <w:rPr>
                <w:sz w:val="16"/>
              </w:rPr>
              <w:t>.438</w:t>
            </w:r>
          </w:p>
        </w:tc>
        <w:tc>
          <w:tcPr>
            <w:tcW w:w="600" w:type="dxa"/>
          </w:tcPr>
          <w:p w:rsidR="00AF2508" w:rsidRDefault="00AF2508">
            <w:pPr>
              <w:pStyle w:val="TableText"/>
              <w:rPr>
                <w:sz w:val="16"/>
              </w:rPr>
            </w:pPr>
            <w:r>
              <w:rPr>
                <w:sz w:val="16"/>
              </w:rPr>
              <w:t>.423</w:t>
            </w:r>
          </w:p>
        </w:tc>
      </w:tr>
      <w:tr w:rsidR="00AF2508">
        <w:trPr>
          <w:cantSplit/>
        </w:trPr>
        <w:tc>
          <w:tcPr>
            <w:tcW w:w="560" w:type="dxa"/>
          </w:tcPr>
          <w:p w:rsidR="00AF2508" w:rsidRDefault="00AF2508">
            <w:pPr>
              <w:pStyle w:val="TableText"/>
              <w:rPr>
                <w:sz w:val="16"/>
              </w:rPr>
            </w:pPr>
            <w:r>
              <w:rPr>
                <w:sz w:val="16"/>
              </w:rPr>
              <w:t>40</w:t>
            </w:r>
          </w:p>
        </w:tc>
        <w:tc>
          <w:tcPr>
            <w:tcW w:w="800" w:type="dxa"/>
            <w:tcBorders>
              <w:left w:val="single" w:sz="6" w:space="0" w:color="auto"/>
              <w:right w:val="single" w:sz="6" w:space="0" w:color="auto"/>
            </w:tcBorders>
          </w:tcPr>
          <w:p w:rsidR="00AF2508" w:rsidRDefault="00AF2508">
            <w:pPr>
              <w:pStyle w:val="TableText"/>
              <w:rPr>
                <w:sz w:val="16"/>
              </w:rPr>
            </w:pPr>
            <w:r>
              <w:rPr>
                <w:sz w:val="16"/>
              </w:rPr>
              <w:t>.336</w:t>
            </w:r>
          </w:p>
        </w:tc>
        <w:tc>
          <w:tcPr>
            <w:tcW w:w="700" w:type="dxa"/>
            <w:tcBorders>
              <w:left w:val="single" w:sz="6" w:space="0" w:color="auto"/>
              <w:right w:val="single" w:sz="6" w:space="0" w:color="auto"/>
            </w:tcBorders>
          </w:tcPr>
          <w:p w:rsidR="00AF2508" w:rsidRDefault="00AF2508">
            <w:pPr>
              <w:pStyle w:val="TableText"/>
              <w:rPr>
                <w:sz w:val="16"/>
              </w:rPr>
            </w:pPr>
            <w:r>
              <w:rPr>
                <w:sz w:val="16"/>
              </w:rPr>
              <w:t>.389</w:t>
            </w:r>
          </w:p>
        </w:tc>
        <w:tc>
          <w:tcPr>
            <w:tcW w:w="720" w:type="dxa"/>
            <w:tcBorders>
              <w:left w:val="single" w:sz="6" w:space="0" w:color="auto"/>
              <w:right w:val="single" w:sz="6" w:space="0" w:color="auto"/>
            </w:tcBorders>
          </w:tcPr>
          <w:p w:rsidR="00AF2508" w:rsidRDefault="00AF2508">
            <w:pPr>
              <w:pStyle w:val="TableText"/>
              <w:rPr>
                <w:sz w:val="16"/>
              </w:rPr>
            </w:pPr>
            <w:r>
              <w:rPr>
                <w:sz w:val="16"/>
              </w:rPr>
              <w:t>.459</w:t>
            </w:r>
          </w:p>
        </w:tc>
        <w:tc>
          <w:tcPr>
            <w:tcW w:w="540" w:type="dxa"/>
            <w:tcBorders>
              <w:left w:val="single" w:sz="6" w:space="0" w:color="auto"/>
              <w:right w:val="single" w:sz="6" w:space="0" w:color="auto"/>
            </w:tcBorders>
          </w:tcPr>
          <w:p w:rsidR="00AF2508" w:rsidRDefault="00AF2508">
            <w:pPr>
              <w:pStyle w:val="TableText"/>
              <w:rPr>
                <w:sz w:val="16"/>
              </w:rPr>
            </w:pPr>
            <w:r>
              <w:rPr>
                <w:sz w:val="16"/>
              </w:rPr>
              <w:t>.446</w:t>
            </w:r>
          </w:p>
        </w:tc>
        <w:tc>
          <w:tcPr>
            <w:tcW w:w="600" w:type="dxa"/>
            <w:tcBorders>
              <w:left w:val="single" w:sz="6" w:space="0" w:color="auto"/>
              <w:right w:val="single" w:sz="6" w:space="0" w:color="auto"/>
            </w:tcBorders>
          </w:tcPr>
          <w:p w:rsidR="00AF2508" w:rsidRDefault="00AF2508">
            <w:pPr>
              <w:pStyle w:val="TableText"/>
              <w:rPr>
                <w:sz w:val="16"/>
              </w:rPr>
            </w:pPr>
            <w:r>
              <w:rPr>
                <w:sz w:val="16"/>
              </w:rPr>
              <w:t>.490</w:t>
            </w:r>
          </w:p>
        </w:tc>
        <w:tc>
          <w:tcPr>
            <w:tcW w:w="600" w:type="dxa"/>
            <w:tcBorders>
              <w:left w:val="single" w:sz="6" w:space="0" w:color="auto"/>
              <w:right w:val="single" w:sz="6" w:space="0" w:color="auto"/>
            </w:tcBorders>
          </w:tcPr>
          <w:p w:rsidR="00AF2508" w:rsidRDefault="00AF2508">
            <w:pPr>
              <w:pStyle w:val="TableText"/>
              <w:rPr>
                <w:sz w:val="16"/>
              </w:rPr>
            </w:pPr>
            <w:r>
              <w:rPr>
                <w:sz w:val="16"/>
              </w:rPr>
              <w:t>.475</w:t>
            </w:r>
          </w:p>
        </w:tc>
        <w:tc>
          <w:tcPr>
            <w:tcW w:w="600" w:type="dxa"/>
            <w:tcBorders>
              <w:left w:val="single" w:sz="6" w:space="0" w:color="auto"/>
              <w:right w:val="single" w:sz="6" w:space="0" w:color="auto"/>
            </w:tcBorders>
          </w:tcPr>
          <w:p w:rsidR="00AF2508" w:rsidRDefault="00AF2508">
            <w:pPr>
              <w:pStyle w:val="TableText"/>
              <w:rPr>
                <w:sz w:val="16"/>
              </w:rPr>
            </w:pPr>
            <w:r>
              <w:rPr>
                <w:sz w:val="16"/>
              </w:rPr>
              <w:t>.474</w:t>
            </w:r>
          </w:p>
        </w:tc>
        <w:tc>
          <w:tcPr>
            <w:tcW w:w="600" w:type="dxa"/>
            <w:tcBorders>
              <w:left w:val="single" w:sz="6" w:space="0" w:color="auto"/>
              <w:right w:val="single" w:sz="6" w:space="0" w:color="auto"/>
            </w:tcBorders>
          </w:tcPr>
          <w:p w:rsidR="00AF2508" w:rsidRDefault="00AF2508">
            <w:pPr>
              <w:pStyle w:val="TableText"/>
              <w:rPr>
                <w:sz w:val="16"/>
              </w:rPr>
            </w:pPr>
            <w:r>
              <w:rPr>
                <w:sz w:val="16"/>
              </w:rPr>
              <w:t>.458</w:t>
            </w:r>
          </w:p>
        </w:tc>
        <w:tc>
          <w:tcPr>
            <w:tcW w:w="600" w:type="dxa"/>
            <w:tcBorders>
              <w:left w:val="single" w:sz="6" w:space="0" w:color="auto"/>
              <w:right w:val="single" w:sz="6" w:space="0" w:color="auto"/>
            </w:tcBorders>
          </w:tcPr>
          <w:p w:rsidR="00AF2508" w:rsidRDefault="00AF2508">
            <w:pPr>
              <w:pStyle w:val="TableText"/>
              <w:rPr>
                <w:sz w:val="16"/>
              </w:rPr>
            </w:pPr>
            <w:r>
              <w:rPr>
                <w:sz w:val="16"/>
              </w:rPr>
              <w:t>.446</w:t>
            </w:r>
          </w:p>
        </w:tc>
        <w:tc>
          <w:tcPr>
            <w:tcW w:w="600" w:type="dxa"/>
            <w:tcBorders>
              <w:left w:val="single" w:sz="6" w:space="0" w:color="auto"/>
              <w:right w:val="single" w:sz="6" w:space="0" w:color="auto"/>
            </w:tcBorders>
          </w:tcPr>
          <w:p w:rsidR="00AF2508" w:rsidRDefault="00AF2508">
            <w:pPr>
              <w:pStyle w:val="TableText"/>
              <w:rPr>
                <w:sz w:val="16"/>
              </w:rPr>
            </w:pPr>
            <w:r>
              <w:rPr>
                <w:sz w:val="16"/>
              </w:rPr>
              <w:t>.440</w:t>
            </w:r>
          </w:p>
        </w:tc>
        <w:tc>
          <w:tcPr>
            <w:tcW w:w="600" w:type="dxa"/>
          </w:tcPr>
          <w:p w:rsidR="00AF2508" w:rsidRDefault="00AF2508">
            <w:pPr>
              <w:pStyle w:val="TableText"/>
              <w:rPr>
                <w:sz w:val="16"/>
              </w:rPr>
            </w:pPr>
            <w:r>
              <w:rPr>
                <w:sz w:val="16"/>
              </w:rPr>
              <w:t>.425</w:t>
            </w:r>
          </w:p>
        </w:tc>
      </w:tr>
      <w:tr w:rsidR="00AF2508">
        <w:trPr>
          <w:cantSplit/>
        </w:trPr>
        <w:tc>
          <w:tcPr>
            <w:tcW w:w="560" w:type="dxa"/>
            <w:tcBorders>
              <w:top w:val="single" w:sz="6" w:space="0" w:color="auto"/>
            </w:tcBorders>
          </w:tcPr>
          <w:p w:rsidR="00AF2508" w:rsidRDefault="00AF2508">
            <w:pPr>
              <w:pStyle w:val="TableText"/>
              <w:rPr>
                <w:sz w:val="16"/>
              </w:rPr>
            </w:pPr>
            <w:r>
              <w:rPr>
                <w:sz w:val="16"/>
              </w:rPr>
              <w:t>45</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.340</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.399</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.468</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.500</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.484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.484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.464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.446</w:t>
            </w:r>
          </w:p>
        </w:tc>
        <w:tc>
          <w:tcPr>
            <w:tcW w:w="600" w:type="dxa"/>
            <w:tcBorders>
              <w:top w:val="single" w:sz="6" w:space="0" w:color="auto"/>
            </w:tcBorders>
          </w:tcPr>
          <w:p w:rsidR="00AF2508" w:rsidRDefault="00AF2508">
            <w:pPr>
              <w:pStyle w:val="TableText"/>
              <w:rPr>
                <w:sz w:val="16"/>
              </w:rPr>
            </w:pPr>
            <w:r>
              <w:rPr>
                <w:sz w:val="16"/>
              </w:rPr>
              <w:t>.433</w:t>
            </w:r>
          </w:p>
        </w:tc>
      </w:tr>
      <w:tr w:rsidR="00AF2508">
        <w:trPr>
          <w:cantSplit/>
        </w:trPr>
        <w:tc>
          <w:tcPr>
            <w:tcW w:w="560" w:type="dxa"/>
          </w:tcPr>
          <w:p w:rsidR="00AF2508" w:rsidRDefault="00AF2508">
            <w:pPr>
              <w:pStyle w:val="TableText"/>
              <w:rPr>
                <w:sz w:val="16"/>
              </w:rPr>
            </w:pPr>
            <w:r>
              <w:rPr>
                <w:sz w:val="16"/>
              </w:rPr>
              <w:t>50</w:t>
            </w:r>
          </w:p>
        </w:tc>
        <w:tc>
          <w:tcPr>
            <w:tcW w:w="800" w:type="dxa"/>
            <w:tcBorders>
              <w:left w:val="single" w:sz="6" w:space="0" w:color="auto"/>
              <w:right w:val="single" w:sz="6" w:space="0" w:color="auto"/>
            </w:tcBorders>
          </w:tcPr>
          <w:p w:rsidR="00AF2508" w:rsidRDefault="00AF2508">
            <w:pPr>
              <w:pStyle w:val="TableText"/>
              <w:rPr>
                <w:sz w:val="16"/>
              </w:rPr>
            </w:pPr>
            <w:r>
              <w:rPr>
                <w:sz w:val="16"/>
              </w:rPr>
              <w:t>.346</w:t>
            </w:r>
          </w:p>
        </w:tc>
        <w:tc>
          <w:tcPr>
            <w:tcW w:w="700" w:type="dxa"/>
            <w:tcBorders>
              <w:left w:val="single" w:sz="6" w:space="0" w:color="auto"/>
              <w:right w:val="single" w:sz="6" w:space="0" w:color="auto"/>
            </w:tcBorders>
          </w:tcPr>
          <w:p w:rsidR="00AF2508" w:rsidRDefault="00AF2508">
            <w:pPr>
              <w:pStyle w:val="TableText"/>
              <w:rPr>
                <w:sz w:val="16"/>
              </w:rPr>
            </w:pPr>
            <w:r>
              <w:rPr>
                <w:sz w:val="16"/>
              </w:rPr>
              <w:t>.408</w:t>
            </w:r>
          </w:p>
        </w:tc>
        <w:tc>
          <w:tcPr>
            <w:tcW w:w="720" w:type="dxa"/>
            <w:tcBorders>
              <w:left w:val="single" w:sz="6" w:space="0" w:color="auto"/>
              <w:right w:val="single" w:sz="6" w:space="0" w:color="auto"/>
            </w:tcBorders>
          </w:tcPr>
          <w:p w:rsidR="00AF2508" w:rsidRDefault="00AF2508">
            <w:pPr>
              <w:pStyle w:val="TableText"/>
              <w:rPr>
                <w:sz w:val="16"/>
              </w:rPr>
            </w:pPr>
            <w:r>
              <w:rPr>
                <w:sz w:val="16"/>
              </w:rPr>
              <w:t>.474</w:t>
            </w:r>
          </w:p>
        </w:tc>
        <w:tc>
          <w:tcPr>
            <w:tcW w:w="540" w:type="dxa"/>
            <w:tcBorders>
              <w:left w:val="single" w:sz="6" w:space="0" w:color="auto"/>
              <w:right w:val="single" w:sz="6" w:space="0" w:color="auto"/>
            </w:tcBorders>
          </w:tcPr>
          <w:p w:rsidR="00AF2508" w:rsidRDefault="00AF2508">
            <w:pPr>
              <w:pStyle w:val="TableText"/>
              <w:rPr>
                <w:sz w:val="16"/>
              </w:rPr>
            </w:pPr>
            <w:r>
              <w:rPr>
                <w:sz w:val="16"/>
              </w:rPr>
              <w:t>.461</w:t>
            </w:r>
          </w:p>
        </w:tc>
        <w:tc>
          <w:tcPr>
            <w:tcW w:w="600" w:type="dxa"/>
            <w:tcBorders>
              <w:left w:val="single" w:sz="6" w:space="0" w:color="auto"/>
              <w:right w:val="single" w:sz="6" w:space="0" w:color="auto"/>
            </w:tcBorders>
          </w:tcPr>
          <w:p w:rsidR="00AF2508" w:rsidRDefault="00AF2508">
            <w:pPr>
              <w:pStyle w:val="TableText"/>
              <w:rPr>
                <w:sz w:val="16"/>
              </w:rPr>
            </w:pPr>
            <w:r>
              <w:rPr>
                <w:sz w:val="16"/>
              </w:rPr>
              <w:t>.506</w:t>
            </w:r>
          </w:p>
        </w:tc>
        <w:tc>
          <w:tcPr>
            <w:tcW w:w="600" w:type="dxa"/>
            <w:tcBorders>
              <w:left w:val="single" w:sz="6" w:space="0" w:color="auto"/>
              <w:right w:val="single" w:sz="6" w:space="0" w:color="auto"/>
            </w:tcBorders>
          </w:tcPr>
          <w:p w:rsidR="00AF2508" w:rsidRDefault="00AF2508">
            <w:pPr>
              <w:pStyle w:val="TableText"/>
              <w:rPr>
                <w:sz w:val="16"/>
              </w:rPr>
            </w:pPr>
            <w:r>
              <w:rPr>
                <w:sz w:val="16"/>
              </w:rPr>
              <w:t>.490</w:t>
            </w:r>
          </w:p>
        </w:tc>
        <w:tc>
          <w:tcPr>
            <w:tcW w:w="600" w:type="dxa"/>
            <w:tcBorders>
              <w:left w:val="single" w:sz="6" w:space="0" w:color="auto"/>
              <w:right w:val="single" w:sz="6" w:space="0" w:color="auto"/>
            </w:tcBorders>
          </w:tcPr>
          <w:p w:rsidR="00AF2508" w:rsidRDefault="00AF2508">
            <w:pPr>
              <w:pStyle w:val="TableText"/>
              <w:rPr>
                <w:sz w:val="16"/>
              </w:rPr>
            </w:pPr>
            <w:r>
              <w:rPr>
                <w:sz w:val="16"/>
              </w:rPr>
              <w:t>.490</w:t>
            </w:r>
          </w:p>
        </w:tc>
        <w:tc>
          <w:tcPr>
            <w:tcW w:w="600" w:type="dxa"/>
            <w:tcBorders>
              <w:left w:val="single" w:sz="6" w:space="0" w:color="auto"/>
              <w:right w:val="single" w:sz="6" w:space="0" w:color="auto"/>
            </w:tcBorders>
          </w:tcPr>
          <w:p w:rsidR="00AF2508" w:rsidRDefault="00AF2508">
            <w:pPr>
              <w:pStyle w:val="TableText"/>
              <w:rPr>
                <w:sz w:val="16"/>
              </w:rPr>
            </w:pPr>
            <w:r>
              <w:rPr>
                <w:sz w:val="16"/>
              </w:rPr>
              <w:t>.471</w:t>
            </w:r>
          </w:p>
        </w:tc>
        <w:tc>
          <w:tcPr>
            <w:tcW w:w="600" w:type="dxa"/>
            <w:tcBorders>
              <w:left w:val="single" w:sz="6" w:space="0" w:color="auto"/>
              <w:right w:val="single" w:sz="6" w:space="0" w:color="auto"/>
            </w:tcBorders>
          </w:tcPr>
          <w:p w:rsidR="00AF2508" w:rsidRDefault="00AF2508">
            <w:pPr>
              <w:pStyle w:val="TableText"/>
              <w:rPr>
                <w:sz w:val="16"/>
              </w:rPr>
            </w:pPr>
            <w:r>
              <w:rPr>
                <w:sz w:val="16"/>
              </w:rPr>
              <w:t>.461</w:t>
            </w:r>
          </w:p>
        </w:tc>
        <w:tc>
          <w:tcPr>
            <w:tcW w:w="600" w:type="dxa"/>
            <w:tcBorders>
              <w:left w:val="single" w:sz="6" w:space="0" w:color="auto"/>
              <w:right w:val="single" w:sz="6" w:space="0" w:color="auto"/>
            </w:tcBorders>
          </w:tcPr>
          <w:p w:rsidR="00AF2508" w:rsidRDefault="00AF2508">
            <w:pPr>
              <w:pStyle w:val="TableText"/>
              <w:rPr>
                <w:sz w:val="16"/>
              </w:rPr>
            </w:pPr>
            <w:r>
              <w:rPr>
                <w:sz w:val="16"/>
              </w:rPr>
              <w:t>.452</w:t>
            </w:r>
          </w:p>
        </w:tc>
        <w:tc>
          <w:tcPr>
            <w:tcW w:w="600" w:type="dxa"/>
          </w:tcPr>
          <w:p w:rsidR="00AF2508" w:rsidRDefault="00AF2508">
            <w:pPr>
              <w:pStyle w:val="TableText"/>
              <w:rPr>
                <w:sz w:val="16"/>
              </w:rPr>
            </w:pPr>
            <w:r>
              <w:rPr>
                <w:sz w:val="16"/>
              </w:rPr>
              <w:t>.439</w:t>
            </w:r>
          </w:p>
        </w:tc>
      </w:tr>
      <w:tr w:rsidR="00AF2508">
        <w:trPr>
          <w:cantSplit/>
        </w:trPr>
        <w:tc>
          <w:tcPr>
            <w:tcW w:w="560" w:type="dxa"/>
          </w:tcPr>
          <w:p w:rsidR="00AF2508" w:rsidRDefault="00AF2508">
            <w:pPr>
              <w:pStyle w:val="TableText"/>
              <w:rPr>
                <w:sz w:val="16"/>
              </w:rPr>
            </w:pPr>
            <w:r>
              <w:rPr>
                <w:sz w:val="16"/>
              </w:rPr>
              <w:t>55</w:t>
            </w:r>
          </w:p>
        </w:tc>
        <w:tc>
          <w:tcPr>
            <w:tcW w:w="800" w:type="dxa"/>
            <w:tcBorders>
              <w:left w:val="single" w:sz="6" w:space="0" w:color="auto"/>
              <w:right w:val="single" w:sz="6" w:space="0" w:color="auto"/>
            </w:tcBorders>
          </w:tcPr>
          <w:p w:rsidR="00AF2508" w:rsidRDefault="00AF2508">
            <w:pPr>
              <w:pStyle w:val="TableText"/>
              <w:rPr>
                <w:sz w:val="16"/>
              </w:rPr>
            </w:pPr>
            <w:r>
              <w:rPr>
                <w:sz w:val="16"/>
              </w:rPr>
              <w:t>.352</w:t>
            </w:r>
          </w:p>
        </w:tc>
        <w:tc>
          <w:tcPr>
            <w:tcW w:w="700" w:type="dxa"/>
            <w:tcBorders>
              <w:left w:val="single" w:sz="6" w:space="0" w:color="auto"/>
              <w:right w:val="single" w:sz="6" w:space="0" w:color="auto"/>
            </w:tcBorders>
          </w:tcPr>
          <w:p w:rsidR="00AF2508" w:rsidRDefault="00AF2508">
            <w:pPr>
              <w:pStyle w:val="TableText"/>
              <w:rPr>
                <w:sz w:val="16"/>
              </w:rPr>
            </w:pPr>
            <w:r>
              <w:rPr>
                <w:sz w:val="16"/>
              </w:rPr>
              <w:t>.415</w:t>
            </w:r>
          </w:p>
        </w:tc>
        <w:tc>
          <w:tcPr>
            <w:tcW w:w="720" w:type="dxa"/>
            <w:tcBorders>
              <w:left w:val="single" w:sz="6" w:space="0" w:color="auto"/>
              <w:right w:val="single" w:sz="6" w:space="0" w:color="auto"/>
            </w:tcBorders>
          </w:tcPr>
          <w:p w:rsidR="00AF2508" w:rsidRDefault="00AF2508">
            <w:pPr>
              <w:pStyle w:val="TableText"/>
              <w:rPr>
                <w:sz w:val="16"/>
              </w:rPr>
            </w:pPr>
            <w:r>
              <w:rPr>
                <w:sz w:val="16"/>
              </w:rPr>
              <w:t>.480</w:t>
            </w:r>
          </w:p>
        </w:tc>
        <w:tc>
          <w:tcPr>
            <w:tcW w:w="540" w:type="dxa"/>
            <w:tcBorders>
              <w:left w:val="single" w:sz="6" w:space="0" w:color="auto"/>
              <w:right w:val="single" w:sz="6" w:space="0" w:color="auto"/>
            </w:tcBorders>
          </w:tcPr>
          <w:p w:rsidR="00AF2508" w:rsidRDefault="00AF2508">
            <w:pPr>
              <w:pStyle w:val="TableText"/>
              <w:rPr>
                <w:sz w:val="16"/>
              </w:rPr>
            </w:pPr>
            <w:r>
              <w:rPr>
                <w:sz w:val="16"/>
              </w:rPr>
              <w:t>.465</w:t>
            </w:r>
          </w:p>
        </w:tc>
        <w:tc>
          <w:tcPr>
            <w:tcW w:w="600" w:type="dxa"/>
            <w:tcBorders>
              <w:left w:val="single" w:sz="6" w:space="0" w:color="auto"/>
              <w:right w:val="single" w:sz="6" w:space="0" w:color="auto"/>
            </w:tcBorders>
          </w:tcPr>
          <w:p w:rsidR="00AF2508" w:rsidRDefault="00AF2508">
            <w:pPr>
              <w:pStyle w:val="TableText"/>
              <w:rPr>
                <w:sz w:val="16"/>
              </w:rPr>
            </w:pPr>
            <w:r>
              <w:rPr>
                <w:sz w:val="16"/>
              </w:rPr>
              <w:t>.510</w:t>
            </w:r>
          </w:p>
        </w:tc>
        <w:tc>
          <w:tcPr>
            <w:tcW w:w="600" w:type="dxa"/>
            <w:tcBorders>
              <w:left w:val="single" w:sz="6" w:space="0" w:color="auto"/>
              <w:right w:val="single" w:sz="6" w:space="0" w:color="auto"/>
            </w:tcBorders>
          </w:tcPr>
          <w:p w:rsidR="00AF2508" w:rsidRDefault="00AF2508">
            <w:pPr>
              <w:pStyle w:val="TableText"/>
              <w:rPr>
                <w:sz w:val="16"/>
              </w:rPr>
            </w:pPr>
            <w:r>
              <w:rPr>
                <w:sz w:val="16"/>
              </w:rPr>
              <w:t>.495</w:t>
            </w:r>
          </w:p>
        </w:tc>
        <w:tc>
          <w:tcPr>
            <w:tcW w:w="600" w:type="dxa"/>
            <w:tcBorders>
              <w:left w:val="single" w:sz="6" w:space="0" w:color="auto"/>
              <w:right w:val="single" w:sz="6" w:space="0" w:color="auto"/>
            </w:tcBorders>
          </w:tcPr>
          <w:p w:rsidR="00AF2508" w:rsidRDefault="00AF2508">
            <w:pPr>
              <w:pStyle w:val="TableText"/>
              <w:rPr>
                <w:sz w:val="16"/>
              </w:rPr>
            </w:pPr>
            <w:r>
              <w:rPr>
                <w:sz w:val="16"/>
              </w:rPr>
              <w:t>.496</w:t>
            </w:r>
          </w:p>
        </w:tc>
        <w:tc>
          <w:tcPr>
            <w:tcW w:w="600" w:type="dxa"/>
            <w:tcBorders>
              <w:left w:val="single" w:sz="6" w:space="0" w:color="auto"/>
              <w:right w:val="single" w:sz="6" w:space="0" w:color="auto"/>
            </w:tcBorders>
          </w:tcPr>
          <w:p w:rsidR="00AF2508" w:rsidRDefault="00AF2508">
            <w:pPr>
              <w:pStyle w:val="TableText"/>
              <w:rPr>
                <w:sz w:val="16"/>
              </w:rPr>
            </w:pPr>
            <w:r>
              <w:rPr>
                <w:sz w:val="16"/>
              </w:rPr>
              <w:t>.477</w:t>
            </w:r>
          </w:p>
        </w:tc>
        <w:tc>
          <w:tcPr>
            <w:tcW w:w="600" w:type="dxa"/>
            <w:tcBorders>
              <w:left w:val="single" w:sz="6" w:space="0" w:color="auto"/>
              <w:right w:val="single" w:sz="6" w:space="0" w:color="auto"/>
            </w:tcBorders>
          </w:tcPr>
          <w:p w:rsidR="00AF2508" w:rsidRDefault="00AF2508">
            <w:pPr>
              <w:pStyle w:val="TableText"/>
              <w:rPr>
                <w:sz w:val="16"/>
              </w:rPr>
            </w:pPr>
            <w:r>
              <w:rPr>
                <w:sz w:val="16"/>
              </w:rPr>
              <w:t>.467</w:t>
            </w:r>
          </w:p>
        </w:tc>
        <w:tc>
          <w:tcPr>
            <w:tcW w:w="600" w:type="dxa"/>
            <w:tcBorders>
              <w:left w:val="single" w:sz="6" w:space="0" w:color="auto"/>
              <w:right w:val="single" w:sz="6" w:space="0" w:color="auto"/>
            </w:tcBorders>
          </w:tcPr>
          <w:p w:rsidR="00AF2508" w:rsidRDefault="00AF2508">
            <w:pPr>
              <w:pStyle w:val="TableText"/>
              <w:rPr>
                <w:sz w:val="16"/>
              </w:rPr>
            </w:pPr>
            <w:r>
              <w:rPr>
                <w:sz w:val="16"/>
              </w:rPr>
              <w:t>.458</w:t>
            </w:r>
          </w:p>
        </w:tc>
        <w:tc>
          <w:tcPr>
            <w:tcW w:w="600" w:type="dxa"/>
          </w:tcPr>
          <w:p w:rsidR="00AF2508" w:rsidRDefault="00AF2508">
            <w:pPr>
              <w:pStyle w:val="TableText"/>
              <w:rPr>
                <w:sz w:val="16"/>
              </w:rPr>
            </w:pPr>
            <w:r>
              <w:rPr>
                <w:sz w:val="16"/>
              </w:rPr>
              <w:t>.444</w:t>
            </w:r>
          </w:p>
        </w:tc>
      </w:tr>
      <w:tr w:rsidR="00AF2508">
        <w:trPr>
          <w:cantSplit/>
        </w:trPr>
        <w:tc>
          <w:tcPr>
            <w:tcW w:w="560" w:type="dxa"/>
          </w:tcPr>
          <w:p w:rsidR="00AF2508" w:rsidRDefault="00AF2508">
            <w:pPr>
              <w:pStyle w:val="TableText"/>
              <w:rPr>
                <w:sz w:val="16"/>
              </w:rPr>
            </w:pPr>
            <w:r>
              <w:rPr>
                <w:sz w:val="16"/>
              </w:rPr>
              <w:t>60</w:t>
            </w:r>
          </w:p>
        </w:tc>
        <w:tc>
          <w:tcPr>
            <w:tcW w:w="800" w:type="dxa"/>
            <w:tcBorders>
              <w:left w:val="single" w:sz="6" w:space="0" w:color="auto"/>
              <w:right w:val="single" w:sz="6" w:space="0" w:color="auto"/>
            </w:tcBorders>
          </w:tcPr>
          <w:p w:rsidR="00AF2508" w:rsidRDefault="00AF2508">
            <w:pPr>
              <w:pStyle w:val="TableText"/>
              <w:rPr>
                <w:sz w:val="16"/>
              </w:rPr>
            </w:pPr>
            <w:r>
              <w:rPr>
                <w:sz w:val="16"/>
              </w:rPr>
              <w:t>.355</w:t>
            </w:r>
          </w:p>
        </w:tc>
        <w:tc>
          <w:tcPr>
            <w:tcW w:w="700" w:type="dxa"/>
            <w:tcBorders>
              <w:left w:val="single" w:sz="6" w:space="0" w:color="auto"/>
              <w:right w:val="single" w:sz="6" w:space="0" w:color="auto"/>
            </w:tcBorders>
          </w:tcPr>
          <w:p w:rsidR="00AF2508" w:rsidRDefault="00AF2508">
            <w:pPr>
              <w:pStyle w:val="TableText"/>
              <w:rPr>
                <w:sz w:val="16"/>
              </w:rPr>
            </w:pPr>
            <w:r>
              <w:rPr>
                <w:sz w:val="16"/>
              </w:rPr>
              <w:t>.421</w:t>
            </w:r>
          </w:p>
        </w:tc>
        <w:tc>
          <w:tcPr>
            <w:tcW w:w="720" w:type="dxa"/>
            <w:tcBorders>
              <w:left w:val="single" w:sz="6" w:space="0" w:color="auto"/>
              <w:right w:val="single" w:sz="6" w:space="0" w:color="auto"/>
            </w:tcBorders>
          </w:tcPr>
          <w:p w:rsidR="00AF2508" w:rsidRDefault="00AF2508">
            <w:pPr>
              <w:pStyle w:val="TableText"/>
              <w:rPr>
                <w:sz w:val="16"/>
              </w:rPr>
            </w:pPr>
            <w:r>
              <w:rPr>
                <w:sz w:val="16"/>
              </w:rPr>
              <w:t>.484</w:t>
            </w:r>
          </w:p>
        </w:tc>
        <w:tc>
          <w:tcPr>
            <w:tcW w:w="540" w:type="dxa"/>
            <w:tcBorders>
              <w:left w:val="single" w:sz="6" w:space="0" w:color="auto"/>
              <w:right w:val="single" w:sz="6" w:space="0" w:color="auto"/>
            </w:tcBorders>
          </w:tcPr>
          <w:p w:rsidR="00AF2508" w:rsidRDefault="00AF2508">
            <w:pPr>
              <w:pStyle w:val="TableText"/>
              <w:rPr>
                <w:sz w:val="16"/>
              </w:rPr>
            </w:pPr>
            <w:r>
              <w:rPr>
                <w:sz w:val="16"/>
              </w:rPr>
              <w:t>.471</w:t>
            </w:r>
          </w:p>
        </w:tc>
        <w:tc>
          <w:tcPr>
            <w:tcW w:w="600" w:type="dxa"/>
            <w:tcBorders>
              <w:left w:val="single" w:sz="6" w:space="0" w:color="auto"/>
              <w:right w:val="single" w:sz="6" w:space="0" w:color="auto"/>
            </w:tcBorders>
          </w:tcPr>
          <w:p w:rsidR="00AF2508" w:rsidRDefault="00AF2508">
            <w:pPr>
              <w:pStyle w:val="TableText"/>
              <w:rPr>
                <w:sz w:val="16"/>
              </w:rPr>
            </w:pPr>
            <w:r>
              <w:rPr>
                <w:sz w:val="16"/>
              </w:rPr>
              <w:t>.515</w:t>
            </w:r>
          </w:p>
        </w:tc>
        <w:tc>
          <w:tcPr>
            <w:tcW w:w="600" w:type="dxa"/>
            <w:tcBorders>
              <w:left w:val="single" w:sz="6" w:space="0" w:color="auto"/>
              <w:right w:val="single" w:sz="6" w:space="0" w:color="auto"/>
            </w:tcBorders>
          </w:tcPr>
          <w:p w:rsidR="00AF2508" w:rsidRDefault="00AF2508">
            <w:pPr>
              <w:pStyle w:val="TableText"/>
              <w:rPr>
                <w:sz w:val="16"/>
              </w:rPr>
            </w:pPr>
            <w:r>
              <w:rPr>
                <w:sz w:val="16"/>
              </w:rPr>
              <w:t>.500</w:t>
            </w:r>
          </w:p>
        </w:tc>
        <w:tc>
          <w:tcPr>
            <w:tcW w:w="600" w:type="dxa"/>
            <w:tcBorders>
              <w:left w:val="single" w:sz="6" w:space="0" w:color="auto"/>
              <w:right w:val="single" w:sz="6" w:space="0" w:color="auto"/>
            </w:tcBorders>
          </w:tcPr>
          <w:p w:rsidR="00AF2508" w:rsidRDefault="00AF2508">
            <w:pPr>
              <w:pStyle w:val="TableText"/>
              <w:rPr>
                <w:sz w:val="16"/>
              </w:rPr>
            </w:pPr>
            <w:r>
              <w:rPr>
                <w:sz w:val="16"/>
              </w:rPr>
              <w:t>.500</w:t>
            </w:r>
          </w:p>
        </w:tc>
        <w:tc>
          <w:tcPr>
            <w:tcW w:w="600" w:type="dxa"/>
            <w:tcBorders>
              <w:left w:val="single" w:sz="6" w:space="0" w:color="auto"/>
              <w:right w:val="single" w:sz="6" w:space="0" w:color="auto"/>
            </w:tcBorders>
          </w:tcPr>
          <w:p w:rsidR="00AF2508" w:rsidRDefault="00AF2508">
            <w:pPr>
              <w:pStyle w:val="TableText"/>
              <w:rPr>
                <w:sz w:val="16"/>
              </w:rPr>
            </w:pPr>
            <w:r>
              <w:rPr>
                <w:sz w:val="16"/>
              </w:rPr>
              <w:t>.483</w:t>
            </w:r>
          </w:p>
        </w:tc>
        <w:tc>
          <w:tcPr>
            <w:tcW w:w="600" w:type="dxa"/>
            <w:tcBorders>
              <w:left w:val="single" w:sz="6" w:space="0" w:color="auto"/>
              <w:right w:val="single" w:sz="6" w:space="0" w:color="auto"/>
            </w:tcBorders>
          </w:tcPr>
          <w:p w:rsidR="00AF2508" w:rsidRDefault="00AF2508">
            <w:pPr>
              <w:pStyle w:val="TableText"/>
              <w:rPr>
                <w:sz w:val="16"/>
              </w:rPr>
            </w:pPr>
            <w:r>
              <w:rPr>
                <w:sz w:val="16"/>
              </w:rPr>
              <w:t>.471</w:t>
            </w:r>
          </w:p>
        </w:tc>
        <w:tc>
          <w:tcPr>
            <w:tcW w:w="600" w:type="dxa"/>
            <w:tcBorders>
              <w:left w:val="single" w:sz="6" w:space="0" w:color="auto"/>
              <w:right w:val="single" w:sz="6" w:space="0" w:color="auto"/>
            </w:tcBorders>
          </w:tcPr>
          <w:p w:rsidR="00AF2508" w:rsidRDefault="00AF2508">
            <w:pPr>
              <w:pStyle w:val="TableText"/>
              <w:rPr>
                <w:sz w:val="16"/>
              </w:rPr>
            </w:pPr>
            <w:r>
              <w:rPr>
                <w:sz w:val="16"/>
              </w:rPr>
              <w:t>.465</w:t>
            </w:r>
          </w:p>
        </w:tc>
        <w:tc>
          <w:tcPr>
            <w:tcW w:w="600" w:type="dxa"/>
          </w:tcPr>
          <w:p w:rsidR="00AF2508" w:rsidRDefault="00AF2508">
            <w:pPr>
              <w:pStyle w:val="TableText"/>
              <w:rPr>
                <w:sz w:val="16"/>
              </w:rPr>
            </w:pPr>
            <w:r>
              <w:rPr>
                <w:sz w:val="16"/>
              </w:rPr>
              <w:t>.449</w:t>
            </w:r>
          </w:p>
        </w:tc>
      </w:tr>
      <w:tr w:rsidR="00AF2508">
        <w:trPr>
          <w:cantSplit/>
        </w:trPr>
        <w:tc>
          <w:tcPr>
            <w:tcW w:w="560" w:type="dxa"/>
            <w:tcBorders>
              <w:top w:val="single" w:sz="6" w:space="0" w:color="auto"/>
            </w:tcBorders>
          </w:tcPr>
          <w:p w:rsidR="00AF2508" w:rsidRDefault="00AF2508">
            <w:pPr>
              <w:pStyle w:val="TableText"/>
              <w:rPr>
                <w:sz w:val="16"/>
              </w:rPr>
            </w:pPr>
            <w:r>
              <w:rPr>
                <w:sz w:val="16"/>
              </w:rPr>
              <w:t>65</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.358</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.425</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.488</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.476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.518</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.487</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.474</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.468</w:t>
            </w:r>
          </w:p>
        </w:tc>
        <w:tc>
          <w:tcPr>
            <w:tcW w:w="600" w:type="dxa"/>
            <w:tcBorders>
              <w:top w:val="single" w:sz="6" w:space="0" w:color="auto"/>
            </w:tcBorders>
          </w:tcPr>
          <w:p w:rsidR="00AF2508" w:rsidRDefault="00AF2508">
            <w:pPr>
              <w:pStyle w:val="TableText"/>
              <w:rPr>
                <w:sz w:val="16"/>
              </w:rPr>
            </w:pPr>
            <w:r>
              <w:rPr>
                <w:sz w:val="16"/>
              </w:rPr>
              <w:t>.452</w:t>
            </w:r>
          </w:p>
        </w:tc>
      </w:tr>
      <w:tr w:rsidR="00AF2508">
        <w:trPr>
          <w:cantSplit/>
        </w:trPr>
        <w:tc>
          <w:tcPr>
            <w:tcW w:w="560" w:type="dxa"/>
          </w:tcPr>
          <w:p w:rsidR="00AF2508" w:rsidRDefault="00AF2508">
            <w:pPr>
              <w:pStyle w:val="TableText"/>
              <w:rPr>
                <w:sz w:val="16"/>
              </w:rPr>
            </w:pPr>
            <w:r>
              <w:rPr>
                <w:sz w:val="16"/>
              </w:rPr>
              <w:t>70</w:t>
            </w:r>
          </w:p>
        </w:tc>
        <w:tc>
          <w:tcPr>
            <w:tcW w:w="800" w:type="dxa"/>
            <w:tcBorders>
              <w:left w:val="single" w:sz="6" w:space="0" w:color="auto"/>
              <w:right w:val="single" w:sz="6" w:space="0" w:color="auto"/>
            </w:tcBorders>
          </w:tcPr>
          <w:p w:rsidR="00AF2508" w:rsidRDefault="00AF2508">
            <w:pPr>
              <w:pStyle w:val="TableText"/>
              <w:rPr>
                <w:sz w:val="16"/>
              </w:rPr>
            </w:pPr>
            <w:r>
              <w:rPr>
                <w:sz w:val="16"/>
              </w:rPr>
              <w:t>.360</w:t>
            </w:r>
          </w:p>
        </w:tc>
        <w:tc>
          <w:tcPr>
            <w:tcW w:w="700" w:type="dxa"/>
            <w:tcBorders>
              <w:left w:val="single" w:sz="6" w:space="0" w:color="auto"/>
              <w:right w:val="single" w:sz="6" w:space="0" w:color="auto"/>
            </w:tcBorders>
          </w:tcPr>
          <w:p w:rsidR="00AF2508" w:rsidRDefault="00AF2508">
            <w:pPr>
              <w:pStyle w:val="TableText"/>
              <w:rPr>
                <w:sz w:val="16"/>
              </w:rPr>
            </w:pPr>
            <w:r>
              <w:rPr>
                <w:sz w:val="16"/>
              </w:rPr>
              <w:t>.429</w:t>
            </w:r>
          </w:p>
        </w:tc>
        <w:tc>
          <w:tcPr>
            <w:tcW w:w="720" w:type="dxa"/>
            <w:tcBorders>
              <w:left w:val="single" w:sz="6" w:space="0" w:color="auto"/>
              <w:right w:val="single" w:sz="6" w:space="0" w:color="auto"/>
            </w:tcBorders>
          </w:tcPr>
          <w:p w:rsidR="00AF2508" w:rsidRDefault="00AF2508">
            <w:pPr>
              <w:pStyle w:val="TableText"/>
              <w:rPr>
                <w:sz w:val="16"/>
              </w:rPr>
            </w:pPr>
            <w:r>
              <w:rPr>
                <w:sz w:val="16"/>
              </w:rPr>
              <w:t>.493</w:t>
            </w:r>
          </w:p>
        </w:tc>
        <w:tc>
          <w:tcPr>
            <w:tcW w:w="540" w:type="dxa"/>
            <w:tcBorders>
              <w:left w:val="single" w:sz="6" w:space="0" w:color="auto"/>
              <w:right w:val="single" w:sz="6" w:space="0" w:color="auto"/>
            </w:tcBorders>
          </w:tcPr>
          <w:p w:rsidR="00AF2508" w:rsidRDefault="00AF2508">
            <w:pPr>
              <w:pStyle w:val="TableText"/>
              <w:rPr>
                <w:sz w:val="16"/>
              </w:rPr>
            </w:pPr>
            <w:r>
              <w:rPr>
                <w:sz w:val="16"/>
              </w:rPr>
              <w:t>.480</w:t>
            </w:r>
          </w:p>
        </w:tc>
        <w:tc>
          <w:tcPr>
            <w:tcW w:w="600" w:type="dxa"/>
            <w:tcBorders>
              <w:left w:val="single" w:sz="6" w:space="0" w:color="auto"/>
              <w:right w:val="single" w:sz="6" w:space="0" w:color="auto"/>
            </w:tcBorders>
          </w:tcPr>
          <w:p w:rsidR="00AF2508" w:rsidRDefault="00AF2508">
            <w:pPr>
              <w:pStyle w:val="TableText"/>
              <w:rPr>
                <w:sz w:val="16"/>
              </w:rPr>
            </w:pPr>
            <w:r>
              <w:rPr>
                <w:sz w:val="16"/>
              </w:rPr>
              <w:t>.521</w:t>
            </w:r>
          </w:p>
        </w:tc>
        <w:tc>
          <w:tcPr>
            <w:tcW w:w="600" w:type="dxa"/>
            <w:tcBorders>
              <w:left w:val="single" w:sz="6" w:space="0" w:color="auto"/>
              <w:right w:val="single" w:sz="6" w:space="0" w:color="auto"/>
            </w:tcBorders>
          </w:tcPr>
          <w:p w:rsidR="00AF2508" w:rsidRDefault="00AF2508">
            <w:pPr>
              <w:pStyle w:val="TableText"/>
              <w:rPr>
                <w:sz w:val="16"/>
              </w:rPr>
            </w:pPr>
            <w:r>
              <w:rPr>
                <w:sz w:val="16"/>
              </w:rPr>
              <w:t>.506</w:t>
            </w:r>
          </w:p>
        </w:tc>
        <w:tc>
          <w:tcPr>
            <w:tcW w:w="600" w:type="dxa"/>
            <w:tcBorders>
              <w:left w:val="single" w:sz="6" w:space="0" w:color="auto"/>
              <w:right w:val="single" w:sz="6" w:space="0" w:color="auto"/>
            </w:tcBorders>
          </w:tcPr>
          <w:p w:rsidR="00AF2508" w:rsidRDefault="00AF2508">
            <w:pPr>
              <w:pStyle w:val="TableText"/>
              <w:rPr>
                <w:sz w:val="16"/>
              </w:rPr>
            </w:pPr>
            <w:r>
              <w:rPr>
                <w:sz w:val="16"/>
              </w:rPr>
              <w:t>.506</w:t>
            </w:r>
          </w:p>
        </w:tc>
        <w:tc>
          <w:tcPr>
            <w:tcW w:w="600" w:type="dxa"/>
            <w:tcBorders>
              <w:left w:val="single" w:sz="6" w:space="0" w:color="auto"/>
              <w:right w:val="single" w:sz="6" w:space="0" w:color="auto"/>
            </w:tcBorders>
          </w:tcPr>
          <w:p w:rsidR="00AF2508" w:rsidRDefault="00AF2508">
            <w:pPr>
              <w:pStyle w:val="TableText"/>
              <w:rPr>
                <w:sz w:val="16"/>
              </w:rPr>
            </w:pPr>
            <w:r>
              <w:rPr>
                <w:sz w:val="16"/>
              </w:rPr>
              <w:t>.490</w:t>
            </w:r>
          </w:p>
        </w:tc>
        <w:tc>
          <w:tcPr>
            <w:tcW w:w="600" w:type="dxa"/>
            <w:tcBorders>
              <w:left w:val="single" w:sz="6" w:space="0" w:color="auto"/>
              <w:right w:val="single" w:sz="6" w:space="0" w:color="auto"/>
            </w:tcBorders>
          </w:tcPr>
          <w:p w:rsidR="00AF2508" w:rsidRDefault="00AF2508">
            <w:pPr>
              <w:pStyle w:val="TableText"/>
              <w:rPr>
                <w:sz w:val="16"/>
              </w:rPr>
            </w:pPr>
            <w:r>
              <w:rPr>
                <w:sz w:val="16"/>
              </w:rPr>
              <w:t>.477</w:t>
            </w:r>
          </w:p>
        </w:tc>
        <w:tc>
          <w:tcPr>
            <w:tcW w:w="600" w:type="dxa"/>
            <w:tcBorders>
              <w:left w:val="single" w:sz="6" w:space="0" w:color="auto"/>
              <w:right w:val="single" w:sz="6" w:space="0" w:color="auto"/>
            </w:tcBorders>
          </w:tcPr>
          <w:p w:rsidR="00AF2508" w:rsidRDefault="00AF2508">
            <w:pPr>
              <w:pStyle w:val="TableText"/>
              <w:rPr>
                <w:sz w:val="16"/>
              </w:rPr>
            </w:pPr>
            <w:r>
              <w:rPr>
                <w:sz w:val="16"/>
              </w:rPr>
              <w:t>.471</w:t>
            </w:r>
          </w:p>
        </w:tc>
        <w:tc>
          <w:tcPr>
            <w:tcW w:w="600" w:type="dxa"/>
          </w:tcPr>
          <w:p w:rsidR="00AF2508" w:rsidRDefault="00AF2508">
            <w:pPr>
              <w:pStyle w:val="TableText"/>
              <w:rPr>
                <w:sz w:val="16"/>
              </w:rPr>
            </w:pPr>
            <w:r>
              <w:rPr>
                <w:sz w:val="16"/>
              </w:rPr>
              <w:t>.455</w:t>
            </w:r>
          </w:p>
        </w:tc>
      </w:tr>
      <w:tr w:rsidR="00AF2508">
        <w:trPr>
          <w:cantSplit/>
        </w:trPr>
        <w:tc>
          <w:tcPr>
            <w:tcW w:w="560" w:type="dxa"/>
          </w:tcPr>
          <w:p w:rsidR="00AF2508" w:rsidRDefault="00AF2508">
            <w:pPr>
              <w:pStyle w:val="TableText"/>
              <w:rPr>
                <w:sz w:val="16"/>
              </w:rPr>
            </w:pPr>
            <w:r>
              <w:rPr>
                <w:sz w:val="16"/>
              </w:rPr>
              <w:t>75</w:t>
            </w:r>
          </w:p>
        </w:tc>
        <w:tc>
          <w:tcPr>
            <w:tcW w:w="800" w:type="dxa"/>
            <w:tcBorders>
              <w:left w:val="single" w:sz="6" w:space="0" w:color="auto"/>
              <w:right w:val="single" w:sz="6" w:space="0" w:color="auto"/>
            </w:tcBorders>
          </w:tcPr>
          <w:p w:rsidR="00AF2508" w:rsidRDefault="00AF2508">
            <w:pPr>
              <w:pStyle w:val="TableText"/>
              <w:rPr>
                <w:sz w:val="16"/>
              </w:rPr>
            </w:pPr>
            <w:r>
              <w:rPr>
                <w:sz w:val="16"/>
              </w:rPr>
              <w:t>.361</w:t>
            </w:r>
          </w:p>
        </w:tc>
        <w:tc>
          <w:tcPr>
            <w:tcW w:w="700" w:type="dxa"/>
            <w:tcBorders>
              <w:left w:val="single" w:sz="6" w:space="0" w:color="auto"/>
              <w:right w:val="single" w:sz="6" w:space="0" w:color="auto"/>
            </w:tcBorders>
          </w:tcPr>
          <w:p w:rsidR="00AF2508" w:rsidRDefault="00AF2508">
            <w:pPr>
              <w:pStyle w:val="TableText"/>
              <w:rPr>
                <w:sz w:val="16"/>
              </w:rPr>
            </w:pPr>
            <w:r>
              <w:rPr>
                <w:sz w:val="16"/>
              </w:rPr>
              <w:t>.433</w:t>
            </w:r>
          </w:p>
        </w:tc>
        <w:tc>
          <w:tcPr>
            <w:tcW w:w="720" w:type="dxa"/>
            <w:tcBorders>
              <w:left w:val="single" w:sz="6" w:space="0" w:color="auto"/>
              <w:right w:val="single" w:sz="6" w:space="0" w:color="auto"/>
            </w:tcBorders>
          </w:tcPr>
          <w:p w:rsidR="00AF2508" w:rsidRDefault="00AF2508">
            <w:pPr>
              <w:pStyle w:val="TableText"/>
              <w:rPr>
                <w:sz w:val="16"/>
              </w:rPr>
            </w:pPr>
            <w:r>
              <w:rPr>
                <w:sz w:val="16"/>
              </w:rPr>
              <w:t>.496</w:t>
            </w:r>
          </w:p>
        </w:tc>
        <w:tc>
          <w:tcPr>
            <w:tcW w:w="540" w:type="dxa"/>
            <w:tcBorders>
              <w:left w:val="single" w:sz="6" w:space="0" w:color="auto"/>
              <w:right w:val="single" w:sz="6" w:space="0" w:color="auto"/>
            </w:tcBorders>
          </w:tcPr>
          <w:p w:rsidR="00AF2508" w:rsidRDefault="00AF2508">
            <w:pPr>
              <w:pStyle w:val="TableText"/>
              <w:rPr>
                <w:sz w:val="16"/>
              </w:rPr>
            </w:pPr>
            <w:r>
              <w:rPr>
                <w:sz w:val="16"/>
              </w:rPr>
              <w:t>.484</w:t>
            </w:r>
          </w:p>
        </w:tc>
        <w:tc>
          <w:tcPr>
            <w:tcW w:w="600" w:type="dxa"/>
            <w:tcBorders>
              <w:left w:val="single" w:sz="6" w:space="0" w:color="auto"/>
              <w:right w:val="single" w:sz="6" w:space="0" w:color="auto"/>
            </w:tcBorders>
          </w:tcPr>
          <w:p w:rsidR="00AF2508" w:rsidRDefault="00AF2508">
            <w:pPr>
              <w:pStyle w:val="TableText"/>
              <w:rPr>
                <w:sz w:val="16"/>
              </w:rPr>
            </w:pPr>
            <w:r>
              <w:rPr>
                <w:sz w:val="16"/>
              </w:rPr>
              <w:t>.525</w:t>
            </w:r>
          </w:p>
        </w:tc>
        <w:tc>
          <w:tcPr>
            <w:tcW w:w="600" w:type="dxa"/>
            <w:tcBorders>
              <w:left w:val="single" w:sz="6" w:space="0" w:color="auto"/>
              <w:right w:val="single" w:sz="6" w:space="0" w:color="auto"/>
            </w:tcBorders>
          </w:tcPr>
          <w:p w:rsidR="00AF2508" w:rsidRDefault="00AF2508">
            <w:pPr>
              <w:pStyle w:val="TableText"/>
              <w:rPr>
                <w:sz w:val="16"/>
              </w:rPr>
            </w:pPr>
            <w:r>
              <w:rPr>
                <w:sz w:val="16"/>
              </w:rPr>
              <w:t>.509</w:t>
            </w:r>
          </w:p>
        </w:tc>
        <w:tc>
          <w:tcPr>
            <w:tcW w:w="600" w:type="dxa"/>
            <w:tcBorders>
              <w:left w:val="single" w:sz="6" w:space="0" w:color="auto"/>
              <w:right w:val="single" w:sz="6" w:space="0" w:color="auto"/>
            </w:tcBorders>
          </w:tcPr>
          <w:p w:rsidR="00AF2508" w:rsidRDefault="00AF2508">
            <w:pPr>
              <w:pStyle w:val="TableText"/>
              <w:rPr>
                <w:sz w:val="16"/>
              </w:rPr>
            </w:pPr>
            <w:r>
              <w:rPr>
                <w:sz w:val="16"/>
              </w:rPr>
              <w:t>.509</w:t>
            </w:r>
          </w:p>
        </w:tc>
        <w:tc>
          <w:tcPr>
            <w:tcW w:w="600" w:type="dxa"/>
            <w:tcBorders>
              <w:left w:val="single" w:sz="6" w:space="0" w:color="auto"/>
              <w:right w:val="single" w:sz="6" w:space="0" w:color="auto"/>
            </w:tcBorders>
          </w:tcPr>
          <w:p w:rsidR="00AF2508" w:rsidRDefault="00AF2508">
            <w:pPr>
              <w:pStyle w:val="TableText"/>
              <w:rPr>
                <w:sz w:val="16"/>
              </w:rPr>
            </w:pPr>
            <w:r>
              <w:rPr>
                <w:sz w:val="16"/>
              </w:rPr>
              <w:t>.493</w:t>
            </w:r>
          </w:p>
        </w:tc>
        <w:tc>
          <w:tcPr>
            <w:tcW w:w="600" w:type="dxa"/>
            <w:tcBorders>
              <w:left w:val="single" w:sz="6" w:space="0" w:color="auto"/>
              <w:right w:val="single" w:sz="6" w:space="0" w:color="auto"/>
            </w:tcBorders>
          </w:tcPr>
          <w:p w:rsidR="00AF2508" w:rsidRDefault="00AF2508">
            <w:pPr>
              <w:pStyle w:val="TableText"/>
              <w:rPr>
                <w:sz w:val="16"/>
              </w:rPr>
            </w:pPr>
            <w:r>
              <w:rPr>
                <w:sz w:val="16"/>
              </w:rPr>
              <w:t>.480</w:t>
            </w:r>
          </w:p>
        </w:tc>
        <w:tc>
          <w:tcPr>
            <w:tcW w:w="600" w:type="dxa"/>
            <w:tcBorders>
              <w:left w:val="single" w:sz="6" w:space="0" w:color="auto"/>
              <w:right w:val="single" w:sz="6" w:space="0" w:color="auto"/>
            </w:tcBorders>
          </w:tcPr>
          <w:p w:rsidR="00AF2508" w:rsidRDefault="00AF2508">
            <w:pPr>
              <w:pStyle w:val="TableText"/>
              <w:rPr>
                <w:sz w:val="16"/>
              </w:rPr>
            </w:pPr>
            <w:r>
              <w:rPr>
                <w:sz w:val="16"/>
              </w:rPr>
              <w:t>.474</w:t>
            </w:r>
          </w:p>
        </w:tc>
        <w:tc>
          <w:tcPr>
            <w:tcW w:w="600" w:type="dxa"/>
          </w:tcPr>
          <w:p w:rsidR="00AF2508" w:rsidRDefault="00AF2508">
            <w:pPr>
              <w:pStyle w:val="TableText"/>
              <w:rPr>
                <w:sz w:val="16"/>
              </w:rPr>
            </w:pPr>
            <w:r>
              <w:rPr>
                <w:sz w:val="16"/>
              </w:rPr>
              <w:t>.458</w:t>
            </w:r>
          </w:p>
        </w:tc>
      </w:tr>
      <w:tr w:rsidR="00AF2508">
        <w:trPr>
          <w:cantSplit/>
        </w:trPr>
        <w:tc>
          <w:tcPr>
            <w:tcW w:w="560" w:type="dxa"/>
          </w:tcPr>
          <w:p w:rsidR="00AF2508" w:rsidRDefault="00AF2508">
            <w:pPr>
              <w:pStyle w:val="TableText"/>
              <w:rPr>
                <w:sz w:val="16"/>
              </w:rPr>
            </w:pPr>
            <w:r>
              <w:rPr>
                <w:sz w:val="16"/>
              </w:rPr>
              <w:t>80</w:t>
            </w:r>
          </w:p>
        </w:tc>
        <w:tc>
          <w:tcPr>
            <w:tcW w:w="800" w:type="dxa"/>
            <w:tcBorders>
              <w:left w:val="single" w:sz="6" w:space="0" w:color="auto"/>
              <w:right w:val="single" w:sz="6" w:space="0" w:color="auto"/>
            </w:tcBorders>
          </w:tcPr>
          <w:p w:rsidR="00AF2508" w:rsidRDefault="00AF2508">
            <w:pPr>
              <w:pStyle w:val="TableText"/>
              <w:rPr>
                <w:sz w:val="16"/>
              </w:rPr>
            </w:pPr>
            <w:r>
              <w:rPr>
                <w:sz w:val="16"/>
              </w:rPr>
              <w:t>.363</w:t>
            </w:r>
          </w:p>
        </w:tc>
        <w:tc>
          <w:tcPr>
            <w:tcW w:w="700" w:type="dxa"/>
            <w:tcBorders>
              <w:left w:val="single" w:sz="6" w:space="0" w:color="auto"/>
              <w:right w:val="single" w:sz="6" w:space="0" w:color="auto"/>
            </w:tcBorders>
          </w:tcPr>
          <w:p w:rsidR="00AF2508" w:rsidRDefault="00AF2508">
            <w:pPr>
              <w:pStyle w:val="TableText"/>
              <w:rPr>
                <w:sz w:val="16"/>
              </w:rPr>
            </w:pPr>
            <w:r>
              <w:rPr>
                <w:sz w:val="16"/>
              </w:rPr>
              <w:t>.436</w:t>
            </w:r>
          </w:p>
        </w:tc>
        <w:tc>
          <w:tcPr>
            <w:tcW w:w="720" w:type="dxa"/>
            <w:tcBorders>
              <w:left w:val="single" w:sz="6" w:space="0" w:color="auto"/>
              <w:right w:val="single" w:sz="6" w:space="0" w:color="auto"/>
            </w:tcBorders>
          </w:tcPr>
          <w:p w:rsidR="00AF2508" w:rsidRDefault="00AF2508">
            <w:pPr>
              <w:pStyle w:val="TableText"/>
              <w:rPr>
                <w:sz w:val="16"/>
              </w:rPr>
            </w:pPr>
            <w:r>
              <w:rPr>
                <w:sz w:val="16"/>
              </w:rPr>
              <w:t>.499</w:t>
            </w:r>
          </w:p>
        </w:tc>
        <w:tc>
          <w:tcPr>
            <w:tcW w:w="540" w:type="dxa"/>
            <w:tcBorders>
              <w:left w:val="single" w:sz="6" w:space="0" w:color="auto"/>
              <w:right w:val="single" w:sz="6" w:space="0" w:color="auto"/>
            </w:tcBorders>
          </w:tcPr>
          <w:p w:rsidR="00AF2508" w:rsidRDefault="00AF2508">
            <w:pPr>
              <w:pStyle w:val="TableText"/>
              <w:rPr>
                <w:sz w:val="16"/>
              </w:rPr>
            </w:pPr>
            <w:r>
              <w:rPr>
                <w:sz w:val="16"/>
              </w:rPr>
              <w:t>.488</w:t>
            </w:r>
          </w:p>
        </w:tc>
        <w:tc>
          <w:tcPr>
            <w:tcW w:w="600" w:type="dxa"/>
            <w:tcBorders>
              <w:left w:val="single" w:sz="6" w:space="0" w:color="auto"/>
              <w:right w:val="single" w:sz="6" w:space="0" w:color="auto"/>
            </w:tcBorders>
          </w:tcPr>
          <w:p w:rsidR="00AF2508" w:rsidRDefault="00AF2508">
            <w:pPr>
              <w:pStyle w:val="TableText"/>
              <w:rPr>
                <w:sz w:val="16"/>
              </w:rPr>
            </w:pPr>
            <w:r>
              <w:rPr>
                <w:sz w:val="16"/>
              </w:rPr>
              <w:t>.528</w:t>
            </w:r>
          </w:p>
        </w:tc>
        <w:tc>
          <w:tcPr>
            <w:tcW w:w="600" w:type="dxa"/>
            <w:tcBorders>
              <w:left w:val="single" w:sz="6" w:space="0" w:color="auto"/>
              <w:right w:val="single" w:sz="6" w:space="0" w:color="auto"/>
            </w:tcBorders>
          </w:tcPr>
          <w:p w:rsidR="00AF2508" w:rsidRDefault="00AF2508">
            <w:pPr>
              <w:pStyle w:val="TableText"/>
              <w:rPr>
                <w:sz w:val="16"/>
              </w:rPr>
            </w:pPr>
            <w:r>
              <w:rPr>
                <w:sz w:val="16"/>
              </w:rPr>
              <w:t>.512</w:t>
            </w:r>
          </w:p>
        </w:tc>
        <w:tc>
          <w:tcPr>
            <w:tcW w:w="600" w:type="dxa"/>
            <w:tcBorders>
              <w:left w:val="single" w:sz="6" w:space="0" w:color="auto"/>
              <w:right w:val="single" w:sz="6" w:space="0" w:color="auto"/>
            </w:tcBorders>
          </w:tcPr>
          <w:p w:rsidR="00AF2508" w:rsidRDefault="00AF2508">
            <w:pPr>
              <w:pStyle w:val="TableText"/>
              <w:rPr>
                <w:sz w:val="16"/>
              </w:rPr>
            </w:pPr>
            <w:r>
              <w:rPr>
                <w:sz w:val="16"/>
              </w:rPr>
              <w:t>.512</w:t>
            </w:r>
          </w:p>
        </w:tc>
        <w:tc>
          <w:tcPr>
            <w:tcW w:w="600" w:type="dxa"/>
            <w:tcBorders>
              <w:left w:val="single" w:sz="6" w:space="0" w:color="auto"/>
              <w:right w:val="single" w:sz="6" w:space="0" w:color="auto"/>
            </w:tcBorders>
          </w:tcPr>
          <w:p w:rsidR="00AF2508" w:rsidRDefault="00AF2508">
            <w:pPr>
              <w:pStyle w:val="TableText"/>
              <w:rPr>
                <w:sz w:val="16"/>
              </w:rPr>
            </w:pPr>
            <w:r>
              <w:rPr>
                <w:sz w:val="16"/>
              </w:rPr>
              <w:t>.496</w:t>
            </w:r>
          </w:p>
        </w:tc>
        <w:tc>
          <w:tcPr>
            <w:tcW w:w="600" w:type="dxa"/>
            <w:tcBorders>
              <w:left w:val="single" w:sz="6" w:space="0" w:color="auto"/>
              <w:right w:val="single" w:sz="6" w:space="0" w:color="auto"/>
            </w:tcBorders>
          </w:tcPr>
          <w:p w:rsidR="00AF2508" w:rsidRDefault="00AF2508">
            <w:pPr>
              <w:pStyle w:val="TableText"/>
              <w:rPr>
                <w:sz w:val="16"/>
              </w:rPr>
            </w:pPr>
            <w:r>
              <w:rPr>
                <w:sz w:val="16"/>
              </w:rPr>
              <w:t>.483</w:t>
            </w:r>
          </w:p>
        </w:tc>
        <w:tc>
          <w:tcPr>
            <w:tcW w:w="600" w:type="dxa"/>
            <w:tcBorders>
              <w:left w:val="single" w:sz="6" w:space="0" w:color="auto"/>
              <w:right w:val="single" w:sz="6" w:space="0" w:color="auto"/>
            </w:tcBorders>
          </w:tcPr>
          <w:p w:rsidR="00AF2508" w:rsidRDefault="00AF2508">
            <w:pPr>
              <w:pStyle w:val="TableText"/>
              <w:rPr>
                <w:sz w:val="16"/>
              </w:rPr>
            </w:pPr>
            <w:r>
              <w:rPr>
                <w:sz w:val="16"/>
              </w:rPr>
              <w:t>.477</w:t>
            </w:r>
          </w:p>
        </w:tc>
        <w:tc>
          <w:tcPr>
            <w:tcW w:w="600" w:type="dxa"/>
          </w:tcPr>
          <w:p w:rsidR="00AF2508" w:rsidRDefault="00AF2508">
            <w:pPr>
              <w:pStyle w:val="TableText"/>
              <w:rPr>
                <w:sz w:val="16"/>
              </w:rPr>
            </w:pPr>
            <w:r>
              <w:rPr>
                <w:sz w:val="16"/>
              </w:rPr>
              <w:t>.461</w:t>
            </w:r>
          </w:p>
        </w:tc>
      </w:tr>
      <w:tr w:rsidR="00AF2508">
        <w:trPr>
          <w:cantSplit/>
        </w:trPr>
        <w:tc>
          <w:tcPr>
            <w:tcW w:w="560" w:type="dxa"/>
          </w:tcPr>
          <w:p w:rsidR="00AF2508" w:rsidRDefault="00AF2508">
            <w:pPr>
              <w:pStyle w:val="TableText"/>
              <w:rPr>
                <w:sz w:val="16"/>
              </w:rPr>
            </w:pPr>
            <w:r>
              <w:rPr>
                <w:sz w:val="16"/>
              </w:rPr>
              <w:t>90</w:t>
            </w:r>
          </w:p>
        </w:tc>
        <w:tc>
          <w:tcPr>
            <w:tcW w:w="800" w:type="dxa"/>
            <w:tcBorders>
              <w:left w:val="single" w:sz="6" w:space="0" w:color="auto"/>
              <w:right w:val="single" w:sz="6" w:space="0" w:color="auto"/>
            </w:tcBorders>
          </w:tcPr>
          <w:p w:rsidR="00AF2508" w:rsidRDefault="00AF2508">
            <w:pPr>
              <w:pStyle w:val="TableText"/>
              <w:rPr>
                <w:sz w:val="16"/>
              </w:rPr>
            </w:pPr>
            <w:r>
              <w:rPr>
                <w:sz w:val="16"/>
              </w:rPr>
              <w:t>.366</w:t>
            </w:r>
          </w:p>
        </w:tc>
        <w:tc>
          <w:tcPr>
            <w:tcW w:w="700" w:type="dxa"/>
            <w:tcBorders>
              <w:left w:val="single" w:sz="6" w:space="0" w:color="auto"/>
              <w:right w:val="single" w:sz="6" w:space="0" w:color="auto"/>
            </w:tcBorders>
          </w:tcPr>
          <w:p w:rsidR="00AF2508" w:rsidRDefault="00AF2508">
            <w:pPr>
              <w:pStyle w:val="TableText"/>
              <w:rPr>
                <w:sz w:val="16"/>
              </w:rPr>
            </w:pPr>
            <w:r>
              <w:rPr>
                <w:sz w:val="16"/>
              </w:rPr>
              <w:t>.442</w:t>
            </w:r>
          </w:p>
        </w:tc>
        <w:tc>
          <w:tcPr>
            <w:tcW w:w="720" w:type="dxa"/>
            <w:tcBorders>
              <w:left w:val="single" w:sz="6" w:space="0" w:color="auto"/>
              <w:right w:val="single" w:sz="6" w:space="0" w:color="auto"/>
            </w:tcBorders>
          </w:tcPr>
          <w:p w:rsidR="00AF2508" w:rsidRDefault="00AF2508">
            <w:pPr>
              <w:pStyle w:val="TableText"/>
              <w:rPr>
                <w:sz w:val="16"/>
              </w:rPr>
            </w:pPr>
            <w:r>
              <w:rPr>
                <w:sz w:val="16"/>
              </w:rPr>
              <w:t>.503</w:t>
            </w:r>
          </w:p>
        </w:tc>
        <w:tc>
          <w:tcPr>
            <w:tcW w:w="540" w:type="dxa"/>
            <w:tcBorders>
              <w:left w:val="single" w:sz="6" w:space="0" w:color="auto"/>
              <w:right w:val="single" w:sz="6" w:space="0" w:color="auto"/>
            </w:tcBorders>
          </w:tcPr>
          <w:p w:rsidR="00AF2508" w:rsidRDefault="00AF2508">
            <w:pPr>
              <w:pStyle w:val="TableText"/>
              <w:rPr>
                <w:sz w:val="16"/>
              </w:rPr>
            </w:pPr>
            <w:r>
              <w:rPr>
                <w:sz w:val="16"/>
              </w:rPr>
              <w:t>.492</w:t>
            </w:r>
          </w:p>
        </w:tc>
        <w:tc>
          <w:tcPr>
            <w:tcW w:w="600" w:type="dxa"/>
            <w:tcBorders>
              <w:left w:val="single" w:sz="6" w:space="0" w:color="auto"/>
              <w:right w:val="single" w:sz="6" w:space="0" w:color="auto"/>
            </w:tcBorders>
          </w:tcPr>
          <w:p w:rsidR="00AF2508" w:rsidRDefault="00AF2508">
            <w:pPr>
              <w:pStyle w:val="TableText"/>
              <w:rPr>
                <w:sz w:val="16"/>
              </w:rPr>
            </w:pPr>
            <w:r>
              <w:rPr>
                <w:sz w:val="16"/>
              </w:rPr>
              <w:t>.532</w:t>
            </w:r>
          </w:p>
        </w:tc>
        <w:tc>
          <w:tcPr>
            <w:tcW w:w="600" w:type="dxa"/>
            <w:tcBorders>
              <w:left w:val="single" w:sz="6" w:space="0" w:color="auto"/>
              <w:right w:val="single" w:sz="6" w:space="0" w:color="auto"/>
            </w:tcBorders>
          </w:tcPr>
          <w:p w:rsidR="00AF2508" w:rsidRDefault="00AF2508">
            <w:pPr>
              <w:pStyle w:val="TableText"/>
              <w:rPr>
                <w:sz w:val="16"/>
              </w:rPr>
            </w:pPr>
            <w:r>
              <w:rPr>
                <w:sz w:val="16"/>
              </w:rPr>
              <w:t>.517</w:t>
            </w:r>
          </w:p>
        </w:tc>
        <w:tc>
          <w:tcPr>
            <w:tcW w:w="600" w:type="dxa"/>
            <w:tcBorders>
              <w:left w:val="single" w:sz="6" w:space="0" w:color="auto"/>
              <w:right w:val="single" w:sz="6" w:space="0" w:color="auto"/>
            </w:tcBorders>
          </w:tcPr>
          <w:p w:rsidR="00AF2508" w:rsidRDefault="00AF2508">
            <w:pPr>
              <w:pStyle w:val="TableText"/>
              <w:rPr>
                <w:sz w:val="16"/>
              </w:rPr>
            </w:pPr>
            <w:r>
              <w:rPr>
                <w:sz w:val="16"/>
              </w:rPr>
              <w:t>.516</w:t>
            </w:r>
          </w:p>
        </w:tc>
        <w:tc>
          <w:tcPr>
            <w:tcW w:w="600" w:type="dxa"/>
            <w:tcBorders>
              <w:left w:val="single" w:sz="6" w:space="0" w:color="auto"/>
              <w:right w:val="single" w:sz="6" w:space="0" w:color="auto"/>
            </w:tcBorders>
          </w:tcPr>
          <w:p w:rsidR="00AF2508" w:rsidRDefault="00AF2508">
            <w:pPr>
              <w:pStyle w:val="TableText"/>
              <w:rPr>
                <w:sz w:val="16"/>
              </w:rPr>
            </w:pPr>
            <w:r>
              <w:rPr>
                <w:sz w:val="16"/>
              </w:rPr>
              <w:t>.499</w:t>
            </w:r>
          </w:p>
        </w:tc>
        <w:tc>
          <w:tcPr>
            <w:tcW w:w="600" w:type="dxa"/>
            <w:tcBorders>
              <w:left w:val="single" w:sz="6" w:space="0" w:color="auto"/>
              <w:right w:val="single" w:sz="6" w:space="0" w:color="auto"/>
            </w:tcBorders>
          </w:tcPr>
          <w:p w:rsidR="00AF2508" w:rsidRDefault="00AF2508">
            <w:pPr>
              <w:pStyle w:val="TableText"/>
              <w:rPr>
                <w:sz w:val="16"/>
              </w:rPr>
            </w:pPr>
            <w:r>
              <w:rPr>
                <w:sz w:val="16"/>
              </w:rPr>
              <w:t>.487</w:t>
            </w:r>
          </w:p>
        </w:tc>
        <w:tc>
          <w:tcPr>
            <w:tcW w:w="600" w:type="dxa"/>
            <w:tcBorders>
              <w:left w:val="single" w:sz="6" w:space="0" w:color="auto"/>
              <w:right w:val="single" w:sz="6" w:space="0" w:color="auto"/>
            </w:tcBorders>
          </w:tcPr>
          <w:p w:rsidR="00AF2508" w:rsidRDefault="00AF2508">
            <w:pPr>
              <w:pStyle w:val="TableText"/>
              <w:rPr>
                <w:sz w:val="16"/>
              </w:rPr>
            </w:pPr>
            <w:r>
              <w:rPr>
                <w:sz w:val="16"/>
              </w:rPr>
              <w:t>.481</w:t>
            </w:r>
          </w:p>
        </w:tc>
        <w:tc>
          <w:tcPr>
            <w:tcW w:w="600" w:type="dxa"/>
          </w:tcPr>
          <w:p w:rsidR="00AF2508" w:rsidRDefault="00AF2508">
            <w:pPr>
              <w:pStyle w:val="TableText"/>
              <w:rPr>
                <w:sz w:val="16"/>
              </w:rPr>
            </w:pPr>
            <w:r>
              <w:rPr>
                <w:sz w:val="16"/>
              </w:rPr>
              <w:t>.466</w:t>
            </w:r>
          </w:p>
        </w:tc>
      </w:tr>
      <w:tr w:rsidR="00AF2508">
        <w:trPr>
          <w:cantSplit/>
        </w:trPr>
        <w:tc>
          <w:tcPr>
            <w:tcW w:w="560" w:type="dxa"/>
            <w:tcBorders>
              <w:top w:val="single" w:sz="6" w:space="0" w:color="auto"/>
            </w:tcBorders>
          </w:tcPr>
          <w:p w:rsidR="00AF2508" w:rsidRDefault="00AF2508">
            <w:pPr>
              <w:pStyle w:val="TableText"/>
              <w:rPr>
                <w:sz w:val="16"/>
              </w:rPr>
            </w:pPr>
            <w:r>
              <w:rPr>
                <w:sz w:val="16"/>
              </w:rPr>
              <w:t>100</w:t>
            </w:r>
          </w:p>
        </w:tc>
        <w:tc>
          <w:tcPr>
            <w:tcW w:w="8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.368</w:t>
            </w:r>
          </w:p>
        </w:tc>
        <w:tc>
          <w:tcPr>
            <w:tcW w:w="7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.446</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.506</w:t>
            </w:r>
          </w:p>
        </w:tc>
        <w:tc>
          <w:tcPr>
            <w:tcW w:w="5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.496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.536</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.521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.521</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.490</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.484</w:t>
            </w:r>
          </w:p>
        </w:tc>
        <w:tc>
          <w:tcPr>
            <w:tcW w:w="600" w:type="dxa"/>
            <w:tcBorders>
              <w:top w:val="single" w:sz="6" w:space="0" w:color="auto"/>
            </w:tcBorders>
          </w:tcPr>
          <w:p w:rsidR="00AF2508" w:rsidRDefault="00AF2508">
            <w:pPr>
              <w:pStyle w:val="TableText"/>
              <w:rPr>
                <w:sz w:val="16"/>
              </w:rPr>
            </w:pPr>
            <w:r>
              <w:rPr>
                <w:sz w:val="16"/>
              </w:rPr>
              <w:t>.471</w:t>
            </w:r>
          </w:p>
        </w:tc>
      </w:tr>
      <w:tr w:rsidR="00AF2508">
        <w:trPr>
          <w:cantSplit/>
        </w:trPr>
        <w:tc>
          <w:tcPr>
            <w:tcW w:w="560" w:type="dxa"/>
          </w:tcPr>
          <w:p w:rsidR="00AF2508" w:rsidRDefault="00AF2508">
            <w:pPr>
              <w:pStyle w:val="TableText"/>
              <w:rPr>
                <w:sz w:val="16"/>
              </w:rPr>
            </w:pPr>
            <w:r>
              <w:rPr>
                <w:sz w:val="16"/>
              </w:rPr>
              <w:t>150</w:t>
            </w:r>
          </w:p>
        </w:tc>
        <w:tc>
          <w:tcPr>
            <w:tcW w:w="800" w:type="dxa"/>
            <w:tcBorders>
              <w:left w:val="single" w:sz="6" w:space="0" w:color="auto"/>
              <w:right w:val="single" w:sz="6" w:space="0" w:color="auto"/>
            </w:tcBorders>
          </w:tcPr>
          <w:p w:rsidR="00AF2508" w:rsidRDefault="00AF2508">
            <w:pPr>
              <w:pStyle w:val="TableText"/>
              <w:rPr>
                <w:sz w:val="16"/>
              </w:rPr>
            </w:pPr>
            <w:r>
              <w:rPr>
                <w:sz w:val="16"/>
              </w:rPr>
              <w:t>.375</w:t>
            </w:r>
          </w:p>
        </w:tc>
        <w:tc>
          <w:tcPr>
            <w:tcW w:w="700" w:type="dxa"/>
            <w:tcBorders>
              <w:left w:val="single" w:sz="6" w:space="0" w:color="auto"/>
              <w:right w:val="single" w:sz="6" w:space="0" w:color="auto"/>
            </w:tcBorders>
          </w:tcPr>
          <w:p w:rsidR="00AF2508" w:rsidRDefault="00AF2508">
            <w:pPr>
              <w:pStyle w:val="TableText"/>
              <w:rPr>
                <w:sz w:val="16"/>
              </w:rPr>
            </w:pPr>
            <w:r>
              <w:rPr>
                <w:sz w:val="16"/>
              </w:rPr>
              <w:t>.458</w:t>
            </w:r>
          </w:p>
        </w:tc>
        <w:tc>
          <w:tcPr>
            <w:tcW w:w="720" w:type="dxa"/>
            <w:tcBorders>
              <w:left w:val="single" w:sz="6" w:space="0" w:color="auto"/>
              <w:right w:val="single" w:sz="6" w:space="0" w:color="auto"/>
            </w:tcBorders>
          </w:tcPr>
          <w:p w:rsidR="00AF2508" w:rsidRDefault="00AF2508">
            <w:pPr>
              <w:pStyle w:val="TableText"/>
              <w:rPr>
                <w:sz w:val="16"/>
              </w:rPr>
            </w:pPr>
            <w:r>
              <w:rPr>
                <w:sz w:val="16"/>
              </w:rPr>
              <w:t>.518</w:t>
            </w:r>
          </w:p>
        </w:tc>
        <w:tc>
          <w:tcPr>
            <w:tcW w:w="540" w:type="dxa"/>
            <w:tcBorders>
              <w:left w:val="single" w:sz="6" w:space="0" w:color="auto"/>
              <w:right w:val="single" w:sz="6" w:space="0" w:color="auto"/>
            </w:tcBorders>
          </w:tcPr>
          <w:p w:rsidR="00AF2508" w:rsidRDefault="00AF2508">
            <w:pPr>
              <w:pStyle w:val="TableText"/>
              <w:rPr>
                <w:sz w:val="16"/>
              </w:rPr>
            </w:pPr>
            <w:r>
              <w:rPr>
                <w:sz w:val="16"/>
              </w:rPr>
              <w:t>.509</w:t>
            </w:r>
          </w:p>
        </w:tc>
        <w:tc>
          <w:tcPr>
            <w:tcW w:w="600" w:type="dxa"/>
            <w:tcBorders>
              <w:left w:val="single" w:sz="6" w:space="0" w:color="auto"/>
              <w:right w:val="single" w:sz="6" w:space="0" w:color="auto"/>
            </w:tcBorders>
          </w:tcPr>
          <w:p w:rsidR="00AF2508" w:rsidRDefault="00AF2508">
            <w:pPr>
              <w:pStyle w:val="TableText"/>
              <w:rPr>
                <w:sz w:val="16"/>
              </w:rPr>
            </w:pPr>
            <w:r>
              <w:rPr>
                <w:sz w:val="16"/>
              </w:rPr>
              <w:t>.546</w:t>
            </w:r>
          </w:p>
        </w:tc>
        <w:tc>
          <w:tcPr>
            <w:tcW w:w="600" w:type="dxa"/>
            <w:tcBorders>
              <w:left w:val="single" w:sz="6" w:space="0" w:color="auto"/>
              <w:right w:val="single" w:sz="6" w:space="0" w:color="auto"/>
            </w:tcBorders>
          </w:tcPr>
          <w:p w:rsidR="00AF2508" w:rsidRDefault="00AF2508">
            <w:pPr>
              <w:pStyle w:val="TableText"/>
              <w:rPr>
                <w:sz w:val="16"/>
              </w:rPr>
            </w:pPr>
            <w:r>
              <w:rPr>
                <w:sz w:val="16"/>
              </w:rPr>
              <w:t>.534</w:t>
            </w:r>
          </w:p>
        </w:tc>
        <w:tc>
          <w:tcPr>
            <w:tcW w:w="600" w:type="dxa"/>
            <w:tcBorders>
              <w:left w:val="single" w:sz="6" w:space="0" w:color="auto"/>
              <w:right w:val="single" w:sz="6" w:space="0" w:color="auto"/>
            </w:tcBorders>
          </w:tcPr>
          <w:p w:rsidR="00AF2508" w:rsidRDefault="00AF2508">
            <w:pPr>
              <w:pStyle w:val="TableText"/>
              <w:rPr>
                <w:sz w:val="16"/>
              </w:rPr>
            </w:pPr>
            <w:r>
              <w:rPr>
                <w:sz w:val="16"/>
              </w:rPr>
              <w:t>.531</w:t>
            </w:r>
          </w:p>
        </w:tc>
        <w:tc>
          <w:tcPr>
            <w:tcW w:w="600" w:type="dxa"/>
            <w:tcBorders>
              <w:left w:val="single" w:sz="6" w:space="0" w:color="auto"/>
              <w:right w:val="single" w:sz="6" w:space="0" w:color="auto"/>
            </w:tcBorders>
          </w:tcPr>
          <w:p w:rsidR="00AF2508" w:rsidRDefault="00AF2508">
            <w:pPr>
              <w:pStyle w:val="TableText"/>
              <w:rPr>
                <w:sz w:val="16"/>
              </w:rPr>
            </w:pPr>
            <w:r>
              <w:rPr>
                <w:sz w:val="16"/>
              </w:rPr>
              <w:t>.515</w:t>
            </w:r>
          </w:p>
        </w:tc>
        <w:tc>
          <w:tcPr>
            <w:tcW w:w="600" w:type="dxa"/>
            <w:tcBorders>
              <w:left w:val="single" w:sz="6" w:space="0" w:color="auto"/>
              <w:right w:val="single" w:sz="6" w:space="0" w:color="auto"/>
            </w:tcBorders>
          </w:tcPr>
          <w:p w:rsidR="00AF2508" w:rsidRDefault="00AF2508">
            <w:pPr>
              <w:pStyle w:val="TableText"/>
              <w:rPr>
                <w:sz w:val="16"/>
              </w:rPr>
            </w:pPr>
            <w:r>
              <w:rPr>
                <w:sz w:val="16"/>
              </w:rPr>
              <w:t>.503</w:t>
            </w:r>
          </w:p>
        </w:tc>
        <w:tc>
          <w:tcPr>
            <w:tcW w:w="600" w:type="dxa"/>
            <w:tcBorders>
              <w:left w:val="single" w:sz="6" w:space="0" w:color="auto"/>
              <w:right w:val="single" w:sz="6" w:space="0" w:color="auto"/>
            </w:tcBorders>
          </w:tcPr>
          <w:p w:rsidR="00AF2508" w:rsidRDefault="00AF2508">
            <w:pPr>
              <w:pStyle w:val="TableText"/>
              <w:rPr>
                <w:sz w:val="16"/>
              </w:rPr>
            </w:pPr>
            <w:r>
              <w:rPr>
                <w:sz w:val="16"/>
              </w:rPr>
              <w:t>.496</w:t>
            </w:r>
          </w:p>
        </w:tc>
        <w:tc>
          <w:tcPr>
            <w:tcW w:w="600" w:type="dxa"/>
          </w:tcPr>
          <w:p w:rsidR="00AF2508" w:rsidRDefault="00AF2508">
            <w:pPr>
              <w:pStyle w:val="TableText"/>
              <w:rPr>
                <w:sz w:val="16"/>
              </w:rPr>
            </w:pPr>
            <w:r>
              <w:rPr>
                <w:sz w:val="16"/>
              </w:rPr>
              <w:t>.484</w:t>
            </w:r>
          </w:p>
        </w:tc>
      </w:tr>
      <w:tr w:rsidR="00AF2508">
        <w:trPr>
          <w:cantSplit/>
        </w:trPr>
        <w:tc>
          <w:tcPr>
            <w:tcW w:w="560" w:type="dxa"/>
          </w:tcPr>
          <w:p w:rsidR="00AF2508" w:rsidRDefault="00AF2508">
            <w:pPr>
              <w:pStyle w:val="TableText"/>
              <w:rPr>
                <w:sz w:val="16"/>
              </w:rPr>
            </w:pPr>
            <w:r>
              <w:rPr>
                <w:sz w:val="16"/>
              </w:rPr>
              <w:t>200</w:t>
            </w:r>
          </w:p>
        </w:tc>
        <w:tc>
          <w:tcPr>
            <w:tcW w:w="800" w:type="dxa"/>
            <w:tcBorders>
              <w:left w:val="single" w:sz="6" w:space="0" w:color="auto"/>
              <w:right w:val="single" w:sz="6" w:space="0" w:color="auto"/>
            </w:tcBorders>
          </w:tcPr>
          <w:p w:rsidR="00AF2508" w:rsidRDefault="00AF2508">
            <w:pPr>
              <w:pStyle w:val="TableText"/>
              <w:rPr>
                <w:sz w:val="16"/>
              </w:rPr>
            </w:pPr>
            <w:r>
              <w:rPr>
                <w:sz w:val="16"/>
              </w:rPr>
              <w:t>.378</w:t>
            </w:r>
          </w:p>
        </w:tc>
        <w:tc>
          <w:tcPr>
            <w:tcW w:w="700" w:type="dxa"/>
            <w:tcBorders>
              <w:left w:val="single" w:sz="6" w:space="0" w:color="auto"/>
              <w:right w:val="single" w:sz="6" w:space="0" w:color="auto"/>
            </w:tcBorders>
          </w:tcPr>
          <w:p w:rsidR="00AF2508" w:rsidRDefault="00AF2508">
            <w:pPr>
              <w:pStyle w:val="TableText"/>
              <w:rPr>
                <w:sz w:val="16"/>
              </w:rPr>
            </w:pPr>
            <w:r>
              <w:rPr>
                <w:sz w:val="16"/>
              </w:rPr>
              <w:t>.463</w:t>
            </w:r>
          </w:p>
        </w:tc>
        <w:tc>
          <w:tcPr>
            <w:tcW w:w="720" w:type="dxa"/>
            <w:tcBorders>
              <w:left w:val="single" w:sz="6" w:space="0" w:color="auto"/>
              <w:right w:val="single" w:sz="6" w:space="0" w:color="auto"/>
            </w:tcBorders>
          </w:tcPr>
          <w:p w:rsidR="00AF2508" w:rsidRDefault="00AF2508">
            <w:pPr>
              <w:pStyle w:val="TableText"/>
              <w:rPr>
                <w:sz w:val="16"/>
              </w:rPr>
            </w:pPr>
            <w:r>
              <w:rPr>
                <w:sz w:val="16"/>
              </w:rPr>
              <w:t>.524</w:t>
            </w:r>
          </w:p>
        </w:tc>
        <w:tc>
          <w:tcPr>
            <w:tcW w:w="540" w:type="dxa"/>
            <w:tcBorders>
              <w:left w:val="single" w:sz="6" w:space="0" w:color="auto"/>
              <w:right w:val="single" w:sz="6" w:space="0" w:color="auto"/>
            </w:tcBorders>
          </w:tcPr>
          <w:p w:rsidR="00AF2508" w:rsidRDefault="00AF2508">
            <w:pPr>
              <w:pStyle w:val="TableText"/>
              <w:rPr>
                <w:sz w:val="16"/>
              </w:rPr>
            </w:pPr>
            <w:r>
              <w:rPr>
                <w:sz w:val="16"/>
              </w:rPr>
              <w:t>.515</w:t>
            </w:r>
          </w:p>
        </w:tc>
        <w:tc>
          <w:tcPr>
            <w:tcW w:w="600" w:type="dxa"/>
            <w:tcBorders>
              <w:left w:val="single" w:sz="6" w:space="0" w:color="auto"/>
              <w:right w:val="single" w:sz="6" w:space="0" w:color="auto"/>
            </w:tcBorders>
          </w:tcPr>
          <w:p w:rsidR="00AF2508" w:rsidRDefault="00AF2508">
            <w:pPr>
              <w:pStyle w:val="TableText"/>
              <w:rPr>
                <w:sz w:val="16"/>
              </w:rPr>
            </w:pPr>
            <w:r>
              <w:rPr>
                <w:sz w:val="16"/>
              </w:rPr>
              <w:t>.553</w:t>
            </w:r>
          </w:p>
        </w:tc>
        <w:tc>
          <w:tcPr>
            <w:tcW w:w="600" w:type="dxa"/>
            <w:tcBorders>
              <w:left w:val="single" w:sz="6" w:space="0" w:color="auto"/>
              <w:right w:val="single" w:sz="6" w:space="0" w:color="auto"/>
            </w:tcBorders>
          </w:tcPr>
          <w:p w:rsidR="00AF2508" w:rsidRDefault="00AF2508">
            <w:pPr>
              <w:pStyle w:val="TableText"/>
              <w:rPr>
                <w:sz w:val="16"/>
              </w:rPr>
            </w:pPr>
            <w:r>
              <w:rPr>
                <w:sz w:val="16"/>
              </w:rPr>
              <w:t>.540</w:t>
            </w:r>
          </w:p>
        </w:tc>
        <w:tc>
          <w:tcPr>
            <w:tcW w:w="600" w:type="dxa"/>
            <w:tcBorders>
              <w:left w:val="single" w:sz="6" w:space="0" w:color="auto"/>
              <w:right w:val="single" w:sz="6" w:space="0" w:color="auto"/>
            </w:tcBorders>
          </w:tcPr>
          <w:p w:rsidR="00AF2508" w:rsidRDefault="00AF2508">
            <w:pPr>
              <w:pStyle w:val="TableText"/>
              <w:rPr>
                <w:sz w:val="16"/>
              </w:rPr>
            </w:pPr>
            <w:r>
              <w:rPr>
                <w:sz w:val="16"/>
              </w:rPr>
              <w:t>.536</w:t>
            </w:r>
          </w:p>
        </w:tc>
        <w:tc>
          <w:tcPr>
            <w:tcW w:w="600" w:type="dxa"/>
            <w:tcBorders>
              <w:left w:val="single" w:sz="6" w:space="0" w:color="auto"/>
              <w:right w:val="single" w:sz="6" w:space="0" w:color="auto"/>
            </w:tcBorders>
          </w:tcPr>
          <w:p w:rsidR="00AF2508" w:rsidRDefault="00AF2508">
            <w:pPr>
              <w:pStyle w:val="TableText"/>
              <w:rPr>
                <w:sz w:val="16"/>
              </w:rPr>
            </w:pPr>
            <w:r>
              <w:rPr>
                <w:sz w:val="16"/>
              </w:rPr>
              <w:t>.521</w:t>
            </w:r>
          </w:p>
        </w:tc>
        <w:tc>
          <w:tcPr>
            <w:tcW w:w="600" w:type="dxa"/>
            <w:tcBorders>
              <w:left w:val="single" w:sz="6" w:space="0" w:color="auto"/>
              <w:right w:val="single" w:sz="6" w:space="0" w:color="auto"/>
            </w:tcBorders>
          </w:tcPr>
          <w:p w:rsidR="00AF2508" w:rsidRDefault="00AF2508">
            <w:pPr>
              <w:pStyle w:val="TableText"/>
              <w:rPr>
                <w:sz w:val="16"/>
              </w:rPr>
            </w:pPr>
            <w:r>
              <w:rPr>
                <w:sz w:val="16"/>
              </w:rPr>
              <w:t>.509</w:t>
            </w:r>
          </w:p>
        </w:tc>
        <w:tc>
          <w:tcPr>
            <w:tcW w:w="600" w:type="dxa"/>
            <w:tcBorders>
              <w:left w:val="single" w:sz="6" w:space="0" w:color="auto"/>
              <w:right w:val="single" w:sz="6" w:space="0" w:color="auto"/>
            </w:tcBorders>
          </w:tcPr>
          <w:p w:rsidR="00AF2508" w:rsidRDefault="00AF2508">
            <w:pPr>
              <w:pStyle w:val="TableText"/>
              <w:rPr>
                <w:sz w:val="16"/>
              </w:rPr>
            </w:pPr>
            <w:r>
              <w:rPr>
                <w:sz w:val="16"/>
              </w:rPr>
              <w:t>.503</w:t>
            </w:r>
          </w:p>
        </w:tc>
        <w:tc>
          <w:tcPr>
            <w:tcW w:w="600" w:type="dxa"/>
          </w:tcPr>
          <w:p w:rsidR="00AF2508" w:rsidRDefault="00AF2508">
            <w:pPr>
              <w:pStyle w:val="TableText"/>
              <w:rPr>
                <w:sz w:val="16"/>
              </w:rPr>
            </w:pPr>
            <w:r>
              <w:rPr>
                <w:sz w:val="16"/>
              </w:rPr>
              <w:t>.509</w:t>
            </w:r>
          </w:p>
        </w:tc>
      </w:tr>
      <w:tr w:rsidR="00AF2508">
        <w:trPr>
          <w:cantSplit/>
        </w:trPr>
        <w:tc>
          <w:tcPr>
            <w:tcW w:w="560" w:type="dxa"/>
          </w:tcPr>
          <w:p w:rsidR="00AF2508" w:rsidRDefault="00AF2508">
            <w:pPr>
              <w:pStyle w:val="TableText"/>
              <w:rPr>
                <w:sz w:val="16"/>
              </w:rPr>
            </w:pPr>
            <w:r>
              <w:rPr>
                <w:sz w:val="16"/>
              </w:rPr>
              <w:t>300</w:t>
            </w:r>
          </w:p>
        </w:tc>
        <w:tc>
          <w:tcPr>
            <w:tcW w:w="800" w:type="dxa"/>
            <w:tcBorders>
              <w:left w:val="single" w:sz="6" w:space="0" w:color="auto"/>
              <w:right w:val="single" w:sz="6" w:space="0" w:color="auto"/>
            </w:tcBorders>
          </w:tcPr>
          <w:p w:rsidR="00AF2508" w:rsidRDefault="00AF2508">
            <w:pPr>
              <w:pStyle w:val="TableText"/>
              <w:rPr>
                <w:sz w:val="16"/>
              </w:rPr>
            </w:pPr>
            <w:r>
              <w:rPr>
                <w:sz w:val="16"/>
              </w:rPr>
              <w:t>.382</w:t>
            </w:r>
          </w:p>
        </w:tc>
        <w:tc>
          <w:tcPr>
            <w:tcW w:w="700" w:type="dxa"/>
            <w:tcBorders>
              <w:left w:val="single" w:sz="6" w:space="0" w:color="auto"/>
              <w:right w:val="single" w:sz="6" w:space="0" w:color="auto"/>
            </w:tcBorders>
          </w:tcPr>
          <w:p w:rsidR="00AF2508" w:rsidRDefault="00AF2508">
            <w:pPr>
              <w:pStyle w:val="TableText"/>
              <w:rPr>
                <w:sz w:val="16"/>
              </w:rPr>
            </w:pPr>
            <w:r>
              <w:rPr>
                <w:sz w:val="16"/>
              </w:rPr>
              <w:t>.471</w:t>
            </w:r>
          </w:p>
        </w:tc>
        <w:tc>
          <w:tcPr>
            <w:tcW w:w="720" w:type="dxa"/>
            <w:tcBorders>
              <w:left w:val="single" w:sz="6" w:space="0" w:color="auto"/>
              <w:right w:val="single" w:sz="6" w:space="0" w:color="auto"/>
            </w:tcBorders>
          </w:tcPr>
          <w:p w:rsidR="00AF2508" w:rsidRDefault="00AF2508">
            <w:pPr>
              <w:pStyle w:val="TableText"/>
              <w:rPr>
                <w:sz w:val="16"/>
              </w:rPr>
            </w:pPr>
            <w:r>
              <w:rPr>
                <w:sz w:val="16"/>
              </w:rPr>
              <w:t>.534</w:t>
            </w:r>
          </w:p>
        </w:tc>
        <w:tc>
          <w:tcPr>
            <w:tcW w:w="54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Borders>
              <w:left w:val="single" w:sz="6" w:space="0" w:color="auto"/>
              <w:right w:val="single" w:sz="6" w:space="0" w:color="auto"/>
            </w:tcBorders>
          </w:tcPr>
          <w:p w:rsidR="00AF2508" w:rsidRDefault="00AF2508">
            <w:pPr>
              <w:pStyle w:val="TableText"/>
              <w:rPr>
                <w:sz w:val="16"/>
              </w:rPr>
            </w:pPr>
          </w:p>
        </w:tc>
        <w:tc>
          <w:tcPr>
            <w:tcW w:w="600" w:type="dxa"/>
          </w:tcPr>
          <w:p w:rsidR="00AF2508" w:rsidRDefault="00AF2508">
            <w:pPr>
              <w:pStyle w:val="TableText"/>
              <w:rPr>
                <w:sz w:val="16"/>
              </w:rPr>
            </w:pPr>
          </w:p>
        </w:tc>
      </w:tr>
      <w:tr w:rsidR="00AF2508">
        <w:trPr>
          <w:cantSplit/>
        </w:trPr>
        <w:tc>
          <w:tcPr>
            <w:tcW w:w="560" w:type="dxa"/>
            <w:tcBorders>
              <w:bottom w:val="single" w:sz="6" w:space="0" w:color="auto"/>
            </w:tcBorders>
          </w:tcPr>
          <w:p w:rsidR="00AF2508" w:rsidRDefault="00AF2508">
            <w:pPr>
              <w:pStyle w:val="TableText"/>
              <w:rPr>
                <w:sz w:val="16"/>
              </w:rPr>
            </w:pPr>
            <w:r>
              <w:rPr>
                <w:sz w:val="16"/>
              </w:rPr>
              <w:t>Rack</w:t>
            </w:r>
          </w:p>
        </w:tc>
        <w:tc>
          <w:tcPr>
            <w:tcW w:w="8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.390</w:t>
            </w:r>
          </w:p>
        </w:tc>
        <w:tc>
          <w:tcPr>
            <w:tcW w:w="7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.484</w:t>
            </w:r>
          </w:p>
        </w:tc>
        <w:tc>
          <w:tcPr>
            <w:tcW w:w="72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.550</w:t>
            </w:r>
          </w:p>
        </w:tc>
        <w:tc>
          <w:tcPr>
            <w:tcW w:w="54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.543</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.578</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.562</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.553</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.540</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.534</w:t>
            </w:r>
          </w:p>
        </w:tc>
        <w:tc>
          <w:tcPr>
            <w:tcW w:w="600" w:type="dxa"/>
            <w:tcBorders>
              <w:left w:val="single" w:sz="6" w:space="0" w:color="auto"/>
              <w:bottom w:val="single" w:sz="6" w:space="0" w:color="auto"/>
              <w:right w:val="single" w:sz="6" w:space="0" w:color="auto"/>
            </w:tcBorders>
          </w:tcPr>
          <w:p w:rsidR="00AF2508" w:rsidRDefault="00AF2508">
            <w:pPr>
              <w:pStyle w:val="TableText"/>
              <w:rPr>
                <w:sz w:val="16"/>
              </w:rPr>
            </w:pPr>
            <w:r>
              <w:rPr>
                <w:sz w:val="16"/>
              </w:rPr>
              <w:t>.528</w:t>
            </w:r>
          </w:p>
        </w:tc>
        <w:tc>
          <w:tcPr>
            <w:tcW w:w="600" w:type="dxa"/>
            <w:tcBorders>
              <w:bottom w:val="single" w:sz="6" w:space="0" w:color="auto"/>
            </w:tcBorders>
          </w:tcPr>
          <w:p w:rsidR="00AF2508" w:rsidRDefault="00AF2508">
            <w:pPr>
              <w:pStyle w:val="TableText"/>
              <w:rPr>
                <w:sz w:val="16"/>
              </w:rPr>
            </w:pPr>
            <w:r>
              <w:rPr>
                <w:sz w:val="16"/>
              </w:rPr>
              <w:t>.521</w:t>
            </w:r>
          </w:p>
        </w:tc>
      </w:tr>
    </w:tbl>
    <w:p w:rsidR="00AF2508" w:rsidRDefault="00AF2508">
      <w:pPr>
        <w:pStyle w:val="Amain"/>
        <w:rPr>
          <w:color w:val="000000"/>
        </w:rPr>
      </w:pPr>
    </w:p>
    <w:p w:rsidR="00AF2508" w:rsidRDefault="00AF2508">
      <w:pPr>
        <w:pStyle w:val="Amain"/>
      </w:pPr>
      <w:r>
        <w:rPr>
          <w:color w:val="000000"/>
        </w:rPr>
        <w:tab/>
        <w:t>(43)</w:t>
      </w:r>
      <w:r>
        <w:rPr>
          <w:color w:val="000000"/>
        </w:rPr>
        <w:tab/>
        <w:t>The strength of the ‘straight’ type involute tooth of a bevel spur gear shall be deemed to be less than that of the tooth of a plain spur gear of the same material, diametral pitch, pitch diameter, face, and number of teeth, in the ratio—</w:t>
      </w:r>
    </w:p>
    <w:p w:rsidR="00AF2508" w:rsidRDefault="00AF2508">
      <w:pPr>
        <w:pStyle w:val="Formula"/>
      </w:pPr>
      <w:r>
        <w:rPr>
          <w:position w:val="-10"/>
        </w:rPr>
        <w:object w:dxaOrig="180" w:dyaOrig="340">
          <v:shape id="_x0000_i1045" type="#_x0000_t75" style="width:9pt;height:17.25pt" o:ole="" fillcolor="window">
            <v:imagedata r:id="rId106" o:title=""/>
          </v:shape>
          <o:OLEObject Type="Embed" ProgID="Equation.3" ShapeID="_x0000_i1045" DrawAspect="Content" ObjectID="_1595940270" r:id="rId107"/>
        </w:object>
      </w:r>
      <w:r>
        <w:rPr>
          <w:position w:val="-28"/>
        </w:rPr>
        <w:object w:dxaOrig="4940" w:dyaOrig="680">
          <v:shape id="_x0000_i1046" type="#_x0000_t75" style="width:246.75pt;height:33.75pt" o:ole="" fillcolor="window">
            <v:imagedata r:id="rId108" o:title=""/>
          </v:shape>
          <o:OLEObject Type="Embed" ProgID="Equation.2" ShapeID="_x0000_i1046" DrawAspect="Content" ObjectID="_1595940271" r:id="rId109"/>
        </w:object>
      </w:r>
    </w:p>
    <w:p w:rsidR="00AF2508" w:rsidRDefault="00AF2508">
      <w:pPr>
        <w:pStyle w:val="Amain"/>
      </w:pPr>
      <w:r>
        <w:rPr>
          <w:color w:val="000000"/>
        </w:rPr>
        <w:tab/>
        <w:t>(44)</w:t>
      </w:r>
      <w:r>
        <w:rPr>
          <w:color w:val="000000"/>
        </w:rPr>
        <w:tab/>
        <w:t>The strength of the involute tooth of a worm wheel shall be deemed equal to that of a plain spur gear of the same material, diametral pitch, pitch diameter, face, and number of teeth.</w:t>
      </w:r>
    </w:p>
    <w:p w:rsidR="00AF2508" w:rsidRDefault="00AF2508">
      <w:pPr>
        <w:pStyle w:val="Amain"/>
        <w:keepLines/>
      </w:pPr>
      <w:r>
        <w:rPr>
          <w:color w:val="000000"/>
        </w:rPr>
        <w:tab/>
        <w:t>(45)</w:t>
      </w:r>
      <w:r>
        <w:rPr>
          <w:color w:val="000000"/>
        </w:rPr>
        <w:tab/>
        <w:t>Except if the chief inspector otherwise approves, each tooth of a spur gear shall be considered to bear a load equal to the pitch circle load the spur gear is required to transmit, having due regard to the increases prescribed by section 125.</w:t>
      </w:r>
    </w:p>
    <w:p w:rsidR="00AF2508" w:rsidRDefault="00AF2508">
      <w:pPr>
        <w:pStyle w:val="Amain"/>
      </w:pPr>
      <w:r>
        <w:rPr>
          <w:color w:val="000000"/>
        </w:rPr>
        <w:tab/>
        <w:t>(46)</w:t>
      </w:r>
      <w:r>
        <w:rPr>
          <w:color w:val="000000"/>
        </w:rPr>
        <w:tab/>
        <w:t>Alternatively to the method prescribed by section 130 (39) the strength of the machined straight involute tooth of a plain or helical spur gear may be determined by the procedure prescribed by British Standard Specification No 436-1940, ‘Machine Cut Gears, Helical and Straight Spur’, provided that the approval of the chief inspector is first obtained in relation to all allowances to be made and margins to be preserved.</w:t>
      </w:r>
    </w:p>
    <w:p w:rsidR="00AF2508" w:rsidRDefault="00AF2508">
      <w:pPr>
        <w:pStyle w:val="Amain"/>
      </w:pPr>
      <w:r>
        <w:rPr>
          <w:color w:val="000000"/>
        </w:rPr>
        <w:tab/>
        <w:t>(47)</w:t>
      </w:r>
      <w:r>
        <w:rPr>
          <w:color w:val="000000"/>
        </w:rPr>
        <w:tab/>
        <w:t>To make allowance for dynamic effects the limiting permissible stresses prescribed by section 126 shall for power-driven gear teeth be further reduced in the ratio—</w:t>
      </w:r>
    </w:p>
    <w:tbl>
      <w:tblPr>
        <w:tblW w:w="0" w:type="auto"/>
        <w:tblInd w:w="560" w:type="dxa"/>
        <w:tblLayout w:type="fixed"/>
        <w:tblCellMar>
          <w:left w:w="80" w:type="dxa"/>
          <w:right w:w="80" w:type="dxa"/>
        </w:tblCellMar>
        <w:tblLook w:val="0000" w:firstRow="0" w:lastRow="0" w:firstColumn="0" w:lastColumn="0" w:noHBand="0" w:noVBand="0"/>
      </w:tblPr>
      <w:tblGrid>
        <w:gridCol w:w="1160"/>
        <w:gridCol w:w="2220"/>
        <w:gridCol w:w="20"/>
        <w:gridCol w:w="1320"/>
        <w:gridCol w:w="20"/>
        <w:gridCol w:w="2340"/>
      </w:tblGrid>
      <w:tr w:rsidR="00AF2508">
        <w:trPr>
          <w:cantSplit/>
        </w:trPr>
        <w:tc>
          <w:tcPr>
            <w:tcW w:w="1160" w:type="dxa"/>
          </w:tcPr>
          <w:p w:rsidR="00AF2508" w:rsidRDefault="00AF2508">
            <w:pPr>
              <w:pStyle w:val="allsections"/>
              <w:spacing w:before="360" w:after="0"/>
              <w:ind w:left="40" w:right="60" w:hanging="40"/>
              <w:jc w:val="center"/>
              <w:rPr>
                <w:rFonts w:ascii="Times New Roman" w:hAnsi="Times New Roman"/>
                <w:color w:val="000000"/>
              </w:rPr>
            </w:pPr>
            <w:r>
              <w:rPr>
                <w:rFonts w:ascii="Times New Roman" w:hAnsi="Times New Roman"/>
                <w:color w:val="000000"/>
              </w:rPr>
              <w:t>600</w:t>
            </w:r>
          </w:p>
        </w:tc>
        <w:tc>
          <w:tcPr>
            <w:tcW w:w="2220" w:type="dxa"/>
          </w:tcPr>
          <w:p w:rsidR="00AF2508" w:rsidRDefault="00AF2508">
            <w:pPr>
              <w:pStyle w:val="allsections"/>
              <w:spacing w:before="400" w:after="0"/>
              <w:ind w:left="-40" w:right="-20" w:firstLine="0"/>
              <w:rPr>
                <w:rFonts w:ascii="Times New Roman" w:hAnsi="Times New Roman"/>
                <w:color w:val="000000"/>
              </w:rPr>
            </w:pPr>
            <w:r>
              <w:rPr>
                <w:rFonts w:ascii="Times New Roman" w:hAnsi="Times New Roman"/>
                <w:color w:val="000000"/>
              </w:rPr>
              <w:t>for metallic teeth, or</w:t>
            </w:r>
          </w:p>
        </w:tc>
        <w:tc>
          <w:tcPr>
            <w:tcW w:w="1340" w:type="dxa"/>
            <w:gridSpan w:val="2"/>
          </w:tcPr>
          <w:p w:rsidR="00AF2508" w:rsidRDefault="00AF2508">
            <w:pPr>
              <w:pStyle w:val="allsections"/>
              <w:ind w:left="80" w:right="60" w:firstLine="0"/>
              <w:rPr>
                <w:rFonts w:ascii="Times New Roman" w:hAnsi="Times New Roman"/>
                <w:color w:val="000000"/>
              </w:rPr>
            </w:pPr>
            <w:r>
              <w:rPr>
                <w:rFonts w:ascii="Times New Roman" w:hAnsi="Times New Roman"/>
                <w:color w:val="000000"/>
              </w:rPr>
              <w:t xml:space="preserve">200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color w:val="000000"/>
              </w:rPr>
              <w:fldChar w:fldCharType="begin"/>
            </w:r>
            <w:r>
              <w:rPr>
                <w:rFonts w:ascii="Times New Roman" w:hAnsi="Times New Roman"/>
                <w:color w:val="000000"/>
              </w:rPr>
              <w:instrText xml:space="preserve"> EQ \F(</w:instrText>
            </w:r>
            <w:r>
              <w:rPr>
                <w:rFonts w:ascii="Times New Roman" w:hAnsi="Times New Roman"/>
                <w:b/>
                <w:color w:val="000000"/>
              </w:rPr>
              <w:instrText>V</w:instrText>
            </w:r>
            <w:r>
              <w:rPr>
                <w:rFonts w:ascii="Times New Roman" w:hAnsi="Times New Roman"/>
                <w:color w:val="000000"/>
              </w:rPr>
              <w:instrText xml:space="preserve">,4) </w:instrText>
            </w:r>
            <w:r>
              <w:rPr>
                <w:rFonts w:ascii="Times New Roman" w:hAnsi="Times New Roman"/>
                <w:color w:val="000000"/>
              </w:rPr>
              <w:fldChar w:fldCharType="end"/>
            </w:r>
          </w:p>
        </w:tc>
        <w:tc>
          <w:tcPr>
            <w:tcW w:w="2360" w:type="dxa"/>
            <w:gridSpan w:val="2"/>
          </w:tcPr>
          <w:p w:rsidR="00AF2508" w:rsidRDefault="00AF2508">
            <w:pPr>
              <w:pStyle w:val="allsections"/>
              <w:spacing w:before="400" w:after="0"/>
              <w:ind w:right="60" w:firstLine="0"/>
              <w:rPr>
                <w:rFonts w:ascii="Times New Roman" w:hAnsi="Times New Roman"/>
                <w:color w:val="000000"/>
              </w:rPr>
            </w:pPr>
            <w:r>
              <w:rPr>
                <w:rFonts w:ascii="Times New Roman" w:hAnsi="Times New Roman"/>
                <w:color w:val="000000"/>
              </w:rPr>
              <w:t xml:space="preserve">for nonmetallic teeth </w:t>
            </w:r>
          </w:p>
        </w:tc>
      </w:tr>
      <w:tr w:rsidR="00AF2508">
        <w:trPr>
          <w:cantSplit/>
        </w:trPr>
        <w:tc>
          <w:tcPr>
            <w:tcW w:w="1160" w:type="dxa"/>
          </w:tcPr>
          <w:p w:rsidR="00AF2508" w:rsidRDefault="00AF2508">
            <w:pPr>
              <w:pStyle w:val="allsections"/>
              <w:ind w:right="60" w:firstLine="0"/>
              <w:jc w:val="center"/>
              <w:rPr>
                <w:rFonts w:ascii="Times New Roman" w:hAnsi="Times New Roman"/>
                <w:color w:val="000000"/>
              </w:rPr>
            </w:pPr>
            <w:r>
              <w:rPr>
                <w:rFonts w:ascii="Times New Roman" w:hAnsi="Times New Roman"/>
                <w:color w:val="000000"/>
              </w:rPr>
              <w:t xml:space="preserve">600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b/>
                <w:color w:val="000000"/>
              </w:rPr>
              <w:t>V</w:t>
            </w:r>
          </w:p>
        </w:tc>
        <w:tc>
          <w:tcPr>
            <w:tcW w:w="2240" w:type="dxa"/>
            <w:gridSpan w:val="2"/>
          </w:tcPr>
          <w:p w:rsidR="00AF2508" w:rsidRDefault="00AF2508">
            <w:pPr>
              <w:pStyle w:val="Amain"/>
              <w:rPr>
                <w:color w:val="000000"/>
              </w:rPr>
            </w:pPr>
          </w:p>
        </w:tc>
        <w:tc>
          <w:tcPr>
            <w:tcW w:w="1340" w:type="dxa"/>
            <w:gridSpan w:val="2"/>
          </w:tcPr>
          <w:p w:rsidR="00AF2508" w:rsidRDefault="00AF2508">
            <w:pPr>
              <w:pStyle w:val="allsections"/>
              <w:ind w:left="80" w:right="60" w:firstLine="0"/>
              <w:rPr>
                <w:rFonts w:ascii="Times New Roman" w:hAnsi="Times New Roman"/>
                <w:color w:val="000000"/>
              </w:rPr>
            </w:pPr>
            <w:r>
              <w:rPr>
                <w:rFonts w:ascii="Times New Roman" w:hAnsi="Times New Roman"/>
                <w:color w:val="000000"/>
              </w:rPr>
              <w:t xml:space="preserve">200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b/>
                <w:color w:val="000000"/>
              </w:rPr>
              <w:t>V</w:t>
            </w:r>
          </w:p>
        </w:tc>
        <w:tc>
          <w:tcPr>
            <w:tcW w:w="2340" w:type="dxa"/>
          </w:tcPr>
          <w:p w:rsidR="00AF2508" w:rsidRDefault="00AF2508">
            <w:pPr>
              <w:pStyle w:val="Amain"/>
              <w:rPr>
                <w:color w:val="000000"/>
              </w:rPr>
            </w:pPr>
          </w:p>
        </w:tc>
      </w:tr>
    </w:tbl>
    <w:p w:rsidR="00AF2508" w:rsidRDefault="00AF2508">
      <w:pPr>
        <w:pStyle w:val="Amain"/>
      </w:pPr>
      <w:r>
        <w:tab/>
        <w:t>(48)</w:t>
      </w:r>
      <w:r>
        <w:tab/>
        <w:t>In subergulation (47):</w:t>
      </w:r>
    </w:p>
    <w:p w:rsidR="00AF2508" w:rsidRDefault="00AF2508">
      <w:pPr>
        <w:pStyle w:val="aDef"/>
      </w:pPr>
      <w:r>
        <w:rPr>
          <w:b/>
        </w:rPr>
        <w:t>V</w:t>
      </w:r>
      <w:r>
        <w:t xml:space="preserve"> means the speed of meshing of the gear teeth measured at their pitch circle in feet per minute.</w:t>
      </w:r>
    </w:p>
    <w:p w:rsidR="00AF2508" w:rsidRDefault="00AF2508">
      <w:pPr>
        <w:pStyle w:val="Amain"/>
      </w:pPr>
      <w:r>
        <w:rPr>
          <w:color w:val="000000"/>
        </w:rPr>
        <w:tab/>
        <w:t>(49)</w:t>
      </w:r>
      <w:r>
        <w:rPr>
          <w:color w:val="000000"/>
        </w:rPr>
        <w:tab/>
        <w:t>For the purpose of determining pressures on lubricated bearing journals or surfaces between which relative movement occurs, the force and moment increases prescribed by section 125 may be disregarded.</w:t>
      </w:r>
    </w:p>
    <w:p w:rsidR="00AF2508" w:rsidRDefault="00AF2508">
      <w:pPr>
        <w:pStyle w:val="Amain"/>
        <w:keepLines/>
      </w:pPr>
      <w:r>
        <w:rPr>
          <w:color w:val="000000"/>
        </w:rPr>
        <w:tab/>
        <w:t>(50)</w:t>
      </w:r>
      <w:r>
        <w:rPr>
          <w:color w:val="000000"/>
        </w:rPr>
        <w:tab/>
        <w:t>The maximum intensity of bearing pressure between a gunmetal bush or bearing and the plain parallel journal of a mild steel shaft revolving relatively to it, and being a machine shaft of the mechanism of a crane or hoist, or lift or scaffolding, shall not exceed that recommended by Standards Australia Crane and Hoist Code No CB2-1938, rule 510 as appropriate and relevant to the use, speed, clearances and system or conditions of lubrication of the bearing.</w:t>
      </w:r>
    </w:p>
    <w:p w:rsidR="00AF2508" w:rsidRDefault="00AF2508">
      <w:pPr>
        <w:pStyle w:val="Amain"/>
      </w:pPr>
      <w:r>
        <w:tab/>
        <w:t>(51)</w:t>
      </w:r>
      <w:r>
        <w:tab/>
        <w:t>The maximum intensities of bearing pressures between other lubricated journals or surfaces shall not exceed those shown in table 130.2, relevant and appropriate to the rubbing speeds, materials and conditions or way of use.</w:t>
      </w:r>
    </w:p>
    <w:p w:rsidR="00AF2508" w:rsidRDefault="00AF2508">
      <w:pPr>
        <w:spacing w:before="60" w:after="60"/>
        <w:rPr>
          <w:rFonts w:ascii="Arial" w:hAnsi="Arial"/>
          <w:b/>
          <w:sz w:val="20"/>
        </w:rPr>
      </w:pPr>
      <w:r>
        <w:rPr>
          <w:rFonts w:ascii="Arial" w:hAnsi="Arial"/>
          <w:b/>
          <w:sz w:val="20"/>
        </w:rPr>
        <w:t>Notes referring to tables</w:t>
      </w:r>
    </w:p>
    <w:p w:rsidR="00AF2508" w:rsidRDefault="00AF2508">
      <w:pPr>
        <w:pStyle w:val="Amain"/>
        <w:spacing w:before="20" w:after="40"/>
        <w:rPr>
          <w:color w:val="000000"/>
          <w:sz w:val="20"/>
        </w:rPr>
      </w:pPr>
      <w:r>
        <w:rPr>
          <w:color w:val="000000"/>
          <w:sz w:val="20"/>
        </w:rPr>
        <w:t>Intermediate values may be interpolated—</w:t>
      </w:r>
    </w:p>
    <w:p w:rsidR="00AF2508" w:rsidRDefault="00AF2508">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those prescribed for 2 inch diameter shafts by Standards Australia Crane &amp; Hoist Code No C.B.2—1938, rule 510.</w:t>
      </w:r>
    </w:p>
    <w:p w:rsidR="00AF2508" w:rsidRDefault="00AF2508">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25% those prescribed for 2 inch diameter shafts by Standards Australia Crane &amp; Hoist Code No C.B. 2—1938, rule 510.</w:t>
      </w:r>
    </w:p>
    <w:p w:rsidR="00AF2508" w:rsidRDefault="00AF2508">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15% those prescribed for 2 inch diameter shafts by Standards Australia Crane &amp; Hoist Code No C.B. 2—1938, rule 510.</w:t>
      </w:r>
    </w:p>
    <w:p w:rsidR="00AF2508" w:rsidRDefault="00AF2508">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45% those prescribed for 2 inch diameter shafts by Standards Australia Crane &amp; Hoist Code No C.B. 2—1938, rule 510.</w:t>
      </w:r>
    </w:p>
    <w:p w:rsidR="00AF2508" w:rsidRDefault="00AF2508">
      <w:pPr>
        <w:pStyle w:val="Amain"/>
        <w:spacing w:before="20" w:after="40"/>
        <w:rPr>
          <w:color w:val="000000"/>
          <w:sz w:val="20"/>
        </w:rPr>
      </w:pPr>
      <w:r>
        <w:rPr>
          <w:color w:val="000000"/>
          <w:sz w:val="20"/>
        </w:rPr>
        <w:t>M.S. means mild steel</w:t>
      </w:r>
    </w:p>
    <w:p w:rsidR="00AF2508" w:rsidRDefault="00AF2508">
      <w:pPr>
        <w:pStyle w:val="Amain"/>
        <w:spacing w:before="20" w:after="40"/>
        <w:rPr>
          <w:color w:val="000000"/>
          <w:sz w:val="20"/>
        </w:rPr>
      </w:pPr>
      <w:r>
        <w:rPr>
          <w:color w:val="000000"/>
          <w:sz w:val="20"/>
        </w:rPr>
        <w:t>Med. S. means steel having a surface hardness of not less than 200 Brinell.</w:t>
      </w:r>
    </w:p>
    <w:p w:rsidR="00AF2508" w:rsidRDefault="00AF2508">
      <w:pPr>
        <w:pStyle w:val="Amain"/>
        <w:spacing w:before="20" w:after="40"/>
        <w:rPr>
          <w:color w:val="000000"/>
          <w:sz w:val="20"/>
        </w:rPr>
      </w:pPr>
      <w:r>
        <w:rPr>
          <w:color w:val="000000"/>
          <w:sz w:val="20"/>
        </w:rPr>
        <w:t>H.S. means steel having a surface hardness of not less than 550 Brinell.</w:t>
      </w:r>
    </w:p>
    <w:p w:rsidR="00AF2508" w:rsidRDefault="00AF2508">
      <w:pPr>
        <w:pStyle w:val="Amain"/>
        <w:spacing w:before="20" w:after="40"/>
        <w:rPr>
          <w:color w:val="000000"/>
          <w:sz w:val="20"/>
        </w:rPr>
      </w:pPr>
      <w:r>
        <w:rPr>
          <w:color w:val="000000"/>
          <w:sz w:val="20"/>
        </w:rPr>
        <w:t>C.S. means mild cast steel.</w:t>
      </w:r>
    </w:p>
    <w:p w:rsidR="00AF2508" w:rsidRDefault="00AF2508">
      <w:pPr>
        <w:pStyle w:val="Amain"/>
        <w:spacing w:before="20" w:after="40"/>
        <w:rPr>
          <w:color w:val="000000"/>
          <w:sz w:val="20"/>
        </w:rPr>
      </w:pPr>
      <w:r>
        <w:rPr>
          <w:color w:val="000000"/>
          <w:sz w:val="20"/>
        </w:rPr>
        <w:t>G.M. means gunmetal.</w:t>
      </w:r>
    </w:p>
    <w:p w:rsidR="00AF2508" w:rsidRDefault="00AF2508">
      <w:pPr>
        <w:pStyle w:val="Amain"/>
        <w:spacing w:before="20" w:after="40"/>
        <w:rPr>
          <w:color w:val="000000"/>
          <w:sz w:val="20"/>
        </w:rPr>
      </w:pPr>
      <w:r>
        <w:rPr>
          <w:color w:val="000000"/>
          <w:sz w:val="20"/>
        </w:rPr>
        <w:t>W.M. means white metal</w:t>
      </w:r>
    </w:p>
    <w:p w:rsidR="00AF2508" w:rsidRDefault="00AF2508">
      <w:pPr>
        <w:pStyle w:val="Amain"/>
        <w:spacing w:before="20" w:after="40"/>
        <w:rPr>
          <w:color w:val="000000"/>
          <w:sz w:val="20"/>
        </w:rPr>
      </w:pPr>
      <w:r>
        <w:rPr>
          <w:color w:val="000000"/>
          <w:sz w:val="20"/>
        </w:rPr>
        <w:t>P.B. means phosphor bronze having a surface hardness not less than 190 Brinell.</w:t>
      </w:r>
    </w:p>
    <w:p w:rsidR="00AF2508" w:rsidRDefault="00AF2508">
      <w:pPr>
        <w:pStyle w:val="Amain"/>
        <w:spacing w:before="20" w:after="40"/>
        <w:rPr>
          <w:color w:val="000000"/>
          <w:sz w:val="20"/>
        </w:rPr>
      </w:pPr>
      <w:r>
        <w:rPr>
          <w:color w:val="000000"/>
          <w:sz w:val="20"/>
        </w:rPr>
        <w:t>C.I. means cast iron.</w:t>
      </w:r>
    </w:p>
    <w:p w:rsidR="00AF2508" w:rsidRDefault="00AF2508">
      <w:pPr>
        <w:pStyle w:val="02Text"/>
        <w:sectPr w:rsidR="00AF2508">
          <w:headerReference w:type="even" r:id="rId110"/>
          <w:headerReference w:type="default" r:id="rId111"/>
          <w:footerReference w:type="even" r:id="rId112"/>
          <w:footerReference w:type="default" r:id="rId113"/>
          <w:footerReference w:type="first" r:id="rId114"/>
          <w:pgSz w:w="11907" w:h="16839" w:code="9"/>
          <w:pgMar w:top="3000" w:right="1900" w:bottom="2500" w:left="2300" w:header="2480" w:footer="2100" w:gutter="0"/>
          <w:cols w:space="720"/>
          <w:docGrid w:linePitch="254"/>
        </w:sectPr>
      </w:pPr>
    </w:p>
    <w:p w:rsidR="00AF2508" w:rsidRDefault="00AF2508">
      <w:pPr>
        <w:pStyle w:val="TableHd"/>
        <w:ind w:left="1482" w:hanging="1482"/>
      </w:pPr>
      <w:r>
        <w:t>Table 130.2</w:t>
      </w:r>
      <w:r>
        <w:tab/>
        <w:t>Maximum permissible intensities of bearing pressures for plain parallel lubricated bearings, in pounds per square inch (if more specific provision is not made elsewhere in this regulation)</w:t>
      </w:r>
    </w:p>
    <w:tbl>
      <w:tblPr>
        <w:tblW w:w="0" w:type="auto"/>
        <w:tblLayout w:type="fixed"/>
        <w:tblCellMar>
          <w:left w:w="60" w:type="dxa"/>
          <w:right w:w="60" w:type="dxa"/>
        </w:tblCellMar>
        <w:tblLook w:val="0000" w:firstRow="0" w:lastRow="0" w:firstColumn="0" w:lastColumn="0" w:noHBand="0" w:noVBand="0"/>
      </w:tblPr>
      <w:tblGrid>
        <w:gridCol w:w="1380"/>
        <w:gridCol w:w="600"/>
        <w:gridCol w:w="660"/>
        <w:gridCol w:w="563"/>
        <w:gridCol w:w="540"/>
        <w:gridCol w:w="540"/>
        <w:gridCol w:w="540"/>
        <w:gridCol w:w="540"/>
        <w:gridCol w:w="540"/>
        <w:gridCol w:w="540"/>
        <w:gridCol w:w="540"/>
        <w:gridCol w:w="560"/>
        <w:gridCol w:w="540"/>
        <w:gridCol w:w="540"/>
        <w:gridCol w:w="460"/>
        <w:gridCol w:w="460"/>
        <w:gridCol w:w="540"/>
        <w:gridCol w:w="1320"/>
      </w:tblGrid>
      <w:tr w:rsidR="00AF2508">
        <w:trPr>
          <w:cantSplit/>
          <w:tblHeader/>
        </w:trPr>
        <w:tc>
          <w:tcPr>
            <w:tcW w:w="1380" w:type="dxa"/>
            <w:tcBorders>
              <w:top w:val="single" w:sz="6" w:space="0" w:color="auto"/>
            </w:tcBorders>
          </w:tcPr>
          <w:p w:rsidR="00AF2508" w:rsidRDefault="00AF2508">
            <w:pPr>
              <w:pStyle w:val="TableColHd"/>
              <w:rPr>
                <w:sz w:val="16"/>
              </w:rPr>
            </w:pPr>
          </w:p>
        </w:tc>
        <w:tc>
          <w:tcPr>
            <w:tcW w:w="126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ColHd"/>
              <w:jc w:val="center"/>
              <w:rPr>
                <w:sz w:val="16"/>
              </w:rPr>
            </w:pPr>
            <w:r>
              <w:rPr>
                <w:sz w:val="16"/>
              </w:rPr>
              <w:t>material in</w:t>
            </w:r>
          </w:p>
        </w:tc>
        <w:tc>
          <w:tcPr>
            <w:tcW w:w="7443" w:type="dxa"/>
            <w:gridSpan w:val="14"/>
            <w:tcBorders>
              <w:top w:val="single" w:sz="6" w:space="0" w:color="auto"/>
            </w:tcBorders>
          </w:tcPr>
          <w:p w:rsidR="00AF2508" w:rsidRDefault="00AF2508">
            <w:pPr>
              <w:pStyle w:val="TableColHd"/>
              <w:rPr>
                <w:sz w:val="16"/>
              </w:rPr>
            </w:pPr>
          </w:p>
        </w:tc>
        <w:tc>
          <w:tcPr>
            <w:tcW w:w="1320" w:type="dxa"/>
            <w:tcBorders>
              <w:top w:val="single" w:sz="6" w:space="0" w:color="auto"/>
              <w:left w:val="single" w:sz="6" w:space="0" w:color="auto"/>
            </w:tcBorders>
          </w:tcPr>
          <w:p w:rsidR="00AF2508" w:rsidRDefault="00AF2508">
            <w:pPr>
              <w:pStyle w:val="TableColHd"/>
              <w:rPr>
                <w:sz w:val="16"/>
              </w:rPr>
            </w:pPr>
          </w:p>
        </w:tc>
      </w:tr>
      <w:tr w:rsidR="00AF2508">
        <w:trPr>
          <w:cantSplit/>
          <w:tblHeader/>
        </w:trPr>
        <w:tc>
          <w:tcPr>
            <w:tcW w:w="1380" w:type="dxa"/>
          </w:tcPr>
          <w:p w:rsidR="00AF2508" w:rsidRDefault="00AF2508">
            <w:pPr>
              <w:pStyle w:val="TableColHd"/>
              <w:rPr>
                <w:sz w:val="16"/>
              </w:rPr>
            </w:pPr>
          </w:p>
        </w:tc>
        <w:tc>
          <w:tcPr>
            <w:tcW w:w="600" w:type="dxa"/>
            <w:tcBorders>
              <w:left w:val="single" w:sz="6" w:space="0" w:color="auto"/>
              <w:right w:val="single" w:sz="6" w:space="0" w:color="auto"/>
            </w:tcBorders>
          </w:tcPr>
          <w:p w:rsidR="00AF2508" w:rsidRDefault="00AF2508">
            <w:pPr>
              <w:pStyle w:val="TableColHd"/>
              <w:rPr>
                <w:sz w:val="16"/>
              </w:rPr>
            </w:pPr>
          </w:p>
        </w:tc>
        <w:tc>
          <w:tcPr>
            <w:tcW w:w="660" w:type="dxa"/>
            <w:tcBorders>
              <w:right w:val="single" w:sz="6" w:space="0" w:color="auto"/>
            </w:tcBorders>
          </w:tcPr>
          <w:p w:rsidR="00AF2508" w:rsidRDefault="00AF2508">
            <w:pPr>
              <w:pStyle w:val="TableColHd"/>
              <w:rPr>
                <w:sz w:val="16"/>
              </w:rPr>
            </w:pPr>
            <w:r>
              <w:rPr>
                <w:sz w:val="16"/>
              </w:rPr>
              <w:t>bush or</w:t>
            </w:r>
          </w:p>
        </w:tc>
        <w:tc>
          <w:tcPr>
            <w:tcW w:w="7443" w:type="dxa"/>
            <w:gridSpan w:val="14"/>
          </w:tcPr>
          <w:p w:rsidR="00AF2508" w:rsidRDefault="00AF2508">
            <w:pPr>
              <w:pStyle w:val="TableColHd"/>
              <w:jc w:val="center"/>
              <w:rPr>
                <w:sz w:val="16"/>
              </w:rPr>
            </w:pPr>
            <w:r>
              <w:rPr>
                <w:sz w:val="16"/>
              </w:rPr>
              <w:t>maximum rubbing speed of journal on bush or bearing in feet/min</w:t>
            </w:r>
          </w:p>
        </w:tc>
        <w:tc>
          <w:tcPr>
            <w:tcW w:w="1320" w:type="dxa"/>
            <w:tcBorders>
              <w:left w:val="single" w:sz="6" w:space="0" w:color="auto"/>
            </w:tcBorders>
          </w:tcPr>
          <w:p w:rsidR="00AF2508" w:rsidRDefault="00AF2508">
            <w:pPr>
              <w:pStyle w:val="TableColHd"/>
              <w:rPr>
                <w:sz w:val="16"/>
              </w:rPr>
            </w:pPr>
          </w:p>
        </w:tc>
      </w:tr>
      <w:tr w:rsidR="00AF2508">
        <w:trPr>
          <w:cantSplit/>
          <w:tblHeader/>
        </w:trPr>
        <w:tc>
          <w:tcPr>
            <w:tcW w:w="1380" w:type="dxa"/>
          </w:tcPr>
          <w:p w:rsidR="00AF2508" w:rsidRDefault="00AF2508">
            <w:pPr>
              <w:pStyle w:val="TableColHd"/>
              <w:rPr>
                <w:sz w:val="16"/>
              </w:rPr>
            </w:pPr>
            <w:r>
              <w:rPr>
                <w:sz w:val="16"/>
              </w:rPr>
              <w:t>type of Bearing</w:t>
            </w:r>
          </w:p>
        </w:tc>
        <w:tc>
          <w:tcPr>
            <w:tcW w:w="600" w:type="dxa"/>
            <w:tcBorders>
              <w:left w:val="single" w:sz="6" w:space="0" w:color="auto"/>
              <w:right w:val="single" w:sz="6" w:space="0" w:color="auto"/>
            </w:tcBorders>
          </w:tcPr>
          <w:p w:rsidR="00AF2508" w:rsidRDefault="00AF2508">
            <w:pPr>
              <w:pStyle w:val="TableColHd"/>
              <w:rPr>
                <w:sz w:val="16"/>
              </w:rPr>
            </w:pPr>
            <w:r>
              <w:rPr>
                <w:sz w:val="16"/>
              </w:rPr>
              <w:t>jour-nal</w:t>
            </w:r>
          </w:p>
        </w:tc>
        <w:tc>
          <w:tcPr>
            <w:tcW w:w="660" w:type="dxa"/>
            <w:tcBorders>
              <w:right w:val="single" w:sz="6" w:space="0" w:color="auto"/>
            </w:tcBorders>
          </w:tcPr>
          <w:p w:rsidR="00AF2508" w:rsidRDefault="00AF2508">
            <w:pPr>
              <w:pStyle w:val="TableColHd"/>
              <w:rPr>
                <w:sz w:val="16"/>
              </w:rPr>
            </w:pPr>
            <w:r>
              <w:rPr>
                <w:sz w:val="16"/>
              </w:rPr>
              <w:t>bear-ing</w:t>
            </w:r>
          </w:p>
        </w:tc>
        <w:tc>
          <w:tcPr>
            <w:tcW w:w="563" w:type="dxa"/>
            <w:tcBorders>
              <w:top w:val="single" w:sz="6" w:space="0" w:color="auto"/>
              <w:right w:val="single" w:sz="6" w:space="0" w:color="auto"/>
            </w:tcBorders>
          </w:tcPr>
          <w:p w:rsidR="00AF2508" w:rsidRDefault="00AF2508">
            <w:pPr>
              <w:pStyle w:val="TableColHd"/>
              <w:rPr>
                <w:sz w:val="16"/>
              </w:rPr>
            </w:pPr>
            <w:r>
              <w:rPr>
                <w:sz w:val="16"/>
              </w:rPr>
              <w:t>6</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10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20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30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40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50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60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80</w:t>
            </w:r>
          </w:p>
        </w:tc>
        <w:tc>
          <w:tcPr>
            <w:tcW w:w="56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100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150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300</w:t>
            </w:r>
          </w:p>
        </w:tc>
        <w:tc>
          <w:tcPr>
            <w:tcW w:w="46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400</w:t>
            </w:r>
          </w:p>
        </w:tc>
        <w:tc>
          <w:tcPr>
            <w:tcW w:w="46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500</w:t>
            </w:r>
          </w:p>
        </w:tc>
        <w:tc>
          <w:tcPr>
            <w:tcW w:w="540" w:type="dxa"/>
            <w:tcBorders>
              <w:top w:val="single" w:sz="6" w:space="0" w:color="auto"/>
              <w:left w:val="single" w:sz="6" w:space="0" w:color="auto"/>
              <w:right w:val="single" w:sz="6" w:space="0" w:color="auto"/>
            </w:tcBorders>
          </w:tcPr>
          <w:p w:rsidR="00AF2508" w:rsidRDefault="00AF2508">
            <w:pPr>
              <w:pStyle w:val="TableColHd"/>
              <w:rPr>
                <w:sz w:val="16"/>
              </w:rPr>
            </w:pPr>
            <w:r>
              <w:rPr>
                <w:sz w:val="16"/>
              </w:rPr>
              <w:t>1 500</w:t>
            </w:r>
          </w:p>
        </w:tc>
        <w:tc>
          <w:tcPr>
            <w:tcW w:w="1320" w:type="dxa"/>
          </w:tcPr>
          <w:p w:rsidR="00AF2508" w:rsidRDefault="00AF2508">
            <w:pPr>
              <w:pStyle w:val="TableColHd"/>
              <w:jc w:val="center"/>
              <w:rPr>
                <w:sz w:val="16"/>
              </w:rPr>
            </w:pPr>
            <w:r>
              <w:rPr>
                <w:sz w:val="16"/>
              </w:rPr>
              <w:t>note</w:t>
            </w:r>
          </w:p>
        </w:tc>
      </w:tr>
      <w:tr w:rsidR="00AF2508">
        <w:trPr>
          <w:cantSplit/>
        </w:trPr>
        <w:tc>
          <w:tcPr>
            <w:tcW w:w="1380" w:type="dxa"/>
            <w:tcBorders>
              <w:top w:val="single" w:sz="6" w:space="0" w:color="auto"/>
              <w:right w:val="single" w:sz="6" w:space="0" w:color="auto"/>
            </w:tcBorders>
          </w:tcPr>
          <w:p w:rsidR="00AF2508" w:rsidRDefault="00AF2508">
            <w:pPr>
              <w:ind w:left="140" w:right="160" w:hanging="20"/>
              <w:rPr>
                <w:color w:val="000000"/>
                <w:sz w:val="16"/>
              </w:rPr>
            </w:pPr>
            <w:r>
              <w:rPr>
                <w:color w:val="000000"/>
                <w:sz w:val="16"/>
              </w:rPr>
              <w:t>sheave pins, track wheel axles, winding drum spindles, pivots, jib hinges, trunnions, and other plain parallel bearings analogous thereto</w:t>
            </w:r>
          </w:p>
        </w:tc>
        <w:tc>
          <w:tcPr>
            <w:tcW w:w="600" w:type="dxa"/>
            <w:tcBorders>
              <w:top w:val="single" w:sz="6" w:space="0" w:color="auto"/>
              <w:left w:val="single" w:sz="6" w:space="0" w:color="auto"/>
              <w:right w:val="single" w:sz="6" w:space="0" w:color="auto"/>
            </w:tcBorders>
          </w:tcPr>
          <w:p w:rsidR="00AF2508" w:rsidRDefault="00AF2508">
            <w:pPr>
              <w:spacing w:before="120"/>
              <w:rPr>
                <w:color w:val="000000"/>
                <w:sz w:val="16"/>
              </w:rPr>
            </w:pPr>
            <w:r>
              <w:rPr>
                <w:color w:val="000000"/>
                <w:sz w:val="16"/>
              </w:rPr>
              <w:t>M.S.</w:t>
            </w:r>
          </w:p>
          <w:p w:rsidR="00AF2508" w:rsidRDefault="00AF2508">
            <w:pPr>
              <w:spacing w:before="120"/>
              <w:rPr>
                <w:color w:val="000000"/>
                <w:sz w:val="16"/>
              </w:rPr>
            </w:pPr>
          </w:p>
          <w:p w:rsidR="00AF2508" w:rsidRDefault="00AF2508">
            <w:pPr>
              <w:spacing w:before="120"/>
              <w:rPr>
                <w:color w:val="000000"/>
                <w:sz w:val="16"/>
              </w:rPr>
            </w:pPr>
          </w:p>
          <w:p w:rsidR="00AF2508" w:rsidRDefault="00AF2508">
            <w:pPr>
              <w:spacing w:before="120"/>
              <w:rPr>
                <w:color w:val="000000"/>
                <w:sz w:val="16"/>
              </w:rPr>
            </w:pPr>
            <w:r>
              <w:rPr>
                <w:color w:val="000000"/>
                <w:sz w:val="16"/>
              </w:rPr>
              <w:t>M.S.</w:t>
            </w:r>
            <w:r>
              <w:rPr>
                <w:color w:val="000000"/>
                <w:sz w:val="16"/>
              </w:rPr>
              <w:br/>
              <w:t>M.S.</w:t>
            </w:r>
            <w:r>
              <w:rPr>
                <w:color w:val="000000"/>
                <w:sz w:val="16"/>
              </w:rPr>
              <w:br/>
              <w:t>M.S.M.S.</w:t>
            </w:r>
          </w:p>
        </w:tc>
        <w:tc>
          <w:tcPr>
            <w:tcW w:w="660" w:type="dxa"/>
            <w:tcBorders>
              <w:top w:val="single" w:sz="6" w:space="0" w:color="auto"/>
              <w:left w:val="single" w:sz="6" w:space="0" w:color="auto"/>
              <w:right w:val="single" w:sz="6" w:space="0" w:color="auto"/>
            </w:tcBorders>
          </w:tcPr>
          <w:p w:rsidR="00AF2508" w:rsidRDefault="00AF2508">
            <w:pPr>
              <w:spacing w:before="120"/>
              <w:rPr>
                <w:color w:val="000000"/>
                <w:sz w:val="16"/>
              </w:rPr>
            </w:pPr>
            <w:r>
              <w:rPr>
                <w:color w:val="000000"/>
                <w:sz w:val="16"/>
              </w:rPr>
              <w:t>M.S.</w:t>
            </w:r>
          </w:p>
          <w:p w:rsidR="00AF2508" w:rsidRDefault="00AF2508">
            <w:pPr>
              <w:spacing w:before="120"/>
              <w:rPr>
                <w:color w:val="000000"/>
                <w:sz w:val="16"/>
              </w:rPr>
            </w:pPr>
          </w:p>
          <w:p w:rsidR="00AF2508" w:rsidRDefault="00AF2508">
            <w:pPr>
              <w:spacing w:before="120"/>
              <w:rPr>
                <w:color w:val="000000"/>
                <w:sz w:val="16"/>
              </w:rPr>
            </w:pPr>
          </w:p>
          <w:p w:rsidR="00AF2508" w:rsidRDefault="00AF2508">
            <w:pPr>
              <w:spacing w:before="120"/>
              <w:rPr>
                <w:color w:val="000000"/>
                <w:sz w:val="16"/>
              </w:rPr>
            </w:pPr>
            <w:r>
              <w:rPr>
                <w:color w:val="000000"/>
                <w:sz w:val="16"/>
              </w:rPr>
              <w:t>H.S.</w:t>
            </w:r>
            <w:r>
              <w:rPr>
                <w:color w:val="000000"/>
                <w:sz w:val="16"/>
              </w:rPr>
              <w:br/>
              <w:t>C.I.</w:t>
            </w:r>
            <w:r>
              <w:rPr>
                <w:color w:val="000000"/>
                <w:sz w:val="16"/>
              </w:rPr>
              <w:br/>
              <w:t>G.M.</w:t>
            </w:r>
            <w:r>
              <w:rPr>
                <w:color w:val="000000"/>
                <w:sz w:val="16"/>
              </w:rPr>
              <w:br/>
              <w:t>W.M.</w:t>
            </w:r>
          </w:p>
        </w:tc>
        <w:tc>
          <w:tcPr>
            <w:tcW w:w="563"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1 800</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2 200</w:t>
            </w:r>
            <w:r>
              <w:rPr>
                <w:color w:val="000000"/>
                <w:sz w:val="16"/>
              </w:rPr>
              <w:br/>
              <w:t>2 600</w:t>
            </w:r>
            <w:r>
              <w:rPr>
                <w:color w:val="000000"/>
                <w:sz w:val="16"/>
              </w:rPr>
              <w:br/>
              <w:t>4 000</w:t>
            </w:r>
            <w:r>
              <w:rPr>
                <w:color w:val="000000"/>
                <w:sz w:val="16"/>
              </w:rPr>
              <w:br/>
              <w:t>4 000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800</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1 400</w:t>
            </w:r>
            <w:r>
              <w:rPr>
                <w:color w:val="000000"/>
                <w:sz w:val="16"/>
              </w:rPr>
              <w:br/>
              <w:t>2 000</w:t>
            </w:r>
            <w:r>
              <w:rPr>
                <w:color w:val="000000"/>
                <w:sz w:val="16"/>
              </w:rPr>
              <w:br/>
              <w:t>3 600</w:t>
            </w:r>
            <w:r>
              <w:rPr>
                <w:color w:val="000000"/>
                <w:sz w:val="16"/>
              </w:rPr>
              <w:br/>
              <w:t>3 750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200</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800</w:t>
            </w:r>
            <w:r>
              <w:rPr>
                <w:color w:val="000000"/>
                <w:sz w:val="16"/>
              </w:rPr>
              <w:br/>
              <w:t>1 250</w:t>
            </w:r>
            <w:r>
              <w:rPr>
                <w:color w:val="000000"/>
                <w:sz w:val="16"/>
              </w:rPr>
              <w:br/>
              <w:t>2 800</w:t>
            </w:r>
            <w:r>
              <w:rPr>
                <w:color w:val="000000"/>
                <w:sz w:val="16"/>
              </w:rPr>
              <w:br/>
              <w:t>3 150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100</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450</w:t>
            </w:r>
            <w:r>
              <w:rPr>
                <w:color w:val="000000"/>
                <w:sz w:val="16"/>
              </w:rPr>
              <w:br/>
              <w:t>850</w:t>
            </w:r>
            <w:r>
              <w:rPr>
                <w:color w:val="000000"/>
                <w:sz w:val="16"/>
              </w:rPr>
              <w:br/>
              <w:t>2 200</w:t>
            </w:r>
            <w:r>
              <w:rPr>
                <w:color w:val="000000"/>
                <w:sz w:val="16"/>
              </w:rPr>
              <w:br/>
              <w:t>2 600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650</w:t>
            </w:r>
            <w:r>
              <w:rPr>
                <w:color w:val="000000"/>
                <w:sz w:val="16"/>
              </w:rPr>
              <w:br/>
              <w:t>1 700</w:t>
            </w:r>
            <w:r>
              <w:rPr>
                <w:color w:val="000000"/>
                <w:sz w:val="16"/>
              </w:rPr>
              <w:br/>
              <w:t>2 100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200</w:t>
            </w:r>
            <w:r>
              <w:rPr>
                <w:color w:val="000000"/>
                <w:sz w:val="16"/>
              </w:rPr>
              <w:br/>
              <w:t>500</w:t>
            </w:r>
            <w:r>
              <w:rPr>
                <w:color w:val="000000"/>
                <w:sz w:val="16"/>
              </w:rPr>
              <w:br/>
              <w:t>. . .</w:t>
            </w:r>
            <w:r>
              <w:rPr>
                <w:color w:val="000000"/>
                <w:sz w:val="16"/>
              </w:rPr>
              <w:br/>
              <w:t>1 750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1 100</w:t>
            </w:r>
            <w:r>
              <w:rPr>
                <w:color w:val="000000"/>
                <w:sz w:val="16"/>
              </w:rPr>
              <w:br/>
              <w:t>1 350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100</w:t>
            </w:r>
            <w:r>
              <w:rPr>
                <w:color w:val="000000"/>
                <w:sz w:val="16"/>
              </w:rPr>
              <w:br/>
              <w:t>. . .</w:t>
            </w:r>
            <w:r>
              <w:rPr>
                <w:color w:val="000000"/>
                <w:sz w:val="16"/>
              </w:rPr>
              <w:br/>
              <w:t>700</w:t>
            </w:r>
            <w:r>
              <w:rPr>
                <w:color w:val="000000"/>
                <w:sz w:val="16"/>
              </w:rPr>
              <w:br/>
              <w:t>900</w:t>
            </w:r>
          </w:p>
        </w:tc>
        <w:tc>
          <w:tcPr>
            <w:tcW w:w="56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300</w:t>
            </w:r>
            <w:r>
              <w:rPr>
                <w:color w:val="000000"/>
                <w:sz w:val="16"/>
              </w:rPr>
              <w:br/>
              <w:t>. . .</w:t>
            </w:r>
            <w:r>
              <w:rPr>
                <w:color w:val="000000"/>
                <w:sz w:val="16"/>
              </w:rPr>
              <w:br/>
              <w:t>700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‡480</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100</w:t>
            </w:r>
            <w:r>
              <w:rPr>
                <w:color w:val="000000"/>
                <w:sz w:val="16"/>
              </w:rPr>
              <w:br/>
              <w:t>*260</w:t>
            </w:r>
            <w:r>
              <w:rPr>
                <w:color w:val="000000"/>
                <w:sz w:val="16"/>
              </w:rPr>
              <w:br/>
              <w:t>. . .</w:t>
            </w:r>
          </w:p>
        </w:tc>
        <w:tc>
          <w:tcPr>
            <w:tcW w:w="46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 . .</w:t>
            </w:r>
          </w:p>
        </w:tc>
        <w:tc>
          <w:tcPr>
            <w:tcW w:w="46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 . .</w:t>
            </w:r>
          </w:p>
        </w:tc>
        <w:tc>
          <w:tcPr>
            <w:tcW w:w="540" w:type="dxa"/>
            <w:tcBorders>
              <w:top w:val="single" w:sz="6" w:space="0" w:color="auto"/>
              <w:left w:val="single" w:sz="6" w:space="0" w:color="auto"/>
              <w:right w:val="single" w:sz="6" w:space="0" w:color="auto"/>
            </w:tcBorders>
          </w:tcPr>
          <w:p w:rsidR="00AF2508" w:rsidRDefault="00AF2508">
            <w:pPr>
              <w:spacing w:before="120"/>
              <w:jc w:val="right"/>
              <w:rPr>
                <w:color w:val="000000"/>
                <w:sz w:val="16"/>
              </w:rPr>
            </w:pPr>
            <w:r>
              <w:rPr>
                <w:color w:val="000000"/>
                <w:sz w:val="16"/>
              </w:rPr>
              <w:t>. . .</w:t>
            </w:r>
          </w:p>
          <w:p w:rsidR="00AF2508" w:rsidRDefault="00AF2508">
            <w:pPr>
              <w:spacing w:before="120"/>
              <w:jc w:val="right"/>
              <w:rPr>
                <w:color w:val="000000"/>
                <w:sz w:val="16"/>
              </w:rPr>
            </w:pPr>
          </w:p>
          <w:p w:rsidR="00AF2508" w:rsidRDefault="00AF2508">
            <w:pPr>
              <w:spacing w:before="120"/>
              <w:jc w:val="right"/>
              <w:rPr>
                <w:color w:val="000000"/>
                <w:sz w:val="16"/>
              </w:rPr>
            </w:pPr>
          </w:p>
          <w:p w:rsidR="00AF2508" w:rsidRDefault="00AF2508">
            <w:pPr>
              <w:spacing w:before="120"/>
              <w:jc w:val="right"/>
              <w:rPr>
                <w:color w:val="000000"/>
                <w:sz w:val="16"/>
              </w:rPr>
            </w:pPr>
            <w:r>
              <w:rPr>
                <w:color w:val="000000"/>
                <w:sz w:val="16"/>
              </w:rPr>
              <w:t>. . .</w:t>
            </w:r>
            <w:r>
              <w:rPr>
                <w:color w:val="000000"/>
                <w:sz w:val="16"/>
              </w:rPr>
              <w:br/>
              <w:t>15</w:t>
            </w:r>
            <w:r>
              <w:rPr>
                <w:color w:val="000000"/>
                <w:sz w:val="16"/>
              </w:rPr>
              <w:br/>
              <w:t>. . .</w:t>
            </w:r>
            <w:r>
              <w:rPr>
                <w:color w:val="000000"/>
                <w:sz w:val="16"/>
              </w:rPr>
              <w:br/>
              <w:t>. . .</w:t>
            </w:r>
          </w:p>
        </w:tc>
        <w:bookmarkStart w:id="249" w:name="_MON_1159698773"/>
        <w:bookmarkStart w:id="250" w:name="_MON_1235378816"/>
        <w:bookmarkEnd w:id="249"/>
        <w:bookmarkEnd w:id="250"/>
        <w:bookmarkStart w:id="251" w:name="_MON_1092054090"/>
        <w:bookmarkEnd w:id="251"/>
        <w:tc>
          <w:tcPr>
            <w:tcW w:w="1320" w:type="dxa"/>
            <w:tcBorders>
              <w:top w:val="single" w:sz="6" w:space="0" w:color="auto"/>
              <w:left w:val="single" w:sz="6" w:space="0" w:color="auto"/>
            </w:tcBorders>
          </w:tcPr>
          <w:p w:rsidR="00AF2508" w:rsidRDefault="00AF2508">
            <w:pPr>
              <w:spacing w:before="620"/>
              <w:rPr>
                <w:color w:val="000000"/>
                <w:sz w:val="16"/>
              </w:rPr>
            </w:pPr>
            <w:r>
              <w:rPr>
                <w:color w:val="000000"/>
                <w:sz w:val="20"/>
              </w:rPr>
              <w:object w:dxaOrig="1081" w:dyaOrig="541">
                <v:shape id="_x0000_i1047" type="#_x0000_t75" style="width:54pt;height:27pt" o:ole="" fillcolor="window">
                  <v:imagedata r:id="rId115" o:title=""/>
                </v:shape>
                <o:OLEObject Type="Embed" ProgID="Word.Picture.8" ShapeID="_x0000_i1047" DrawAspect="Content" ObjectID="_1595940272" r:id="rId116"/>
              </w:object>
            </w:r>
          </w:p>
        </w:tc>
      </w:tr>
      <w:tr w:rsidR="00AF2508">
        <w:trPr>
          <w:cantSplit/>
          <w:trHeight w:val="65"/>
        </w:trPr>
        <w:tc>
          <w:tcPr>
            <w:tcW w:w="1380" w:type="dxa"/>
            <w:vMerge w:val="restart"/>
            <w:tcBorders>
              <w:top w:val="single" w:sz="6" w:space="0" w:color="auto"/>
              <w:bottom w:val="nil"/>
              <w:right w:val="single" w:sz="6" w:space="0" w:color="auto"/>
            </w:tcBorders>
          </w:tcPr>
          <w:p w:rsidR="00AF2508" w:rsidRDefault="00AF2508">
            <w:pPr>
              <w:ind w:left="140" w:right="160" w:hanging="20"/>
              <w:rPr>
                <w:color w:val="000000"/>
                <w:sz w:val="16"/>
              </w:rPr>
            </w:pPr>
            <w:r>
              <w:rPr>
                <w:color w:val="000000"/>
                <w:sz w:val="16"/>
              </w:rPr>
              <w:t>sheave pins, track wheel axles, winding drum spindles, pivots, jib hinges, trunnions, and other plain parallel bearings analogous thereto</w:t>
            </w:r>
          </w:p>
        </w:tc>
        <w:tc>
          <w:tcPr>
            <w:tcW w:w="600" w:type="dxa"/>
            <w:tcBorders>
              <w:top w:val="single" w:sz="6" w:space="0" w:color="auto"/>
              <w:left w:val="nil"/>
              <w:bottom w:val="single" w:sz="6" w:space="0" w:color="auto"/>
              <w:right w:val="single" w:sz="6" w:space="0" w:color="auto"/>
            </w:tcBorders>
          </w:tcPr>
          <w:p w:rsidR="00AF2508" w:rsidRDefault="00AF2508">
            <w:pPr>
              <w:spacing w:before="120"/>
              <w:rPr>
                <w:color w:val="000000"/>
                <w:sz w:val="16"/>
              </w:rPr>
            </w:pPr>
            <w:r>
              <w:rPr>
                <w:color w:val="000000"/>
                <w:sz w:val="16"/>
              </w:rPr>
              <w:t>M.S.</w:t>
            </w:r>
            <w:r>
              <w:rPr>
                <w:color w:val="000000"/>
                <w:sz w:val="16"/>
              </w:rPr>
              <w:br/>
              <w:t>H.S.</w:t>
            </w:r>
            <w:r>
              <w:rPr>
                <w:color w:val="000000"/>
                <w:sz w:val="16"/>
              </w:rPr>
              <w:br/>
              <w:t>H.S.</w:t>
            </w:r>
            <w:r>
              <w:rPr>
                <w:color w:val="000000"/>
                <w:sz w:val="16"/>
              </w:rPr>
              <w:br/>
              <w:t>H.S.</w:t>
            </w:r>
          </w:p>
        </w:tc>
        <w:tc>
          <w:tcPr>
            <w:tcW w:w="660" w:type="dxa"/>
            <w:tcBorders>
              <w:top w:val="single" w:sz="6" w:space="0" w:color="auto"/>
              <w:left w:val="single" w:sz="6" w:space="0" w:color="auto"/>
              <w:bottom w:val="single" w:sz="6" w:space="0" w:color="auto"/>
              <w:right w:val="single" w:sz="6" w:space="0" w:color="auto"/>
            </w:tcBorders>
          </w:tcPr>
          <w:p w:rsidR="00AF2508" w:rsidRDefault="00AF2508">
            <w:pPr>
              <w:spacing w:before="120"/>
              <w:rPr>
                <w:color w:val="000000"/>
                <w:sz w:val="16"/>
              </w:rPr>
            </w:pPr>
            <w:r>
              <w:rPr>
                <w:color w:val="000000"/>
                <w:sz w:val="16"/>
              </w:rPr>
              <w:t>M.S.</w:t>
            </w:r>
            <w:r>
              <w:rPr>
                <w:color w:val="000000"/>
                <w:sz w:val="16"/>
              </w:rPr>
              <w:br/>
              <w:t>H.S.</w:t>
            </w:r>
            <w:r>
              <w:rPr>
                <w:color w:val="000000"/>
                <w:sz w:val="16"/>
              </w:rPr>
              <w:br/>
              <w:t>C.I.</w:t>
            </w:r>
            <w:r>
              <w:rPr>
                <w:color w:val="000000"/>
                <w:sz w:val="16"/>
              </w:rPr>
              <w:br/>
              <w:t>P.B.</w:t>
            </w:r>
            <w:r>
              <w:rPr>
                <w:color w:val="000000"/>
                <w:sz w:val="16"/>
              </w:rPr>
              <w:br/>
              <w:t>or</w:t>
            </w:r>
            <w:r>
              <w:rPr>
                <w:color w:val="000000"/>
                <w:sz w:val="16"/>
              </w:rPr>
              <w:br/>
              <w:t>W.M.</w:t>
            </w:r>
          </w:p>
        </w:tc>
        <w:tc>
          <w:tcPr>
            <w:tcW w:w="563"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3 000</w:t>
            </w:r>
            <w:r>
              <w:rPr>
                <w:color w:val="000000"/>
                <w:sz w:val="16"/>
              </w:rPr>
              <w:br/>
              <w:t>7 000</w:t>
            </w:r>
            <w:r>
              <w:rPr>
                <w:color w:val="000000"/>
                <w:sz w:val="16"/>
              </w:rPr>
              <w:br/>
              <w:t>5 000</w:t>
            </w:r>
            <w:r>
              <w:rPr>
                <w:color w:val="000000"/>
                <w:sz w:val="16"/>
              </w:rPr>
              <w:br/>
              <w:t>6 000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5 300</w:t>
            </w:r>
            <w:r>
              <w:rPr>
                <w:color w:val="000000"/>
                <w:sz w:val="16"/>
              </w:rPr>
              <w:br/>
              <w:t>3 600</w:t>
            </w:r>
            <w:r>
              <w:rPr>
                <w:color w:val="000000"/>
                <w:sz w:val="16"/>
              </w:rPr>
              <w:br/>
              <w:t>5 650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4 300</w:t>
            </w:r>
            <w:r>
              <w:rPr>
                <w:color w:val="000000"/>
                <w:sz w:val="16"/>
              </w:rPr>
              <w:br/>
              <w:t>2 700</w:t>
            </w:r>
            <w:r>
              <w:rPr>
                <w:color w:val="000000"/>
                <w:sz w:val="16"/>
              </w:rPr>
              <w:br/>
              <w:t>4 900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3 750</w:t>
            </w:r>
            <w:r>
              <w:rPr>
                <w:color w:val="000000"/>
                <w:sz w:val="16"/>
              </w:rPr>
              <w:br/>
              <w:t>2 250</w:t>
            </w:r>
            <w:r>
              <w:rPr>
                <w:color w:val="000000"/>
                <w:sz w:val="16"/>
              </w:rPr>
              <w:br/>
              <w:t>4 400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3 350</w:t>
            </w:r>
            <w:r>
              <w:rPr>
                <w:color w:val="000000"/>
                <w:sz w:val="16"/>
              </w:rPr>
              <w:br/>
              <w:t>2 000</w:t>
            </w:r>
            <w:r>
              <w:rPr>
                <w:color w:val="000000"/>
                <w:sz w:val="16"/>
              </w:rPr>
              <w:br/>
              <w:t>4 000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3 100</w:t>
            </w:r>
            <w:r>
              <w:rPr>
                <w:color w:val="000000"/>
                <w:sz w:val="16"/>
              </w:rPr>
              <w:br/>
              <w:t>. . .</w:t>
            </w:r>
            <w:r>
              <w:rPr>
                <w:color w:val="000000"/>
                <w:sz w:val="16"/>
              </w:rPr>
              <w:br/>
              <w:t>3 650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2 900</w:t>
            </w:r>
            <w:r>
              <w:rPr>
                <w:color w:val="000000"/>
                <w:sz w:val="16"/>
              </w:rPr>
              <w:br/>
              <w:t>1 750</w:t>
            </w:r>
            <w:r>
              <w:rPr>
                <w:color w:val="000000"/>
                <w:sz w:val="16"/>
              </w:rPr>
              <w:br/>
              <w:t>3 400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2 600</w:t>
            </w:r>
            <w:r>
              <w:rPr>
                <w:color w:val="000000"/>
                <w:sz w:val="16"/>
              </w:rPr>
              <w:br/>
              <w:t>. . .</w:t>
            </w:r>
            <w:r>
              <w:rPr>
                <w:color w:val="000000"/>
                <w:sz w:val="16"/>
              </w:rPr>
              <w:br/>
              <w:t>3 000</w:t>
            </w:r>
          </w:p>
        </w:tc>
        <w:tc>
          <w:tcPr>
            <w:tcW w:w="56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2 400</w:t>
            </w:r>
            <w:r>
              <w:rPr>
                <w:color w:val="000000"/>
                <w:sz w:val="16"/>
              </w:rPr>
              <w:br/>
              <w:t>1 400</w:t>
            </w:r>
            <w:r>
              <w:rPr>
                <w:color w:val="000000"/>
                <w:sz w:val="16"/>
              </w:rPr>
              <w:br/>
              <w:t>2 800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2 000</w:t>
            </w:r>
            <w:r>
              <w:rPr>
                <w:color w:val="000000"/>
                <w:sz w:val="16"/>
              </w:rPr>
              <w:br/>
              <w:t>1 100</w:t>
            </w:r>
            <w:r>
              <w:rPr>
                <w:color w:val="000000"/>
                <w:sz w:val="16"/>
              </w:rPr>
              <w:br/>
              <w:t>2 500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1 150</w:t>
            </w:r>
            <w:r>
              <w:rPr>
                <w:color w:val="000000"/>
                <w:sz w:val="16"/>
              </w:rPr>
              <w:br/>
              <w:t>400</w:t>
            </w:r>
            <w:r>
              <w:rPr>
                <w:color w:val="000000"/>
                <w:sz w:val="16"/>
              </w:rPr>
              <w:br/>
              <w:t>2 230</w:t>
            </w:r>
          </w:p>
        </w:tc>
        <w:tc>
          <w:tcPr>
            <w:tcW w:w="46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0</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0</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50</w:t>
            </w:r>
          </w:p>
        </w:tc>
        <w:bookmarkStart w:id="252" w:name="_MON_1235378817"/>
        <w:bookmarkEnd w:id="252"/>
        <w:bookmarkStart w:id="253" w:name="_MON_1159698774"/>
        <w:bookmarkEnd w:id="253"/>
        <w:tc>
          <w:tcPr>
            <w:tcW w:w="1320" w:type="dxa"/>
            <w:tcBorders>
              <w:top w:val="single" w:sz="6" w:space="0" w:color="auto"/>
              <w:bottom w:val="single" w:sz="6" w:space="0" w:color="auto"/>
            </w:tcBorders>
          </w:tcPr>
          <w:p w:rsidR="00AF2508" w:rsidRDefault="00AF2508">
            <w:pPr>
              <w:spacing w:before="240"/>
              <w:rPr>
                <w:color w:val="000000"/>
                <w:sz w:val="16"/>
              </w:rPr>
            </w:pPr>
            <w:r>
              <w:rPr>
                <w:color w:val="000000"/>
                <w:sz w:val="20"/>
              </w:rPr>
              <w:object w:dxaOrig="1081" w:dyaOrig="541">
                <v:shape id="_x0000_i1048" type="#_x0000_t75" style="width:54pt;height:27pt" o:ole="" fillcolor="window">
                  <v:imagedata r:id="rId115" o:title=""/>
                </v:shape>
                <o:OLEObject Type="Embed" ProgID="Word.Picture.8" ShapeID="_x0000_i1048" DrawAspect="Content" ObjectID="_1595940273" r:id="rId117"/>
              </w:object>
            </w:r>
          </w:p>
        </w:tc>
      </w:tr>
      <w:tr w:rsidR="00AF2508">
        <w:trPr>
          <w:cantSplit/>
        </w:trPr>
        <w:tc>
          <w:tcPr>
            <w:tcW w:w="1380" w:type="dxa"/>
            <w:vMerge/>
            <w:tcBorders>
              <w:bottom w:val="nil"/>
              <w:right w:val="single" w:sz="6" w:space="0" w:color="auto"/>
            </w:tcBorders>
          </w:tcPr>
          <w:p w:rsidR="00AF2508" w:rsidRDefault="00AF2508">
            <w:pPr>
              <w:ind w:left="140" w:right="160" w:hanging="20"/>
              <w:rPr>
                <w:color w:val="000000"/>
                <w:sz w:val="16"/>
              </w:rPr>
            </w:pPr>
          </w:p>
        </w:tc>
        <w:tc>
          <w:tcPr>
            <w:tcW w:w="600" w:type="dxa"/>
            <w:tcBorders>
              <w:top w:val="single" w:sz="6" w:space="0" w:color="auto"/>
              <w:left w:val="nil"/>
              <w:bottom w:val="single" w:sz="6" w:space="0" w:color="auto"/>
              <w:right w:val="single" w:sz="6" w:space="0" w:color="auto"/>
            </w:tcBorders>
          </w:tcPr>
          <w:p w:rsidR="00AF2508" w:rsidRDefault="00AF2508">
            <w:pPr>
              <w:spacing w:before="120"/>
              <w:ind w:right="-40"/>
              <w:rPr>
                <w:color w:val="000000"/>
                <w:sz w:val="16"/>
              </w:rPr>
            </w:pPr>
            <w:r>
              <w:rPr>
                <w:color w:val="000000"/>
                <w:sz w:val="16"/>
              </w:rPr>
              <w:t>Med.S.</w:t>
            </w:r>
            <w:r>
              <w:rPr>
                <w:color w:val="000000"/>
                <w:sz w:val="16"/>
              </w:rPr>
              <w:br/>
              <w:t>Med.S.</w:t>
            </w:r>
            <w:r>
              <w:rPr>
                <w:color w:val="000000"/>
                <w:sz w:val="16"/>
              </w:rPr>
              <w:br/>
              <w:t>Med.S.</w:t>
            </w:r>
          </w:p>
        </w:tc>
        <w:tc>
          <w:tcPr>
            <w:tcW w:w="660" w:type="dxa"/>
            <w:tcBorders>
              <w:top w:val="single" w:sz="6" w:space="0" w:color="auto"/>
              <w:left w:val="single" w:sz="6" w:space="0" w:color="auto"/>
              <w:bottom w:val="single" w:sz="6" w:space="0" w:color="auto"/>
              <w:right w:val="single" w:sz="6" w:space="0" w:color="auto"/>
            </w:tcBorders>
          </w:tcPr>
          <w:p w:rsidR="00AF2508" w:rsidRDefault="00AF2508">
            <w:pPr>
              <w:spacing w:before="120"/>
              <w:rPr>
                <w:color w:val="000000"/>
                <w:sz w:val="16"/>
              </w:rPr>
            </w:pPr>
            <w:r>
              <w:rPr>
                <w:color w:val="000000"/>
                <w:sz w:val="16"/>
              </w:rPr>
              <w:t>C.I.</w:t>
            </w:r>
            <w:r>
              <w:rPr>
                <w:color w:val="000000"/>
                <w:sz w:val="16"/>
              </w:rPr>
              <w:br/>
              <w:t>W.M.</w:t>
            </w:r>
            <w:r>
              <w:rPr>
                <w:color w:val="000000"/>
                <w:sz w:val="16"/>
              </w:rPr>
              <w:br/>
              <w:t>P.B.</w:t>
            </w:r>
          </w:p>
        </w:tc>
        <w:tc>
          <w:tcPr>
            <w:tcW w:w="563"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3 120</w:t>
            </w:r>
            <w:r>
              <w:rPr>
                <w:color w:val="000000"/>
                <w:sz w:val="16"/>
              </w:rPr>
              <w:br/>
              <w:t>4 600</w:t>
            </w:r>
            <w:r>
              <w:rPr>
                <w:color w:val="000000"/>
                <w:sz w:val="16"/>
              </w:rPr>
              <w:br/>
              <w:t>4 600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2 400</w:t>
            </w:r>
            <w:r>
              <w:rPr>
                <w:color w:val="000000"/>
                <w:sz w:val="16"/>
              </w:rPr>
              <w:br/>
              <w:t>4 300</w:t>
            </w:r>
            <w:r>
              <w:rPr>
                <w:color w:val="000000"/>
                <w:sz w:val="16"/>
              </w:rPr>
              <w:br/>
              <w:t>4 140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1 500</w:t>
            </w:r>
            <w:r>
              <w:rPr>
                <w:color w:val="000000"/>
                <w:sz w:val="16"/>
              </w:rPr>
              <w:br/>
              <w:t>3 620</w:t>
            </w:r>
            <w:r>
              <w:rPr>
                <w:color w:val="000000"/>
                <w:sz w:val="16"/>
              </w:rPr>
              <w:br/>
              <w:t>3 220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1 020</w:t>
            </w:r>
            <w:r>
              <w:rPr>
                <w:color w:val="000000"/>
                <w:sz w:val="16"/>
              </w:rPr>
              <w:br/>
              <w:t>2 990</w:t>
            </w:r>
            <w:r>
              <w:rPr>
                <w:color w:val="000000"/>
                <w:sz w:val="16"/>
              </w:rPr>
              <w:br/>
              <w:t>2 530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780</w:t>
            </w:r>
            <w:r>
              <w:rPr>
                <w:color w:val="000000"/>
                <w:sz w:val="16"/>
              </w:rPr>
              <w:br/>
              <w:t>2 410</w:t>
            </w:r>
            <w:r>
              <w:rPr>
                <w:color w:val="000000"/>
                <w:sz w:val="16"/>
              </w:rPr>
              <w:br/>
              <w:t>1 960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600</w:t>
            </w:r>
            <w:r>
              <w:rPr>
                <w:color w:val="000000"/>
                <w:sz w:val="16"/>
              </w:rPr>
              <w:br/>
              <w:t>2 010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1 550</w:t>
            </w:r>
            <w:r>
              <w:rPr>
                <w:color w:val="000000"/>
                <w:sz w:val="16"/>
              </w:rPr>
              <w:br/>
              <w:t>1 265</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1 035</w:t>
            </w:r>
            <w:r>
              <w:rPr>
                <w:color w:val="000000"/>
                <w:sz w:val="16"/>
              </w:rPr>
              <w:br/>
              <w:t>800</w:t>
            </w:r>
          </w:p>
        </w:tc>
        <w:tc>
          <w:tcPr>
            <w:tcW w:w="56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360</w:t>
            </w:r>
            <w:r>
              <w:rPr>
                <w:color w:val="000000"/>
                <w:sz w:val="16"/>
              </w:rPr>
              <w:br/>
              <w:t>800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†550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120</w:t>
            </w:r>
            <w:r>
              <w:rPr>
                <w:color w:val="000000"/>
                <w:sz w:val="16"/>
              </w:rPr>
              <w:br/>
              <w:t>. . .</w:t>
            </w:r>
            <w:r>
              <w:rPr>
                <w:color w:val="000000"/>
                <w:sz w:val="16"/>
              </w:rPr>
              <w:br/>
              <w:t>§300</w:t>
            </w:r>
          </w:p>
        </w:tc>
        <w:tc>
          <w:tcPr>
            <w:tcW w:w="46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jc w:val="right"/>
              <w:rPr>
                <w:color w:val="000000"/>
                <w:sz w:val="16"/>
              </w:rPr>
            </w:pPr>
            <w:r>
              <w:rPr>
                <w:color w:val="000000"/>
                <w:sz w:val="16"/>
              </w:rPr>
              <w:t>20</w:t>
            </w:r>
            <w:r>
              <w:rPr>
                <w:color w:val="000000"/>
                <w:sz w:val="16"/>
              </w:rPr>
              <w:br/>
              <w:t>. . .</w:t>
            </w:r>
            <w:r>
              <w:rPr>
                <w:color w:val="000000"/>
                <w:sz w:val="16"/>
              </w:rPr>
              <w:br/>
              <w:t>. . .</w:t>
            </w:r>
          </w:p>
        </w:tc>
        <w:bookmarkStart w:id="254" w:name="_MON_1235378818"/>
        <w:bookmarkEnd w:id="254"/>
        <w:bookmarkStart w:id="255" w:name="_MON_1159698776"/>
        <w:bookmarkEnd w:id="255"/>
        <w:tc>
          <w:tcPr>
            <w:tcW w:w="1320" w:type="dxa"/>
            <w:tcBorders>
              <w:top w:val="single" w:sz="6" w:space="0" w:color="auto"/>
              <w:bottom w:val="single" w:sz="6" w:space="0" w:color="auto"/>
            </w:tcBorders>
          </w:tcPr>
          <w:p w:rsidR="00AF2508" w:rsidRDefault="00AF2508">
            <w:pPr>
              <w:rPr>
                <w:color w:val="000000"/>
                <w:sz w:val="16"/>
              </w:rPr>
            </w:pPr>
            <w:r>
              <w:rPr>
                <w:color w:val="000000"/>
                <w:sz w:val="20"/>
              </w:rPr>
              <w:object w:dxaOrig="1081" w:dyaOrig="541">
                <v:shape id="_x0000_i1049" type="#_x0000_t75" style="width:54pt;height:27pt" o:ole="" fillcolor="window">
                  <v:imagedata r:id="rId115" o:title=""/>
                </v:shape>
                <o:OLEObject Type="Embed" ProgID="Word.Picture.8" ShapeID="_x0000_i1049" DrawAspect="Content" ObjectID="_1595940274" r:id="rId118"/>
              </w:object>
            </w:r>
          </w:p>
        </w:tc>
      </w:tr>
      <w:tr w:rsidR="00AF2508">
        <w:trPr>
          <w:cantSplit/>
        </w:trPr>
        <w:tc>
          <w:tcPr>
            <w:tcW w:w="1380" w:type="dxa"/>
            <w:vMerge/>
            <w:tcBorders>
              <w:bottom w:val="single" w:sz="6" w:space="0" w:color="auto"/>
              <w:right w:val="single" w:sz="6" w:space="0" w:color="auto"/>
            </w:tcBorders>
          </w:tcPr>
          <w:p w:rsidR="00AF2508" w:rsidRDefault="00AF2508">
            <w:pPr>
              <w:spacing w:before="120"/>
              <w:ind w:left="60" w:right="120" w:hanging="80"/>
              <w:rPr>
                <w:color w:val="000000"/>
                <w:sz w:val="16"/>
              </w:rPr>
            </w:pPr>
          </w:p>
        </w:tc>
        <w:tc>
          <w:tcPr>
            <w:tcW w:w="600" w:type="dxa"/>
            <w:tcBorders>
              <w:top w:val="single" w:sz="6" w:space="0" w:color="auto"/>
              <w:left w:val="nil"/>
              <w:bottom w:val="single" w:sz="6" w:space="0" w:color="auto"/>
              <w:right w:val="single" w:sz="6" w:space="0" w:color="auto"/>
            </w:tcBorders>
          </w:tcPr>
          <w:p w:rsidR="00AF2508" w:rsidRDefault="00AF2508">
            <w:pPr>
              <w:spacing w:before="120" w:after="120"/>
              <w:ind w:right="-40"/>
              <w:rPr>
                <w:color w:val="000000"/>
                <w:sz w:val="16"/>
              </w:rPr>
            </w:pPr>
            <w:r>
              <w:rPr>
                <w:color w:val="000000"/>
                <w:sz w:val="16"/>
              </w:rPr>
              <w:t>C.I.</w:t>
            </w:r>
            <w:r>
              <w:rPr>
                <w:color w:val="000000"/>
                <w:sz w:val="16"/>
              </w:rPr>
              <w:br/>
              <w:t>C.I.</w:t>
            </w:r>
            <w:r>
              <w:rPr>
                <w:color w:val="000000"/>
                <w:sz w:val="16"/>
              </w:rPr>
              <w:br/>
              <w:t>C.I.</w:t>
            </w:r>
          </w:p>
        </w:tc>
        <w:tc>
          <w:tcPr>
            <w:tcW w:w="66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rPr>
                <w:color w:val="000000"/>
                <w:sz w:val="16"/>
              </w:rPr>
            </w:pPr>
            <w:r>
              <w:rPr>
                <w:color w:val="000000"/>
                <w:sz w:val="16"/>
              </w:rPr>
              <w:t>C.I.</w:t>
            </w:r>
            <w:r>
              <w:rPr>
                <w:color w:val="000000"/>
                <w:sz w:val="16"/>
              </w:rPr>
              <w:br/>
              <w:t>G.M.</w:t>
            </w:r>
            <w:r>
              <w:rPr>
                <w:color w:val="000000"/>
                <w:sz w:val="16"/>
              </w:rPr>
              <w:br/>
              <w:t>W.M.</w:t>
            </w:r>
          </w:p>
        </w:tc>
        <w:tc>
          <w:tcPr>
            <w:tcW w:w="563"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1 800</w:t>
            </w:r>
            <w:r>
              <w:rPr>
                <w:color w:val="000000"/>
                <w:sz w:val="16"/>
              </w:rPr>
              <w:br/>
              <w:t>. . .</w:t>
            </w:r>
            <w:r>
              <w:rPr>
                <w:color w:val="000000"/>
                <w:sz w:val="16"/>
              </w:rPr>
              <w:br/>
              <w:t>3 500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1 500</w:t>
            </w:r>
            <w:r>
              <w:rPr>
                <w:color w:val="000000"/>
                <w:sz w:val="16"/>
              </w:rPr>
              <w:br/>
              <w:t>500</w:t>
            </w:r>
            <w:r>
              <w:rPr>
                <w:color w:val="000000"/>
                <w:sz w:val="16"/>
              </w:rPr>
              <w:br/>
              <w:t>2 750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1 000</w:t>
            </w:r>
            <w:r>
              <w:rPr>
                <w:color w:val="000000"/>
                <w:sz w:val="16"/>
              </w:rPr>
              <w:br/>
              <w:t>. . .</w:t>
            </w:r>
            <w:r>
              <w:rPr>
                <w:color w:val="000000"/>
                <w:sz w:val="16"/>
              </w:rPr>
              <w:br/>
              <w:t>1 900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700</w:t>
            </w:r>
            <w:r>
              <w:rPr>
                <w:color w:val="000000"/>
                <w:sz w:val="16"/>
              </w:rPr>
              <w:br/>
              <w:t>. . .</w:t>
            </w:r>
            <w:r>
              <w:rPr>
                <w:color w:val="000000"/>
                <w:sz w:val="16"/>
              </w:rPr>
              <w:br/>
              <w:t>1 500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500</w:t>
            </w:r>
            <w:r>
              <w:rPr>
                <w:color w:val="000000"/>
                <w:sz w:val="16"/>
              </w:rPr>
              <w:br/>
              <w:t>. . .</w:t>
            </w:r>
            <w:r>
              <w:rPr>
                <w:color w:val="000000"/>
                <w:sz w:val="16"/>
              </w:rPr>
              <w:br/>
              <w:t>1 200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400</w:t>
            </w:r>
            <w:r>
              <w:rPr>
                <w:color w:val="000000"/>
                <w:sz w:val="16"/>
              </w:rPr>
              <w:br/>
              <w:t>. . .</w:t>
            </w:r>
            <w:r>
              <w:rPr>
                <w:color w:val="000000"/>
                <w:sz w:val="16"/>
              </w:rPr>
              <w:br/>
              <w:t>1 000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350</w:t>
            </w:r>
            <w:r>
              <w:rPr>
                <w:color w:val="000000"/>
                <w:sz w:val="16"/>
              </w:rPr>
              <w:br/>
              <w:t>. . .</w:t>
            </w:r>
            <w:r>
              <w:rPr>
                <w:color w:val="000000"/>
                <w:sz w:val="16"/>
              </w:rPr>
              <w:br/>
              <w:t>800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 . .</w:t>
            </w:r>
            <w:r>
              <w:rPr>
                <w:color w:val="000000"/>
                <w:sz w:val="16"/>
              </w:rPr>
              <w:br/>
              <w:t>300</w:t>
            </w:r>
            <w:r>
              <w:rPr>
                <w:color w:val="000000"/>
                <w:sz w:val="16"/>
              </w:rPr>
              <w:br/>
              <w:t>600</w:t>
            </w:r>
          </w:p>
        </w:tc>
        <w:tc>
          <w:tcPr>
            <w:tcW w:w="56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300</w:t>
            </w:r>
            <w:r>
              <w:rPr>
                <w:color w:val="000000"/>
                <w:sz w:val="16"/>
              </w:rPr>
              <w:br/>
              <w:t>. . .</w:t>
            </w:r>
            <w:r>
              <w:rPr>
                <w:color w:val="000000"/>
                <w:sz w:val="16"/>
              </w:rPr>
              <w:br/>
              <w:t>*450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100</w:t>
            </w:r>
            <w:r>
              <w:rPr>
                <w:color w:val="000000"/>
                <w:sz w:val="16"/>
              </w:rPr>
              <w:br/>
              <w:t>100</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spacing w:before="120" w:after="120"/>
              <w:jc w:val="right"/>
              <w:rPr>
                <w:color w:val="000000"/>
                <w:sz w:val="16"/>
              </w:rPr>
            </w:pPr>
            <w:r>
              <w:rPr>
                <w:color w:val="000000"/>
                <w:sz w:val="16"/>
              </w:rPr>
              <w:t>15</w:t>
            </w:r>
            <w:r>
              <w:rPr>
                <w:color w:val="000000"/>
                <w:sz w:val="16"/>
              </w:rPr>
              <w:br/>
              <w:t>15</w:t>
            </w:r>
            <w:r>
              <w:rPr>
                <w:color w:val="000000"/>
                <w:sz w:val="16"/>
              </w:rPr>
              <w:br/>
              <w:t>. . .</w:t>
            </w:r>
          </w:p>
        </w:tc>
        <w:bookmarkStart w:id="256" w:name="_MON_1235378819"/>
        <w:bookmarkEnd w:id="256"/>
        <w:bookmarkStart w:id="257" w:name="_MON_1159698778"/>
        <w:bookmarkEnd w:id="257"/>
        <w:tc>
          <w:tcPr>
            <w:tcW w:w="1320" w:type="dxa"/>
            <w:tcBorders>
              <w:top w:val="single" w:sz="6" w:space="0" w:color="auto"/>
              <w:bottom w:val="single" w:sz="6" w:space="0" w:color="auto"/>
            </w:tcBorders>
          </w:tcPr>
          <w:p w:rsidR="00AF2508" w:rsidRDefault="00AF2508">
            <w:pPr>
              <w:spacing w:after="120"/>
              <w:rPr>
                <w:color w:val="000000"/>
                <w:sz w:val="16"/>
              </w:rPr>
            </w:pPr>
            <w:r>
              <w:rPr>
                <w:color w:val="000000"/>
                <w:sz w:val="20"/>
              </w:rPr>
              <w:object w:dxaOrig="1081" w:dyaOrig="541">
                <v:shape id="_x0000_i1050" type="#_x0000_t75" style="width:54pt;height:27pt" o:ole="" fillcolor="window">
                  <v:imagedata r:id="rId115" o:title=""/>
                </v:shape>
                <o:OLEObject Type="Embed" ProgID="Word.Picture.8" ShapeID="_x0000_i1050" DrawAspect="Content" ObjectID="_1595940275" r:id="rId119"/>
              </w:object>
            </w:r>
          </w:p>
        </w:tc>
      </w:tr>
    </w:tbl>
    <w:p w:rsidR="00AF2508" w:rsidRDefault="00AF2508"/>
    <w:p w:rsidR="00AF2508" w:rsidRDefault="00AF2508">
      <w:pPr>
        <w:pStyle w:val="02TextLandscape"/>
        <w:sectPr w:rsidR="00AF2508">
          <w:headerReference w:type="even" r:id="rId120"/>
          <w:headerReference w:type="default" r:id="rId121"/>
          <w:footerReference w:type="even" r:id="rId122"/>
          <w:footerReference w:type="default" r:id="rId123"/>
          <w:pgSz w:w="16839" w:h="11907" w:orient="landscape" w:code="9"/>
          <w:pgMar w:top="2300" w:right="3000" w:bottom="1900" w:left="2500" w:header="2480" w:footer="2100" w:gutter="0"/>
          <w:cols w:space="720"/>
          <w:docGrid w:linePitch="254"/>
        </w:sectPr>
      </w:pPr>
    </w:p>
    <w:p w:rsidR="00AF2508" w:rsidRDefault="00AF2508">
      <w:pPr>
        <w:pStyle w:val="Amain"/>
      </w:pPr>
      <w:r>
        <w:rPr>
          <w:color w:val="000000"/>
        </w:rPr>
        <w:tab/>
        <w:t>(52)</w:t>
      </w:r>
      <w:r>
        <w:rPr>
          <w:color w:val="000000"/>
        </w:rPr>
        <w:tab/>
        <w:t>The maximum intensities of bearing pressures between the surfaces of lubricated plain thrust bearings shall not exceed those shown in table 130.3, relevant and appropriate to the rubbing speeds, materials and way of use.</w:t>
      </w:r>
    </w:p>
    <w:p w:rsidR="00AF2508" w:rsidRDefault="00AF2508">
      <w:pPr>
        <w:pStyle w:val="TableHd"/>
        <w:ind w:left="1425" w:hanging="1425"/>
      </w:pPr>
      <w:r>
        <w:t>Table 130.3</w:t>
      </w:r>
      <w:r>
        <w:tab/>
        <w:t>Maximum permissible intensities of bearing pressures for lubricated plain thrust bearings, in pounds per square inch (if more specific provision is not made elsewhere in this regulation).  Intermediate values may be interpolated</w:t>
      </w:r>
    </w:p>
    <w:tbl>
      <w:tblPr>
        <w:tblW w:w="0" w:type="auto"/>
        <w:tblLayout w:type="fixed"/>
        <w:tblCellMar>
          <w:left w:w="80" w:type="dxa"/>
          <w:right w:w="80" w:type="dxa"/>
        </w:tblCellMar>
        <w:tblLook w:val="0000" w:firstRow="0" w:lastRow="0" w:firstColumn="0" w:lastColumn="0" w:noHBand="0" w:noVBand="0"/>
      </w:tblPr>
      <w:tblGrid>
        <w:gridCol w:w="1620"/>
        <w:gridCol w:w="660"/>
        <w:gridCol w:w="640"/>
        <w:gridCol w:w="620"/>
        <w:gridCol w:w="520"/>
        <w:gridCol w:w="540"/>
        <w:gridCol w:w="520"/>
        <w:gridCol w:w="520"/>
        <w:gridCol w:w="540"/>
        <w:gridCol w:w="1260"/>
      </w:tblGrid>
      <w:tr w:rsidR="00AF2508">
        <w:trPr>
          <w:cantSplit/>
        </w:trPr>
        <w:tc>
          <w:tcPr>
            <w:tcW w:w="1620" w:type="dxa"/>
            <w:tcBorders>
              <w:top w:val="single" w:sz="6" w:space="0" w:color="auto"/>
              <w:right w:val="single" w:sz="6" w:space="0" w:color="auto"/>
            </w:tcBorders>
          </w:tcPr>
          <w:p w:rsidR="00AF2508" w:rsidRDefault="00AF2508">
            <w:pPr>
              <w:pStyle w:val="TableColHd"/>
              <w:rPr>
                <w:sz w:val="16"/>
              </w:rPr>
            </w:pPr>
            <w:r>
              <w:rPr>
                <w:sz w:val="16"/>
              </w:rPr>
              <w:t>materials in</w:t>
            </w:r>
          </w:p>
        </w:tc>
        <w:tc>
          <w:tcPr>
            <w:tcW w:w="4560" w:type="dxa"/>
            <w:gridSpan w:val="8"/>
            <w:tcBorders>
              <w:top w:val="single" w:sz="6" w:space="0" w:color="auto"/>
              <w:bottom w:val="single" w:sz="6" w:space="0" w:color="auto"/>
              <w:right w:val="single" w:sz="6" w:space="0" w:color="auto"/>
            </w:tcBorders>
          </w:tcPr>
          <w:p w:rsidR="00AF2508" w:rsidRDefault="00AF2508">
            <w:pPr>
              <w:pStyle w:val="TableColHd"/>
              <w:jc w:val="center"/>
              <w:rPr>
                <w:sz w:val="16"/>
              </w:rPr>
            </w:pPr>
            <w:r>
              <w:rPr>
                <w:sz w:val="16"/>
              </w:rPr>
              <w:t>maximum peripheral rubbing speed in feet/min—</w:t>
            </w:r>
          </w:p>
        </w:tc>
        <w:tc>
          <w:tcPr>
            <w:tcW w:w="1260" w:type="dxa"/>
            <w:tcBorders>
              <w:top w:val="single" w:sz="6" w:space="0" w:color="auto"/>
            </w:tcBorders>
          </w:tcPr>
          <w:p w:rsidR="00AF2508" w:rsidRDefault="00AF2508">
            <w:pPr>
              <w:pStyle w:val="TableColHd"/>
              <w:rPr>
                <w:sz w:val="16"/>
              </w:rPr>
            </w:pPr>
          </w:p>
        </w:tc>
      </w:tr>
      <w:tr w:rsidR="00AF2508">
        <w:trPr>
          <w:cantSplit/>
        </w:trPr>
        <w:tc>
          <w:tcPr>
            <w:tcW w:w="1620" w:type="dxa"/>
            <w:tcBorders>
              <w:bottom w:val="single" w:sz="6" w:space="0" w:color="auto"/>
              <w:right w:val="single" w:sz="6" w:space="0" w:color="auto"/>
            </w:tcBorders>
          </w:tcPr>
          <w:p w:rsidR="00AF2508" w:rsidRDefault="00AF2508">
            <w:pPr>
              <w:pStyle w:val="TableColHd"/>
              <w:rPr>
                <w:sz w:val="16"/>
              </w:rPr>
            </w:pPr>
            <w:r>
              <w:rPr>
                <w:sz w:val="16"/>
              </w:rPr>
              <w:t>contact</w:t>
            </w:r>
          </w:p>
        </w:tc>
        <w:tc>
          <w:tcPr>
            <w:tcW w:w="660" w:type="dxa"/>
            <w:tcBorders>
              <w:bottom w:val="single" w:sz="6" w:space="0" w:color="auto"/>
            </w:tcBorders>
          </w:tcPr>
          <w:p w:rsidR="00AF2508" w:rsidRDefault="00AF2508">
            <w:pPr>
              <w:pStyle w:val="TableColHd"/>
              <w:rPr>
                <w:sz w:val="16"/>
              </w:rPr>
            </w:pPr>
            <w:r>
              <w:rPr>
                <w:sz w:val="16"/>
              </w:rPr>
              <w:t>10</w:t>
            </w:r>
          </w:p>
        </w:tc>
        <w:tc>
          <w:tcPr>
            <w:tcW w:w="64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20</w:t>
            </w:r>
          </w:p>
        </w:tc>
        <w:tc>
          <w:tcPr>
            <w:tcW w:w="62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40</w:t>
            </w:r>
          </w:p>
        </w:tc>
        <w:tc>
          <w:tcPr>
            <w:tcW w:w="52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80</w:t>
            </w:r>
          </w:p>
        </w:tc>
        <w:tc>
          <w:tcPr>
            <w:tcW w:w="54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100</w:t>
            </w:r>
          </w:p>
        </w:tc>
        <w:tc>
          <w:tcPr>
            <w:tcW w:w="52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150</w:t>
            </w:r>
          </w:p>
        </w:tc>
        <w:tc>
          <w:tcPr>
            <w:tcW w:w="520" w:type="dxa"/>
            <w:tcBorders>
              <w:left w:val="single" w:sz="6" w:space="0" w:color="auto"/>
              <w:bottom w:val="single" w:sz="6" w:space="0" w:color="auto"/>
              <w:right w:val="single" w:sz="6" w:space="0" w:color="auto"/>
            </w:tcBorders>
          </w:tcPr>
          <w:p w:rsidR="00AF2508" w:rsidRDefault="00AF2508">
            <w:pPr>
              <w:pStyle w:val="TableColHd"/>
              <w:rPr>
                <w:sz w:val="16"/>
              </w:rPr>
            </w:pPr>
            <w:r>
              <w:rPr>
                <w:sz w:val="16"/>
              </w:rPr>
              <w:t>200</w:t>
            </w:r>
          </w:p>
        </w:tc>
        <w:tc>
          <w:tcPr>
            <w:tcW w:w="540" w:type="dxa"/>
            <w:tcBorders>
              <w:bottom w:val="single" w:sz="6" w:space="0" w:color="auto"/>
              <w:right w:val="single" w:sz="6" w:space="0" w:color="auto"/>
            </w:tcBorders>
          </w:tcPr>
          <w:p w:rsidR="00AF2508" w:rsidRDefault="00AF2508">
            <w:pPr>
              <w:pStyle w:val="TableColHd"/>
              <w:rPr>
                <w:sz w:val="16"/>
              </w:rPr>
            </w:pPr>
            <w:r>
              <w:rPr>
                <w:sz w:val="16"/>
              </w:rPr>
              <w:t>500</w:t>
            </w:r>
          </w:p>
        </w:tc>
        <w:tc>
          <w:tcPr>
            <w:tcW w:w="1260" w:type="dxa"/>
            <w:tcBorders>
              <w:bottom w:val="single" w:sz="6" w:space="0" w:color="auto"/>
            </w:tcBorders>
          </w:tcPr>
          <w:p w:rsidR="00AF2508" w:rsidRDefault="00AF2508">
            <w:pPr>
              <w:pStyle w:val="TableColHd"/>
              <w:jc w:val="center"/>
              <w:rPr>
                <w:sz w:val="16"/>
              </w:rPr>
            </w:pPr>
            <w:r>
              <w:rPr>
                <w:sz w:val="16"/>
              </w:rPr>
              <w:t>note</w:t>
            </w:r>
          </w:p>
        </w:tc>
      </w:tr>
      <w:tr w:rsidR="00AF2508">
        <w:trPr>
          <w:cantSplit/>
        </w:trPr>
        <w:tc>
          <w:tcPr>
            <w:tcW w:w="1620" w:type="dxa"/>
            <w:tcBorders>
              <w:top w:val="single" w:sz="6" w:space="0" w:color="auto"/>
              <w:bottom w:val="single" w:sz="6" w:space="0" w:color="auto"/>
              <w:right w:val="single" w:sz="6" w:space="0" w:color="auto"/>
            </w:tcBorders>
          </w:tcPr>
          <w:p w:rsidR="00AF2508" w:rsidRDefault="00AF2508">
            <w:pPr>
              <w:pStyle w:val="Amain"/>
              <w:spacing w:before="40" w:after="0"/>
              <w:rPr>
                <w:color w:val="000000"/>
              </w:rPr>
            </w:pPr>
            <w:r>
              <w:rPr>
                <w:color w:val="000000"/>
                <w:sz w:val="18"/>
              </w:rPr>
              <w:t>M.S on G.M.</w:t>
            </w:r>
          </w:p>
        </w:tc>
        <w:tc>
          <w:tcPr>
            <w:tcW w:w="660" w:type="dxa"/>
            <w:tcBorders>
              <w:top w:val="single" w:sz="6" w:space="0" w:color="auto"/>
              <w:bottom w:val="single" w:sz="6" w:space="0" w:color="auto"/>
            </w:tcBorders>
          </w:tcPr>
          <w:p w:rsidR="00AF2508" w:rsidRDefault="00AF2508">
            <w:pPr>
              <w:pStyle w:val="Amain"/>
              <w:spacing w:before="40" w:after="0"/>
              <w:jc w:val="right"/>
              <w:rPr>
                <w:color w:val="000000"/>
              </w:rPr>
            </w:pPr>
            <w:r>
              <w:rPr>
                <w:color w:val="000000"/>
                <w:sz w:val="18"/>
              </w:rPr>
              <w:t>1 500</w:t>
            </w:r>
          </w:p>
        </w:tc>
        <w:tc>
          <w:tcPr>
            <w:tcW w:w="6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850</w:t>
            </w:r>
          </w:p>
        </w:tc>
        <w:tc>
          <w:tcPr>
            <w:tcW w:w="6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320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100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80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60</w:t>
            </w:r>
          </w:p>
        </w:tc>
        <w:tc>
          <w:tcPr>
            <w:tcW w:w="540" w:type="dxa"/>
            <w:tcBorders>
              <w:top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50</w:t>
            </w:r>
          </w:p>
        </w:tc>
        <w:tc>
          <w:tcPr>
            <w:tcW w:w="1260" w:type="dxa"/>
            <w:vMerge w:val="restart"/>
            <w:tcBorders>
              <w:top w:val="single" w:sz="6" w:space="0" w:color="auto"/>
            </w:tcBorders>
            <w:vAlign w:val="center"/>
          </w:tcPr>
          <w:p w:rsidR="00AF2508" w:rsidRDefault="00AF2508">
            <w:pPr>
              <w:pStyle w:val="Amain"/>
              <w:spacing w:before="40" w:after="0"/>
              <w:ind w:left="0" w:firstLine="0"/>
              <w:rPr>
                <w:color w:val="000000"/>
                <w:sz w:val="16"/>
              </w:rPr>
            </w:pPr>
          </w:p>
        </w:tc>
      </w:tr>
      <w:tr w:rsidR="00AF2508">
        <w:trPr>
          <w:cantSplit/>
        </w:trPr>
        <w:tc>
          <w:tcPr>
            <w:tcW w:w="1620" w:type="dxa"/>
            <w:tcBorders>
              <w:top w:val="single" w:sz="6" w:space="0" w:color="auto"/>
              <w:bottom w:val="single" w:sz="6" w:space="0" w:color="auto"/>
              <w:right w:val="single" w:sz="6" w:space="0" w:color="auto"/>
            </w:tcBorders>
          </w:tcPr>
          <w:p w:rsidR="00AF2508" w:rsidRDefault="00AF2508">
            <w:pPr>
              <w:pStyle w:val="Amain"/>
              <w:spacing w:before="40" w:after="0"/>
              <w:rPr>
                <w:color w:val="000000"/>
              </w:rPr>
            </w:pPr>
            <w:r>
              <w:rPr>
                <w:color w:val="000000"/>
                <w:sz w:val="18"/>
              </w:rPr>
              <w:t>M.S. on W.M.</w:t>
            </w:r>
          </w:p>
        </w:tc>
        <w:tc>
          <w:tcPr>
            <w:tcW w:w="660" w:type="dxa"/>
            <w:tcBorders>
              <w:top w:val="single" w:sz="6" w:space="0" w:color="auto"/>
              <w:bottom w:val="single" w:sz="6" w:space="0" w:color="auto"/>
            </w:tcBorders>
          </w:tcPr>
          <w:p w:rsidR="00AF2508" w:rsidRDefault="00AF2508">
            <w:pPr>
              <w:pStyle w:val="Amain"/>
              <w:spacing w:before="40" w:after="0"/>
              <w:jc w:val="right"/>
              <w:rPr>
                <w:color w:val="000000"/>
              </w:rPr>
            </w:pPr>
            <w:r>
              <w:rPr>
                <w:color w:val="000000"/>
                <w:sz w:val="18"/>
              </w:rPr>
              <w:t>1 800</w:t>
            </w:r>
          </w:p>
        </w:tc>
        <w:tc>
          <w:tcPr>
            <w:tcW w:w="6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1 100</w:t>
            </w:r>
          </w:p>
        </w:tc>
        <w:tc>
          <w:tcPr>
            <w:tcW w:w="6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460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170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160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150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120</w:t>
            </w:r>
          </w:p>
        </w:tc>
        <w:tc>
          <w:tcPr>
            <w:tcW w:w="540" w:type="dxa"/>
            <w:tcBorders>
              <w:top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100</w:t>
            </w:r>
          </w:p>
        </w:tc>
        <w:tc>
          <w:tcPr>
            <w:tcW w:w="1260" w:type="dxa"/>
            <w:vMerge/>
          </w:tcPr>
          <w:p w:rsidR="00AF2508" w:rsidRDefault="00AF2508">
            <w:pPr>
              <w:pStyle w:val="Amain"/>
              <w:spacing w:before="40" w:after="0"/>
              <w:rPr>
                <w:color w:val="000000"/>
              </w:rPr>
            </w:pPr>
          </w:p>
        </w:tc>
      </w:tr>
      <w:tr w:rsidR="00AF2508">
        <w:trPr>
          <w:cantSplit/>
        </w:trPr>
        <w:tc>
          <w:tcPr>
            <w:tcW w:w="1620" w:type="dxa"/>
            <w:tcBorders>
              <w:top w:val="single" w:sz="6" w:space="0" w:color="auto"/>
              <w:bottom w:val="single" w:sz="6" w:space="0" w:color="auto"/>
              <w:right w:val="single" w:sz="6" w:space="0" w:color="auto"/>
            </w:tcBorders>
          </w:tcPr>
          <w:p w:rsidR="00AF2508" w:rsidRDefault="00AF2508">
            <w:pPr>
              <w:pStyle w:val="Amain"/>
              <w:spacing w:before="40" w:after="0"/>
              <w:rPr>
                <w:color w:val="000000"/>
              </w:rPr>
            </w:pPr>
            <w:r>
              <w:rPr>
                <w:color w:val="000000"/>
                <w:sz w:val="18"/>
              </w:rPr>
              <w:t>Med.S. on P.B.</w:t>
            </w:r>
          </w:p>
        </w:tc>
        <w:tc>
          <w:tcPr>
            <w:tcW w:w="660" w:type="dxa"/>
            <w:tcBorders>
              <w:top w:val="single" w:sz="6" w:space="0" w:color="auto"/>
              <w:bottom w:val="single" w:sz="6" w:space="0" w:color="auto"/>
            </w:tcBorders>
          </w:tcPr>
          <w:p w:rsidR="00AF2508" w:rsidRDefault="00AF2508">
            <w:pPr>
              <w:pStyle w:val="Amain"/>
              <w:spacing w:before="40" w:after="0"/>
              <w:jc w:val="right"/>
              <w:rPr>
                <w:color w:val="000000"/>
              </w:rPr>
            </w:pPr>
            <w:r>
              <w:rPr>
                <w:color w:val="000000"/>
                <w:sz w:val="18"/>
              </w:rPr>
              <w:t>2 500</w:t>
            </w:r>
          </w:p>
        </w:tc>
        <w:tc>
          <w:tcPr>
            <w:tcW w:w="6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1 650</w:t>
            </w:r>
          </w:p>
        </w:tc>
        <w:tc>
          <w:tcPr>
            <w:tcW w:w="6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750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170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165</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155</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145</w:t>
            </w:r>
          </w:p>
        </w:tc>
        <w:tc>
          <w:tcPr>
            <w:tcW w:w="540" w:type="dxa"/>
            <w:tcBorders>
              <w:top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80</w:t>
            </w:r>
          </w:p>
        </w:tc>
        <w:tc>
          <w:tcPr>
            <w:tcW w:w="1260" w:type="dxa"/>
            <w:vMerge/>
          </w:tcPr>
          <w:p w:rsidR="00AF2508" w:rsidRDefault="00AF2508">
            <w:pPr>
              <w:pStyle w:val="Amain"/>
              <w:spacing w:before="40" w:after="0"/>
              <w:rPr>
                <w:color w:val="000000"/>
              </w:rPr>
            </w:pPr>
          </w:p>
        </w:tc>
      </w:tr>
      <w:tr w:rsidR="00AF2508">
        <w:trPr>
          <w:cantSplit/>
        </w:trPr>
        <w:tc>
          <w:tcPr>
            <w:tcW w:w="1620" w:type="dxa"/>
            <w:tcBorders>
              <w:top w:val="single" w:sz="6" w:space="0" w:color="auto"/>
              <w:bottom w:val="single" w:sz="6" w:space="0" w:color="auto"/>
              <w:right w:val="single" w:sz="6" w:space="0" w:color="auto"/>
            </w:tcBorders>
          </w:tcPr>
          <w:p w:rsidR="00AF2508" w:rsidRDefault="00AF2508">
            <w:pPr>
              <w:pStyle w:val="Amain"/>
              <w:spacing w:before="40" w:after="0"/>
              <w:rPr>
                <w:color w:val="000000"/>
              </w:rPr>
            </w:pPr>
            <w:r>
              <w:rPr>
                <w:color w:val="000000"/>
                <w:sz w:val="18"/>
              </w:rPr>
              <w:t>Med.S. on W.S.</w:t>
            </w:r>
          </w:p>
        </w:tc>
        <w:tc>
          <w:tcPr>
            <w:tcW w:w="660" w:type="dxa"/>
            <w:tcBorders>
              <w:top w:val="single" w:sz="6" w:space="0" w:color="auto"/>
              <w:bottom w:val="single" w:sz="6" w:space="0" w:color="auto"/>
            </w:tcBorders>
          </w:tcPr>
          <w:p w:rsidR="00AF2508" w:rsidRDefault="00AF2508">
            <w:pPr>
              <w:pStyle w:val="Amain"/>
              <w:spacing w:before="40" w:after="0"/>
              <w:jc w:val="right"/>
              <w:rPr>
                <w:color w:val="000000"/>
              </w:rPr>
            </w:pPr>
            <w:r>
              <w:rPr>
                <w:color w:val="000000"/>
                <w:sz w:val="18"/>
              </w:rPr>
              <w:t>2 500</w:t>
            </w:r>
          </w:p>
        </w:tc>
        <w:tc>
          <w:tcPr>
            <w:tcW w:w="6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1 880</w:t>
            </w:r>
          </w:p>
        </w:tc>
        <w:tc>
          <w:tcPr>
            <w:tcW w:w="6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1 000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300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200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190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180</w:t>
            </w:r>
          </w:p>
        </w:tc>
        <w:tc>
          <w:tcPr>
            <w:tcW w:w="540" w:type="dxa"/>
            <w:tcBorders>
              <w:top w:val="single" w:sz="6" w:space="0" w:color="auto"/>
              <w:bottom w:val="single" w:sz="6" w:space="0" w:color="auto"/>
              <w:right w:val="single" w:sz="6" w:space="0" w:color="auto"/>
            </w:tcBorders>
          </w:tcPr>
          <w:p w:rsidR="00AF2508" w:rsidRDefault="00AF2508">
            <w:pPr>
              <w:pStyle w:val="Amain"/>
              <w:spacing w:before="40" w:after="0"/>
              <w:jc w:val="right"/>
              <w:rPr>
                <w:color w:val="000000"/>
              </w:rPr>
            </w:pPr>
            <w:r>
              <w:rPr>
                <w:color w:val="000000"/>
                <w:sz w:val="18"/>
              </w:rPr>
              <w:t>110</w:t>
            </w:r>
          </w:p>
        </w:tc>
        <w:tc>
          <w:tcPr>
            <w:tcW w:w="1260" w:type="dxa"/>
            <w:vMerge w:val="restart"/>
            <w:vAlign w:val="center"/>
          </w:tcPr>
          <w:p w:rsidR="00AF2508" w:rsidRDefault="00AF2508">
            <w:pPr>
              <w:pStyle w:val="Amain"/>
              <w:spacing w:before="40" w:after="0"/>
              <w:ind w:left="0" w:firstLine="0"/>
              <w:rPr>
                <w:color w:val="000000"/>
              </w:rPr>
            </w:pPr>
            <w:r>
              <w:rPr>
                <w:color w:val="000000"/>
                <w:sz w:val="16"/>
              </w:rPr>
              <w:t xml:space="preserve">Pressures </w:t>
            </w:r>
            <w:r>
              <w:rPr>
                <w:color w:val="000000"/>
                <w:sz w:val="16"/>
              </w:rPr>
              <w:br/>
              <w:t>given are for intermittent running</w:t>
            </w:r>
          </w:p>
        </w:tc>
      </w:tr>
      <w:tr w:rsidR="00AF2508">
        <w:trPr>
          <w:cantSplit/>
        </w:trPr>
        <w:tc>
          <w:tcPr>
            <w:tcW w:w="1620" w:type="dxa"/>
            <w:tcBorders>
              <w:top w:val="single" w:sz="6" w:space="0" w:color="auto"/>
              <w:bottom w:val="single" w:sz="6" w:space="0" w:color="auto"/>
              <w:right w:val="single" w:sz="6" w:space="0" w:color="auto"/>
            </w:tcBorders>
          </w:tcPr>
          <w:p w:rsidR="00AF2508" w:rsidRDefault="00AF2508">
            <w:pPr>
              <w:pStyle w:val="Amain"/>
              <w:rPr>
                <w:color w:val="000000"/>
              </w:rPr>
            </w:pPr>
            <w:r>
              <w:rPr>
                <w:color w:val="000000"/>
                <w:sz w:val="18"/>
              </w:rPr>
              <w:fldChar w:fldCharType="begin"/>
            </w:r>
            <w:r>
              <w:rPr>
                <w:color w:val="000000"/>
                <w:sz w:val="18"/>
              </w:rPr>
              <w:instrText xml:space="preserve"> EQ \B\RC\}(\A\HS10(H.S. on P.B.,or,H.S. on W.M.)) </w:instrText>
            </w:r>
            <w:r>
              <w:rPr>
                <w:color w:val="000000"/>
                <w:sz w:val="18"/>
              </w:rPr>
              <w:fldChar w:fldCharType="end"/>
            </w:r>
          </w:p>
        </w:tc>
        <w:tc>
          <w:tcPr>
            <w:tcW w:w="660" w:type="dxa"/>
            <w:tcBorders>
              <w:top w:val="single" w:sz="6" w:space="0" w:color="auto"/>
              <w:bottom w:val="single" w:sz="6" w:space="0" w:color="auto"/>
            </w:tcBorders>
          </w:tcPr>
          <w:p w:rsidR="00AF2508" w:rsidRDefault="00AF2508">
            <w:pPr>
              <w:pStyle w:val="Amain"/>
              <w:jc w:val="right"/>
              <w:rPr>
                <w:color w:val="000000"/>
              </w:rPr>
            </w:pPr>
            <w:r>
              <w:rPr>
                <w:color w:val="000000"/>
                <w:sz w:val="18"/>
              </w:rPr>
              <w:t>4 000</w:t>
            </w:r>
          </w:p>
        </w:tc>
        <w:tc>
          <w:tcPr>
            <w:tcW w:w="64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2 600</w:t>
            </w:r>
          </w:p>
        </w:tc>
        <w:tc>
          <w:tcPr>
            <w:tcW w:w="6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1 500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600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500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460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410</w:t>
            </w:r>
          </w:p>
        </w:tc>
        <w:tc>
          <w:tcPr>
            <w:tcW w:w="540" w:type="dxa"/>
            <w:tcBorders>
              <w:top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150</w:t>
            </w:r>
          </w:p>
        </w:tc>
        <w:tc>
          <w:tcPr>
            <w:tcW w:w="1260" w:type="dxa"/>
            <w:vMerge/>
          </w:tcPr>
          <w:p w:rsidR="00AF2508" w:rsidRDefault="00AF2508">
            <w:pPr>
              <w:rPr>
                <w:sz w:val="16"/>
              </w:rPr>
            </w:pPr>
          </w:p>
        </w:tc>
      </w:tr>
      <w:tr w:rsidR="00AF2508">
        <w:trPr>
          <w:cantSplit/>
        </w:trPr>
        <w:tc>
          <w:tcPr>
            <w:tcW w:w="1620" w:type="dxa"/>
            <w:tcBorders>
              <w:top w:val="single" w:sz="6" w:space="0" w:color="auto"/>
              <w:bottom w:val="single" w:sz="6" w:space="0" w:color="auto"/>
              <w:right w:val="single" w:sz="6" w:space="0" w:color="auto"/>
            </w:tcBorders>
          </w:tcPr>
          <w:p w:rsidR="00AF2508" w:rsidRDefault="00136775">
            <w:pPr>
              <w:pStyle w:val="Amain"/>
              <w:rPr>
                <w:color w:val="000000"/>
              </w:rPr>
            </w:pPr>
            <w:r>
              <w:rPr>
                <w:noProof/>
                <w:color w:val="000000"/>
                <w:position w:val="-10"/>
                <w:sz w:val="18"/>
                <w:lang w:eastAsia="en-AU"/>
              </w:rPr>
              <w:drawing>
                <wp:inline distT="0" distB="0" distL="0" distR="0">
                  <wp:extent cx="104775" cy="180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660" w:type="dxa"/>
            <w:tcBorders>
              <w:top w:val="single" w:sz="6" w:space="0" w:color="auto"/>
              <w:bottom w:val="single" w:sz="6" w:space="0" w:color="auto"/>
            </w:tcBorders>
          </w:tcPr>
          <w:p w:rsidR="00AF2508" w:rsidRDefault="00AF2508">
            <w:pPr>
              <w:pStyle w:val="Amain"/>
              <w:jc w:val="right"/>
              <w:rPr>
                <w:color w:val="000000"/>
              </w:rPr>
            </w:pPr>
            <w:r>
              <w:rPr>
                <w:color w:val="000000"/>
                <w:sz w:val="18"/>
              </w:rPr>
              <w:t>750</w:t>
            </w:r>
          </w:p>
        </w:tc>
        <w:tc>
          <w:tcPr>
            <w:tcW w:w="64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400</w:t>
            </w:r>
          </w:p>
        </w:tc>
        <w:tc>
          <w:tcPr>
            <w:tcW w:w="6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110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60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50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40</w:t>
            </w:r>
          </w:p>
        </w:tc>
        <w:tc>
          <w:tcPr>
            <w:tcW w:w="520" w:type="dxa"/>
            <w:tcBorders>
              <w:top w:val="single" w:sz="6" w:space="0" w:color="auto"/>
              <w:left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30</w:t>
            </w:r>
          </w:p>
        </w:tc>
        <w:tc>
          <w:tcPr>
            <w:tcW w:w="540" w:type="dxa"/>
            <w:tcBorders>
              <w:top w:val="single" w:sz="6" w:space="0" w:color="auto"/>
              <w:bottom w:val="single" w:sz="6" w:space="0" w:color="auto"/>
              <w:right w:val="single" w:sz="6" w:space="0" w:color="auto"/>
            </w:tcBorders>
          </w:tcPr>
          <w:p w:rsidR="00AF2508" w:rsidRDefault="00AF2508">
            <w:pPr>
              <w:pStyle w:val="Amain"/>
              <w:jc w:val="right"/>
              <w:rPr>
                <w:color w:val="000000"/>
              </w:rPr>
            </w:pPr>
            <w:r>
              <w:rPr>
                <w:color w:val="000000"/>
                <w:sz w:val="18"/>
              </w:rPr>
              <w:t>10</w:t>
            </w:r>
          </w:p>
        </w:tc>
        <w:tc>
          <w:tcPr>
            <w:tcW w:w="1260" w:type="dxa"/>
            <w:vMerge/>
            <w:tcBorders>
              <w:bottom w:val="single" w:sz="6" w:space="0" w:color="auto"/>
            </w:tcBorders>
          </w:tcPr>
          <w:p w:rsidR="00AF2508" w:rsidRDefault="00AF2508"/>
        </w:tc>
      </w:tr>
    </w:tbl>
    <w:p w:rsidR="00AF2508" w:rsidRDefault="00AF2508"/>
    <w:p w:rsidR="00AF2508" w:rsidRDefault="00AF2508">
      <w:pPr>
        <w:pStyle w:val="Amain"/>
        <w:keepNext/>
      </w:pPr>
      <w:r>
        <w:rPr>
          <w:color w:val="000000"/>
        </w:rPr>
        <w:tab/>
        <w:t>(53)</w:t>
      </w:r>
      <w:r>
        <w:rPr>
          <w:color w:val="000000"/>
        </w:rPr>
        <w:tab/>
        <w:t>The maximum intensities of bearing pressures between lubricated plain sliding surfaces shall not exceed those shown in table 130.4, relevant and appropriate to the rubbing speeds, materials and way of use.</w:t>
      </w:r>
    </w:p>
    <w:p w:rsidR="00AF2508" w:rsidRDefault="00AF2508">
      <w:pPr>
        <w:pStyle w:val="TableHd"/>
        <w:ind w:left="1425" w:hanging="1425"/>
      </w:pPr>
      <w:r>
        <w:t>Table 130.4</w:t>
      </w:r>
      <w:r>
        <w:tab/>
        <w:t>Maximum permissible intensities of bearing pressures for lubricated plain sliding surfaces, in pounds per square inch (if more specific provision is not made elsewhere in this regulation).  Intermediate values may be interpolated</w:t>
      </w:r>
    </w:p>
    <w:tbl>
      <w:tblPr>
        <w:tblW w:w="0" w:type="auto"/>
        <w:tblInd w:w="-40" w:type="dxa"/>
        <w:tblLayout w:type="fixed"/>
        <w:tblCellMar>
          <w:left w:w="80" w:type="dxa"/>
          <w:right w:w="80" w:type="dxa"/>
        </w:tblCellMar>
        <w:tblLook w:val="0000" w:firstRow="0" w:lastRow="0" w:firstColumn="0" w:lastColumn="0" w:noHBand="0" w:noVBand="0"/>
      </w:tblPr>
      <w:tblGrid>
        <w:gridCol w:w="1360"/>
        <w:gridCol w:w="500"/>
        <w:gridCol w:w="500"/>
        <w:gridCol w:w="660"/>
        <w:gridCol w:w="980"/>
        <w:gridCol w:w="1020"/>
        <w:gridCol w:w="2460"/>
      </w:tblGrid>
      <w:tr w:rsidR="00AF2508">
        <w:trPr>
          <w:cantSplit/>
          <w:tblHeader/>
        </w:trPr>
        <w:tc>
          <w:tcPr>
            <w:tcW w:w="1360" w:type="dxa"/>
            <w:tcBorders>
              <w:top w:val="single" w:sz="6" w:space="0" w:color="auto"/>
              <w:right w:val="single" w:sz="6" w:space="0" w:color="auto"/>
            </w:tcBorders>
          </w:tcPr>
          <w:p w:rsidR="00AF2508" w:rsidRDefault="00AF2508">
            <w:pPr>
              <w:pStyle w:val="TableColHd"/>
              <w:rPr>
                <w:sz w:val="16"/>
              </w:rPr>
            </w:pPr>
            <w:r>
              <w:rPr>
                <w:sz w:val="16"/>
              </w:rPr>
              <w:t>materials</w:t>
            </w:r>
          </w:p>
        </w:tc>
        <w:tc>
          <w:tcPr>
            <w:tcW w:w="3660" w:type="dxa"/>
            <w:gridSpan w:val="5"/>
            <w:tcBorders>
              <w:top w:val="single" w:sz="6" w:space="0" w:color="auto"/>
            </w:tcBorders>
          </w:tcPr>
          <w:p w:rsidR="00AF2508" w:rsidRDefault="00AF2508">
            <w:pPr>
              <w:pStyle w:val="TableColHd"/>
              <w:jc w:val="center"/>
              <w:rPr>
                <w:sz w:val="16"/>
              </w:rPr>
            </w:pPr>
            <w:r>
              <w:rPr>
                <w:sz w:val="16"/>
              </w:rPr>
              <w:t>maximun rubbing speed in feet/min—</w:t>
            </w:r>
          </w:p>
        </w:tc>
        <w:tc>
          <w:tcPr>
            <w:tcW w:w="2460" w:type="dxa"/>
            <w:tcBorders>
              <w:top w:val="single" w:sz="6" w:space="0" w:color="auto"/>
              <w:left w:val="single" w:sz="6" w:space="0" w:color="auto"/>
            </w:tcBorders>
          </w:tcPr>
          <w:p w:rsidR="00AF2508" w:rsidRDefault="00AF2508">
            <w:pPr>
              <w:pStyle w:val="TableColHd"/>
              <w:rPr>
                <w:sz w:val="16"/>
              </w:rPr>
            </w:pPr>
          </w:p>
        </w:tc>
      </w:tr>
      <w:tr w:rsidR="00AF2508">
        <w:trPr>
          <w:cantSplit/>
          <w:tblHeader/>
        </w:trPr>
        <w:tc>
          <w:tcPr>
            <w:tcW w:w="1360" w:type="dxa"/>
            <w:tcBorders>
              <w:bottom w:val="single" w:sz="6" w:space="0" w:color="auto"/>
              <w:right w:val="single" w:sz="6" w:space="0" w:color="auto"/>
            </w:tcBorders>
          </w:tcPr>
          <w:p w:rsidR="00AF2508" w:rsidRDefault="00AF2508">
            <w:pPr>
              <w:pStyle w:val="TableColHd"/>
              <w:rPr>
                <w:sz w:val="16"/>
              </w:rPr>
            </w:pPr>
            <w:r>
              <w:rPr>
                <w:sz w:val="16"/>
              </w:rPr>
              <w:t>in contact</w:t>
            </w:r>
          </w:p>
        </w:tc>
        <w:tc>
          <w:tcPr>
            <w:tcW w:w="500" w:type="dxa"/>
            <w:tcBorders>
              <w:top w:val="single" w:sz="6" w:space="0" w:color="auto"/>
              <w:left w:val="single" w:sz="6" w:space="0" w:color="auto"/>
              <w:bottom w:val="single" w:sz="6" w:space="0" w:color="auto"/>
              <w:right w:val="single" w:sz="6" w:space="0" w:color="auto"/>
            </w:tcBorders>
          </w:tcPr>
          <w:p w:rsidR="00AF2508" w:rsidRDefault="00AF2508">
            <w:pPr>
              <w:pStyle w:val="TableColHd"/>
              <w:jc w:val="center"/>
              <w:rPr>
                <w:sz w:val="16"/>
              </w:rPr>
            </w:pPr>
            <w:r>
              <w:rPr>
                <w:sz w:val="16"/>
              </w:rPr>
              <w:t>209</w:t>
            </w:r>
          </w:p>
        </w:tc>
        <w:tc>
          <w:tcPr>
            <w:tcW w:w="500" w:type="dxa"/>
            <w:tcBorders>
              <w:top w:val="single" w:sz="6" w:space="0" w:color="auto"/>
              <w:left w:val="single" w:sz="6" w:space="0" w:color="auto"/>
              <w:bottom w:val="single" w:sz="6" w:space="0" w:color="auto"/>
              <w:right w:val="single" w:sz="6" w:space="0" w:color="auto"/>
            </w:tcBorders>
          </w:tcPr>
          <w:p w:rsidR="00AF2508" w:rsidRDefault="00AF2508">
            <w:pPr>
              <w:pStyle w:val="TableColHd"/>
              <w:jc w:val="center"/>
              <w:rPr>
                <w:sz w:val="16"/>
              </w:rPr>
            </w:pPr>
            <w:r>
              <w:rPr>
                <w:sz w:val="16"/>
              </w:rPr>
              <w:t>300</w:t>
            </w:r>
          </w:p>
        </w:tc>
        <w:tc>
          <w:tcPr>
            <w:tcW w:w="660" w:type="dxa"/>
            <w:tcBorders>
              <w:top w:val="single" w:sz="6" w:space="0" w:color="auto"/>
              <w:left w:val="single" w:sz="6" w:space="0" w:color="auto"/>
              <w:bottom w:val="single" w:sz="6" w:space="0" w:color="auto"/>
              <w:right w:val="single" w:sz="6" w:space="0" w:color="auto"/>
            </w:tcBorders>
          </w:tcPr>
          <w:p w:rsidR="00AF2508" w:rsidRDefault="00AF2508">
            <w:pPr>
              <w:pStyle w:val="TableColHd"/>
              <w:jc w:val="center"/>
              <w:rPr>
                <w:sz w:val="16"/>
              </w:rPr>
            </w:pPr>
            <w:r>
              <w:rPr>
                <w:sz w:val="16"/>
              </w:rPr>
              <w:t>1 200</w:t>
            </w:r>
          </w:p>
        </w:tc>
        <w:tc>
          <w:tcPr>
            <w:tcW w:w="20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ColHd"/>
              <w:jc w:val="center"/>
              <w:rPr>
                <w:sz w:val="16"/>
              </w:rPr>
            </w:pPr>
            <w:r>
              <w:rPr>
                <w:sz w:val="16"/>
              </w:rPr>
              <w:t>S</w:t>
            </w:r>
          </w:p>
        </w:tc>
        <w:tc>
          <w:tcPr>
            <w:tcW w:w="2460" w:type="dxa"/>
            <w:tcBorders>
              <w:left w:val="single" w:sz="6" w:space="0" w:color="auto"/>
              <w:bottom w:val="single" w:sz="6" w:space="0" w:color="auto"/>
            </w:tcBorders>
          </w:tcPr>
          <w:p w:rsidR="00AF2508" w:rsidRDefault="00AF2508">
            <w:pPr>
              <w:pStyle w:val="TableColHd"/>
              <w:jc w:val="center"/>
              <w:rPr>
                <w:sz w:val="16"/>
              </w:rPr>
            </w:pPr>
            <w:r>
              <w:rPr>
                <w:sz w:val="16"/>
              </w:rPr>
              <w:t>note</w:t>
            </w:r>
          </w:p>
        </w:tc>
      </w:tr>
      <w:tr w:rsidR="00AF2508">
        <w:trPr>
          <w:cantSplit/>
        </w:trPr>
        <w:tc>
          <w:tcPr>
            <w:tcW w:w="1360" w:type="dxa"/>
            <w:tcBorders>
              <w:right w:val="single" w:sz="6" w:space="0" w:color="auto"/>
            </w:tcBorders>
            <w:vAlign w:val="center"/>
          </w:tcPr>
          <w:p w:rsidR="00AF2508" w:rsidRDefault="00AF2508">
            <w:pPr>
              <w:pStyle w:val="allsections"/>
              <w:keepNext/>
              <w:spacing w:after="40"/>
              <w:ind w:left="100" w:hanging="120"/>
              <w:jc w:val="left"/>
              <w:rPr>
                <w:rFonts w:ascii="Times New Roman" w:hAnsi="Times New Roman"/>
                <w:color w:val="000000"/>
                <w:sz w:val="18"/>
              </w:rPr>
            </w:pPr>
            <w:r>
              <w:rPr>
                <w:rFonts w:ascii="Times New Roman" w:hAnsi="Times New Roman"/>
                <w:color w:val="000000"/>
                <w:sz w:val="18"/>
              </w:rPr>
              <w:fldChar w:fldCharType="begin"/>
            </w:r>
            <w:r>
              <w:rPr>
                <w:rFonts w:ascii="Times New Roman" w:hAnsi="Times New Roman"/>
                <w:color w:val="000000"/>
                <w:sz w:val="18"/>
              </w:rPr>
              <w:instrText xml:space="preserve"> EQ \B\RC\}(\A\HS10(C.I. on C.I.,or,C.I. on M.S.)) </w:instrText>
            </w:r>
            <w:r>
              <w:rPr>
                <w:rFonts w:ascii="Times New Roman" w:hAnsi="Times New Roman"/>
                <w:color w:val="000000"/>
                <w:sz w:val="18"/>
              </w:rPr>
              <w:fldChar w:fldCharType="end"/>
            </w:r>
          </w:p>
        </w:tc>
        <w:tc>
          <w:tcPr>
            <w:tcW w:w="500" w:type="dxa"/>
            <w:vAlign w:val="center"/>
          </w:tcPr>
          <w:p w:rsidR="00AF2508" w:rsidRDefault="00AF2508">
            <w:pPr>
              <w:pStyle w:val="allsections"/>
              <w:keepNext/>
              <w:spacing w:before="320"/>
              <w:ind w:firstLine="20"/>
              <w:rPr>
                <w:rFonts w:ascii="Times New Roman" w:hAnsi="Times New Roman"/>
                <w:color w:val="000000"/>
                <w:sz w:val="18"/>
              </w:rPr>
            </w:pPr>
            <w:r>
              <w:rPr>
                <w:rFonts w:ascii="Times New Roman" w:hAnsi="Times New Roman"/>
                <w:color w:val="000000"/>
                <w:sz w:val="18"/>
              </w:rPr>
              <w:t>100</w:t>
            </w:r>
          </w:p>
        </w:tc>
        <w:tc>
          <w:tcPr>
            <w:tcW w:w="500" w:type="dxa"/>
            <w:tcBorders>
              <w:left w:val="single" w:sz="6" w:space="0" w:color="auto"/>
              <w:right w:val="single" w:sz="6" w:space="0" w:color="auto"/>
            </w:tcBorders>
            <w:vAlign w:val="center"/>
          </w:tcPr>
          <w:p w:rsidR="00AF2508" w:rsidRDefault="00AF2508">
            <w:pPr>
              <w:pStyle w:val="allsections"/>
              <w:keepNext/>
              <w:spacing w:before="320"/>
              <w:ind w:firstLine="20"/>
              <w:rPr>
                <w:rFonts w:ascii="Times New Roman" w:hAnsi="Times New Roman"/>
                <w:color w:val="000000"/>
                <w:sz w:val="18"/>
              </w:rPr>
            </w:pPr>
            <w:r>
              <w:rPr>
                <w:rFonts w:ascii="Times New Roman" w:hAnsi="Times New Roman"/>
                <w:color w:val="000000"/>
                <w:sz w:val="18"/>
              </w:rPr>
              <w:t>88</w:t>
            </w:r>
          </w:p>
        </w:tc>
        <w:tc>
          <w:tcPr>
            <w:tcW w:w="660" w:type="dxa"/>
            <w:tcBorders>
              <w:left w:val="single" w:sz="6" w:space="0" w:color="auto"/>
              <w:right w:val="single" w:sz="6" w:space="0" w:color="auto"/>
            </w:tcBorders>
            <w:vAlign w:val="center"/>
          </w:tcPr>
          <w:p w:rsidR="00AF2508" w:rsidRDefault="00AF2508">
            <w:pPr>
              <w:pStyle w:val="allsections"/>
              <w:keepNext/>
              <w:spacing w:before="320"/>
              <w:ind w:firstLine="20"/>
              <w:rPr>
                <w:rFonts w:ascii="Times New Roman" w:hAnsi="Times New Roman"/>
                <w:color w:val="000000"/>
                <w:sz w:val="18"/>
              </w:rPr>
            </w:pPr>
            <w:r>
              <w:rPr>
                <w:rFonts w:ascii="Times New Roman" w:hAnsi="Times New Roman"/>
                <w:color w:val="000000"/>
                <w:sz w:val="18"/>
              </w:rPr>
              <w:t>49</w:t>
            </w:r>
          </w:p>
        </w:tc>
        <w:tc>
          <w:tcPr>
            <w:tcW w:w="980" w:type="dxa"/>
            <w:tcBorders>
              <w:left w:val="single" w:sz="6" w:space="0" w:color="auto"/>
            </w:tcBorders>
            <w:vAlign w:val="center"/>
          </w:tcPr>
          <w:p w:rsidR="00AF2508" w:rsidRDefault="00AF2508">
            <w:pPr>
              <w:pStyle w:val="allsections"/>
              <w:keepNext/>
              <w:spacing w:after="0"/>
              <w:ind w:left="200" w:right="120" w:firstLine="0"/>
              <w:jc w:val="center"/>
              <w:rPr>
                <w:rFonts w:ascii="Times New Roman" w:hAnsi="Times New Roman"/>
                <w:color w:val="000000"/>
                <w:sz w:val="18"/>
              </w:rPr>
            </w:pPr>
            <w:r>
              <w:rPr>
                <w:rFonts w:ascii="Times New Roman" w:hAnsi="Times New Roman"/>
                <w:color w:val="000000"/>
                <w:sz w:val="18"/>
              </w:rPr>
              <w:t>1 760</w:t>
            </w:r>
          </w:p>
          <w:p w:rsidR="00AF2508" w:rsidRDefault="00AF2508">
            <w:pPr>
              <w:pStyle w:val="allsections"/>
              <w:keepNext/>
              <w:spacing w:after="0"/>
              <w:ind w:left="200" w:right="60" w:firstLine="20"/>
              <w:jc w:val="center"/>
              <w:rPr>
                <w:rFonts w:ascii="Times New Roman" w:hAnsi="Times New Roman"/>
                <w:color w:val="000000"/>
                <w:sz w:val="8"/>
              </w:rPr>
            </w:pPr>
          </w:p>
          <w:p w:rsidR="00AF2508" w:rsidRDefault="00AF2508">
            <w:pPr>
              <w:pStyle w:val="allsections"/>
              <w:keepNext/>
              <w:spacing w:after="0"/>
              <w:ind w:firstLine="20"/>
              <w:rPr>
                <w:rFonts w:ascii="Times New Roman" w:hAnsi="Times New Roman"/>
                <w:color w:val="000000"/>
                <w:sz w:val="18"/>
              </w:rPr>
            </w:pPr>
            <w:r>
              <w:rPr>
                <w:rFonts w:ascii="Times New Roman" w:hAnsi="Times New Roman"/>
                <w:color w:val="000000"/>
                <w:sz w:val="18"/>
              </w:rPr>
              <w:fldChar w:fldCharType="begin"/>
            </w:r>
            <w:r>
              <w:rPr>
                <w:rFonts w:ascii="Times New Roman" w:hAnsi="Times New Roman"/>
                <w:color w:val="000000"/>
                <w:sz w:val="18"/>
              </w:rPr>
              <w:instrText xml:space="preserve"> EQ \R(S + 100) </w:instrText>
            </w:r>
            <w:r>
              <w:rPr>
                <w:rFonts w:ascii="Times New Roman" w:hAnsi="Times New Roman"/>
                <w:color w:val="000000"/>
                <w:sz w:val="18"/>
              </w:rPr>
              <w:fldChar w:fldCharType="end"/>
            </w:r>
          </w:p>
        </w:tc>
        <w:tc>
          <w:tcPr>
            <w:tcW w:w="1020" w:type="dxa"/>
            <w:vAlign w:val="center"/>
          </w:tcPr>
          <w:p w:rsidR="00AF2508" w:rsidRDefault="00136775">
            <w:pPr>
              <w:pStyle w:val="allsections"/>
              <w:spacing w:before="0"/>
              <w:ind w:right="160" w:firstLine="20"/>
              <w:jc w:val="left"/>
              <w:rPr>
                <w:color w:val="000000"/>
                <w:sz w:val="18"/>
              </w:rPr>
            </w:pPr>
            <w:r>
              <w:rPr>
                <w:noProof/>
                <w:color w:val="000000"/>
                <w:position w:val="-10"/>
                <w:sz w:val="18"/>
                <w:lang w:eastAsia="en-AU"/>
              </w:rPr>
              <w:drawing>
                <wp:inline distT="0" distB="0" distL="0" distR="0">
                  <wp:extent cx="114300" cy="219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color w:val="000000"/>
                <w:position w:val="-10"/>
                <w:sz w:val="18"/>
                <w:lang w:eastAsia="en-AU"/>
              </w:rPr>
              <w:drawing>
                <wp:inline distT="0" distB="0" distL="0" distR="0">
                  <wp:extent cx="114300" cy="219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bookmarkStart w:id="258" w:name="_MON_1160904133"/>
            <w:bookmarkStart w:id="259" w:name="_MON_1160904212"/>
            <w:bookmarkStart w:id="260" w:name="_MON_1235378821"/>
            <w:bookmarkEnd w:id="258"/>
            <w:bookmarkEnd w:id="259"/>
            <w:bookmarkEnd w:id="260"/>
            <w:bookmarkStart w:id="261" w:name="_MON_1159781786"/>
            <w:bookmarkEnd w:id="261"/>
            <w:r w:rsidR="00AF2508">
              <w:rPr>
                <w:color w:val="000000"/>
                <w:position w:val="-10"/>
                <w:sz w:val="18"/>
              </w:rPr>
              <w:object w:dxaOrig="931" w:dyaOrig="1111">
                <v:shape id="_x0000_i1051" type="#_x0000_t75" style="width:46.5pt;height:55.5pt" o:ole="" fillcolor="window">
                  <v:imagedata r:id="rId126" o:title=""/>
                </v:shape>
                <o:OLEObject Type="Embed" ProgID="Word.Picture.8" ShapeID="_x0000_i1051" DrawAspect="Content" ObjectID="_1595940276" r:id="rId127"/>
              </w:object>
            </w:r>
            <w:r>
              <w:rPr>
                <w:noProof/>
                <w:color w:val="000000"/>
                <w:position w:val="-10"/>
                <w:sz w:val="18"/>
                <w:lang w:eastAsia="en-AU"/>
              </w:rPr>
              <w:drawing>
                <wp:inline distT="0" distB="0" distL="0" distR="0">
                  <wp:extent cx="114300" cy="219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2460" w:type="dxa"/>
            <w:vMerge w:val="restart"/>
            <w:tcBorders>
              <w:left w:val="single" w:sz="6" w:space="0" w:color="auto"/>
            </w:tcBorders>
            <w:vAlign w:val="center"/>
          </w:tcPr>
          <w:p w:rsidR="00AF2508" w:rsidRDefault="00AF2508">
            <w:pPr>
              <w:pStyle w:val="allsections"/>
              <w:keepNext/>
              <w:spacing w:before="60" w:after="60"/>
              <w:ind w:hanging="20"/>
              <w:rPr>
                <w:rFonts w:ascii="Times New Roman" w:hAnsi="Times New Roman"/>
                <w:color w:val="000000"/>
                <w:sz w:val="16"/>
              </w:rPr>
            </w:pPr>
            <w:r>
              <w:rPr>
                <w:rFonts w:ascii="Times New Roman" w:hAnsi="Times New Roman"/>
                <w:color w:val="000000"/>
                <w:sz w:val="16"/>
              </w:rPr>
              <w:t>Pressures given are for continuous but reciprocating motions.  The bearing pressure for a unidirectional slide shall not exceed one half of that provided for a corresponding but reciprocating slide</w:t>
            </w:r>
          </w:p>
        </w:tc>
      </w:tr>
      <w:tr w:rsidR="00AF2508">
        <w:trPr>
          <w:cantSplit/>
        </w:trPr>
        <w:tc>
          <w:tcPr>
            <w:tcW w:w="1360" w:type="dxa"/>
            <w:tcBorders>
              <w:top w:val="single" w:sz="6" w:space="0" w:color="auto"/>
              <w:bottom w:val="single" w:sz="6" w:space="0" w:color="auto"/>
              <w:right w:val="single" w:sz="6" w:space="0" w:color="auto"/>
            </w:tcBorders>
            <w:vAlign w:val="center"/>
          </w:tcPr>
          <w:p w:rsidR="00AF2508" w:rsidRDefault="00AF2508">
            <w:pPr>
              <w:pStyle w:val="allsections"/>
              <w:spacing w:before="320" w:after="40"/>
              <w:ind w:left="140" w:hanging="140"/>
              <w:jc w:val="left"/>
              <w:rPr>
                <w:rFonts w:ascii="Times New Roman" w:hAnsi="Times New Roman"/>
                <w:color w:val="000000"/>
                <w:sz w:val="18"/>
              </w:rPr>
            </w:pPr>
            <w:r>
              <w:rPr>
                <w:rFonts w:ascii="Times New Roman" w:hAnsi="Times New Roman"/>
                <w:color w:val="000000"/>
                <w:sz w:val="18"/>
              </w:rPr>
              <w:t>W.M. on C.I.</w:t>
            </w:r>
          </w:p>
        </w:tc>
        <w:tc>
          <w:tcPr>
            <w:tcW w:w="500" w:type="dxa"/>
            <w:tcBorders>
              <w:top w:val="single" w:sz="6" w:space="0" w:color="auto"/>
              <w:bottom w:val="single" w:sz="6" w:space="0" w:color="auto"/>
            </w:tcBorders>
            <w:vAlign w:val="center"/>
          </w:tcPr>
          <w:p w:rsidR="00AF2508" w:rsidRDefault="00AF2508">
            <w:pPr>
              <w:pStyle w:val="allsections"/>
              <w:spacing w:before="320"/>
              <w:ind w:firstLine="20"/>
              <w:rPr>
                <w:rFonts w:ascii="Times New Roman" w:hAnsi="Times New Roman"/>
                <w:color w:val="000000"/>
                <w:sz w:val="18"/>
              </w:rPr>
            </w:pPr>
            <w:r>
              <w:rPr>
                <w:rFonts w:ascii="Times New Roman" w:hAnsi="Times New Roman"/>
                <w:color w:val="000000"/>
                <w:sz w:val="18"/>
              </w:rPr>
              <w:t>300</w:t>
            </w:r>
          </w:p>
        </w:tc>
        <w:tc>
          <w:tcPr>
            <w:tcW w:w="500" w:type="dxa"/>
            <w:tcBorders>
              <w:top w:val="single" w:sz="6" w:space="0" w:color="auto"/>
              <w:left w:val="single" w:sz="6" w:space="0" w:color="auto"/>
              <w:bottom w:val="single" w:sz="6" w:space="0" w:color="auto"/>
              <w:right w:val="single" w:sz="6" w:space="0" w:color="auto"/>
            </w:tcBorders>
            <w:vAlign w:val="center"/>
          </w:tcPr>
          <w:p w:rsidR="00AF2508" w:rsidRDefault="00AF2508">
            <w:pPr>
              <w:pStyle w:val="allsections"/>
              <w:spacing w:before="320"/>
              <w:ind w:firstLine="20"/>
              <w:rPr>
                <w:rFonts w:ascii="Times New Roman" w:hAnsi="Times New Roman"/>
                <w:color w:val="000000"/>
                <w:sz w:val="18"/>
              </w:rPr>
            </w:pPr>
            <w:r>
              <w:rPr>
                <w:rFonts w:ascii="Times New Roman" w:hAnsi="Times New Roman"/>
                <w:color w:val="000000"/>
                <w:sz w:val="18"/>
              </w:rPr>
              <w:t>264</w:t>
            </w:r>
          </w:p>
        </w:tc>
        <w:tc>
          <w:tcPr>
            <w:tcW w:w="660" w:type="dxa"/>
            <w:tcBorders>
              <w:top w:val="single" w:sz="6" w:space="0" w:color="auto"/>
              <w:left w:val="single" w:sz="6" w:space="0" w:color="auto"/>
              <w:bottom w:val="single" w:sz="6" w:space="0" w:color="auto"/>
              <w:right w:val="single" w:sz="6" w:space="0" w:color="auto"/>
            </w:tcBorders>
            <w:vAlign w:val="center"/>
          </w:tcPr>
          <w:p w:rsidR="00AF2508" w:rsidRDefault="00AF2508">
            <w:pPr>
              <w:pStyle w:val="allsections"/>
              <w:spacing w:before="320"/>
              <w:ind w:firstLine="20"/>
              <w:rPr>
                <w:rFonts w:ascii="Times New Roman" w:hAnsi="Times New Roman"/>
                <w:color w:val="000000"/>
                <w:sz w:val="18"/>
              </w:rPr>
            </w:pPr>
            <w:r>
              <w:rPr>
                <w:rFonts w:ascii="Times New Roman" w:hAnsi="Times New Roman"/>
                <w:color w:val="000000"/>
                <w:sz w:val="18"/>
              </w:rPr>
              <w:t>147</w:t>
            </w:r>
          </w:p>
        </w:tc>
        <w:tc>
          <w:tcPr>
            <w:tcW w:w="980" w:type="dxa"/>
            <w:tcBorders>
              <w:top w:val="single" w:sz="6" w:space="0" w:color="auto"/>
              <w:left w:val="single" w:sz="6" w:space="0" w:color="auto"/>
              <w:bottom w:val="single" w:sz="6" w:space="0" w:color="auto"/>
            </w:tcBorders>
            <w:vAlign w:val="center"/>
          </w:tcPr>
          <w:p w:rsidR="00AF2508" w:rsidRDefault="00AF2508">
            <w:pPr>
              <w:pStyle w:val="allsections"/>
              <w:spacing w:after="40"/>
              <w:ind w:left="200" w:right="120" w:firstLine="0"/>
              <w:jc w:val="center"/>
              <w:rPr>
                <w:rFonts w:ascii="Times New Roman" w:hAnsi="Times New Roman"/>
                <w:color w:val="000000"/>
                <w:sz w:val="18"/>
              </w:rPr>
            </w:pPr>
            <w:r>
              <w:rPr>
                <w:rFonts w:ascii="Times New Roman" w:hAnsi="Times New Roman"/>
                <w:color w:val="000000"/>
                <w:sz w:val="18"/>
              </w:rPr>
              <w:t>5 280</w:t>
            </w:r>
          </w:p>
          <w:p w:rsidR="00AF2508" w:rsidRDefault="00AF2508">
            <w:pPr>
              <w:pStyle w:val="allsections"/>
              <w:spacing w:before="0" w:after="0"/>
              <w:ind w:left="200" w:right="60" w:firstLine="20"/>
              <w:jc w:val="center"/>
              <w:rPr>
                <w:rFonts w:ascii="Times New Roman" w:hAnsi="Times New Roman"/>
                <w:color w:val="000000"/>
                <w:sz w:val="8"/>
              </w:rPr>
            </w:pPr>
          </w:p>
          <w:p w:rsidR="00AF2508" w:rsidRDefault="00AF2508">
            <w:pPr>
              <w:pStyle w:val="allsections"/>
              <w:ind w:firstLine="20"/>
              <w:rPr>
                <w:rFonts w:ascii="Times New Roman" w:hAnsi="Times New Roman"/>
                <w:color w:val="000000"/>
                <w:sz w:val="18"/>
              </w:rPr>
            </w:pPr>
            <w:r>
              <w:rPr>
                <w:rFonts w:ascii="Times New Roman" w:hAnsi="Times New Roman"/>
                <w:color w:val="000000"/>
                <w:sz w:val="18"/>
              </w:rPr>
              <w:fldChar w:fldCharType="begin"/>
            </w:r>
            <w:r>
              <w:rPr>
                <w:rFonts w:ascii="Times New Roman" w:hAnsi="Times New Roman"/>
                <w:color w:val="000000"/>
                <w:sz w:val="18"/>
              </w:rPr>
              <w:instrText xml:space="preserve"> EQ \R(S + 100) </w:instrText>
            </w:r>
            <w:r>
              <w:rPr>
                <w:rFonts w:ascii="Times New Roman" w:hAnsi="Times New Roman"/>
                <w:color w:val="000000"/>
                <w:sz w:val="18"/>
              </w:rPr>
              <w:fldChar w:fldCharType="end"/>
            </w:r>
          </w:p>
        </w:tc>
        <w:tc>
          <w:tcPr>
            <w:tcW w:w="1020" w:type="dxa"/>
            <w:tcBorders>
              <w:top w:val="single" w:sz="6" w:space="0" w:color="auto"/>
              <w:bottom w:val="single" w:sz="6" w:space="0" w:color="auto"/>
            </w:tcBorders>
            <w:vAlign w:val="center"/>
          </w:tcPr>
          <w:p w:rsidR="00AF2508" w:rsidRDefault="00136775">
            <w:pPr>
              <w:pStyle w:val="allsections"/>
              <w:spacing w:before="0"/>
              <w:ind w:right="160" w:firstLine="20"/>
              <w:jc w:val="left"/>
              <w:rPr>
                <w:color w:val="000000"/>
                <w:sz w:val="18"/>
              </w:rPr>
            </w:pPr>
            <w:r>
              <w:rPr>
                <w:noProof/>
                <w:color w:val="000000"/>
                <w:position w:val="-10"/>
                <w:sz w:val="18"/>
                <w:lang w:eastAsia="en-AU"/>
              </w:rPr>
              <w:drawing>
                <wp:inline distT="0" distB="0" distL="0" distR="0">
                  <wp:extent cx="114300" cy="219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color w:val="000000"/>
                <w:position w:val="-10"/>
                <w:sz w:val="18"/>
                <w:lang w:eastAsia="en-AU"/>
              </w:rPr>
              <w:drawing>
                <wp:inline distT="0" distB="0" distL="0" distR="0">
                  <wp:extent cx="114300" cy="219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bookmarkStart w:id="262" w:name="_MON_1235378822"/>
            <w:bookmarkEnd w:id="262"/>
            <w:bookmarkStart w:id="263" w:name="_MON_1160904167"/>
            <w:bookmarkEnd w:id="263"/>
            <w:r w:rsidR="00AF2508">
              <w:rPr>
                <w:color w:val="000000"/>
                <w:position w:val="-10"/>
                <w:sz w:val="18"/>
              </w:rPr>
              <w:object w:dxaOrig="931" w:dyaOrig="1111">
                <v:shape id="_x0000_i1052" type="#_x0000_t75" style="width:46.5pt;height:55.5pt" o:ole="" fillcolor="window">
                  <v:imagedata r:id="rId128" o:title=""/>
                </v:shape>
                <o:OLEObject Type="Embed" ProgID="Word.Picture.8" ShapeID="_x0000_i1052" DrawAspect="Content" ObjectID="_1595940277" r:id="rId129"/>
              </w:object>
            </w:r>
            <w:r>
              <w:rPr>
                <w:noProof/>
                <w:color w:val="000000"/>
                <w:position w:val="-10"/>
                <w:sz w:val="18"/>
                <w:lang w:eastAsia="en-AU"/>
              </w:rPr>
              <w:drawing>
                <wp:inline distT="0" distB="0" distL="0" distR="0">
                  <wp:extent cx="114300" cy="21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2460" w:type="dxa"/>
            <w:vMerge/>
            <w:tcBorders>
              <w:left w:val="single" w:sz="6" w:space="0" w:color="auto"/>
              <w:bottom w:val="single" w:sz="6" w:space="0" w:color="auto"/>
            </w:tcBorders>
            <w:vAlign w:val="center"/>
          </w:tcPr>
          <w:p w:rsidR="00AF2508" w:rsidRDefault="00AF2508">
            <w:pPr>
              <w:pStyle w:val="allsections"/>
              <w:spacing w:before="0"/>
              <w:ind w:left="320" w:firstLine="0"/>
              <w:rPr>
                <w:color w:val="000000"/>
                <w:sz w:val="18"/>
              </w:rPr>
            </w:pPr>
          </w:p>
        </w:tc>
      </w:tr>
    </w:tbl>
    <w:p w:rsidR="00AF2508" w:rsidRDefault="00AF2508"/>
    <w:p w:rsidR="00AF2508" w:rsidRDefault="00AF2508">
      <w:pPr>
        <w:pStyle w:val="Amain"/>
        <w:keepNext/>
      </w:pPr>
      <w:r>
        <w:rPr>
          <w:color w:val="000000"/>
        </w:rPr>
        <w:tab/>
        <w:t>(54)</w:t>
      </w:r>
      <w:r>
        <w:rPr>
          <w:color w:val="000000"/>
        </w:rPr>
        <w:tab/>
        <w:t>If the diameter of the journal is less than 1</w:t>
      </w:r>
      <w:r>
        <w:rPr>
          <w:color w:val="000000"/>
          <w:position w:val="6"/>
          <w:sz w:val="18"/>
        </w:rPr>
        <w:t>1</w:t>
      </w:r>
      <w:r>
        <w:rPr>
          <w:color w:val="000000"/>
        </w:rPr>
        <w:t>/</w:t>
      </w:r>
      <w:r>
        <w:rPr>
          <w:color w:val="000000"/>
          <w:sz w:val="18"/>
        </w:rPr>
        <w:t>4</w:t>
      </w:r>
      <w:r>
        <w:rPr>
          <w:color w:val="000000"/>
        </w:rPr>
        <w:t xml:space="preserve"> inches, the maximum intensity of bearing pressure shall not exceed that obtained by multiplying the pressure shown in table 130.2 by the coefficient shown in table 130.5, appropriate to the diameter of the journal.</w:t>
      </w:r>
    </w:p>
    <w:p w:rsidR="00AF2508" w:rsidRDefault="00AF2508">
      <w:pPr>
        <w:pStyle w:val="TableHd"/>
        <w:ind w:left="1425" w:hanging="1425"/>
      </w:pPr>
      <w:r>
        <w:t>Table 130.5</w:t>
      </w:r>
      <w:r>
        <w:tab/>
        <w:t>Reduction coefficients for bearing pressures for lubricated bearings of which the journals are less than 1</w:t>
      </w:r>
      <w:r>
        <w:rPr>
          <w:position w:val="4"/>
          <w:sz w:val="16"/>
        </w:rPr>
        <w:t>1</w:t>
      </w:r>
      <w:r>
        <w:t>/</w:t>
      </w:r>
      <w:r>
        <w:rPr>
          <w:sz w:val="16"/>
        </w:rPr>
        <w:t>4</w:t>
      </w:r>
      <w:r>
        <w:t xml:space="preserve"> inches in diameter</w:t>
      </w:r>
    </w:p>
    <w:tbl>
      <w:tblPr>
        <w:tblW w:w="0" w:type="auto"/>
        <w:tblLayout w:type="fixed"/>
        <w:tblCellMar>
          <w:left w:w="80" w:type="dxa"/>
          <w:right w:w="80" w:type="dxa"/>
        </w:tblCellMar>
        <w:tblLook w:val="0000" w:firstRow="0" w:lastRow="0" w:firstColumn="0" w:lastColumn="0" w:noHBand="0" w:noVBand="0"/>
      </w:tblPr>
      <w:tblGrid>
        <w:gridCol w:w="1805"/>
        <w:gridCol w:w="1805"/>
        <w:gridCol w:w="1805"/>
        <w:gridCol w:w="1805"/>
      </w:tblGrid>
      <w:tr w:rsidR="00AF2508">
        <w:trPr>
          <w:cantSplit/>
        </w:trPr>
        <w:tc>
          <w:tcPr>
            <w:tcW w:w="1805" w:type="dxa"/>
            <w:tcBorders>
              <w:bottom w:val="single" w:sz="4" w:space="0" w:color="auto"/>
            </w:tcBorders>
          </w:tcPr>
          <w:p w:rsidR="00AF2508" w:rsidRDefault="00AF2508">
            <w:pPr>
              <w:pStyle w:val="TableColHd"/>
            </w:pPr>
            <w:r>
              <w:t>diameter of journal in inches</w:t>
            </w:r>
          </w:p>
        </w:tc>
        <w:tc>
          <w:tcPr>
            <w:tcW w:w="1805" w:type="dxa"/>
            <w:tcBorders>
              <w:bottom w:val="single" w:sz="4" w:space="0" w:color="auto"/>
              <w:right w:val="single" w:sz="4" w:space="0" w:color="auto"/>
            </w:tcBorders>
          </w:tcPr>
          <w:p w:rsidR="00AF2508" w:rsidRDefault="00AF2508">
            <w:pPr>
              <w:pStyle w:val="TableColHd"/>
            </w:pPr>
            <w:r>
              <w:t>coefficient</w:t>
            </w:r>
          </w:p>
        </w:tc>
        <w:tc>
          <w:tcPr>
            <w:tcW w:w="1805" w:type="dxa"/>
            <w:tcBorders>
              <w:left w:val="single" w:sz="4" w:space="0" w:color="auto"/>
              <w:bottom w:val="single" w:sz="4" w:space="0" w:color="auto"/>
            </w:tcBorders>
          </w:tcPr>
          <w:p w:rsidR="00AF2508" w:rsidRDefault="00AF2508">
            <w:pPr>
              <w:pStyle w:val="TableColHd"/>
            </w:pPr>
            <w:r>
              <w:t>diameter of journal in inches</w:t>
            </w:r>
          </w:p>
        </w:tc>
        <w:tc>
          <w:tcPr>
            <w:tcW w:w="1805" w:type="dxa"/>
            <w:tcBorders>
              <w:bottom w:val="single" w:sz="4" w:space="0" w:color="auto"/>
            </w:tcBorders>
          </w:tcPr>
          <w:p w:rsidR="00AF2508" w:rsidRDefault="00AF2508">
            <w:pPr>
              <w:pStyle w:val="TableColHd"/>
            </w:pPr>
            <w:r>
              <w:t>coefficient</w:t>
            </w:r>
          </w:p>
        </w:tc>
      </w:tr>
      <w:tr w:rsidR="00AF2508">
        <w:trPr>
          <w:cantSplit/>
        </w:trPr>
        <w:tc>
          <w:tcPr>
            <w:tcW w:w="1805" w:type="dxa"/>
            <w:tcBorders>
              <w:top w:val="single" w:sz="4" w:space="0" w:color="auto"/>
            </w:tcBorders>
          </w:tcPr>
          <w:p w:rsidR="00AF2508" w:rsidRDefault="00AF2508">
            <w:pPr>
              <w:pStyle w:val="TableText"/>
              <w:keepNext/>
            </w:pPr>
            <w:r>
              <w:t>1.125</w:t>
            </w:r>
          </w:p>
        </w:tc>
        <w:tc>
          <w:tcPr>
            <w:tcW w:w="1805" w:type="dxa"/>
            <w:tcBorders>
              <w:top w:val="single" w:sz="4" w:space="0" w:color="auto"/>
              <w:right w:val="single" w:sz="4" w:space="0" w:color="auto"/>
            </w:tcBorders>
          </w:tcPr>
          <w:p w:rsidR="00AF2508" w:rsidRDefault="00AF2508">
            <w:pPr>
              <w:pStyle w:val="TableText"/>
              <w:keepNext/>
            </w:pPr>
            <w:r>
              <w:t>0.7</w:t>
            </w:r>
          </w:p>
        </w:tc>
        <w:tc>
          <w:tcPr>
            <w:tcW w:w="1805" w:type="dxa"/>
            <w:tcBorders>
              <w:top w:val="single" w:sz="4" w:space="0" w:color="auto"/>
              <w:left w:val="single" w:sz="4" w:space="0" w:color="auto"/>
            </w:tcBorders>
          </w:tcPr>
          <w:p w:rsidR="00AF2508" w:rsidRDefault="00AF2508">
            <w:pPr>
              <w:pStyle w:val="TableText"/>
              <w:keepNext/>
            </w:pPr>
            <w:r>
              <w:t>0.5</w:t>
            </w:r>
          </w:p>
        </w:tc>
        <w:tc>
          <w:tcPr>
            <w:tcW w:w="1805" w:type="dxa"/>
            <w:tcBorders>
              <w:top w:val="single" w:sz="4" w:space="0" w:color="auto"/>
            </w:tcBorders>
          </w:tcPr>
          <w:p w:rsidR="00AF2508" w:rsidRDefault="00AF2508">
            <w:pPr>
              <w:pStyle w:val="TableText"/>
              <w:keepNext/>
            </w:pPr>
            <w:r>
              <w:t>0.3</w:t>
            </w:r>
          </w:p>
        </w:tc>
      </w:tr>
      <w:tr w:rsidR="00AF2508">
        <w:trPr>
          <w:cantSplit/>
        </w:trPr>
        <w:tc>
          <w:tcPr>
            <w:tcW w:w="1805" w:type="dxa"/>
          </w:tcPr>
          <w:p w:rsidR="00AF2508" w:rsidRDefault="00AF2508">
            <w:pPr>
              <w:pStyle w:val="TableText"/>
            </w:pPr>
            <w:r>
              <w:t>1.0</w:t>
            </w:r>
          </w:p>
        </w:tc>
        <w:tc>
          <w:tcPr>
            <w:tcW w:w="1805" w:type="dxa"/>
            <w:tcBorders>
              <w:right w:val="single" w:sz="4" w:space="0" w:color="auto"/>
            </w:tcBorders>
          </w:tcPr>
          <w:p w:rsidR="00AF2508" w:rsidRDefault="00AF2508">
            <w:pPr>
              <w:pStyle w:val="TableText"/>
            </w:pPr>
            <w:r>
              <w:t>0.5</w:t>
            </w:r>
          </w:p>
        </w:tc>
        <w:tc>
          <w:tcPr>
            <w:tcW w:w="1805" w:type="dxa"/>
            <w:tcBorders>
              <w:left w:val="single" w:sz="4" w:space="0" w:color="auto"/>
            </w:tcBorders>
          </w:tcPr>
          <w:p w:rsidR="00AF2508" w:rsidRDefault="00AF2508">
            <w:pPr>
              <w:pStyle w:val="TableText"/>
            </w:pPr>
            <w:r>
              <w:t>0.25 or less</w:t>
            </w:r>
          </w:p>
        </w:tc>
        <w:tc>
          <w:tcPr>
            <w:tcW w:w="1805" w:type="dxa"/>
          </w:tcPr>
          <w:p w:rsidR="00AF2508" w:rsidRDefault="00AF2508">
            <w:pPr>
              <w:pStyle w:val="TableText"/>
            </w:pPr>
            <w:r>
              <w:t>0.25</w:t>
            </w:r>
          </w:p>
        </w:tc>
      </w:tr>
      <w:tr w:rsidR="00AF2508">
        <w:trPr>
          <w:cantSplit/>
        </w:trPr>
        <w:tc>
          <w:tcPr>
            <w:tcW w:w="1805" w:type="dxa"/>
          </w:tcPr>
          <w:p w:rsidR="00AF2508" w:rsidRDefault="00AF2508">
            <w:pPr>
              <w:pStyle w:val="TableText"/>
            </w:pPr>
            <w:r>
              <w:t>0.75</w:t>
            </w:r>
          </w:p>
        </w:tc>
        <w:tc>
          <w:tcPr>
            <w:tcW w:w="1805" w:type="dxa"/>
            <w:tcBorders>
              <w:right w:val="single" w:sz="4" w:space="0" w:color="auto"/>
            </w:tcBorders>
          </w:tcPr>
          <w:p w:rsidR="00AF2508" w:rsidRDefault="00AF2508">
            <w:pPr>
              <w:pStyle w:val="TableText"/>
            </w:pPr>
            <w:r>
              <w:t>0.35</w:t>
            </w:r>
          </w:p>
        </w:tc>
        <w:tc>
          <w:tcPr>
            <w:tcW w:w="1805" w:type="dxa"/>
            <w:tcBorders>
              <w:left w:val="single" w:sz="4" w:space="0" w:color="auto"/>
            </w:tcBorders>
          </w:tcPr>
          <w:p w:rsidR="00AF2508" w:rsidRDefault="00AF2508">
            <w:pPr>
              <w:pStyle w:val="TableText"/>
            </w:pPr>
          </w:p>
        </w:tc>
        <w:tc>
          <w:tcPr>
            <w:tcW w:w="1805" w:type="dxa"/>
          </w:tcPr>
          <w:p w:rsidR="00AF2508" w:rsidRDefault="00AF2508">
            <w:pPr>
              <w:pStyle w:val="TableText"/>
            </w:pPr>
          </w:p>
        </w:tc>
      </w:tr>
    </w:tbl>
    <w:p w:rsidR="00AF2508" w:rsidRDefault="00AF2508"/>
    <w:p w:rsidR="00AF2508" w:rsidRDefault="00AF2508">
      <w:pPr>
        <w:pStyle w:val="Amain"/>
      </w:pPr>
      <w:r>
        <w:rPr>
          <w:color w:val="000000"/>
        </w:rPr>
        <w:tab/>
        <w:t>(55)</w:t>
      </w:r>
      <w:r>
        <w:rPr>
          <w:color w:val="000000"/>
        </w:rPr>
        <w:tab/>
        <w:t>For the purpose of determining loads on hard steel precision ball or roller bearings of at least equal quality to those complying with British Standard Specification No 292—1927, the force and moment increases prescribed by section 125 may be disregarded.</w:t>
      </w:r>
    </w:p>
    <w:p w:rsidR="00AF2508" w:rsidRDefault="00AF2508">
      <w:pPr>
        <w:pStyle w:val="Amain"/>
      </w:pPr>
      <w:r>
        <w:rPr>
          <w:color w:val="000000"/>
        </w:rPr>
        <w:tab/>
        <w:t>(56)</w:t>
      </w:r>
      <w:r>
        <w:rPr>
          <w:color w:val="000000"/>
        </w:rPr>
        <w:tab/>
        <w:t>The basic load of a ball or roller bearing shall not exceed that relevant and appropriate to the particular speed, size, type and construction of bearing, as tabulated for a 500 hours critical test life by an approved ball or roller bearing maker or an approved representative of the maker in an approved catalogue of the maker or representative.</w:t>
      </w:r>
    </w:p>
    <w:p w:rsidR="00AF2508" w:rsidRDefault="00AF2508">
      <w:pPr>
        <w:pStyle w:val="Amain"/>
      </w:pPr>
      <w:r>
        <w:rPr>
          <w:color w:val="000000"/>
        </w:rPr>
        <w:tab/>
        <w:t>(57)</w:t>
      </w:r>
      <w:r>
        <w:rPr>
          <w:color w:val="000000"/>
        </w:rPr>
        <w:tab/>
        <w:t>Approved ball and roller bearing makers and approved catalogues include—</w:t>
      </w:r>
    </w:p>
    <w:p w:rsidR="00AF2508" w:rsidRDefault="00AF2508">
      <w:pPr>
        <w:pStyle w:val="Apara"/>
      </w:pPr>
      <w:r>
        <w:tab/>
        <w:t>(a)</w:t>
      </w:r>
      <w:r>
        <w:tab/>
        <w:t>The S.K.F. Ball Bearing Co., Australia Proprietary Limited, Catalogue having registered number 1203 over A.N. 50; or</w:t>
      </w:r>
    </w:p>
    <w:p w:rsidR="00AF2508" w:rsidRDefault="00AF2508">
      <w:pPr>
        <w:pStyle w:val="Apara"/>
      </w:pPr>
      <w:r>
        <w:tab/>
        <w:t>(b)</w:t>
      </w:r>
      <w:r>
        <w:tab/>
        <w:t>The Ransome and Marles Bearing Co. Limited, England, Catalogue ‘Publication No 28, August, 1946’; or</w:t>
      </w:r>
    </w:p>
    <w:p w:rsidR="00AF2508" w:rsidRDefault="00AF2508">
      <w:pPr>
        <w:pStyle w:val="Apara"/>
      </w:pPr>
      <w:r>
        <w:tab/>
        <w:t>(c)</w:t>
      </w:r>
      <w:r>
        <w:tab/>
        <w:t>The Bearing Service Company of Australia Proprietary Limited, Catalogue entitled ‘B.S.C. Engineering Manual’, 2nd Edition, 1951; or</w:t>
      </w:r>
    </w:p>
    <w:p w:rsidR="00AF2508" w:rsidRDefault="00AF2508">
      <w:pPr>
        <w:pStyle w:val="Apara"/>
      </w:pPr>
      <w:r>
        <w:tab/>
        <w:t>(d)</w:t>
      </w:r>
      <w:r>
        <w:tab/>
        <w:t>Ball Bearings Proprietary Limited, Catalogue entitled ‘Hyatt Roller Bearings’ having registered number D8-8; or</w:t>
      </w:r>
    </w:p>
    <w:p w:rsidR="00AF2508" w:rsidRDefault="00AF2508">
      <w:pPr>
        <w:pStyle w:val="Apara"/>
      </w:pPr>
      <w:r>
        <w:tab/>
        <w:t>(e)</w:t>
      </w:r>
      <w:r>
        <w:tab/>
        <w:t>G. Vaccari &amp; Company, Melbourne, Catalogue entitled ‘R.I.V. General Catalogue’, serial number 51-03-141A.</w:t>
      </w:r>
    </w:p>
    <w:p w:rsidR="00AF2508" w:rsidRDefault="00AF2508">
      <w:pPr>
        <w:pStyle w:val="Amain"/>
      </w:pPr>
      <w:r>
        <w:rPr>
          <w:color w:val="000000"/>
        </w:rPr>
        <w:tab/>
        <w:t>(58)</w:t>
      </w:r>
      <w:r>
        <w:rPr>
          <w:color w:val="000000"/>
        </w:rPr>
        <w:tab/>
        <w:t>The maximum load on a hard steel precision ball or roller bearing of the quality prescribed by subsection (55) shall not exceed that obtained by dividing the basic load by a life factor of—</w:t>
      </w:r>
    </w:p>
    <w:p w:rsidR="00AF2508" w:rsidRDefault="00AF2508">
      <w:pPr>
        <w:pStyle w:val="Apara"/>
      </w:pPr>
      <w:r>
        <w:tab/>
        <w:t>(a)</w:t>
      </w:r>
      <w:r>
        <w:tab/>
        <w:t>1.75 if the bearing is within classification 1; or</w:t>
      </w:r>
    </w:p>
    <w:p w:rsidR="00AF2508" w:rsidRDefault="00AF2508">
      <w:pPr>
        <w:pStyle w:val="Apara"/>
      </w:pPr>
      <w:r>
        <w:tab/>
        <w:t>(b)</w:t>
      </w:r>
      <w:r>
        <w:tab/>
        <w:t>2.25 if the bearing is within classification 2; or</w:t>
      </w:r>
    </w:p>
    <w:p w:rsidR="00AF2508" w:rsidRDefault="00AF2508">
      <w:pPr>
        <w:pStyle w:val="Apara"/>
      </w:pPr>
      <w:r>
        <w:tab/>
        <w:t>(c)</w:t>
      </w:r>
      <w:r>
        <w:tab/>
        <w:t>2.75 if the bearing is within classification 3; or</w:t>
      </w:r>
    </w:p>
    <w:p w:rsidR="00AF2508" w:rsidRDefault="00AF2508">
      <w:pPr>
        <w:pStyle w:val="Apara"/>
      </w:pPr>
      <w:r>
        <w:tab/>
        <w:t>(d)</w:t>
      </w:r>
      <w:r>
        <w:tab/>
        <w:t>3.5 if the bearing is within classification 4.</w:t>
      </w:r>
    </w:p>
    <w:p w:rsidR="00AF2508" w:rsidRDefault="00AF2508">
      <w:pPr>
        <w:pStyle w:val="Amain"/>
      </w:pPr>
      <w:r>
        <w:rPr>
          <w:color w:val="000000"/>
        </w:rPr>
        <w:tab/>
        <w:t>(59)</w:t>
      </w:r>
      <w:r>
        <w:rPr>
          <w:color w:val="000000"/>
        </w:rPr>
        <w:tab/>
        <w:t>Ball or roller bearings of a lower quality than those conforming with British Standard Specification No 292—1927 shall not be used unless the written approval of the chief inspector is first obtained.</w:t>
      </w:r>
    </w:p>
    <w:p w:rsidR="00AF2508" w:rsidRDefault="00AF2508">
      <w:pPr>
        <w:pStyle w:val="Amain"/>
      </w:pPr>
      <w:r>
        <w:tab/>
        <w:t>(60)</w:t>
      </w:r>
      <w:r>
        <w:tab/>
        <w:t>The bearings shall not be used in contravention of any condition or stipulation made by the chief inspector in the chief inspector’s approval.</w:t>
      </w:r>
    </w:p>
    <w:p w:rsidR="00AF2508" w:rsidRDefault="00AF2508">
      <w:pPr>
        <w:pStyle w:val="Amain"/>
      </w:pPr>
      <w:r>
        <w:rPr>
          <w:color w:val="000000"/>
        </w:rPr>
        <w:tab/>
        <w:t>(61)</w:t>
      </w:r>
      <w:r>
        <w:rPr>
          <w:color w:val="000000"/>
        </w:rPr>
        <w:tab/>
        <w:t>The approval of the chief inspector in relation to any maker, or any catalogue of any maker of ball or roller bearings, may be conditional.</w:t>
      </w:r>
    </w:p>
    <w:p w:rsidR="00AF2508" w:rsidRDefault="00AF2508">
      <w:pPr>
        <w:pStyle w:val="Amain"/>
        <w:rPr>
          <w:color w:val="000000"/>
        </w:rPr>
      </w:pPr>
      <w:r>
        <w:rPr>
          <w:color w:val="000000"/>
        </w:rPr>
        <w:tab/>
        <w:t>(62)</w:t>
      </w:r>
      <w:r>
        <w:rPr>
          <w:color w:val="000000"/>
        </w:rPr>
        <w:tab/>
        <w:t>If the outer race of a self-aligning radial ball bearing rotates, the basic load shall be reduced to 90% of the value prescribed by subsection (56).</w:t>
      </w:r>
    </w:p>
    <w:p w:rsidR="00AF2508" w:rsidRDefault="00AF2508">
      <w:pPr>
        <w:pStyle w:val="Amain"/>
      </w:pPr>
      <w:r>
        <w:rPr>
          <w:color w:val="000000"/>
        </w:rPr>
        <w:tab/>
        <w:t>(63)</w:t>
      </w:r>
      <w:r>
        <w:rPr>
          <w:color w:val="000000"/>
        </w:rPr>
        <w:tab/>
        <w:t>If the outer race of any other type of radial bearing rotates the basic load shall be reduced to 75% of the value prescribed by subsection (56).</w:t>
      </w:r>
    </w:p>
    <w:p w:rsidR="00AF2508" w:rsidRDefault="00AF2508">
      <w:pPr>
        <w:pStyle w:val="Amain"/>
      </w:pPr>
      <w:r>
        <w:rPr>
          <w:color w:val="000000"/>
        </w:rPr>
        <w:tab/>
        <w:t>(64)</w:t>
      </w:r>
      <w:r>
        <w:rPr>
          <w:color w:val="000000"/>
        </w:rPr>
        <w:tab/>
        <w:t xml:space="preserve">Bush roller chains, and other types of parallel or flat link chains, including Renolds, Morse and Coventry types, shall not be loaded beyond </w:t>
      </w:r>
      <w:r>
        <w:rPr>
          <w:color w:val="000000"/>
          <w:position w:val="6"/>
          <w:sz w:val="18"/>
        </w:rPr>
        <w:t>1</w:t>
      </w:r>
      <w:r>
        <w:rPr>
          <w:color w:val="000000"/>
        </w:rPr>
        <w:t>/</w:t>
      </w:r>
      <w:r>
        <w:rPr>
          <w:color w:val="000000"/>
          <w:sz w:val="18"/>
        </w:rPr>
        <w:t>5</w:t>
      </w:r>
      <w:r>
        <w:rPr>
          <w:color w:val="000000"/>
        </w:rPr>
        <w:t xml:space="preserve"> part of that load that would produce a permanent elongation of 2</w:t>
      </w:r>
      <w:r>
        <w:rPr>
          <w:color w:val="000000"/>
          <w:position w:val="6"/>
          <w:sz w:val="18"/>
        </w:rPr>
        <w:t>1</w:t>
      </w:r>
      <w:r>
        <w:rPr>
          <w:color w:val="000000"/>
        </w:rPr>
        <w:t>/</w:t>
      </w:r>
      <w:r>
        <w:rPr>
          <w:color w:val="000000"/>
          <w:sz w:val="18"/>
        </w:rPr>
        <w:t>2</w:t>
      </w:r>
      <w:r>
        <w:rPr>
          <w:color w:val="000000"/>
          <w:sz w:val="20"/>
        </w:rPr>
        <w:t>%</w:t>
      </w:r>
      <w:r>
        <w:rPr>
          <w:color w:val="000000"/>
        </w:rPr>
        <w:t xml:space="preserve"> of the length of the chain.</w:t>
      </w:r>
    </w:p>
    <w:p w:rsidR="00AF2508" w:rsidRDefault="00AF2508">
      <w:pPr>
        <w:pStyle w:val="Amain"/>
      </w:pPr>
      <w:r>
        <w:tab/>
        <w:t>(65)</w:t>
      </w:r>
      <w:r>
        <w:tab/>
        <w:t>For subsection (64) the increases in applied load prescribed by section 125 may be disregarded, except if the chain is within classification 4, in which case the compensating ratio shall be assumed to be 1.2.</w:t>
      </w:r>
    </w:p>
    <w:p w:rsidR="00AF2508" w:rsidRDefault="00AF2508">
      <w:pPr>
        <w:pStyle w:val="Amain"/>
      </w:pPr>
      <w:r>
        <w:tab/>
        <w:t>(66)</w:t>
      </w:r>
      <w:r>
        <w:tab/>
        <w:t>Because of its lateral inflexibility this type of chain shall not be used as a load chain to suspend loads.</w:t>
      </w:r>
    </w:p>
    <w:p w:rsidR="00AF2508" w:rsidRDefault="00AF2508">
      <w:pPr>
        <w:pStyle w:val="AH4SubDiv"/>
      </w:pPr>
      <w:bookmarkStart w:id="264" w:name="_Toc161636896"/>
      <w:r>
        <w:t>Materials</w:t>
      </w:r>
      <w:bookmarkEnd w:id="264"/>
    </w:p>
    <w:p w:rsidR="00AF2508" w:rsidRDefault="00AF2508">
      <w:pPr>
        <w:pStyle w:val="AH5Sec"/>
      </w:pPr>
      <w:bookmarkStart w:id="265" w:name="_Toc161636897"/>
      <w:r>
        <w:rPr>
          <w:rStyle w:val="CharSectNo"/>
        </w:rPr>
        <w:t>131</w:t>
      </w:r>
      <w:bookmarkEnd w:id="265"/>
      <w:r>
        <w:tab/>
        <w:t xml:space="preserve">  </w:t>
      </w:r>
    </w:p>
    <w:p w:rsidR="00AF2508" w:rsidRDefault="00AF2508">
      <w:pPr>
        <w:pStyle w:val="Amain"/>
      </w:pPr>
      <w:r>
        <w:rPr>
          <w:color w:val="000000"/>
        </w:rPr>
        <w:tab/>
        <w:t>(1)</w:t>
      </w:r>
      <w:r>
        <w:rPr>
          <w:color w:val="000000"/>
        </w:rPr>
        <w:tab/>
        <w:t>No crane, hoist, lift, scaffolding, or plant, or member, component, part, or attachment of it shall be either in part or in whole of any material, composition or substance, or use or employ any fluid, unless—</w:t>
      </w:r>
    </w:p>
    <w:p w:rsidR="00AF2508" w:rsidRDefault="00AF2508">
      <w:pPr>
        <w:pStyle w:val="Apara"/>
      </w:pPr>
      <w:r>
        <w:tab/>
        <w:t>(a)</w:t>
      </w:r>
      <w:r>
        <w:tab/>
        <w:t>the physical and chemical properties of the material, composition, substance or fluid are shown in, and are in accordance with, a standard specification approved and promulgated by Standards Australia and the use is not disapproved by the chief inspector; and</w:t>
      </w:r>
    </w:p>
    <w:p w:rsidR="00AF2508" w:rsidRDefault="00AF2508">
      <w:pPr>
        <w:pStyle w:val="Apara"/>
      </w:pPr>
      <w:r>
        <w:tab/>
        <w:t>(b)</w:t>
      </w:r>
      <w:r>
        <w:tab/>
        <w:t>a specification setting out its physical and chemical properties, as well as fully detailed and fully dimensioned drawings showing how it is to be utilised and employed, has first been submitted to the chief inspector and approved by the chief inspector; and</w:t>
      </w:r>
    </w:p>
    <w:p w:rsidR="00AF2508" w:rsidRDefault="00AF2508">
      <w:pPr>
        <w:pStyle w:val="Apara"/>
      </w:pPr>
      <w:r>
        <w:tab/>
        <w:t>(c)</w:t>
      </w:r>
      <w:r>
        <w:tab/>
        <w:t>the chief inspector has been advised, in writing, of the physical and chemical properties of the material, composition, substance, or fluid, as in the state in which it is to be placed into commission.</w:t>
      </w:r>
    </w:p>
    <w:p w:rsidR="00AF2508" w:rsidRDefault="00AF2508">
      <w:pPr>
        <w:pStyle w:val="Amain"/>
      </w:pPr>
      <w:r>
        <w:tab/>
        <w:t>(2)</w:t>
      </w:r>
      <w:r>
        <w:tab/>
        <w:t>However, the following materials may if not disapproved by the chief inspector, or subject to any more specific provision made elsewhere in this regulation, be deemed to conform with subsection (1):</w:t>
      </w:r>
    </w:p>
    <w:tbl>
      <w:tblPr>
        <w:tblW w:w="0" w:type="auto"/>
        <w:tblInd w:w="828" w:type="dxa"/>
        <w:tblLayout w:type="fixed"/>
        <w:tblLook w:val="0000" w:firstRow="0" w:lastRow="0" w:firstColumn="0" w:lastColumn="0" w:noHBand="0" w:noVBand="0"/>
      </w:tblPr>
      <w:tblGrid>
        <w:gridCol w:w="2080"/>
        <w:gridCol w:w="2080"/>
        <w:gridCol w:w="2080"/>
      </w:tblGrid>
      <w:tr w:rsidR="00AF2508">
        <w:tc>
          <w:tcPr>
            <w:tcW w:w="2080" w:type="dxa"/>
          </w:tcPr>
          <w:p w:rsidR="00AF2508" w:rsidRDefault="00AF2508">
            <w:r>
              <w:t>earth</w:t>
            </w:r>
          </w:p>
        </w:tc>
        <w:tc>
          <w:tcPr>
            <w:tcW w:w="2080" w:type="dxa"/>
          </w:tcPr>
          <w:p w:rsidR="00AF2508" w:rsidRDefault="00AF2508">
            <w:r>
              <w:t>rubber</w:t>
            </w:r>
          </w:p>
        </w:tc>
        <w:tc>
          <w:tcPr>
            <w:tcW w:w="2080" w:type="dxa"/>
          </w:tcPr>
          <w:p w:rsidR="00AF2508" w:rsidRDefault="00AF2508">
            <w:r>
              <w:t>salt</w:t>
            </w:r>
          </w:p>
        </w:tc>
      </w:tr>
      <w:tr w:rsidR="00AF2508">
        <w:tc>
          <w:tcPr>
            <w:tcW w:w="2080" w:type="dxa"/>
          </w:tcPr>
          <w:p w:rsidR="00AF2508" w:rsidRDefault="00AF2508">
            <w:r>
              <w:t>clay</w:t>
            </w:r>
          </w:p>
        </w:tc>
        <w:tc>
          <w:tcPr>
            <w:tcW w:w="2080" w:type="dxa"/>
          </w:tcPr>
          <w:p w:rsidR="00AF2508" w:rsidRDefault="00AF2508">
            <w:r>
              <w:t>timber</w:t>
            </w:r>
          </w:p>
        </w:tc>
        <w:tc>
          <w:tcPr>
            <w:tcW w:w="2080" w:type="dxa"/>
          </w:tcPr>
          <w:p w:rsidR="00AF2508" w:rsidRDefault="00AF2508">
            <w:r>
              <w:t>air</w:t>
            </w:r>
          </w:p>
        </w:tc>
      </w:tr>
      <w:tr w:rsidR="00AF2508">
        <w:tc>
          <w:tcPr>
            <w:tcW w:w="2080" w:type="dxa"/>
          </w:tcPr>
          <w:p w:rsidR="00AF2508" w:rsidRDefault="00AF2508">
            <w:r>
              <w:t>sand</w:t>
            </w:r>
          </w:p>
        </w:tc>
        <w:tc>
          <w:tcPr>
            <w:tcW w:w="2080" w:type="dxa"/>
          </w:tcPr>
          <w:p w:rsidR="00AF2508" w:rsidRDefault="00AF2508">
            <w:r>
              <w:t>paper</w:t>
            </w:r>
          </w:p>
        </w:tc>
        <w:tc>
          <w:tcPr>
            <w:tcW w:w="2080" w:type="dxa"/>
          </w:tcPr>
          <w:p w:rsidR="00AF2508" w:rsidRDefault="00AF2508">
            <w:r>
              <w:t>water</w:t>
            </w:r>
          </w:p>
        </w:tc>
      </w:tr>
      <w:tr w:rsidR="00AF2508">
        <w:tc>
          <w:tcPr>
            <w:tcW w:w="2080" w:type="dxa"/>
          </w:tcPr>
          <w:p w:rsidR="00AF2508" w:rsidRDefault="00AF2508">
            <w:r>
              <w:t>stone</w:t>
            </w:r>
          </w:p>
        </w:tc>
        <w:tc>
          <w:tcPr>
            <w:tcW w:w="2080" w:type="dxa"/>
          </w:tcPr>
          <w:p w:rsidR="00AF2508" w:rsidRDefault="00AF2508">
            <w:r>
              <w:t>fuels</w:t>
            </w:r>
          </w:p>
        </w:tc>
        <w:tc>
          <w:tcPr>
            <w:tcW w:w="2080" w:type="dxa"/>
          </w:tcPr>
          <w:p w:rsidR="00AF2508" w:rsidRDefault="00AF2508">
            <w:r>
              <w:t>solvents</w:t>
            </w:r>
          </w:p>
        </w:tc>
      </w:tr>
      <w:tr w:rsidR="00AF2508">
        <w:tc>
          <w:tcPr>
            <w:tcW w:w="2080" w:type="dxa"/>
          </w:tcPr>
          <w:p w:rsidR="00AF2508" w:rsidRDefault="00AF2508">
            <w:r>
              <w:t>brick</w:t>
            </w:r>
          </w:p>
        </w:tc>
        <w:tc>
          <w:tcPr>
            <w:tcW w:w="2080" w:type="dxa"/>
          </w:tcPr>
          <w:p w:rsidR="00AF2508" w:rsidRDefault="00AF2508">
            <w:r>
              <w:t>lubricants</w:t>
            </w:r>
          </w:p>
        </w:tc>
        <w:tc>
          <w:tcPr>
            <w:tcW w:w="2080" w:type="dxa"/>
          </w:tcPr>
          <w:p w:rsidR="00AF2508" w:rsidRDefault="00AF2508">
            <w:r>
              <w:t>detergents</w:t>
            </w:r>
          </w:p>
        </w:tc>
      </w:tr>
      <w:tr w:rsidR="00AF2508">
        <w:tc>
          <w:tcPr>
            <w:tcW w:w="2080" w:type="dxa"/>
          </w:tcPr>
          <w:p w:rsidR="00AF2508" w:rsidRDefault="00AF2508">
            <w:r>
              <w:t>vitrified clay</w:t>
            </w:r>
          </w:p>
        </w:tc>
        <w:tc>
          <w:tcPr>
            <w:tcW w:w="2080" w:type="dxa"/>
          </w:tcPr>
          <w:p w:rsidR="00AF2508" w:rsidRDefault="00AF2508">
            <w:r>
              <w:t>coolants</w:t>
            </w:r>
          </w:p>
        </w:tc>
        <w:tc>
          <w:tcPr>
            <w:tcW w:w="2080" w:type="dxa"/>
          </w:tcPr>
          <w:p w:rsidR="00AF2508" w:rsidRDefault="00AF2508">
            <w:r>
              <w:t>paints</w:t>
            </w:r>
          </w:p>
        </w:tc>
      </w:tr>
      <w:tr w:rsidR="00AF2508">
        <w:tc>
          <w:tcPr>
            <w:tcW w:w="2080" w:type="dxa"/>
          </w:tcPr>
          <w:p w:rsidR="00AF2508" w:rsidRDefault="00AF2508">
            <w:r>
              <w:t>porcelain</w:t>
            </w:r>
          </w:p>
        </w:tc>
        <w:tc>
          <w:tcPr>
            <w:tcW w:w="2080" w:type="dxa"/>
          </w:tcPr>
          <w:p w:rsidR="00AF2508" w:rsidRDefault="00AF2508">
            <w:r>
              <w:t>graphite</w:t>
            </w:r>
          </w:p>
        </w:tc>
        <w:tc>
          <w:tcPr>
            <w:tcW w:w="2080" w:type="dxa"/>
          </w:tcPr>
          <w:p w:rsidR="00AF2508" w:rsidRDefault="00AF2508">
            <w:r>
              <w:t>enamels</w:t>
            </w:r>
          </w:p>
        </w:tc>
      </w:tr>
      <w:tr w:rsidR="00AF2508">
        <w:tc>
          <w:tcPr>
            <w:tcW w:w="2080" w:type="dxa"/>
          </w:tcPr>
          <w:p w:rsidR="00AF2508" w:rsidRDefault="00AF2508">
            <w:r>
              <w:t>glass</w:t>
            </w:r>
          </w:p>
        </w:tc>
        <w:tc>
          <w:tcPr>
            <w:tcW w:w="2080" w:type="dxa"/>
          </w:tcPr>
          <w:p w:rsidR="00AF2508" w:rsidRDefault="00AF2508">
            <w:r>
              <w:t>asphalt</w:t>
            </w:r>
          </w:p>
        </w:tc>
        <w:tc>
          <w:tcPr>
            <w:tcW w:w="2080" w:type="dxa"/>
          </w:tcPr>
          <w:p w:rsidR="00AF2508" w:rsidRDefault="00AF2508">
            <w:r>
              <w:t>varnishes</w:t>
            </w:r>
          </w:p>
        </w:tc>
      </w:tr>
      <w:tr w:rsidR="00AF2508">
        <w:tc>
          <w:tcPr>
            <w:tcW w:w="2080" w:type="dxa"/>
          </w:tcPr>
          <w:p w:rsidR="00AF2508" w:rsidRDefault="00AF2508">
            <w:r>
              <w:t>asbestos</w:t>
            </w:r>
          </w:p>
        </w:tc>
        <w:tc>
          <w:tcPr>
            <w:tcW w:w="2080" w:type="dxa"/>
          </w:tcPr>
          <w:p w:rsidR="00AF2508" w:rsidRDefault="00AF2508">
            <w:r>
              <w:t>bitumen</w:t>
            </w:r>
          </w:p>
        </w:tc>
        <w:tc>
          <w:tcPr>
            <w:tcW w:w="2080" w:type="dxa"/>
          </w:tcPr>
          <w:p w:rsidR="00AF2508" w:rsidRDefault="00AF2508">
            <w:r>
              <w:t>lacquers</w:t>
            </w:r>
          </w:p>
        </w:tc>
      </w:tr>
      <w:tr w:rsidR="00AF2508">
        <w:tc>
          <w:tcPr>
            <w:tcW w:w="2080" w:type="dxa"/>
          </w:tcPr>
          <w:p w:rsidR="00AF2508" w:rsidRDefault="00AF2508">
            <w:r>
              <w:t>leather</w:t>
            </w:r>
          </w:p>
        </w:tc>
        <w:tc>
          <w:tcPr>
            <w:tcW w:w="2080" w:type="dxa"/>
          </w:tcPr>
          <w:p w:rsidR="00AF2508" w:rsidRDefault="00AF2508">
            <w:r>
              <w:t>tar</w:t>
            </w:r>
          </w:p>
        </w:tc>
        <w:tc>
          <w:tcPr>
            <w:tcW w:w="2080" w:type="dxa"/>
          </w:tcPr>
          <w:p w:rsidR="00AF2508" w:rsidRDefault="00AF2508"/>
        </w:tc>
      </w:tr>
    </w:tbl>
    <w:p w:rsidR="00AF2508" w:rsidRDefault="00AF2508"/>
    <w:p w:rsidR="00AF2508" w:rsidRDefault="00AF2508">
      <w:pPr>
        <w:pStyle w:val="Amain"/>
      </w:pPr>
      <w:r>
        <w:rPr>
          <w:color w:val="000000"/>
        </w:rPr>
        <w:tab/>
        <w:t>(3)</w:t>
      </w:r>
      <w:r>
        <w:rPr>
          <w:color w:val="000000"/>
        </w:rPr>
        <w:tab/>
        <w:t>Stressed timbers of cranes, hoists, lifts, scaffolding and plant shall conform to the requirements of the Australian Standard Grading Rules for sawn and hewn timbers of select grade, Standard Number (E) 0.54—1942.</w:t>
      </w:r>
    </w:p>
    <w:p w:rsidR="00AF2508" w:rsidRDefault="00AF2508">
      <w:pPr>
        <w:pStyle w:val="Amain"/>
      </w:pPr>
      <w:r>
        <w:tab/>
        <w:t>(4)</w:t>
      </w:r>
      <w:r>
        <w:tab/>
        <w:t>Jarrah, karri and wandoo shall conform to the requirements of Australian Standard Grading Rules for such timbers of select grade, Standard Number 0.10 to 45—1948.</w:t>
      </w:r>
    </w:p>
    <w:p w:rsidR="00AF2508" w:rsidRDefault="00AF2508">
      <w:pPr>
        <w:pStyle w:val="Amain"/>
      </w:pPr>
      <w:r>
        <w:tab/>
        <w:t>(5)</w:t>
      </w:r>
      <w:r>
        <w:tab/>
        <w:t>The rules mentioned in subsections (3) and (4) being those promulgated by Standards Australia.</w:t>
      </w:r>
    </w:p>
    <w:p w:rsidR="00AF2508" w:rsidRDefault="00AF2508">
      <w:pPr>
        <w:pStyle w:val="Amain"/>
      </w:pPr>
      <w:r>
        <w:rPr>
          <w:color w:val="000000"/>
        </w:rPr>
        <w:tab/>
        <w:t>(6)</w:t>
      </w:r>
      <w:r>
        <w:rPr>
          <w:color w:val="000000"/>
        </w:rPr>
        <w:tab/>
        <w:t>If sizes or dimensions of timbers or other materials are prescribed or otherwise cited in this regulation, they shall mean actual sizes, as distinct from nominal or reputed sizes.</w:t>
      </w:r>
    </w:p>
    <w:p w:rsidR="00AF2508" w:rsidRDefault="00AF2508">
      <w:pPr>
        <w:pStyle w:val="Amain"/>
      </w:pPr>
      <w:r>
        <w:rPr>
          <w:color w:val="000000"/>
        </w:rPr>
        <w:tab/>
        <w:t>(7)</w:t>
      </w:r>
      <w:r>
        <w:rPr>
          <w:color w:val="000000"/>
        </w:rPr>
        <w:tab/>
        <w:t>Unless otherwise stated all bolts, setbolts, setscrews, tapbolts, screws etc referred to in this regulation shall be of steel.</w:t>
      </w:r>
    </w:p>
    <w:p w:rsidR="00AF2508" w:rsidRDefault="00AF2508">
      <w:pPr>
        <w:pStyle w:val="Amain"/>
      </w:pPr>
      <w:r>
        <w:rPr>
          <w:color w:val="000000"/>
        </w:rPr>
        <w:tab/>
        <w:t>(8)</w:t>
      </w:r>
      <w:r>
        <w:rPr>
          <w:color w:val="000000"/>
        </w:rPr>
        <w:tab/>
        <w:t>Timbers shall not be painted with any opaque or partly opaque paint or preparation, or be encased or enclosed in any way that will obscure the timber or interfere with ready inspection of it.</w:t>
      </w:r>
    </w:p>
    <w:p w:rsidR="00AF2508" w:rsidRDefault="00AF2508">
      <w:pPr>
        <w:pStyle w:val="Amain"/>
      </w:pPr>
      <w:r>
        <w:tab/>
        <w:t>(9)</w:t>
      </w:r>
      <w:r>
        <w:tab/>
        <w:t>If practicable, bolts in timber shall be spaced at staggered pitches.</w:t>
      </w:r>
    </w:p>
    <w:p w:rsidR="00AF2508" w:rsidRDefault="00AF2508">
      <w:pPr>
        <w:pStyle w:val="Amain"/>
      </w:pPr>
      <w:r>
        <w:tab/>
        <w:t>(10)</w:t>
      </w:r>
      <w:r>
        <w:tab/>
        <w:t>If practicable, effective stitch bolts shall be employed transversely to the bolts of all main connections of, or to, timber members.</w:t>
      </w:r>
    </w:p>
    <w:p w:rsidR="00AF2508" w:rsidRDefault="00AF2508">
      <w:pPr>
        <w:pStyle w:val="Amain"/>
      </w:pPr>
      <w:r>
        <w:tab/>
        <w:t>(11)</w:t>
      </w:r>
      <w:r>
        <w:tab/>
        <w:t>If the lower ends of timbers enter metal sockets, adequate drain holes shall be provided.</w:t>
      </w:r>
    </w:p>
    <w:p w:rsidR="00AF2508" w:rsidRDefault="00AF2508">
      <w:pPr>
        <w:pStyle w:val="Amain"/>
      </w:pPr>
      <w:r>
        <w:tab/>
        <w:t>(12)</w:t>
      </w:r>
      <w:r>
        <w:tab/>
        <w:t>The sockets shall be tapered and the timbers shall fit tightly in them.</w:t>
      </w:r>
    </w:p>
    <w:p w:rsidR="00AF2508" w:rsidRDefault="00AF2508">
      <w:pPr>
        <w:pStyle w:val="Amain"/>
      </w:pPr>
      <w:r>
        <w:tab/>
        <w:t>(13)</w:t>
      </w:r>
      <w:r>
        <w:tab/>
        <w:t>If metal is to be bolted or otherwise secured to the surface of timber, approved bituminous paper or felt sheeting shall be inserted within and throughout the full area of the joint.</w:t>
      </w:r>
    </w:p>
    <w:p w:rsidR="00AF2508" w:rsidRDefault="00AF2508">
      <w:pPr>
        <w:pStyle w:val="Amain"/>
      </w:pPr>
      <w:r>
        <w:tab/>
        <w:t>(14)</w:t>
      </w:r>
      <w:r>
        <w:tab/>
        <w:t>Bolts passing through timber shall have washers under heads and nuts, except if equivalent metal work renders washers unnecessary.</w:t>
      </w:r>
    </w:p>
    <w:p w:rsidR="00AF2508" w:rsidRDefault="00AF2508">
      <w:pPr>
        <w:pStyle w:val="Amain"/>
      </w:pPr>
      <w:r>
        <w:tab/>
        <w:t>(15)</w:t>
      </w:r>
      <w:r>
        <w:tab/>
        <w:t>Unless otherwise approved, timbers shall be joined by employing simple butt joints only.</w:t>
      </w:r>
    </w:p>
    <w:p w:rsidR="00AF2508" w:rsidRDefault="00AF2508">
      <w:pPr>
        <w:pStyle w:val="Amain"/>
      </w:pPr>
      <w:r>
        <w:tab/>
        <w:t>(16)</w:t>
      </w:r>
      <w:r>
        <w:tab/>
        <w:t>Unfilled holes or notches in timber shall be filled by tightly fitting timber plugs to prevent weathering and decay, and the breaking away of adjoining timber.</w:t>
      </w:r>
    </w:p>
    <w:p w:rsidR="00AF2508" w:rsidRDefault="00AF2508">
      <w:pPr>
        <w:pStyle w:val="Amain"/>
      </w:pPr>
      <w:r>
        <w:tab/>
        <w:t>(17)</w:t>
      </w:r>
      <w:r>
        <w:tab/>
        <w:t>The filling of any hole or notch as mentioned in subsection (16) shall not be deemed to restore or increase the strength or any dimension of the timber.</w:t>
      </w:r>
    </w:p>
    <w:p w:rsidR="00AF2508" w:rsidRDefault="00AF2508">
      <w:pPr>
        <w:pStyle w:val="Amain"/>
      </w:pPr>
      <w:r>
        <w:tab/>
        <w:t>(18)</w:t>
      </w:r>
      <w:r>
        <w:tab/>
        <w:t>No laminated or glued timber shall be employed unless approved, or unless so used that its failure would not be productive or conducive of danger to life or limb.</w:t>
      </w:r>
    </w:p>
    <w:p w:rsidR="00AF2508" w:rsidRDefault="00AF2508">
      <w:pPr>
        <w:pStyle w:val="Amain"/>
      </w:pPr>
      <w:r>
        <w:tab/>
        <w:t>(19)</w:t>
      </w:r>
      <w:r>
        <w:tab/>
        <w:t>Cast iron shall not be used in the following applications or for the following purposes, unless the specified approval of the chief inspector has first been obtained:</w:t>
      </w:r>
    </w:p>
    <w:p w:rsidR="00AF2508" w:rsidRDefault="00AF2508">
      <w:pPr>
        <w:pStyle w:val="Apara"/>
      </w:pPr>
      <w:r>
        <w:tab/>
        <w:t>(a)</w:t>
      </w:r>
      <w:r>
        <w:tab/>
        <w:t>the foot lugs or jibs or derricks of power cranes of all types, or the jib or derrick supporting lugs of the cranes;</w:t>
      </w:r>
    </w:p>
    <w:p w:rsidR="00AF2508" w:rsidRDefault="00AF2508">
      <w:pPr>
        <w:pStyle w:val="Apara"/>
      </w:pPr>
      <w:r>
        <w:tab/>
        <w:t>(b)</w:t>
      </w:r>
      <w:r>
        <w:tab/>
        <w:t>soleplates, spiders, or slewing race pinions or slewing racewheels of power derrick or power jib cranes or the brackets carrying slewing race pinions of the cranes;</w:t>
      </w:r>
    </w:p>
    <w:p w:rsidR="00AF2508" w:rsidRDefault="00AF2508">
      <w:pPr>
        <w:pStyle w:val="Apara"/>
      </w:pPr>
      <w:r>
        <w:tab/>
        <w:t>(c)</w:t>
      </w:r>
      <w:r>
        <w:tab/>
        <w:t>masthead castings of derrick or jib cranes;</w:t>
      </w:r>
    </w:p>
    <w:p w:rsidR="00AF2508" w:rsidRDefault="00AF2508">
      <w:pPr>
        <w:pStyle w:val="Apara"/>
      </w:pPr>
      <w:r>
        <w:tab/>
        <w:t>(d)</w:t>
      </w:r>
      <w:r>
        <w:tab/>
        <w:t>straight spur gears of chain blocks;</w:t>
      </w:r>
    </w:p>
    <w:p w:rsidR="00AF2508" w:rsidRDefault="00AF2508">
      <w:pPr>
        <w:pStyle w:val="Apara"/>
      </w:pPr>
      <w:r>
        <w:tab/>
        <w:t>(e)</w:t>
      </w:r>
      <w:r>
        <w:tab/>
        <w:t>main frame or cheek castings of winches used in connection with scaffolding;</w:t>
      </w:r>
    </w:p>
    <w:p w:rsidR="00AF2508" w:rsidRDefault="00AF2508">
      <w:pPr>
        <w:pStyle w:val="Apara"/>
      </w:pPr>
      <w:r>
        <w:tab/>
        <w:t>(f)</w:t>
      </w:r>
      <w:r>
        <w:tab/>
        <w:t>pawls;</w:t>
      </w:r>
    </w:p>
    <w:p w:rsidR="00AF2508" w:rsidRDefault="00AF2508">
      <w:pPr>
        <w:pStyle w:val="Apara"/>
      </w:pPr>
      <w:r>
        <w:tab/>
        <w:t>(g)</w:t>
      </w:r>
      <w:r>
        <w:tab/>
        <w:t>dog or toothed clutches;</w:t>
      </w:r>
    </w:p>
    <w:p w:rsidR="00AF2508" w:rsidRDefault="00AF2508">
      <w:pPr>
        <w:pStyle w:val="Apara"/>
      </w:pPr>
      <w:r>
        <w:tab/>
        <w:t>(h)</w:t>
      </w:r>
      <w:r>
        <w:tab/>
        <w:t>cranks or crank handles;</w:t>
      </w:r>
    </w:p>
    <w:p w:rsidR="00AF2508" w:rsidRDefault="00AF2508">
      <w:pPr>
        <w:pStyle w:val="Apara"/>
      </w:pPr>
      <w:r>
        <w:tab/>
        <w:t>(i)</w:t>
      </w:r>
      <w:r>
        <w:tab/>
        <w:t>hooks or their trunnions or yokes;</w:t>
      </w:r>
    </w:p>
    <w:p w:rsidR="00AF2508" w:rsidRDefault="00AF2508">
      <w:pPr>
        <w:pStyle w:val="Apara"/>
      </w:pPr>
      <w:r>
        <w:tab/>
        <w:t>(j)</w:t>
      </w:r>
      <w:r>
        <w:tab/>
        <w:t>structural beams or cantilevers, or loadbars or yokes subject to primary transverse stress.</w:t>
      </w:r>
    </w:p>
    <w:p w:rsidR="00AF2508" w:rsidRDefault="00AF2508">
      <w:pPr>
        <w:pStyle w:val="Amain"/>
      </w:pPr>
      <w:r>
        <w:tab/>
        <w:t>(20)</w:t>
      </w:r>
      <w:r>
        <w:tab/>
        <w:t>Diecast metals or alloys shall not be used for any purpose unless specifically approved by the chief inspector.</w:t>
      </w:r>
    </w:p>
    <w:p w:rsidR="00AF2508" w:rsidRDefault="00AF2508">
      <w:pPr>
        <w:pStyle w:val="Amain"/>
      </w:pPr>
      <w:r>
        <w:tab/>
        <w:t>(21)</w:t>
      </w:r>
      <w:r>
        <w:tab/>
        <w:t>All steel castings subject to primary transverse stress shall be radiographically examined by an approved authority, and if defects are observed, the casting concerned shall not be placed into commission unless the chief inspector specifically approves.</w:t>
      </w:r>
    </w:p>
    <w:p w:rsidR="00AF2508" w:rsidRDefault="00AF2508">
      <w:pPr>
        <w:pStyle w:val="AH3Div"/>
      </w:pPr>
      <w:bookmarkStart w:id="266" w:name="_Toc161636898"/>
      <w:r>
        <w:t>Fencing—general</w:t>
      </w:r>
      <w:bookmarkEnd w:id="266"/>
    </w:p>
    <w:p w:rsidR="00AF2508" w:rsidRDefault="00AF2508">
      <w:pPr>
        <w:pStyle w:val="AH5Sec"/>
      </w:pPr>
      <w:bookmarkStart w:id="267" w:name="_Toc161636899"/>
      <w:r>
        <w:rPr>
          <w:rStyle w:val="CharSectNo"/>
        </w:rPr>
        <w:t>132</w:t>
      </w:r>
      <w:bookmarkEnd w:id="267"/>
      <w:r>
        <w:tab/>
        <w:t xml:space="preserve">  </w:t>
      </w:r>
    </w:p>
    <w:p w:rsidR="00AF2508" w:rsidRDefault="00AF2508">
      <w:pPr>
        <w:pStyle w:val="Amain"/>
      </w:pPr>
      <w:r>
        <w:tab/>
        <w:t>(1)</w:t>
      </w:r>
      <w:r>
        <w:rPr>
          <w:b/>
        </w:rPr>
        <w:tab/>
      </w:r>
      <w:r>
        <w:t>The following members, components, parts or attachments of scaffoldings, cranes, hoists, plant, lifts or gear shall be effectively guarded so that they shall not be dangerous to persons nearby or persons driving, examining, testing, lubricating, tending, cleaning or adjusting the scaffoldings, cranes, hoists, plant, lifts or gear:</w:t>
      </w:r>
    </w:p>
    <w:p w:rsidR="00AF2508" w:rsidRDefault="00AF2508">
      <w:pPr>
        <w:pStyle w:val="Apara"/>
      </w:pPr>
      <w:r>
        <w:tab/>
        <w:t>(a)</w:t>
      </w:r>
      <w:r>
        <w:tab/>
        <w:t>toothed wheels of builders’ power hoisting winches;</w:t>
      </w:r>
    </w:p>
    <w:p w:rsidR="00AF2508" w:rsidRDefault="00AF2508">
      <w:pPr>
        <w:pStyle w:val="Apara"/>
      </w:pPr>
      <w:r>
        <w:tab/>
        <w:t>(b)</w:t>
      </w:r>
      <w:r>
        <w:tab/>
        <w:t>friction wheels of builders’ power hoisting winches;</w:t>
      </w:r>
    </w:p>
    <w:p w:rsidR="00AF2508" w:rsidRDefault="00AF2508">
      <w:pPr>
        <w:pStyle w:val="Apara"/>
      </w:pPr>
      <w:r>
        <w:tab/>
        <w:t>(c)</w:t>
      </w:r>
      <w:r>
        <w:tab/>
        <w:t>toothed wheels of the longitudinal travelling mechanism of power-driven overhead travelling cranes if exposed above or partially above access platforms, access facilities or end carriages;</w:t>
      </w:r>
    </w:p>
    <w:p w:rsidR="00AF2508" w:rsidRDefault="00AF2508">
      <w:pPr>
        <w:pStyle w:val="Apara"/>
      </w:pPr>
      <w:r>
        <w:tab/>
        <w:t>(d)</w:t>
      </w:r>
      <w:r>
        <w:tab/>
        <w:t>toothed wheels of locomotive type power cranes and power cranes having an analogous arrangement of machinery if the wheels revolve in close proximity to crane frame structures;</w:t>
      </w:r>
    </w:p>
    <w:p w:rsidR="00AF2508" w:rsidRDefault="00AF2508">
      <w:pPr>
        <w:pStyle w:val="Apara"/>
      </w:pPr>
      <w:r>
        <w:tab/>
        <w:t>(e)</w:t>
      </w:r>
      <w:r>
        <w:tab/>
        <w:t>toothed wheels of, and adjacent to, the mixing vessels of power-driven concrete mixers and like mixers, including positions at which the wheels revolve in close proximity to the frame structures of the mixers;</w:t>
      </w:r>
    </w:p>
    <w:p w:rsidR="00AF2508" w:rsidRDefault="00AF2508">
      <w:pPr>
        <w:pStyle w:val="Apara"/>
      </w:pPr>
      <w:r>
        <w:tab/>
        <w:t>(f)</w:t>
      </w:r>
      <w:r>
        <w:tab/>
        <w:t>those members, components, parts or attachments that are within reach of access facilities, floors, the ground, or other working surfaces and that revolve and are of irregular, radially variable, intermittent, broken or gapped contour or have projecting keys, setscrews, bolt ends, nuts, pins (including split pins), bosses, dogs, lugs, ribs, fins, arms or the like because of which they may directly or indirectly engage the person or clothing.</w:t>
      </w:r>
    </w:p>
    <w:p w:rsidR="00AF2508" w:rsidRDefault="00AF2508">
      <w:pPr>
        <w:pStyle w:val="Apara"/>
      </w:pPr>
      <w:r>
        <w:tab/>
        <w:t>(g)</w:t>
      </w:r>
      <w:r>
        <w:tab/>
        <w:t xml:space="preserve">ends of revolving shafts, spindles, pins or axles that are within reach and that project more than 2 inches beyond their supports; </w:t>
      </w:r>
    </w:p>
    <w:p w:rsidR="00AF2508" w:rsidRDefault="00AF2508">
      <w:pPr>
        <w:pStyle w:val="Apara"/>
      </w:pPr>
      <w:r>
        <w:tab/>
        <w:t>(h)</w:t>
      </w:r>
      <w:r>
        <w:tab/>
        <w:t xml:space="preserve">transmission belting and transmission chains that are within reach; </w:t>
      </w:r>
    </w:p>
    <w:p w:rsidR="00AF2508" w:rsidRDefault="00AF2508">
      <w:pPr>
        <w:pStyle w:val="Apara"/>
      </w:pPr>
      <w:r>
        <w:tab/>
        <w:t>(i)</w:t>
      </w:r>
      <w:r>
        <w:tab/>
        <w:t>power-driven revolving shafts, spindles, pins or axles if exposed at or near accessholes, hatchways, doorways, gateways or like facilities, or if exposed in such positions with regard to access facilities that persons are likely to make contact with them;</w:t>
      </w:r>
    </w:p>
    <w:p w:rsidR="00AF2508" w:rsidRDefault="00AF2508">
      <w:pPr>
        <w:pStyle w:val="Apara"/>
      </w:pPr>
      <w:r>
        <w:tab/>
        <w:t>(j)</w:t>
      </w:r>
      <w:r>
        <w:tab/>
        <w:t>power-driven shafts, spindles, pins, axles, drums, couplings, toothed wheels, rollers or the like revolving above the upper surfaces of floors, platforms, walkways, pathways and the like wherever an unobstructed minimum clearance of 2</w:t>
      </w:r>
      <w:r>
        <w:rPr>
          <w:position w:val="6"/>
          <w:sz w:val="18"/>
        </w:rPr>
        <w:t>1</w:t>
      </w:r>
      <w:r>
        <w:t>/</w:t>
      </w:r>
      <w:r>
        <w:rPr>
          <w:sz w:val="18"/>
        </w:rPr>
        <w:t>2</w:t>
      </w:r>
      <w:r>
        <w:t xml:space="preserve"> inches does not at all times exist between the revolving member and the surface; </w:t>
      </w:r>
    </w:p>
    <w:p w:rsidR="00AF2508" w:rsidRDefault="00AF2508">
      <w:pPr>
        <w:pStyle w:val="Apara"/>
      </w:pPr>
      <w:r>
        <w:tab/>
        <w:t>(k)</w:t>
      </w:r>
      <w:r>
        <w:tab/>
        <w:t xml:space="preserve">power-driven spoked wheels and wheels having web apertures if the wheels revolve in close proximity to the frame structures of cranes, engines or gear; </w:t>
      </w:r>
    </w:p>
    <w:p w:rsidR="00AF2508" w:rsidRDefault="00AF2508">
      <w:pPr>
        <w:pStyle w:val="Apara"/>
      </w:pPr>
      <w:r>
        <w:tab/>
        <w:t>(l)</w:t>
      </w:r>
      <w:r>
        <w:tab/>
        <w:t>power-driven fans or blowers, including cooling fans of internal-combustion engines;</w:t>
      </w:r>
    </w:p>
    <w:p w:rsidR="00AF2508" w:rsidRDefault="00AF2508">
      <w:pPr>
        <w:pStyle w:val="Apara"/>
      </w:pPr>
      <w:r>
        <w:tab/>
        <w:t>(m)</w:t>
      </w:r>
      <w:r>
        <w:tab/>
        <w:t xml:space="preserve">hoods or cowlings that may be readily removed or displaced shall not be deemed to be effective guards; </w:t>
      </w:r>
    </w:p>
    <w:p w:rsidR="00AF2508" w:rsidRDefault="00AF2508">
      <w:pPr>
        <w:pStyle w:val="Apara"/>
      </w:pPr>
      <w:r>
        <w:tab/>
        <w:t>(n)</w:t>
      </w:r>
      <w:r>
        <w:tab/>
        <w:t>all members, components, parts of attachments liable to attain a temperature in excess of 140° Fahrenheit or that are liable to discharge flame, gas, vapour or liquid exceeding that temperature.</w:t>
      </w:r>
    </w:p>
    <w:p w:rsidR="00AF2508" w:rsidRDefault="00AF2508">
      <w:pPr>
        <w:pStyle w:val="Amain"/>
      </w:pPr>
      <w:r>
        <w:tab/>
        <w:t>(2)</w:t>
      </w:r>
      <w:r>
        <w:tab/>
        <w:t>In subsection (1) (f), ordinary, plain, concentric spur or worm gearing shall not be deemed to be of irregular, radially variable, intermittent, broken or gapped contour.</w:t>
      </w:r>
    </w:p>
    <w:p w:rsidR="00AF2508" w:rsidRDefault="00AF2508">
      <w:pPr>
        <w:pStyle w:val="Amain"/>
      </w:pPr>
      <w:r>
        <w:tab/>
        <w:t>(3)</w:t>
      </w:r>
      <w:r>
        <w:tab/>
        <w:t>The guards shall be constantly maintained in position in a state of complete effectiveness.</w:t>
      </w:r>
    </w:p>
    <w:p w:rsidR="00AF2508" w:rsidRDefault="00AF2508">
      <w:pPr>
        <w:pStyle w:val="Amain"/>
      </w:pPr>
      <w:r>
        <w:tab/>
        <w:t>(4)</w:t>
      </w:r>
      <w:r>
        <w:tab/>
        <w:t>If so situated that a person may climb or rest on it each guard shall be capable of sustaining, without permanent distortion, a weight of 170 pounds placed in any position on it, together with a simultaneous force of 50 pounds applied horizontally in the same or any other position.</w:t>
      </w:r>
    </w:p>
    <w:p w:rsidR="00AF2508" w:rsidRDefault="00AF2508">
      <w:pPr>
        <w:pStyle w:val="Amain"/>
      </w:pPr>
      <w:r>
        <w:tab/>
        <w:t>(5)</w:t>
      </w:r>
      <w:r>
        <w:tab/>
        <w:t xml:space="preserve">Protruding or projecting levers, handles, rods, links, bolts, spikes, pins, or other members of less than 2 square inches sectional area shall be so guarded or fenced that they will not endanger the eyes of persons in the vicinity. </w:t>
      </w:r>
    </w:p>
    <w:p w:rsidR="00AF2508" w:rsidRDefault="00AF2508">
      <w:pPr>
        <w:pStyle w:val="AH4SubDiv"/>
      </w:pPr>
      <w:bookmarkStart w:id="268" w:name="_Toc161636900"/>
      <w:r>
        <w:t>Jointers</w:t>
      </w:r>
      <w:bookmarkEnd w:id="268"/>
    </w:p>
    <w:p w:rsidR="00AF2508" w:rsidRDefault="00AF2508">
      <w:pPr>
        <w:pStyle w:val="AH5Sec"/>
      </w:pPr>
      <w:bookmarkStart w:id="269" w:name="_Toc161636901"/>
      <w:r>
        <w:rPr>
          <w:rStyle w:val="CharSectNo"/>
        </w:rPr>
        <w:t>132A</w:t>
      </w:r>
      <w:bookmarkEnd w:id="269"/>
      <w:r>
        <w:tab/>
        <w:t xml:space="preserve">  </w:t>
      </w:r>
    </w:p>
    <w:p w:rsidR="00AF2508" w:rsidRDefault="00AF2508">
      <w:pPr>
        <w:pStyle w:val="Amain"/>
      </w:pPr>
      <w:r>
        <w:tab/>
        <w:t>(1)</w:t>
      </w:r>
      <w:r>
        <w:tab/>
        <w:t>No jointer that is plant shall be used for overhead planing unless—</w:t>
      </w:r>
    </w:p>
    <w:p w:rsidR="00AF2508" w:rsidRDefault="00AF2508">
      <w:pPr>
        <w:pStyle w:val="Apara"/>
      </w:pPr>
      <w:r>
        <w:tab/>
        <w:t>(a)</w:t>
      </w:r>
      <w:r>
        <w:tab/>
        <w:t xml:space="preserve">it is fitted with a cylindrical cutter block the slots of which are not more than </w:t>
      </w:r>
      <w:r>
        <w:rPr>
          <w:position w:val="6"/>
          <w:sz w:val="18"/>
        </w:rPr>
        <w:t>5</w:t>
      </w:r>
      <w:r>
        <w:t>/</w:t>
      </w:r>
      <w:r>
        <w:rPr>
          <w:sz w:val="18"/>
        </w:rPr>
        <w:t>8</w:t>
      </w:r>
      <w:r>
        <w:t xml:space="preserve"> of an inch in width and not more than </w:t>
      </w:r>
      <w:r>
        <w:rPr>
          <w:position w:val="6"/>
          <w:sz w:val="18"/>
        </w:rPr>
        <w:t>7</w:t>
      </w:r>
      <w:r>
        <w:t>/</w:t>
      </w:r>
      <w:r>
        <w:rPr>
          <w:sz w:val="18"/>
        </w:rPr>
        <w:t>16</w:t>
      </w:r>
      <w:r>
        <w:t xml:space="preserve"> of an inch in depth or are of a greater width or depth that is approved; and</w:t>
      </w:r>
    </w:p>
    <w:p w:rsidR="00AF2508" w:rsidRDefault="00AF2508">
      <w:pPr>
        <w:pStyle w:val="Apara"/>
      </w:pPr>
      <w:r>
        <w:tab/>
        <w:t>(b)</w:t>
      </w:r>
      <w:r>
        <w:tab/>
        <w:t>the edges of the table that form the slot or opening in which the cutter block revolves are kept as close to the block as is possible, consistently with the proper working of the machine.</w:t>
      </w:r>
    </w:p>
    <w:p w:rsidR="00AF2508" w:rsidRDefault="00AF2508">
      <w:pPr>
        <w:pStyle w:val="Amain"/>
      </w:pPr>
      <w:r>
        <w:tab/>
        <w:t>(2)</w:t>
      </w:r>
      <w:r>
        <w:tab/>
        <w:t>In this section:</w:t>
      </w:r>
    </w:p>
    <w:p w:rsidR="00AF2508" w:rsidRDefault="00AF2508">
      <w:pPr>
        <w:pStyle w:val="aDef"/>
      </w:pPr>
      <w:r>
        <w:rPr>
          <w:b/>
          <w:i/>
        </w:rPr>
        <w:t>jointer</w:t>
      </w:r>
      <w:r>
        <w:t xml:space="preserve"> means the woodworking machine commonly known as a jointer, surface planer or buzzer. </w:t>
      </w:r>
    </w:p>
    <w:p w:rsidR="00AF2508" w:rsidRDefault="00AF2508">
      <w:pPr>
        <w:pStyle w:val="AH4SubDiv"/>
      </w:pPr>
      <w:bookmarkStart w:id="270" w:name="_Toc161636902"/>
      <w:r>
        <w:t>Electrical</w:t>
      </w:r>
      <w:bookmarkEnd w:id="270"/>
    </w:p>
    <w:p w:rsidR="00AF2508" w:rsidRDefault="00AF2508">
      <w:pPr>
        <w:pStyle w:val="AH5Sec"/>
      </w:pPr>
      <w:bookmarkStart w:id="271" w:name="_Toc161636903"/>
      <w:r>
        <w:rPr>
          <w:rStyle w:val="CharSectNo"/>
        </w:rPr>
        <w:t>133</w:t>
      </w:r>
      <w:bookmarkEnd w:id="271"/>
      <w:r>
        <w:tab/>
        <w:t xml:space="preserve">  </w:t>
      </w:r>
    </w:p>
    <w:p w:rsidR="00AF2508" w:rsidRDefault="00AF2508">
      <w:pPr>
        <w:pStyle w:val="Amain"/>
      </w:pPr>
      <w:r>
        <w:tab/>
        <w:t>(1)</w:t>
      </w:r>
      <w:r>
        <w:tab/>
        <w:t>In this section:</w:t>
      </w:r>
    </w:p>
    <w:p w:rsidR="00AF2508" w:rsidRDefault="00AF2508">
      <w:pPr>
        <w:pStyle w:val="aDef"/>
      </w:pPr>
      <w:r>
        <w:rPr>
          <w:rStyle w:val="charBoldItals"/>
          <w:rFonts w:ascii="Times" w:hAnsi="Times"/>
        </w:rPr>
        <w:t>out of reach</w:t>
      </w:r>
      <w:r>
        <w:t xml:space="preserve"> means 8 feet above the nearest floor or other working surface, or object on which a person might reasonably step or stand without climbing.  An object may be regarded as out of reach if it is 7 feet above the nearest edge of a floor or working surface, and at the same time displaced 21 inches laterally outwards from the edge, or 6 feet above and 30 inches laterally, or 5 feet above and 40 inches laterally, or 4 feet above and 48 inches laterally.</w:t>
      </w:r>
    </w:p>
    <w:p w:rsidR="00AF2508" w:rsidRDefault="00AF2508">
      <w:pPr>
        <w:pStyle w:val="Amain"/>
      </w:pPr>
      <w:r>
        <w:tab/>
        <w:t>(2)</w:t>
      </w:r>
      <w:r>
        <w:tab/>
        <w:t>Except if provision is made elsewhere in this regulation the electrical wiring and equipment of all cranes, lifts, hoists, scaffolding, plant and gear as also that used in building, excavation and compressed air works shall conform with the S.A.A. Wiring Rules.</w:t>
      </w:r>
    </w:p>
    <w:p w:rsidR="00AF2508" w:rsidRDefault="00AF2508">
      <w:pPr>
        <w:pStyle w:val="Amain"/>
      </w:pPr>
      <w:r>
        <w:tab/>
        <w:t>(3)</w:t>
      </w:r>
      <w:r>
        <w:tab/>
        <w:t>Electrified conductors, terminals, fittings and apparatus within reach of access facilities, floors, platforms or other working surfaces, or stairs or ramps, or stacks of materials or goods on which persons may readily climb, or within reach of any part of any crane, lift, hoist, scaffolding, or plant, to which the driver or an attendant is liable to resort for the purposes of inspecting, lubricating, or tending, shall be safely enclosed or safely fenced.</w:t>
      </w:r>
    </w:p>
    <w:p w:rsidR="00AF2508" w:rsidRDefault="00AF2508">
      <w:pPr>
        <w:pStyle w:val="Amain"/>
      </w:pPr>
      <w:r>
        <w:tab/>
        <w:t>(4)</w:t>
      </w:r>
      <w:r>
        <w:tab/>
        <w:t>For subsection (3), the dielectric of the conductor, terminal, fitting or apparatus shall not be considered to be a safe enclosure or fence.</w:t>
      </w:r>
    </w:p>
    <w:p w:rsidR="00AF2508" w:rsidRDefault="00AF2508">
      <w:pPr>
        <w:pStyle w:val="Amain"/>
      </w:pPr>
      <w:r>
        <w:tab/>
        <w:t>(5)</w:t>
      </w:r>
      <w:r>
        <w:tab/>
        <w:t>Subsection (3) shall not apply to flexible cords, or, as far as the bridge platforms are concerned, to the bare conductors between or on the bridge beams of overhead traveller cranes.</w:t>
      </w:r>
    </w:p>
    <w:p w:rsidR="00AF2508" w:rsidRDefault="00AF2508">
      <w:pPr>
        <w:pStyle w:val="Amain"/>
      </w:pPr>
      <w:r>
        <w:tab/>
        <w:t>(6)</w:t>
      </w:r>
      <w:r>
        <w:tab/>
        <w:t>Flexible cords shall not, in damp places, be within reach unless boxed or enclosed in an approved way.</w:t>
      </w:r>
    </w:p>
    <w:p w:rsidR="00AF2508" w:rsidRDefault="00AF2508">
      <w:pPr>
        <w:pStyle w:val="Amain"/>
      </w:pPr>
      <w:r>
        <w:tab/>
        <w:t>(7)</w:t>
      </w:r>
      <w:r>
        <w:tab/>
        <w:t>No indoor electrified bare conductor, terminal, fitting or apparatus shall be set at a less distance above ground level, or above the level of any floor, platform or other working surface, or stair or ramp or any readily accessible equipment than 12 feet.</w:t>
      </w:r>
    </w:p>
    <w:p w:rsidR="00AF2508" w:rsidRDefault="00AF2508">
      <w:pPr>
        <w:pStyle w:val="Amain"/>
      </w:pPr>
      <w:r>
        <w:tab/>
        <w:t>(8)</w:t>
      </w:r>
      <w:r>
        <w:tab/>
        <w:t>However, if the type of goods or materials or equipment being handled in the vicinity is such that inadvertent contact might be expected with the electrified members, the distance shall be increased to at least 16 feet.</w:t>
      </w:r>
    </w:p>
    <w:p w:rsidR="00AF2508" w:rsidRDefault="00AF2508">
      <w:pPr>
        <w:pStyle w:val="Amain"/>
      </w:pPr>
      <w:r>
        <w:tab/>
        <w:t>(9)</w:t>
      </w:r>
      <w:r>
        <w:tab/>
        <w:t>If approved, collector wires or conductors may be of steel.</w:t>
      </w:r>
    </w:p>
    <w:p w:rsidR="00AF2508" w:rsidRDefault="00AF2508">
      <w:pPr>
        <w:pStyle w:val="Amain"/>
      </w:pPr>
      <w:r>
        <w:tab/>
        <w:t>(10)</w:t>
      </w:r>
      <w:r>
        <w:tab/>
        <w:t>All parts of electrically operated cranes, hoists, scaffolding and plant that are of metal shall, in earthed situations, be effectively earthed.</w:t>
      </w:r>
    </w:p>
    <w:p w:rsidR="00AF2508" w:rsidRDefault="00AF2508">
      <w:pPr>
        <w:pStyle w:val="Amain"/>
      </w:pPr>
      <w:r>
        <w:tab/>
        <w:t>(11)</w:t>
      </w:r>
      <w:r>
        <w:tab/>
        <w:t>However, subsection (10) shall not necessitate earthing of isolated metal parts of timber appliances if the parts cannot reasonably become electrified.</w:t>
      </w:r>
    </w:p>
    <w:p w:rsidR="00AF2508" w:rsidRDefault="00AF2508">
      <w:pPr>
        <w:pStyle w:val="Amain"/>
      </w:pPr>
      <w:r>
        <w:tab/>
        <w:t>(12)</w:t>
      </w:r>
      <w:r>
        <w:tab/>
        <w:t>Unless fixed in position and free from working movements, earthing conductors shall be flexible.</w:t>
      </w:r>
    </w:p>
    <w:p w:rsidR="00AF2508" w:rsidRDefault="00AF2508">
      <w:pPr>
        <w:pStyle w:val="Amain"/>
      </w:pPr>
      <w:r>
        <w:tab/>
        <w:t>(13)</w:t>
      </w:r>
      <w:r>
        <w:tab/>
        <w:t>All earthing conductors shall be effectively protected against mechanical damage.</w:t>
      </w:r>
    </w:p>
    <w:p w:rsidR="00AF2508" w:rsidRDefault="00AF2508">
      <w:pPr>
        <w:pStyle w:val="Amain"/>
      </w:pPr>
      <w:r>
        <w:tab/>
        <w:t>(14)</w:t>
      </w:r>
      <w:r>
        <w:tab/>
        <w:t xml:space="preserve">Flexible earthing conductors of copper or bronze shall not contain any wire of greater diameter than </w:t>
      </w:r>
      <w:r>
        <w:rPr>
          <w:position w:val="6"/>
          <w:sz w:val="18"/>
        </w:rPr>
        <w:t>1</w:t>
      </w:r>
      <w:r>
        <w:t>/</w:t>
      </w:r>
      <w:r>
        <w:rPr>
          <w:sz w:val="18"/>
        </w:rPr>
        <w:t>100</w:t>
      </w:r>
      <w:r>
        <w:t xml:space="preserve"> part of an inch.</w:t>
      </w:r>
    </w:p>
    <w:p w:rsidR="00AF2508" w:rsidRDefault="00AF2508">
      <w:pPr>
        <w:pStyle w:val="Amain"/>
      </w:pPr>
      <w:r>
        <w:tab/>
        <w:t>(15)</w:t>
      </w:r>
      <w:r>
        <w:tab/>
        <w:t xml:space="preserve">Each earthing conductor of every iceworks crane or hoist shall be of at least </w:t>
      </w:r>
      <w:r>
        <w:rPr>
          <w:position w:val="6"/>
          <w:sz w:val="18"/>
        </w:rPr>
        <w:t>1</w:t>
      </w:r>
      <w:r>
        <w:t>/</w:t>
      </w:r>
      <w:r>
        <w:rPr>
          <w:sz w:val="18"/>
        </w:rPr>
        <w:t>10</w:t>
      </w:r>
      <w:r>
        <w:t xml:space="preserve"> of 1 square inch in section area, and each crane track rail shall be separately earthed.</w:t>
      </w:r>
    </w:p>
    <w:p w:rsidR="00AF2508" w:rsidRDefault="00AF2508">
      <w:pPr>
        <w:pStyle w:val="Amain"/>
      </w:pPr>
      <w:r>
        <w:tab/>
        <w:t>(16)</w:t>
      </w:r>
      <w:r>
        <w:tab/>
        <w:t xml:space="preserve">Cranes or hoists used for supporting objects that are being electrically welded shall be effectively earthed with an earthing conductor not less in area than </w:t>
      </w:r>
      <w:r>
        <w:rPr>
          <w:position w:val="6"/>
          <w:sz w:val="18"/>
        </w:rPr>
        <w:t>1</w:t>
      </w:r>
      <w:r>
        <w:t>/</w:t>
      </w:r>
      <w:r>
        <w:rPr>
          <w:sz w:val="18"/>
        </w:rPr>
        <w:t>10</w:t>
      </w:r>
      <w:r>
        <w:t xml:space="preserve"> of 1 square inch.</w:t>
      </w:r>
    </w:p>
    <w:p w:rsidR="00AF2508" w:rsidRDefault="00AF2508">
      <w:pPr>
        <w:pStyle w:val="Amain"/>
        <w:keepLines/>
      </w:pPr>
      <w:r>
        <w:tab/>
        <w:t>(17)</w:t>
      </w:r>
      <w:r>
        <w:tab/>
        <w:t>Cranes or hoists, other than caterpillar or mobile cranes or hoists, shall not be set up or built or set or placed in position in proximity to any electrified equipment or apparatus unless effective permanent fencing or other approved safeguard has first been provided and fixed to ensure the safety of persons using, or working in connection with, the crane or hoist.</w:t>
      </w:r>
    </w:p>
    <w:p w:rsidR="00AF2508" w:rsidRDefault="00AF2508">
      <w:pPr>
        <w:pStyle w:val="Amain"/>
      </w:pPr>
      <w:r>
        <w:tab/>
        <w:t>(18)</w:t>
      </w:r>
      <w:r>
        <w:tab/>
        <w:t>Caterpillar, mobile or portable cranes, hoists or plant in the proximity of electrified equipment or apparatus shall be effectively earthed in a way that will ensure the safety of persons using or working in connection with the cranes, hoists or plant.</w:t>
      </w:r>
    </w:p>
    <w:p w:rsidR="00AF2508" w:rsidRDefault="00AF2508">
      <w:pPr>
        <w:pStyle w:val="Amain"/>
      </w:pPr>
      <w:r>
        <w:tab/>
        <w:t>(19)</w:t>
      </w:r>
      <w:r>
        <w:tab/>
        <w:t>If cranes or hoists are required, unavoidably, to handle loads in close proximity to electrified conductors, as may occur in the erection of city buildings, all loads shall be controlled by dry tail ropes of fibre or other dielectric material, and thereby prevented from approaching or being blown within 5 feet of any electrified conductor.</w:t>
      </w:r>
    </w:p>
    <w:p w:rsidR="00AF2508" w:rsidRDefault="00AF2508">
      <w:pPr>
        <w:pStyle w:val="Amain"/>
      </w:pPr>
      <w:r>
        <w:tab/>
        <w:t>(20)</w:t>
      </w:r>
      <w:r>
        <w:tab/>
        <w:t>Pendant switches attached to flexible conduit or other flexible supports shall not be employed in damp places.</w:t>
      </w:r>
    </w:p>
    <w:p w:rsidR="00AF2508" w:rsidRDefault="00AF2508">
      <w:pPr>
        <w:pStyle w:val="Amain"/>
      </w:pPr>
      <w:r>
        <w:tab/>
        <w:t>(21)</w:t>
      </w:r>
      <w:r>
        <w:tab/>
        <w:t>Plug sockets for flexible conductors or flexible cords shall be wired identically, so that identical phases will be selected by the pins of the plugs when inserted in different sockets.</w:t>
      </w:r>
    </w:p>
    <w:p w:rsidR="00AF2508" w:rsidRDefault="00AF2508">
      <w:pPr>
        <w:pStyle w:val="Amain"/>
      </w:pPr>
      <w:r>
        <w:tab/>
        <w:t>(22)</w:t>
      </w:r>
      <w:r>
        <w:tab/>
        <w:t>The identity of active and neutral connections shall be preserved in a like way.</w:t>
      </w:r>
    </w:p>
    <w:p w:rsidR="00AF2508" w:rsidRDefault="00AF2508">
      <w:pPr>
        <w:pStyle w:val="Amain"/>
      </w:pPr>
      <w:r>
        <w:tab/>
        <w:t>(23)</w:t>
      </w:r>
      <w:r>
        <w:tab/>
        <w:t>Electrical emergency limiting devices prescribed by section 127 (131) to (135) shall be wired in series with the motors concerned, and shall directly, mechanically and without recourse to relays, interrupt the whole current to it.</w:t>
      </w:r>
    </w:p>
    <w:p w:rsidR="00AF2508" w:rsidRDefault="00AF2508">
      <w:pPr>
        <w:pStyle w:val="Amain"/>
      </w:pPr>
      <w:r>
        <w:tab/>
        <w:t>(24)</w:t>
      </w:r>
      <w:r>
        <w:tab/>
        <w:t>Approved effective permanent facilities shall be provided by which persons may safely inspect, tend and adjust all electrical equipment.</w:t>
      </w:r>
    </w:p>
    <w:p w:rsidR="00AF2508" w:rsidRDefault="00AF2508">
      <w:pPr>
        <w:pStyle w:val="Amain"/>
      </w:pPr>
      <w:r>
        <w:tab/>
        <w:t>(25)</w:t>
      </w:r>
      <w:r>
        <w:tab/>
        <w:t>The facilities shall include approved permanent safe means of access.</w:t>
      </w:r>
    </w:p>
    <w:p w:rsidR="00AF2508" w:rsidRDefault="00AF2508">
      <w:pPr>
        <w:pStyle w:val="Amain"/>
      </w:pPr>
      <w:r>
        <w:tab/>
        <w:t>(26)</w:t>
      </w:r>
      <w:r>
        <w:tab/>
        <w:t>The circuit breakers of cranes, hoists, scaffolding and plant shall be located at the main driving stations of them, closely adjacent to the controls, and shall be so devised and fixed that the driver may, in emergency, instantly open them.</w:t>
      </w:r>
    </w:p>
    <w:p w:rsidR="00AF2508" w:rsidRDefault="00AF2508">
      <w:pPr>
        <w:pStyle w:val="Amain"/>
      </w:pPr>
      <w:r>
        <w:tab/>
        <w:t>(27)</w:t>
      </w:r>
      <w:r>
        <w:tab/>
        <w:t>Manual circuit breakers shall be so devised that if opened by remote push-button or switch they cannot be manually closed, either momentarily or otherwise, until the remote push-button or switch concerned has been manually reset.</w:t>
      </w:r>
    </w:p>
    <w:p w:rsidR="00AF2508" w:rsidRDefault="00AF2508">
      <w:pPr>
        <w:pStyle w:val="Amain"/>
      </w:pPr>
      <w:r>
        <w:tab/>
        <w:t>(28)</w:t>
      </w:r>
      <w:r>
        <w:tab/>
        <w:t>The principal isolating switch of every electric crane or hoist that travels on elevated tracks shall be a simple manually operated series switch and shall be set closely adjacent to the foot of the ladder or stair that gives access to the crane or hoist.</w:t>
      </w:r>
    </w:p>
    <w:p w:rsidR="00AF2508" w:rsidRDefault="00AF2508">
      <w:pPr>
        <w:pStyle w:val="Amain"/>
      </w:pPr>
      <w:r>
        <w:tab/>
        <w:t>(29)</w:t>
      </w:r>
      <w:r>
        <w:tab/>
        <w:t>If access to the crane or hoist is obtained from an adjacent floor or analogous permanent elevated surface, the switch shall be set closely adjacent to the position at which the driver is to embark and disembark.</w:t>
      </w:r>
    </w:p>
    <w:p w:rsidR="00AF2508" w:rsidRDefault="00AF2508">
      <w:pPr>
        <w:pStyle w:val="Amain"/>
      </w:pPr>
      <w:r>
        <w:tab/>
        <w:t>(30)</w:t>
      </w:r>
      <w:r>
        <w:tab/>
        <w:t>The principal isolating switch shall manually isolate all downshop conductors from the incoming supply of electrical current.</w:t>
      </w:r>
    </w:p>
    <w:p w:rsidR="00AF2508" w:rsidRDefault="00AF2508">
      <w:pPr>
        <w:pStyle w:val="Amain"/>
      </w:pPr>
      <w:r>
        <w:tab/>
        <w:t>(31)</w:t>
      </w:r>
      <w:r>
        <w:tab/>
        <w:t>It shall be plainly marked ‘Crane Switch’ or ‘Hoist Switch’ according to its purpose, and at least 2 square feet of the immediate background behind the switch shall be painted a distinctive bright yellow colour.</w:t>
      </w:r>
    </w:p>
    <w:p w:rsidR="00AF2508" w:rsidRDefault="00AF2508">
      <w:pPr>
        <w:pStyle w:val="Amain"/>
      </w:pPr>
      <w:r>
        <w:tab/>
        <w:t>(32)</w:t>
      </w:r>
      <w:r>
        <w:tab/>
        <w:t>In addition to the isolating switch, emergency push</w:t>
      </w:r>
      <w:r>
        <w:noBreakHyphen/>
        <w:t>buttons or switches shall be set not more than 6 feet above the principal floor or floors served and at such positions that the crane or hoist cannot travel a greater distance than 100 feet from its position when immediately adjacent to the nearest emergency switch.</w:t>
      </w:r>
    </w:p>
    <w:p w:rsidR="00AF2508" w:rsidRDefault="00AF2508">
      <w:pPr>
        <w:pStyle w:val="Amain"/>
        <w:keepLines/>
      </w:pPr>
      <w:r>
        <w:tab/>
        <w:t>(33)</w:t>
      </w:r>
      <w:r>
        <w:tab/>
        <w:t>The emergency switches shall, when operated, isolate all downshop conductors from the incoming supply of electrical current, and shall be so devised that the conductors cannot again be electrified until the emergency switch concerned has been manually reset.</w:t>
      </w:r>
    </w:p>
    <w:p w:rsidR="00AF2508" w:rsidRDefault="00AF2508">
      <w:pPr>
        <w:pStyle w:val="Amain"/>
      </w:pPr>
      <w:r>
        <w:tab/>
        <w:t>(34)</w:t>
      </w:r>
      <w:r>
        <w:tab/>
        <w:t>If the floor served by the crane or hoist is so obstructed that speedy access to all emergency switches is not assured, additional emergency switches shall be fixed so that the distance of travel of the crane or hoist is reduced to 50 feet or to any other distance that the chief inspector may direct.</w:t>
      </w:r>
    </w:p>
    <w:p w:rsidR="00AF2508" w:rsidRDefault="00AF2508">
      <w:pPr>
        <w:pStyle w:val="Amain"/>
      </w:pPr>
      <w:r>
        <w:tab/>
        <w:t>(35)</w:t>
      </w:r>
      <w:r>
        <w:tab/>
        <w:t>The electrical switches and control and protective equipment of each crane, lift, hoist, scaffolding or item of plant shall be clearly and distinctively marked and partitioned off from all other electrical switches and control or protective equipment.</w:t>
      </w:r>
    </w:p>
    <w:p w:rsidR="00AF2508" w:rsidRDefault="00AF2508">
      <w:pPr>
        <w:pStyle w:val="Amain"/>
      </w:pPr>
      <w:r>
        <w:tab/>
        <w:t>(36)</w:t>
      </w:r>
      <w:r>
        <w:tab/>
        <w:t>To avoid interference with access facilities and so that they may be more readily observed by the driver, the downshop conductors supplying electrical energy to any crane or hoist that travels on elevated tracks shall be adjacent to that track that is most remote from the main driving station of the crane or hoist.</w:t>
      </w:r>
    </w:p>
    <w:p w:rsidR="00AF2508" w:rsidRDefault="00AF2508">
      <w:pPr>
        <w:pStyle w:val="Amain"/>
      </w:pPr>
      <w:r>
        <w:tab/>
        <w:t>(37)</w:t>
      </w:r>
      <w:r>
        <w:tab/>
        <w:t>Collectors shall be so devised that downshop or other conductors cannot become displaced from them, and vice versa.</w:t>
      </w:r>
    </w:p>
    <w:p w:rsidR="00AF2508" w:rsidRDefault="00AF2508">
      <w:pPr>
        <w:pStyle w:val="Amain"/>
      </w:pPr>
      <w:r>
        <w:tab/>
        <w:t>(38)</w:t>
      </w:r>
      <w:r>
        <w:tab/>
        <w:t>If static access platforms, other than small platforms provided solely as a means by which persons may embark or disembark, are fixed in connection with any travelling crane, hoist or scaffolding, a simple manually operated series switch shall be provided on the crane, hoist or scaffolding within easy reach of the static platform.</w:t>
      </w:r>
    </w:p>
    <w:p w:rsidR="00AF2508" w:rsidRDefault="00AF2508">
      <w:pPr>
        <w:pStyle w:val="Amain"/>
      </w:pPr>
      <w:r>
        <w:tab/>
        <w:t>(39)</w:t>
      </w:r>
      <w:r>
        <w:tab/>
        <w:t>The switch shall, when opened, isolate the travelling motion of the crane, hoist or scaffolding from the incoming supply of electric current.</w:t>
      </w:r>
    </w:p>
    <w:p w:rsidR="00AF2508" w:rsidRDefault="00AF2508">
      <w:pPr>
        <w:pStyle w:val="Amain"/>
      </w:pPr>
      <w:r>
        <w:tab/>
        <w:t>(40)</w:t>
      </w:r>
      <w:r>
        <w:tab/>
        <w:t>Slots provided in floors, platforms, wharf deckings, or analogous surfaces or in other readily accessible places for electrical collectors of travelling cranes or hoists shall not exceed 1</w:t>
      </w:r>
      <w:r>
        <w:rPr>
          <w:position w:val="6"/>
          <w:sz w:val="18"/>
        </w:rPr>
        <w:t>1</w:t>
      </w:r>
      <w:r>
        <w:t>/</w:t>
      </w:r>
      <w:r>
        <w:rPr>
          <w:sz w:val="18"/>
        </w:rPr>
        <w:t>2</w:t>
      </w:r>
      <w:r>
        <w:t xml:space="preserve"> inches in width.</w:t>
      </w:r>
    </w:p>
    <w:p w:rsidR="00AF2508" w:rsidRDefault="00AF2508">
      <w:pPr>
        <w:pStyle w:val="Amain"/>
      </w:pPr>
      <w:r>
        <w:tab/>
        <w:t>(41)</w:t>
      </w:r>
      <w:r>
        <w:tab/>
        <w:t>The bare conductors under them, or adjacent to them, shall be so placed that they are at least 1</w:t>
      </w:r>
      <w:r>
        <w:rPr>
          <w:position w:val="6"/>
          <w:sz w:val="18"/>
        </w:rPr>
        <w:t>1</w:t>
      </w:r>
      <w:r>
        <w:t>/</w:t>
      </w:r>
      <w:r>
        <w:rPr>
          <w:sz w:val="18"/>
        </w:rPr>
        <w:t>2</w:t>
      </w:r>
      <w:r>
        <w:t xml:space="preserve"> inches clear of any straight rod that may be inserted through the slot.</w:t>
      </w:r>
    </w:p>
    <w:p w:rsidR="00AF2508" w:rsidRDefault="00AF2508">
      <w:pPr>
        <w:pStyle w:val="Amain"/>
      </w:pPr>
      <w:r>
        <w:tab/>
        <w:t>(42)</w:t>
      </w:r>
      <w:r>
        <w:tab/>
        <w:t>Control pendants of electric cranes and hoists shall be so devised and arranged that the person operating them is able to conveniently stand at least 6 feet from the suspended load.</w:t>
      </w:r>
    </w:p>
    <w:p w:rsidR="00AF2508" w:rsidRDefault="00AF2508">
      <w:pPr>
        <w:pStyle w:val="Amain"/>
      </w:pPr>
      <w:r>
        <w:tab/>
        <w:t>(43)</w:t>
      </w:r>
      <w:r>
        <w:tab/>
        <w:t>Markers or yokes suspended on pendant cords shall be of a type and fixed at a height that they will not injure persons who may collide with or be struck by them.</w:t>
      </w:r>
    </w:p>
    <w:p w:rsidR="00AF2508" w:rsidRDefault="00AF2508">
      <w:pPr>
        <w:pStyle w:val="Amain"/>
      </w:pPr>
      <w:r>
        <w:tab/>
        <w:t>(44)</w:t>
      </w:r>
      <w:r>
        <w:tab/>
        <w:t>Downshop and other bare conductors may be supported by and on approved single insulators.</w:t>
      </w:r>
    </w:p>
    <w:p w:rsidR="00AF2508" w:rsidRDefault="00AF2508">
      <w:pPr>
        <w:pStyle w:val="Amain"/>
      </w:pPr>
      <w:r>
        <w:tab/>
        <w:t>(45)</w:t>
      </w:r>
      <w:r>
        <w:tab/>
        <w:t>End straining or tensioning screws shall not be locked or otherwise rigidly attached to their supports, but shall be free to align themselves with the conductors.</w:t>
      </w:r>
    </w:p>
    <w:p w:rsidR="00AF2508" w:rsidRDefault="00AF2508">
      <w:pPr>
        <w:pStyle w:val="Amain"/>
      </w:pPr>
      <w:r>
        <w:tab/>
        <w:t>(46)</w:t>
      </w:r>
      <w:r>
        <w:tab/>
        <w:t>Locknuts, or other locking devices shall be employed but in a way that will permit such freedom.</w:t>
      </w:r>
    </w:p>
    <w:p w:rsidR="00AF2508" w:rsidRDefault="00AF2508">
      <w:pPr>
        <w:pStyle w:val="Amain"/>
        <w:keepLines/>
      </w:pPr>
      <w:r>
        <w:tab/>
        <w:t>(47)</w:t>
      </w:r>
      <w:r>
        <w:tab/>
        <w:t>If collector wires or conductors of an overhead traveller crane are on a bridge platform of them, the ends and other points of entry to the platform shall be fenced with approved gates, each bearing an approved warning notice.</w:t>
      </w:r>
    </w:p>
    <w:p w:rsidR="00AF2508" w:rsidRDefault="00AF2508">
      <w:pPr>
        <w:pStyle w:val="Amain"/>
      </w:pPr>
      <w:r>
        <w:tab/>
        <w:t>(48)</w:t>
      </w:r>
      <w:r>
        <w:tab/>
        <w:t>Unless an approved safety fence is erected on the platform, no other equipment, mechanism or apparatus that may require inspection or attention shall be placed on the platform on which collector wires or conductors are located.</w:t>
      </w:r>
    </w:p>
    <w:p w:rsidR="00AF2508" w:rsidRDefault="00AF2508">
      <w:pPr>
        <w:pStyle w:val="Amain"/>
        <w:keepLines/>
      </w:pPr>
      <w:r>
        <w:tab/>
        <w:t>(49)</w:t>
      </w:r>
      <w:r>
        <w:tab/>
        <w:t>Electrical switch or control or protective gear shall not be placed on the bridge platforms of overhead traveller cranes or of gallows or gantry cranes unless the approval of the chief inspector has first been obtained.</w:t>
      </w:r>
    </w:p>
    <w:p w:rsidR="00AF2508" w:rsidRDefault="00AF2508">
      <w:pPr>
        <w:pStyle w:val="Amain"/>
      </w:pPr>
      <w:r>
        <w:tab/>
        <w:t>(50)</w:t>
      </w:r>
      <w:r>
        <w:tab/>
        <w:t>Switches and controllers actuated by pendants shall be so devised and constructed that in the event of 1 pendant becoming detached, the weight of the other will not prevent the switch or controller returning to the neutral or open position.</w:t>
      </w:r>
    </w:p>
    <w:p w:rsidR="00AF2508" w:rsidRDefault="00AF2508">
      <w:pPr>
        <w:pStyle w:val="Amain"/>
      </w:pPr>
      <w:r>
        <w:tab/>
        <w:t>(51)</w:t>
      </w:r>
      <w:r>
        <w:tab/>
        <w:t>Pendant controls shall not be employed if they may foul or become otherwise jammed or entangled in any obstruction.</w:t>
      </w:r>
    </w:p>
    <w:p w:rsidR="00AF2508" w:rsidRDefault="00AF2508">
      <w:pPr>
        <w:pStyle w:val="Amain"/>
      </w:pPr>
      <w:r>
        <w:tab/>
        <w:t>(52)</w:t>
      </w:r>
      <w:r>
        <w:tab/>
        <w:t>Electric lights and the conductors supplying them with current shall not if used within reach in excavation work, or in earthed situations, be at a higher potential than 32V alternating current or 50V direct current above earth or the earthed situation.</w:t>
      </w:r>
    </w:p>
    <w:p w:rsidR="00AF2508" w:rsidRDefault="00AF2508">
      <w:pPr>
        <w:pStyle w:val="Amain"/>
      </w:pPr>
      <w:r>
        <w:tab/>
        <w:t>(53)</w:t>
      </w:r>
      <w:r>
        <w:tab/>
        <w:t>However, subsection (52) shall not apply if the conductors are in metal conduit and the lights fixed permanently in position.</w:t>
      </w:r>
    </w:p>
    <w:p w:rsidR="00AF2508" w:rsidRDefault="00AF2508">
      <w:pPr>
        <w:pStyle w:val="Amain"/>
      </w:pPr>
      <w:r>
        <w:tab/>
        <w:t>(54)</w:t>
      </w:r>
      <w:r>
        <w:tab/>
        <w:t>Electrified conductors used in building, excavation or compressed air works shall be fixed overhead and if practicable out of reach.</w:t>
      </w:r>
    </w:p>
    <w:p w:rsidR="00AF2508" w:rsidRDefault="00AF2508">
      <w:pPr>
        <w:pStyle w:val="Amain"/>
      </w:pPr>
      <w:r>
        <w:tab/>
        <w:t>(55)</w:t>
      </w:r>
      <w:r>
        <w:tab/>
        <w:t>If within reach, they shall be in metal or approved rubber conduit.</w:t>
      </w:r>
    </w:p>
    <w:p w:rsidR="00AF2508" w:rsidRDefault="00AF2508">
      <w:pPr>
        <w:pStyle w:val="Amain"/>
      </w:pPr>
      <w:r>
        <w:tab/>
        <w:t>(56)</w:t>
      </w:r>
      <w:r>
        <w:tab/>
        <w:t>If it is necessary to lay conductors on or closely adjacent to floors, they shall be in metal conduit.</w:t>
      </w:r>
    </w:p>
    <w:p w:rsidR="00AF2508" w:rsidRDefault="00AF2508">
      <w:pPr>
        <w:pStyle w:val="Amain"/>
      </w:pPr>
      <w:r>
        <w:tab/>
        <w:t>(57)</w:t>
      </w:r>
      <w:r>
        <w:tab/>
        <w:t>Rubber conduit shall in such case be used only in approved circumstances if damage is not to be expected.</w:t>
      </w:r>
    </w:p>
    <w:p w:rsidR="00AF2508" w:rsidRDefault="00AF2508">
      <w:pPr>
        <w:pStyle w:val="Amain"/>
      </w:pPr>
      <w:r>
        <w:tab/>
        <w:t>(58)</w:t>
      </w:r>
      <w:r>
        <w:tab/>
        <w:t>Subsection (54) to (57) shall not prevent the use of approved flexible cords for portable lights, tools and portable plant provided the conductors are of the least reasonable working length that can be used.</w:t>
      </w:r>
    </w:p>
    <w:p w:rsidR="00AF2508" w:rsidRDefault="00AF2508">
      <w:pPr>
        <w:pStyle w:val="Amain"/>
        <w:keepLines/>
      </w:pPr>
      <w:r>
        <w:tab/>
        <w:t>(59)</w:t>
      </w:r>
      <w:r>
        <w:tab/>
        <w:t>Electrified bare conductors, fittings or apparatus shall not be within reach of windows, openings or edges of floors of other working surfaces at building, demolition, excavation or compressed air works.</w:t>
      </w:r>
    </w:p>
    <w:p w:rsidR="00AF2508" w:rsidRDefault="00AF2508">
      <w:pPr>
        <w:pStyle w:val="Amain"/>
      </w:pPr>
      <w:r>
        <w:tab/>
        <w:t>(60)</w:t>
      </w:r>
      <w:r>
        <w:tab/>
        <w:t>Electrified conductors, fittings and apparatus under wharves shall be effectively fenced for the protection of persons in boats or climbing under the wharves.</w:t>
      </w:r>
    </w:p>
    <w:p w:rsidR="00AF2508" w:rsidRDefault="00AF2508">
      <w:pPr>
        <w:pStyle w:val="Amain"/>
      </w:pPr>
      <w:r>
        <w:tab/>
        <w:t>(61)</w:t>
      </w:r>
      <w:r>
        <w:tab/>
        <w:t>Electrified conductors and apparatus shall at all times be at least 6 feet clear of vessels containing gas under pressure.</w:t>
      </w:r>
    </w:p>
    <w:p w:rsidR="00AF2508" w:rsidRDefault="00AF2508">
      <w:pPr>
        <w:pStyle w:val="AH4SubDiv"/>
      </w:pPr>
      <w:bookmarkStart w:id="272" w:name="_Toc161636904"/>
      <w:r>
        <w:t>Stiff-leg derrick cranes</w:t>
      </w:r>
      <w:bookmarkEnd w:id="272"/>
    </w:p>
    <w:p w:rsidR="00AF2508" w:rsidRDefault="00AF2508">
      <w:pPr>
        <w:pStyle w:val="AH5Sec"/>
      </w:pPr>
      <w:bookmarkStart w:id="273" w:name="_Toc161636905"/>
      <w:r>
        <w:rPr>
          <w:rStyle w:val="CharSectNo"/>
        </w:rPr>
        <w:t>134</w:t>
      </w:r>
      <w:bookmarkEnd w:id="273"/>
      <w:r>
        <w:tab/>
        <w:t xml:space="preserve">  </w:t>
      </w:r>
    </w:p>
    <w:p w:rsidR="00AF2508" w:rsidRDefault="00AF2508">
      <w:pPr>
        <w:pStyle w:val="Amain"/>
      </w:pPr>
      <w:r>
        <w:tab/>
        <w:t>(1)</w:t>
      </w:r>
      <w:r>
        <w:tab/>
        <w:t>The main members of a stiff-leg derrick crane shall be considered to be on its left-hand side if they are to the left of a vertical plane extending through the top and bottom pivots, and passing through a point halfway along a line joining the 2 backstay foot anchorages, the direction of vision being from the last mentioned point towards the pivots.</w:t>
      </w:r>
    </w:p>
    <w:p w:rsidR="00AF2508" w:rsidRDefault="00AF2508">
      <w:pPr>
        <w:pStyle w:val="Amain"/>
      </w:pPr>
      <w:r>
        <w:tab/>
        <w:t>(2)</w:t>
      </w:r>
      <w:r>
        <w:tab/>
        <w:t>In determining which members or parts are on the left, and which on the right-hand side, the jib shall be deemed to be in the plane so defined.</w:t>
      </w:r>
    </w:p>
    <w:p w:rsidR="00AF2508" w:rsidRDefault="00AF2508">
      <w:pPr>
        <w:pStyle w:val="Amain"/>
      </w:pPr>
      <w:r>
        <w:tab/>
        <w:t>(3)</w:t>
      </w:r>
      <w:r>
        <w:tab/>
        <w:t>If 1 backstay of a crane is shorter in length than the other, the shorter stay shall be on the left-hand side of the crane.</w:t>
      </w:r>
    </w:p>
    <w:p w:rsidR="00AF2508" w:rsidRDefault="00AF2508">
      <w:pPr>
        <w:pStyle w:val="Amain"/>
      </w:pPr>
      <w:r>
        <w:tab/>
        <w:t>(4)</w:t>
      </w:r>
      <w:r>
        <w:tab/>
        <w:t>Jibhead bridles shall be of approved fabricated construction or of flexible steel wire rope having in each part or single not less than 6 strands, each containing not less than 19 wires.</w:t>
      </w:r>
    </w:p>
    <w:p w:rsidR="00AF2508" w:rsidRDefault="00AF2508">
      <w:pPr>
        <w:pStyle w:val="Amain"/>
      </w:pPr>
      <w:r>
        <w:tab/>
        <w:t>(5)</w:t>
      </w:r>
      <w:r>
        <w:tab/>
        <w:t>Approved connections shall be made between rope bridles and jibhead pins.</w:t>
      </w:r>
    </w:p>
    <w:p w:rsidR="00AF2508" w:rsidRDefault="00AF2508">
      <w:pPr>
        <w:pStyle w:val="Amain"/>
      </w:pPr>
      <w:r>
        <w:tab/>
        <w:t>(6)</w:t>
      </w:r>
      <w:r>
        <w:tab/>
        <w:t>If any rope is in more than 1 part or single, the loads in the respective parts or singles shall be effectively equalised.</w:t>
      </w:r>
    </w:p>
    <w:p w:rsidR="00AF2508" w:rsidRDefault="00AF2508">
      <w:pPr>
        <w:pStyle w:val="Amain"/>
      </w:pPr>
      <w:r>
        <w:tab/>
        <w:t>(7)</w:t>
      </w:r>
      <w:r>
        <w:tab/>
        <w:t>Ropes and their sheaves and bridles shall be so devised and constructed that they do not foul the crane members or parts, or any obstructions, particularly during slewing or luffing.</w:t>
      </w:r>
    </w:p>
    <w:p w:rsidR="00AF2508" w:rsidRDefault="00AF2508">
      <w:pPr>
        <w:pStyle w:val="Amain"/>
      </w:pPr>
      <w:r>
        <w:tab/>
        <w:t>(8)</w:t>
      </w:r>
      <w:r>
        <w:tab/>
        <w:t>The mast bridle collar shall be bolted through the top pivot by means of a tight-fitting bolt.</w:t>
      </w:r>
    </w:p>
    <w:p w:rsidR="00AF2508" w:rsidRDefault="00AF2508">
      <w:pPr>
        <w:pStyle w:val="Amain"/>
      </w:pPr>
      <w:r>
        <w:tab/>
        <w:t>(9)</w:t>
      </w:r>
      <w:r>
        <w:tab/>
        <w:t>The nut of the bolt shall be secured by a split pin.</w:t>
      </w:r>
    </w:p>
    <w:p w:rsidR="00AF2508" w:rsidRDefault="00AF2508">
      <w:pPr>
        <w:pStyle w:val="Amain"/>
      </w:pPr>
      <w:r>
        <w:tab/>
        <w:t>(10)</w:t>
      </w:r>
      <w:r>
        <w:tab/>
        <w:t>All other collars on the top pivot shall be secured in the same way as the mast bridle collar.</w:t>
      </w:r>
    </w:p>
    <w:p w:rsidR="00AF2508" w:rsidRDefault="00AF2508">
      <w:pPr>
        <w:pStyle w:val="Amain"/>
      </w:pPr>
      <w:r>
        <w:tab/>
        <w:t>(11)</w:t>
      </w:r>
      <w:r>
        <w:tab/>
        <w:t>The maximum total ‘slack’, or combined longitudinal take-up clearance, of all members encircling the top pivot shall not exceed </w:t>
      </w:r>
      <w:r>
        <w:rPr>
          <w:position w:val="6"/>
          <w:sz w:val="18"/>
        </w:rPr>
        <w:t>1</w:t>
      </w:r>
      <w:r>
        <w:t>/</w:t>
      </w:r>
      <w:r>
        <w:rPr>
          <w:sz w:val="18"/>
        </w:rPr>
        <w:t>16</w:t>
      </w:r>
      <w:r>
        <w:t xml:space="preserve"> of an inch.</w:t>
      </w:r>
    </w:p>
    <w:p w:rsidR="00AF2508" w:rsidRDefault="00AF2508">
      <w:pPr>
        <w:pStyle w:val="Amain"/>
      </w:pPr>
      <w:r>
        <w:tab/>
        <w:t>(12)</w:t>
      </w:r>
      <w:r>
        <w:tab/>
        <w:t xml:space="preserve">The total diametral clearance of any gland on the top pivot or on any sleeper pin, or of any member on an anchorage pin, shall not exceed when worn </w:t>
      </w:r>
      <w:r>
        <w:rPr>
          <w:position w:val="6"/>
          <w:sz w:val="18"/>
        </w:rPr>
        <w:t>1.5</w:t>
      </w:r>
      <w:r>
        <w:t>/</w:t>
      </w:r>
      <w:r>
        <w:rPr>
          <w:sz w:val="18"/>
        </w:rPr>
        <w:t>10</w:t>
      </w:r>
      <w:r>
        <w:t xml:space="preserve"> of an inch.</w:t>
      </w:r>
    </w:p>
    <w:p w:rsidR="00AF2508" w:rsidRDefault="00AF2508">
      <w:pPr>
        <w:pStyle w:val="Amain"/>
      </w:pPr>
      <w:r>
        <w:tab/>
        <w:t>(13)</w:t>
      </w:r>
      <w:r>
        <w:tab/>
        <w:t>Bolts, or pins with nuts, shall be used to secure bridles, and backstays to top pivot fittings.</w:t>
      </w:r>
    </w:p>
    <w:p w:rsidR="00AF2508" w:rsidRDefault="00AF2508">
      <w:pPr>
        <w:pStyle w:val="Amain"/>
      </w:pPr>
      <w:r>
        <w:tab/>
        <w:t>(14)</w:t>
      </w:r>
      <w:r>
        <w:tab/>
      </w:r>
      <w:r>
        <w:tab/>
        <w:t>The nuts shall be secured with split pins.</w:t>
      </w:r>
    </w:p>
    <w:p w:rsidR="00AF2508" w:rsidRDefault="00AF2508">
      <w:pPr>
        <w:pStyle w:val="Amain"/>
      </w:pPr>
      <w:r>
        <w:tab/>
        <w:t>(15)</w:t>
      </w:r>
      <w:r>
        <w:tab/>
        <w:t>Unless secured by approved locking plates, the pins of all sheaves shall be secured by nuts having split pins.</w:t>
      </w:r>
    </w:p>
    <w:p w:rsidR="00AF2508" w:rsidRDefault="00AF2508">
      <w:pPr>
        <w:pStyle w:val="Amain"/>
      </w:pPr>
      <w:r>
        <w:tab/>
        <w:t>(16)</w:t>
      </w:r>
      <w:r>
        <w:tab/>
        <w:t>Pins securing bottom glands to sleepers or to foundations shall have nuts secured by split pins.</w:t>
      </w:r>
    </w:p>
    <w:p w:rsidR="00AF2508" w:rsidRDefault="00AF2508">
      <w:pPr>
        <w:pStyle w:val="Amain"/>
      </w:pPr>
      <w:r>
        <w:tab/>
        <w:t>(17)</w:t>
      </w:r>
      <w:r>
        <w:tab/>
        <w:t>Race pinions, and their shafts, shall be secured by keep plates in addition to keys or splines.</w:t>
      </w:r>
    </w:p>
    <w:p w:rsidR="00AF2508" w:rsidRDefault="00AF2508">
      <w:pPr>
        <w:pStyle w:val="Amain"/>
      </w:pPr>
      <w:r>
        <w:tab/>
        <w:t>(18)</w:t>
      </w:r>
      <w:r>
        <w:tab/>
        <w:t>Keys or feathers shall not be used in connection with sliding pinions or sliding clutches, unless the keys or feathers are formed as an integral part of, and in 1 piece with, the shaft.</w:t>
      </w:r>
    </w:p>
    <w:p w:rsidR="00AF2508" w:rsidRDefault="00AF2508">
      <w:pPr>
        <w:pStyle w:val="Amain"/>
      </w:pPr>
      <w:r>
        <w:tab/>
        <w:t>(19)</w:t>
      </w:r>
      <w:r>
        <w:tab/>
        <w:t>The soleplates of all derrick cranes shall be effectively fastened down to prevent uplifting.</w:t>
      </w:r>
    </w:p>
    <w:p w:rsidR="00AF2508" w:rsidRDefault="00AF2508">
      <w:pPr>
        <w:pStyle w:val="Amain"/>
      </w:pPr>
      <w:r>
        <w:tab/>
        <w:t>(20)</w:t>
      </w:r>
      <w:r>
        <w:tab/>
        <w:t>Effective positive devices shall be employed to prevent all masts from lifting from their bottom pivots.</w:t>
      </w:r>
    </w:p>
    <w:p w:rsidR="00AF2508" w:rsidRDefault="00AF2508">
      <w:pPr>
        <w:pStyle w:val="Amain"/>
      </w:pPr>
      <w:r>
        <w:tab/>
        <w:t>(21)</w:t>
      </w:r>
      <w:r>
        <w:tab/>
        <w:t>Topmost ends of backstay timbers shall have metal weatherings to exclude moisture.</w:t>
      </w:r>
    </w:p>
    <w:p w:rsidR="00AF2508" w:rsidRDefault="00AF2508">
      <w:pPr>
        <w:pStyle w:val="Amain"/>
      </w:pPr>
      <w:r>
        <w:tab/>
        <w:t>(22)</w:t>
      </w:r>
      <w:r>
        <w:tab/>
        <w:t>Regular inspections shall be made of all members, components, parts and attachments of derrick cranes that shall at all times be kept in good order and condition.</w:t>
      </w:r>
    </w:p>
    <w:p w:rsidR="00AF2508" w:rsidRDefault="00AF2508">
      <w:pPr>
        <w:pStyle w:val="Amain"/>
      </w:pPr>
      <w:r>
        <w:tab/>
        <w:t>(23)</w:t>
      </w:r>
      <w:r>
        <w:tab/>
        <w:t>Particular attention must be given to connections and fastenings, especially if members are of timber.</w:t>
      </w:r>
    </w:p>
    <w:p w:rsidR="00AF2508" w:rsidRDefault="00AF2508">
      <w:pPr>
        <w:pStyle w:val="Amain"/>
      </w:pPr>
      <w:r>
        <w:tab/>
        <w:t>(24)</w:t>
      </w:r>
      <w:r>
        <w:tab/>
        <w:t>In addition to any moving flexible earthing conductor that may be used, electric derrick cranes shall be effectively earthed from the soleplate or other static part of the framework.</w:t>
      </w:r>
    </w:p>
    <w:p w:rsidR="00AF2508" w:rsidRDefault="00AF2508">
      <w:pPr>
        <w:pStyle w:val="Amain"/>
      </w:pPr>
      <w:r>
        <w:tab/>
        <w:t>(25)</w:t>
      </w:r>
      <w:r>
        <w:tab/>
        <w:t>The racewheels and pinions and other parts of the slewing mechanisms shall be kept in such adjustment that lost motion at the jibhead shall not exceed a total of 2 feet, measured horizontally.</w:t>
      </w:r>
    </w:p>
    <w:p w:rsidR="00AF2508" w:rsidRDefault="00AF2508">
      <w:pPr>
        <w:pStyle w:val="Amain"/>
      </w:pPr>
      <w:r>
        <w:tab/>
        <w:t>(26)</w:t>
      </w:r>
      <w:r>
        <w:tab/>
        <w:t>The controls of derrick cranes shall be grouped conveniently at the left-hand side of the main driving station, and the station shall be so devised and constructed that while at the controls the driver has a good view of the load.</w:t>
      </w:r>
    </w:p>
    <w:p w:rsidR="00AF2508" w:rsidRDefault="00AF2508">
      <w:pPr>
        <w:pStyle w:val="Amain"/>
      </w:pPr>
      <w:r>
        <w:tab/>
        <w:t>(27)</w:t>
      </w:r>
      <w:r>
        <w:tab/>
        <w:t>The counterbalance weights of derrick cranes shall be so devised, constructed and attached that they do not subject the backstays or sleepers or pivots to bending actions.</w:t>
      </w:r>
    </w:p>
    <w:p w:rsidR="00AF2508" w:rsidRDefault="00AF2508">
      <w:pPr>
        <w:pStyle w:val="Amain"/>
      </w:pPr>
      <w:r>
        <w:tab/>
        <w:t>(28)</w:t>
      </w:r>
      <w:r>
        <w:tab/>
        <w:t>If the sleepers or backstays of a derrick crane are lashed down, the lashings shall be of a type that may be readily tightened by shortening from time to time without the use of wedges.</w:t>
      </w:r>
    </w:p>
    <w:p w:rsidR="00AF2508" w:rsidRDefault="00AF2508">
      <w:pPr>
        <w:pStyle w:val="Amain"/>
      </w:pPr>
      <w:r>
        <w:tab/>
        <w:t>(29)</w:t>
      </w:r>
      <w:r>
        <w:tab/>
        <w:t>Packings greater in thickness than 3 inches shall not be used under cranes depending on lashings, unless approved.</w:t>
      </w:r>
    </w:p>
    <w:p w:rsidR="00AF2508" w:rsidRDefault="00AF2508">
      <w:pPr>
        <w:pStyle w:val="Amain"/>
      </w:pPr>
      <w:r>
        <w:tab/>
        <w:t>(30)</w:t>
      </w:r>
      <w:r>
        <w:tab/>
        <w:t>If derrick cranes are mounted on trucks or bogies, a rigid spar, or other rigid member, shall be secured between the 2 backstay foot trucks or bogies to ensure their correct spacing and relationship.</w:t>
      </w:r>
    </w:p>
    <w:p w:rsidR="00AF2508" w:rsidRDefault="00AF2508">
      <w:pPr>
        <w:pStyle w:val="Amain"/>
      </w:pPr>
      <w:r>
        <w:tab/>
        <w:t>(31)</w:t>
      </w:r>
      <w:r>
        <w:tab/>
        <w:t>Permanent blockings shall be fixed under each truck or bogie, to ensure that in the event of its derailment or axle failure, the crane members will not descend or fall more than 1</w:t>
      </w:r>
      <w:r>
        <w:rPr>
          <w:position w:val="6"/>
          <w:sz w:val="18"/>
        </w:rPr>
        <w:t>1</w:t>
      </w:r>
      <w:r>
        <w:t>/</w:t>
      </w:r>
      <w:r>
        <w:rPr>
          <w:sz w:val="18"/>
        </w:rPr>
        <w:t>2</w:t>
      </w:r>
      <w:r>
        <w:t xml:space="preserve"> inches.</w:t>
      </w:r>
    </w:p>
    <w:p w:rsidR="00AF2508" w:rsidRDefault="00AF2508">
      <w:pPr>
        <w:pStyle w:val="AH4SubDiv"/>
      </w:pPr>
      <w:bookmarkStart w:id="274" w:name="_Toc161636906"/>
      <w:r>
        <w:t>Caterpillar cranes and mobile cranes</w:t>
      </w:r>
      <w:bookmarkEnd w:id="274"/>
    </w:p>
    <w:p w:rsidR="00AF2508" w:rsidRDefault="00AF2508">
      <w:pPr>
        <w:pStyle w:val="AH5Sec"/>
      </w:pPr>
      <w:bookmarkStart w:id="275" w:name="_Toc161636907"/>
      <w:r>
        <w:rPr>
          <w:rStyle w:val="CharSectNo"/>
        </w:rPr>
        <w:t>135</w:t>
      </w:r>
      <w:bookmarkEnd w:id="275"/>
      <w:r>
        <w:tab/>
        <w:t xml:space="preserve">  </w:t>
      </w:r>
    </w:p>
    <w:p w:rsidR="00AF2508" w:rsidRDefault="00AF2508">
      <w:pPr>
        <w:pStyle w:val="Amain"/>
      </w:pPr>
      <w:r>
        <w:tab/>
        <w:t>(1)</w:t>
      </w:r>
      <w:r>
        <w:tab/>
        <w:t>Subject to subsections (3) and (4), if the jib is of the cantilevered type an approved limiting device shall be provided by which overluffing is prevented, and by which, in addition, the jib is prevented from being lowered on the lifting hook or block or analogous medium, or the hook, block or medium from being wound into contact with the jib.</w:t>
      </w:r>
    </w:p>
    <w:p w:rsidR="00AF2508" w:rsidRDefault="00AF2508">
      <w:pPr>
        <w:pStyle w:val="Amain"/>
      </w:pPr>
      <w:r>
        <w:tab/>
        <w:t>(2)</w:t>
      </w:r>
      <w:r>
        <w:tab/>
        <w:t>The limiting device shall be effective and shall be constantly maintained in good working order and condition.</w:t>
      </w:r>
    </w:p>
    <w:p w:rsidR="00AF2508" w:rsidRDefault="00AF2508">
      <w:pPr>
        <w:pStyle w:val="Amain"/>
      </w:pPr>
      <w:r>
        <w:tab/>
        <w:t>(3)</w:t>
      </w:r>
      <w:r>
        <w:tab/>
        <w:t>If the chief inspector so directs, or if it is advisable not to equip any caterpillar or mobile crane with the limiting devices mentioned in subsection (1), or those prescribed by section 127 (131) to (135), the crane shall instead of it be equipped with approved devices by which the loads in the crane ropes or other hoisting or luffing media shall be effectively limited in magnitude to an approved amount.</w:t>
      </w:r>
    </w:p>
    <w:p w:rsidR="00AF2508" w:rsidRDefault="00AF2508">
      <w:pPr>
        <w:pStyle w:val="Amain"/>
      </w:pPr>
      <w:r>
        <w:tab/>
        <w:t>(4)</w:t>
      </w:r>
      <w:r>
        <w:tab/>
        <w:t>Alternatively, the crane shall be so designed and constructed that the loads will be automatically limited as previously mentioned.</w:t>
      </w:r>
    </w:p>
    <w:p w:rsidR="00AF2508" w:rsidRDefault="00AF2508">
      <w:pPr>
        <w:pStyle w:val="Amain"/>
      </w:pPr>
      <w:r>
        <w:tab/>
        <w:t>(5)</w:t>
      </w:r>
      <w:r>
        <w:tab/>
        <w:t>Hydraulic or fluid pressure rams used in connection with hoisting or luffing shall have at their fluid outlet connection a restricting or throttling device that will, in the event of breakage of the pipe conveying fluid, effectively prevent the load, or the jibhead from descending at a greater speed than 100 feet per minute.</w:t>
      </w:r>
    </w:p>
    <w:p w:rsidR="00AF2508" w:rsidRDefault="00AF2508">
      <w:pPr>
        <w:pStyle w:val="Amain"/>
      </w:pPr>
      <w:r>
        <w:tab/>
        <w:t>(6)</w:t>
      </w:r>
      <w:r>
        <w:tab/>
        <w:t>Correctly prepared blocks or approved stops shall be provided by which the elastic action of the road wheel springs may be restricted or eliminated if desirable.</w:t>
      </w:r>
    </w:p>
    <w:p w:rsidR="00AF2508" w:rsidRDefault="00AF2508">
      <w:pPr>
        <w:pStyle w:val="Amain"/>
      </w:pPr>
      <w:r>
        <w:tab/>
        <w:t>(7)</w:t>
      </w:r>
      <w:r>
        <w:tab/>
        <w:t>If necessary or advisable, jacks shall be provided for adjusting the crane chassis to level the jib hinges.</w:t>
      </w:r>
    </w:p>
    <w:p w:rsidR="00AF2508" w:rsidRDefault="00AF2508">
      <w:pPr>
        <w:pStyle w:val="Amain"/>
      </w:pPr>
      <w:r>
        <w:tab/>
        <w:t>(8)</w:t>
      </w:r>
      <w:r>
        <w:tab/>
        <w:t>The jacks shall be complete with all auxiliary equipment necessary or advisable for their safe and effective operation.</w:t>
      </w:r>
    </w:p>
    <w:p w:rsidR="00AF2508" w:rsidRDefault="00AF2508">
      <w:pPr>
        <w:pStyle w:val="Amain"/>
      </w:pPr>
      <w:r>
        <w:tab/>
        <w:t>(9)</w:t>
      </w:r>
      <w:r>
        <w:tab/>
        <w:t>Jacks shall be so devised and constructed that they will strongly resist lateral and longitudinal movements of the crane.</w:t>
      </w:r>
    </w:p>
    <w:p w:rsidR="00AF2508" w:rsidRDefault="00AF2508">
      <w:pPr>
        <w:pStyle w:val="Amain"/>
      </w:pPr>
      <w:r>
        <w:tab/>
        <w:t>(10)</w:t>
      </w:r>
      <w:r>
        <w:tab/>
        <w:t>Each jack shall incorporate a dynamically irreversible screw thread adjustment as to length and shall have a foot of sufficient area and strength to ensure against settlement into ordinary dry soil surfaces.</w:t>
      </w:r>
    </w:p>
    <w:p w:rsidR="00AF2508" w:rsidRDefault="00AF2508">
      <w:pPr>
        <w:pStyle w:val="Amain"/>
      </w:pPr>
      <w:r>
        <w:tab/>
        <w:t>(11)</w:t>
      </w:r>
      <w:r>
        <w:tab/>
        <w:t>A low arm or rail shall be provided at the off side of the driver’s seat to prevent the driver sliding under the crane or losing control should it tilt or overturn laterally.</w:t>
      </w:r>
    </w:p>
    <w:p w:rsidR="00AF2508" w:rsidRDefault="00AF2508">
      <w:pPr>
        <w:pStyle w:val="Amain"/>
      </w:pPr>
      <w:r>
        <w:tab/>
        <w:t>(12)</w:t>
      </w:r>
      <w:r>
        <w:tab/>
        <w:t>If the driver operates the crane from a position in which the driver might be injured by the jib, derrick or load, should either fall or rebound, an approved structure shall be provided for the driver’s protection.</w:t>
      </w:r>
    </w:p>
    <w:p w:rsidR="00AF2508" w:rsidRDefault="00AF2508">
      <w:pPr>
        <w:pStyle w:val="AH3Div"/>
      </w:pPr>
      <w:bookmarkStart w:id="276" w:name="_Toc161636908"/>
      <w:r>
        <w:t>Gravity operated overwinding limit devices</w:t>
      </w:r>
      <w:bookmarkEnd w:id="276"/>
    </w:p>
    <w:p w:rsidR="00AF2508" w:rsidRDefault="00AF2508">
      <w:pPr>
        <w:pStyle w:val="AH4SubDiv"/>
      </w:pPr>
      <w:bookmarkStart w:id="277" w:name="_Toc161636909"/>
      <w:r>
        <w:t>Electrical</w:t>
      </w:r>
      <w:bookmarkEnd w:id="277"/>
    </w:p>
    <w:p w:rsidR="00AF2508" w:rsidRDefault="00AF2508">
      <w:pPr>
        <w:pStyle w:val="AH5Sec"/>
      </w:pPr>
      <w:bookmarkStart w:id="278" w:name="_Toc161636910"/>
      <w:r>
        <w:rPr>
          <w:rStyle w:val="CharSectNo"/>
        </w:rPr>
        <w:t>136</w:t>
      </w:r>
      <w:bookmarkEnd w:id="278"/>
      <w:r>
        <w:tab/>
        <w:t xml:space="preserve">  </w:t>
      </w:r>
    </w:p>
    <w:p w:rsidR="00AF2508" w:rsidRDefault="00AF2508">
      <w:pPr>
        <w:pStyle w:val="Amain"/>
      </w:pPr>
      <w:r>
        <w:tab/>
        <w:t>(1)</w:t>
      </w:r>
      <w:r>
        <w:tab/>
        <w:t>A gravity operated limit device consists of an electric switch opened by a weight attached directly or indirectly to a crank, drum, sheave or quadrant controlling the switch spindle.</w:t>
      </w:r>
    </w:p>
    <w:p w:rsidR="00AF2508" w:rsidRDefault="00AF2508">
      <w:pPr>
        <w:pStyle w:val="Amain"/>
        <w:keepLines/>
      </w:pPr>
      <w:r>
        <w:tab/>
        <w:t>(2)</w:t>
      </w:r>
      <w:r>
        <w:tab/>
        <w:t>A weight of greater predominance, attached in a somewhat similar way, holds the switch in the closed position until raised by some moving part of the mechanism that the limiting device is required to control.</w:t>
      </w:r>
    </w:p>
    <w:p w:rsidR="00AF2508" w:rsidRDefault="00AF2508">
      <w:pPr>
        <w:pStyle w:val="Amain"/>
      </w:pPr>
      <w:r>
        <w:tab/>
        <w:t>(3)</w:t>
      </w:r>
      <w:r>
        <w:tab/>
        <w:t>As the predominant weight is raised, the opening weight takes effect.</w:t>
      </w:r>
    </w:p>
    <w:p w:rsidR="00AF2508" w:rsidRDefault="00AF2508">
      <w:pPr>
        <w:pStyle w:val="Amain"/>
      </w:pPr>
      <w:r>
        <w:tab/>
        <w:t>(4)</w:t>
      </w:r>
      <w:r>
        <w:tab/>
        <w:t>The effective radius at which the switch opening weight acts shall be neither less than 4 inches nor more than 15 inches, measured from longitudinal axis of switch spindle, to centre of gravity of opening weight.</w:t>
      </w:r>
    </w:p>
    <w:p w:rsidR="00AF2508" w:rsidRDefault="00AF2508">
      <w:pPr>
        <w:pStyle w:val="Amain"/>
      </w:pPr>
      <w:r>
        <w:tab/>
        <w:t>(5)</w:t>
      </w:r>
      <w:r>
        <w:tab/>
        <w:t>The torque developed by the opening weight shall not be less than 100 pounds-inches at the switch spindle at all times, irrespective of the position of the switch actuating quadrant, or crank, or opening weight.</w:t>
      </w:r>
    </w:p>
    <w:p w:rsidR="00AF2508" w:rsidRDefault="00AF2508">
      <w:pPr>
        <w:pStyle w:val="Amain"/>
      </w:pPr>
      <w:r>
        <w:tab/>
        <w:t>(6)</w:t>
      </w:r>
      <w:r>
        <w:tab/>
        <w:t>When the switch is equipped with ‘hammer’ or ‘impulse’ weights to open, or assist in opening it, the abovementioned torque shall be increased by 1</w:t>
      </w:r>
      <w:r>
        <w:rPr>
          <w:position w:val="6"/>
          <w:sz w:val="18"/>
        </w:rPr>
        <w:t>1</w:t>
      </w:r>
      <w:r>
        <w:t>/</w:t>
      </w:r>
      <w:r>
        <w:rPr>
          <w:sz w:val="18"/>
        </w:rPr>
        <w:t>4</w:t>
      </w:r>
      <w:r>
        <w:t xml:space="preserve"> times the maximum torque required at the switch spindle to raise and trip the ‘impulse weights’.</w:t>
      </w:r>
    </w:p>
    <w:p w:rsidR="00AF2508" w:rsidRDefault="00AF2508">
      <w:pPr>
        <w:pStyle w:val="Amain"/>
      </w:pPr>
      <w:r>
        <w:tab/>
        <w:t>(7)</w:t>
      </w:r>
      <w:r>
        <w:tab/>
        <w:t>Approved resilient pads or stops shall be provided at both limits of travel of the opening weight to relieve the switch components of undue impact.</w:t>
      </w:r>
    </w:p>
    <w:p w:rsidR="00AF2508" w:rsidRDefault="00AF2508">
      <w:pPr>
        <w:pStyle w:val="Amain"/>
        <w:keepLines/>
      </w:pPr>
      <w:r>
        <w:tab/>
        <w:t>(8)</w:t>
      </w:r>
      <w:r>
        <w:tab/>
        <w:t xml:space="preserve">The switch actuating cord, as also all other cords employed, shall be galvanised flexible steel wire cord, not less than </w:t>
      </w:r>
      <w:r>
        <w:rPr>
          <w:position w:val="6"/>
          <w:sz w:val="18"/>
        </w:rPr>
        <w:t>3</w:t>
      </w:r>
      <w:r>
        <w:t>/</w:t>
      </w:r>
      <w:r>
        <w:rPr>
          <w:sz w:val="18"/>
        </w:rPr>
        <w:t>4</w:t>
      </w:r>
      <w:r>
        <w:t xml:space="preserve"> of an inch in circumference and shall lead directly from the striking mechanism to the opening mechanism, without guides of any kind.</w:t>
      </w:r>
    </w:p>
    <w:p w:rsidR="00AF2508" w:rsidRDefault="00AF2508">
      <w:pPr>
        <w:pStyle w:val="Amain"/>
      </w:pPr>
      <w:r>
        <w:tab/>
        <w:t>(9)</w:t>
      </w:r>
      <w:r>
        <w:tab/>
        <w:t>If the use of a diverting, or deflector, sheave is unavoidable, 1</w:t>
      </w:r>
      <w:r>
        <w:rPr>
          <w:b/>
        </w:rPr>
        <w:t xml:space="preserve"> </w:t>
      </w:r>
      <w:r>
        <w:t>only may be used to deflect the actuating cord in the desired direction, provided that—</w:t>
      </w:r>
    </w:p>
    <w:p w:rsidR="00AF2508" w:rsidRDefault="00AF2508">
      <w:pPr>
        <w:pStyle w:val="Apara"/>
      </w:pPr>
      <w:r>
        <w:tab/>
        <w:t>(a)</w:t>
      </w:r>
      <w:r>
        <w:tab/>
        <w:t>the sheave is not less than 4 inches in diameter at the bottom of the rope groove; or</w:t>
      </w:r>
    </w:p>
    <w:p w:rsidR="00AF2508" w:rsidRDefault="00AF2508">
      <w:pPr>
        <w:pStyle w:val="Apara"/>
      </w:pPr>
      <w:r>
        <w:tab/>
        <w:t>(b)</w:t>
      </w:r>
      <w:r>
        <w:tab/>
        <w:t>the sheave has a symmetrical rope groove at least 1 inch deep, with sides enclosing a total angle of 60°; or</w:t>
      </w:r>
    </w:p>
    <w:p w:rsidR="00AF2508" w:rsidRDefault="00AF2508">
      <w:pPr>
        <w:pStyle w:val="Apara"/>
      </w:pPr>
      <w:r>
        <w:tab/>
        <w:t>(c)</w:t>
      </w:r>
      <w:r>
        <w:tab/>
        <w:t xml:space="preserve">the sheave is bored at least </w:t>
      </w:r>
      <w:r>
        <w:rPr>
          <w:position w:val="6"/>
          <w:sz w:val="18"/>
        </w:rPr>
        <w:t>1</w:t>
      </w:r>
      <w:r>
        <w:t>/</w:t>
      </w:r>
      <w:r>
        <w:rPr>
          <w:sz w:val="18"/>
        </w:rPr>
        <w:t>64</w:t>
      </w:r>
      <w:r>
        <w:t xml:space="preserve"> of an inch larger in diameter than the pin on which it is to work and if practicable fitted with a self-lubricating bush; or</w:t>
      </w:r>
    </w:p>
    <w:p w:rsidR="00AF2508" w:rsidRDefault="00AF2508">
      <w:pPr>
        <w:pStyle w:val="Apara"/>
      </w:pPr>
      <w:r>
        <w:tab/>
        <w:t>(d)</w:t>
      </w:r>
      <w:r>
        <w:tab/>
        <w:t xml:space="preserve">the sheave shall </w:t>
      </w:r>
      <w:r>
        <w:rPr>
          <w:rStyle w:val="charItals"/>
          <w:i w:val="0"/>
        </w:rPr>
        <w:t>not</w:t>
      </w:r>
      <w:r>
        <w:t xml:space="preserve"> be fitted with any form of rope guard but shall work freely on a pin securely fastened in a rigid position on the adjacent structure, and sufficient clearances shall be allowed to ensure that the steel cord will not catch or jam in the event of it becoming frayed or displaced from the sheave; or</w:t>
      </w:r>
    </w:p>
    <w:p w:rsidR="00AF2508" w:rsidRDefault="00AF2508">
      <w:pPr>
        <w:pStyle w:val="Apara"/>
      </w:pPr>
      <w:r>
        <w:tab/>
        <w:t>(e)</w:t>
      </w:r>
      <w:r>
        <w:tab/>
        <w:t>free, or floating, sheave blocks attached to ropes shall not be used to deflect actuating cords.</w:t>
      </w:r>
    </w:p>
    <w:p w:rsidR="00AF2508" w:rsidRDefault="00AF2508">
      <w:pPr>
        <w:pStyle w:val="Amain"/>
      </w:pPr>
      <w:r>
        <w:tab/>
        <w:t>(10)</w:t>
      </w:r>
      <w:r>
        <w:tab/>
        <w:t>All freely suspended weights shall have at least 1 additional approved safety cord, chain, or device, attached to them, to prevent the weight falling in the event of failure of its normal supports.</w:t>
      </w:r>
    </w:p>
    <w:p w:rsidR="00AF2508" w:rsidRDefault="00AF2508">
      <w:pPr>
        <w:pStyle w:val="Amain"/>
      </w:pPr>
      <w:r>
        <w:tab/>
        <w:t>(11)</w:t>
      </w:r>
      <w:r>
        <w:tab/>
        <w:t>Suspended weights shall not have guides, or be enclosed in casings.</w:t>
      </w:r>
    </w:p>
    <w:p w:rsidR="00AF2508" w:rsidRDefault="00AF2508">
      <w:pPr>
        <w:pStyle w:val="Amain"/>
      </w:pPr>
      <w:r>
        <w:tab/>
        <w:t>(12)</w:t>
      </w:r>
      <w:r>
        <w:tab/>
        <w:t>Suspended switch-closing, or ‘striking’ weights, above lifting hooks or other analogous media, shall be loosely connected to the hoisting ropes, or otherwise restrained, by approved means, to prevent undue relative displacement.</w:t>
      </w:r>
    </w:p>
    <w:p w:rsidR="00AF2508" w:rsidRDefault="00AF2508">
      <w:pPr>
        <w:pStyle w:val="Amain"/>
      </w:pPr>
      <w:r>
        <w:tab/>
        <w:t>(13)</w:t>
      </w:r>
      <w:r>
        <w:tab/>
        <w:t>Knife switches shall not be used.</w:t>
      </w:r>
    </w:p>
    <w:p w:rsidR="00AF2508" w:rsidRDefault="00AF2508">
      <w:pPr>
        <w:pStyle w:val="Amain"/>
      </w:pPr>
      <w:r>
        <w:tab/>
        <w:t>(14)</w:t>
      </w:r>
      <w:r>
        <w:tab/>
        <w:t>If the torque required at the switch spindle to open the switch, when in normally good condition and free of all actuating mechanisms, exceeds or may feasibly exceed 10 pounds-inches, additional opening torque of approved magnitude shall be provided.</w:t>
      </w:r>
    </w:p>
    <w:p w:rsidR="00AF2508" w:rsidRDefault="00AF2508">
      <w:pPr>
        <w:pStyle w:val="Amain"/>
      </w:pPr>
      <w:r>
        <w:tab/>
        <w:t>(15)</w:t>
      </w:r>
      <w:r>
        <w:tab/>
        <w:t>Layshafts or intermediate shafts shall not be used, but this shall not prevent extension of the switch spindle in an approved way.</w:t>
      </w:r>
    </w:p>
    <w:p w:rsidR="00AF2508" w:rsidRDefault="00AF2508">
      <w:pPr>
        <w:pStyle w:val="AH4SubDiv"/>
      </w:pPr>
      <w:bookmarkStart w:id="279" w:name="_Toc161636911"/>
      <w:r>
        <w:t>Fork-lift trucks</w:t>
      </w:r>
      <w:bookmarkEnd w:id="279"/>
    </w:p>
    <w:p w:rsidR="00AF2508" w:rsidRDefault="00AF2508">
      <w:pPr>
        <w:pStyle w:val="AH5Sec"/>
      </w:pPr>
      <w:bookmarkStart w:id="280" w:name="_Toc161636912"/>
      <w:r>
        <w:rPr>
          <w:rStyle w:val="CharSectNo"/>
        </w:rPr>
        <w:t>137</w:t>
      </w:r>
      <w:bookmarkEnd w:id="280"/>
      <w:r>
        <w:tab/>
        <w:t xml:space="preserve">  </w:t>
      </w:r>
    </w:p>
    <w:p w:rsidR="00AF2508" w:rsidRDefault="00AF2508">
      <w:pPr>
        <w:pStyle w:val="Amain"/>
      </w:pPr>
      <w:r>
        <w:tab/>
        <w:t>(1)</w:t>
      </w:r>
      <w:r>
        <w:rPr>
          <w:b/>
        </w:rPr>
        <w:tab/>
      </w:r>
      <w:r>
        <w:t>A fork-lift truck means a short-wheelbase mobile truck or carriage having at the front end a rigid vertical steel frame or mast, usually telescopic, and commonly capable of being inclined from the vertical a few degrees fore or aft.</w:t>
      </w:r>
    </w:p>
    <w:p w:rsidR="00AF2508" w:rsidRDefault="00AF2508">
      <w:pPr>
        <w:pStyle w:val="Amain"/>
      </w:pPr>
      <w:r>
        <w:tab/>
        <w:t>(2)</w:t>
      </w:r>
      <w:r>
        <w:tab/>
        <w:t>On or between the members of the mast a trolley moves in a vertical or near-vertical path, and carries projecting horizontal tines by means of which loads are raised and lowered.</w:t>
      </w:r>
    </w:p>
    <w:p w:rsidR="00AF2508" w:rsidRDefault="00AF2508">
      <w:pPr>
        <w:pStyle w:val="Amain"/>
      </w:pPr>
      <w:r>
        <w:tab/>
        <w:t>(3)</w:t>
      </w:r>
      <w:r>
        <w:tab/>
        <w:t>Instead of tines, other lifting media such as a jib, pole, platform, scoop, or bucket may be used.</w:t>
      </w:r>
    </w:p>
    <w:p w:rsidR="00AF2508" w:rsidRDefault="00AF2508">
      <w:pPr>
        <w:pStyle w:val="Amain"/>
      </w:pPr>
      <w:r>
        <w:tab/>
        <w:t>(4)</w:t>
      </w:r>
      <w:r>
        <w:tab/>
        <w:t xml:space="preserve">The basic safe working load for which a fork-lift truck is rated shall be determined as though the load were placed on the tines with its centre of gravity at a horizontal distance from the vertical faces of the tines equal to 1 inch plus </w:t>
      </w:r>
      <w:r>
        <w:rPr>
          <w:position w:val="6"/>
          <w:sz w:val="18"/>
        </w:rPr>
        <w:t>1</w:t>
      </w:r>
      <w:r>
        <w:t>/</w:t>
      </w:r>
      <w:r>
        <w:rPr>
          <w:sz w:val="18"/>
        </w:rPr>
        <w:t>2</w:t>
      </w:r>
      <w:r>
        <w:t xml:space="preserve"> of the length of the longest pallet for which the tines are designed.</w:t>
      </w:r>
    </w:p>
    <w:p w:rsidR="00AF2508" w:rsidRDefault="00AF2508">
      <w:pPr>
        <w:pStyle w:val="Amain"/>
      </w:pPr>
      <w:r>
        <w:tab/>
        <w:t>(5)</w:t>
      </w:r>
      <w:r>
        <w:tab/>
        <w:t>The vertical height of the centre of gravity of the load shall be assumed to be 30 inches above the tines.</w:t>
      </w:r>
    </w:p>
    <w:p w:rsidR="00AF2508" w:rsidRDefault="00AF2508">
      <w:pPr>
        <w:pStyle w:val="Amain"/>
      </w:pPr>
      <w:r>
        <w:tab/>
        <w:t>(6)</w:t>
      </w:r>
      <w:r>
        <w:tab/>
        <w:t>Fork-lift trucks shall have approved robust overhead framings and grids to protect drivers against falling objects.</w:t>
      </w:r>
    </w:p>
    <w:p w:rsidR="00AF2508" w:rsidRDefault="00AF2508">
      <w:pPr>
        <w:pStyle w:val="Amain"/>
        <w:keepLines/>
      </w:pPr>
      <w:r>
        <w:tab/>
        <w:t>(7)</w:t>
      </w:r>
      <w:r>
        <w:tab/>
        <w:t>Grid apertures shall not be greater than 6 inches by 3 inches, but shall be sufficiently small to reject objects or articles of the least size handled by the truck, and must not, except if approved, reject anything less than a ball 1 inch in diameter.</w:t>
      </w:r>
    </w:p>
    <w:p w:rsidR="00AF2508" w:rsidRDefault="00AF2508">
      <w:pPr>
        <w:pStyle w:val="Amain"/>
      </w:pPr>
      <w:r>
        <w:tab/>
        <w:t>(8)</w:t>
      </w:r>
      <w:r>
        <w:tab/>
        <w:t>To promote good vision, grid apertures shall be rectangular, and crimped meshings shall be used only if approved.</w:t>
      </w:r>
    </w:p>
    <w:p w:rsidR="00AF2508" w:rsidRDefault="00AF2508">
      <w:pPr>
        <w:pStyle w:val="Amain"/>
      </w:pPr>
      <w:r>
        <w:tab/>
        <w:t>(9)</w:t>
      </w:r>
      <w:r>
        <w:tab/>
        <w:t>Guards shall be provided to prevent drivers’ feet from being injured by moving members of the mast, or the trolley or lifting equipment.</w:t>
      </w:r>
    </w:p>
    <w:p w:rsidR="00AF2508" w:rsidRDefault="00AF2508">
      <w:pPr>
        <w:pStyle w:val="Amain"/>
      </w:pPr>
      <w:r>
        <w:tab/>
        <w:t>(10)</w:t>
      </w:r>
      <w:r>
        <w:tab/>
        <w:t>An effective back guard shall be provided and fixed to the mast trolley to function as a back apron, and to prevent projecting loads from engaging the mast or lifting chains or mechanisms, or from becoming displaced.</w:t>
      </w:r>
    </w:p>
    <w:p w:rsidR="00AF2508" w:rsidRDefault="00AF2508">
      <w:pPr>
        <w:pStyle w:val="Amain"/>
      </w:pPr>
      <w:r>
        <w:tab/>
        <w:t>(11)</w:t>
      </w:r>
      <w:r>
        <w:tab/>
        <w:t>The guards shall project at least 9 inches beyond each side of the mast structure.</w:t>
      </w:r>
    </w:p>
    <w:p w:rsidR="00AF2508" w:rsidRDefault="00AF2508">
      <w:pPr>
        <w:pStyle w:val="Amain"/>
      </w:pPr>
      <w:r>
        <w:tab/>
        <w:t>(12)</w:t>
      </w:r>
      <w:r>
        <w:tab/>
        <w:t>Fork-lift trucks shall, when bearing loads, be used only on hard level surfaces.</w:t>
      </w:r>
    </w:p>
    <w:p w:rsidR="00AF2508" w:rsidRDefault="00AF2508">
      <w:pPr>
        <w:pStyle w:val="Amain"/>
      </w:pPr>
      <w:r>
        <w:tab/>
        <w:t>(13)</w:t>
      </w:r>
      <w:r>
        <w:tab/>
        <w:t>If it is necessary for a fork-lift truck to negotiate a ramp or other incline, the mast end of the truck shall at all times be uphill.</w:t>
      </w:r>
    </w:p>
    <w:p w:rsidR="00AF2508" w:rsidRDefault="00AF2508">
      <w:pPr>
        <w:pStyle w:val="Amain"/>
      </w:pPr>
      <w:r>
        <w:tab/>
        <w:t>(14)</w:t>
      </w:r>
      <w:r>
        <w:tab/>
        <w:t>While transporting loads, the tines or other analogous media shall not be raised above the level of the mast hinges.</w:t>
      </w:r>
    </w:p>
    <w:p w:rsidR="00AF2508" w:rsidRDefault="00AF2508">
      <w:pPr>
        <w:pStyle w:val="Amain"/>
      </w:pPr>
      <w:r>
        <w:tab/>
        <w:t>(15)</w:t>
      </w:r>
      <w:r>
        <w:tab/>
        <w:t>While equipped with jibs, the masts shall be kept in the vertical position.</w:t>
      </w:r>
    </w:p>
    <w:p w:rsidR="00AF2508" w:rsidRDefault="00AF2508">
      <w:pPr>
        <w:pStyle w:val="Amain"/>
      </w:pPr>
      <w:r>
        <w:tab/>
        <w:t>(16)</w:t>
      </w:r>
      <w:r>
        <w:tab/>
        <w:t>Reference should be made to section 127 (152) in regard to jibs.</w:t>
      </w:r>
    </w:p>
    <w:p w:rsidR="00AF2508" w:rsidRDefault="00AF2508">
      <w:pPr>
        <w:pStyle w:val="Amain"/>
      </w:pPr>
      <w:r>
        <w:tab/>
        <w:t>(17)</w:t>
      </w:r>
      <w:r>
        <w:tab/>
        <w:t>Masts shall not be inclined forward, away from trucks, except when the tines are near floor level, or when the truck is close to the stack of goods or materials being handled.</w:t>
      </w:r>
    </w:p>
    <w:p w:rsidR="00AF2508" w:rsidRDefault="00AF2508">
      <w:pPr>
        <w:pStyle w:val="Amain"/>
      </w:pPr>
      <w:r>
        <w:tab/>
        <w:t>(18)</w:t>
      </w:r>
      <w:r>
        <w:tab/>
        <w:t>Hooks of jibs of fork-lift trucks shall be so suspended that they can be freely displaced in any direction through an angle of at least 30° from the vertical.</w:t>
      </w:r>
    </w:p>
    <w:p w:rsidR="00AF2508" w:rsidRDefault="00AF2508">
      <w:pPr>
        <w:pStyle w:val="Amain"/>
      </w:pPr>
      <w:r>
        <w:tab/>
        <w:t>(19)</w:t>
      </w:r>
      <w:r>
        <w:tab/>
        <w:t>Only approved load markings and notices shall be exhibited on fork</w:t>
      </w:r>
      <w:r>
        <w:noBreakHyphen/>
        <w:t>lift trucks.</w:t>
      </w:r>
    </w:p>
    <w:p w:rsidR="00AF2508" w:rsidRDefault="00AF2508">
      <w:pPr>
        <w:pStyle w:val="Amain"/>
      </w:pPr>
      <w:r>
        <w:tab/>
        <w:t>(20)</w:t>
      </w:r>
      <w:r>
        <w:tab/>
        <w:t>The forward movement or inclination of the mast of a fork-lift truck shall not exceed 4° from the vertical.</w:t>
      </w:r>
    </w:p>
    <w:p w:rsidR="00AF2508" w:rsidRDefault="00AF2508">
      <w:pPr>
        <w:pStyle w:val="Amain"/>
      </w:pPr>
      <w:r>
        <w:tab/>
        <w:t>(21)</w:t>
      </w:r>
      <w:r>
        <w:tab/>
        <w:t>The backward movement, towards the truck, shall not exceed 6° from the vertical.</w:t>
      </w:r>
    </w:p>
    <w:p w:rsidR="00AF2508" w:rsidRDefault="00AF2508">
      <w:pPr>
        <w:pStyle w:val="AH4SubDiv"/>
      </w:pPr>
      <w:bookmarkStart w:id="281" w:name="_Toc161636913"/>
      <w:r>
        <w:t>Commercial type hoists</w:t>
      </w:r>
      <w:bookmarkEnd w:id="281"/>
    </w:p>
    <w:p w:rsidR="00AF2508" w:rsidRDefault="00AF2508">
      <w:pPr>
        <w:pStyle w:val="AH5Sec"/>
      </w:pPr>
      <w:bookmarkStart w:id="282" w:name="_Toc161636914"/>
      <w:r>
        <w:rPr>
          <w:rStyle w:val="CharSectNo"/>
        </w:rPr>
        <w:t>138</w:t>
      </w:r>
      <w:bookmarkEnd w:id="282"/>
      <w:r>
        <w:tab/>
        <w:t xml:space="preserve">  </w:t>
      </w:r>
    </w:p>
    <w:p w:rsidR="00AF2508" w:rsidRDefault="00AF2508">
      <w:pPr>
        <w:pStyle w:val="Amain"/>
      </w:pPr>
      <w:r>
        <w:tab/>
        <w:t>(1)</w:t>
      </w:r>
      <w:r>
        <w:tab/>
        <w:t>A commercial type hoist means a power-driven hoist winding or unwinding ropes, chains or other flexible media by which loads are raised or lowered from 1 floor or working surface to another.</w:t>
      </w:r>
    </w:p>
    <w:p w:rsidR="00AF2508" w:rsidRDefault="00AF2508">
      <w:pPr>
        <w:pStyle w:val="Amain"/>
      </w:pPr>
      <w:r>
        <w:tab/>
        <w:t>(2)</w:t>
      </w:r>
      <w:r>
        <w:tab/>
        <w:t>The natural lateral oscillations of the loads are either entirely unconstrained or loosely constrained by flexible guides or by gravitationally induced pressure against skids.</w:t>
      </w:r>
    </w:p>
    <w:p w:rsidR="00AF2508" w:rsidRDefault="00AF2508">
      <w:pPr>
        <w:pStyle w:val="Amain"/>
      </w:pPr>
      <w:r>
        <w:tab/>
        <w:t>(3)</w:t>
      </w:r>
      <w:r>
        <w:tab/>
        <w:t>Whether or not flexible guides or skids are employed, it is essential that the load be free to swing laterally and pass any 12 inch diameter obstruction that may enter its path.</w:t>
      </w:r>
    </w:p>
    <w:p w:rsidR="00AF2508" w:rsidRDefault="00AF2508">
      <w:pPr>
        <w:pStyle w:val="Amain"/>
      </w:pPr>
      <w:r>
        <w:tab/>
        <w:t>(4)</w:t>
      </w:r>
      <w:r>
        <w:tab/>
        <w:t>In addition to other notices, brands or markings that may be prescribed elsewhere in this regulation, every such hoist shall be clearly, conspicuously and permanently branded with the name of its manufacturer, and with an appropriate and distinctive serial number.</w:t>
      </w:r>
    </w:p>
    <w:p w:rsidR="00AF2508" w:rsidRDefault="00AF2508">
      <w:pPr>
        <w:pStyle w:val="Amain"/>
      </w:pPr>
      <w:r>
        <w:tab/>
        <w:t>(5)</w:t>
      </w:r>
      <w:r>
        <w:tab/>
        <w:t>All stations from which the hoist can be controlled shall be so placed or equipped that a driver at it can at all times clearly see the load.</w:t>
      </w:r>
    </w:p>
    <w:p w:rsidR="00AF2508" w:rsidRDefault="00AF2508">
      <w:pPr>
        <w:pStyle w:val="Amain"/>
      </w:pPr>
      <w:r>
        <w:tab/>
        <w:t>(6)</w:t>
      </w:r>
      <w:r>
        <w:tab/>
        <w:t>If there is more than 1 control station, the controls at each station shall have a master control that must be actuated before the controls become operable.</w:t>
      </w:r>
    </w:p>
    <w:p w:rsidR="00AF2508" w:rsidRDefault="00AF2508">
      <w:pPr>
        <w:pStyle w:val="Amain"/>
      </w:pPr>
      <w:r>
        <w:tab/>
        <w:t>(7)</w:t>
      </w:r>
      <w:r>
        <w:tab/>
        <w:t>On actuation of the master control at any station the controls of all other stations shall automatically become inoperable.</w:t>
      </w:r>
    </w:p>
    <w:p w:rsidR="00AF2508" w:rsidRDefault="00AF2508">
      <w:pPr>
        <w:pStyle w:val="Amain"/>
      </w:pPr>
      <w:r>
        <w:tab/>
        <w:t>(8)</w:t>
      </w:r>
      <w:r>
        <w:tab/>
        <w:t>Landing flaps or rolling platforms shall not be used unless specifically approved.</w:t>
      </w:r>
    </w:p>
    <w:p w:rsidR="00AF2508" w:rsidRDefault="00AF2508">
      <w:pPr>
        <w:pStyle w:val="Amain"/>
      </w:pPr>
      <w:r>
        <w:tab/>
        <w:t>(9)</w:t>
      </w:r>
      <w:r>
        <w:tab/>
        <w:t>The upper surfaces of landing flaps shall be inclined upwards towards their outer edges at an angle of not less than 15° to the horizontal.</w:t>
      </w:r>
    </w:p>
    <w:p w:rsidR="00AF2508" w:rsidRDefault="00AF2508">
      <w:pPr>
        <w:pStyle w:val="Amain"/>
      </w:pPr>
      <w:r>
        <w:tab/>
        <w:t>(10)</w:t>
      </w:r>
      <w:r>
        <w:tab/>
        <w:t>Rolling platforms shall be securely fenced to prevent persons falling through floor openings or well holes, and shall be so devised that they do not at any time leave exposed openings.</w:t>
      </w:r>
    </w:p>
    <w:p w:rsidR="00AF2508" w:rsidRDefault="00AF2508">
      <w:pPr>
        <w:pStyle w:val="Amain"/>
      </w:pPr>
      <w:r>
        <w:tab/>
        <w:t>(11)</w:t>
      </w:r>
      <w:r>
        <w:tab/>
        <w:t>Wherever practicable, means shall be provided by which persons may safely land or ship loads without having to closely approach the edges of floors or other working surfaces.</w:t>
      </w:r>
    </w:p>
    <w:p w:rsidR="00AF2508" w:rsidRDefault="00AF2508">
      <w:pPr>
        <w:pStyle w:val="Amain"/>
      </w:pPr>
      <w:r>
        <w:tab/>
        <w:t>(12)</w:t>
      </w:r>
      <w:r>
        <w:tab/>
        <w:t>Well holes and floor openings shall be securely fenced and provided with toe boards not less than 4 inches in depth.</w:t>
      </w:r>
    </w:p>
    <w:p w:rsidR="00AF2508" w:rsidRDefault="00AF2508">
      <w:pPr>
        <w:pStyle w:val="Amain"/>
      </w:pPr>
      <w:r>
        <w:tab/>
        <w:t>(13)</w:t>
      </w:r>
      <w:r>
        <w:tab/>
        <w:t>However, fencings and toe boards may be temporarily removed at 1 side only while loads are being landed or shipped, and that on completion of the operation, the fencings and boards shall be promptly replaced.</w:t>
      </w:r>
    </w:p>
    <w:p w:rsidR="00AF2508" w:rsidRDefault="00AF2508">
      <w:pPr>
        <w:pStyle w:val="Amain"/>
      </w:pPr>
      <w:r>
        <w:tab/>
        <w:t>(14)</w:t>
      </w:r>
      <w:r>
        <w:tab/>
        <w:t>If well holes or floor openings have trapdoors, the doors shall be in pairs, and shall open upwards.</w:t>
      </w:r>
    </w:p>
    <w:p w:rsidR="00AF2508" w:rsidRDefault="00AF2508">
      <w:pPr>
        <w:pStyle w:val="Amain"/>
      </w:pPr>
      <w:r>
        <w:tab/>
        <w:t>(15)</w:t>
      </w:r>
      <w:r>
        <w:tab/>
        <w:t>Each door shall in opening swing through an angle approximately 100° and shall constitute a fence or guard not less than 3 feet high for the opening otherwise exposed.</w:t>
      </w:r>
    </w:p>
    <w:p w:rsidR="00AF2508" w:rsidRDefault="00AF2508">
      <w:pPr>
        <w:pStyle w:val="Amain"/>
      </w:pPr>
      <w:r>
        <w:tab/>
        <w:t>(16)</w:t>
      </w:r>
      <w:r>
        <w:tab/>
        <w:t>The ends of the opening shall, while the doors are open, be fenced as provided by subsections (12) and (13).</w:t>
      </w:r>
    </w:p>
    <w:p w:rsidR="00AF2508" w:rsidRDefault="00AF2508">
      <w:pPr>
        <w:pStyle w:val="Amain"/>
      </w:pPr>
      <w:r>
        <w:tab/>
        <w:t>(17)</w:t>
      </w:r>
      <w:r>
        <w:tab/>
        <w:t>The edges of floors or working surfaces adjacent to which loads are raised or lowered shall be securely fenced.</w:t>
      </w:r>
    </w:p>
    <w:p w:rsidR="00AF2508" w:rsidRDefault="00AF2508">
      <w:pPr>
        <w:pStyle w:val="Amain"/>
      </w:pPr>
      <w:r>
        <w:tab/>
        <w:t>(18)</w:t>
      </w:r>
      <w:r>
        <w:tab/>
        <w:t>However, fencings may be temporarily removed only while loads are being landed or shipped, and that on completion of the operation the fencings shall be promptly replaced.</w:t>
      </w:r>
    </w:p>
    <w:p w:rsidR="00AF2508" w:rsidRDefault="00AF2508">
      <w:pPr>
        <w:pStyle w:val="Amain"/>
        <w:keepLines/>
      </w:pPr>
      <w:r>
        <w:tab/>
        <w:t>(19)</w:t>
      </w:r>
      <w:r>
        <w:tab/>
        <w:t>If loads are to pass through openings, the least horizontal dimension of any of the openings shall be not less than the greatest horizontal length or diagonal or diameter of the load, or of the platform, box, yoke or vessel containing the load, whichever is the greater, plus 2 feet.</w:t>
      </w:r>
    </w:p>
    <w:p w:rsidR="00AF2508" w:rsidRDefault="00AF2508">
      <w:pPr>
        <w:pStyle w:val="AH4SubDiv"/>
        <w:ind w:left="0" w:firstLine="0"/>
      </w:pPr>
      <w:bookmarkStart w:id="283" w:name="_Toc161636915"/>
      <w:r>
        <w:t>Tower hoists for constructional, building, demolition, or excavation works</w:t>
      </w:r>
      <w:bookmarkEnd w:id="283"/>
    </w:p>
    <w:p w:rsidR="00AF2508" w:rsidRDefault="00AF2508">
      <w:pPr>
        <w:pStyle w:val="AH5Sec"/>
      </w:pPr>
      <w:bookmarkStart w:id="284" w:name="_Toc161636916"/>
      <w:r>
        <w:rPr>
          <w:rStyle w:val="CharSectNo"/>
        </w:rPr>
        <w:t>139</w:t>
      </w:r>
      <w:bookmarkEnd w:id="284"/>
      <w:r>
        <w:tab/>
        <w:t xml:space="preserve">  </w:t>
      </w:r>
    </w:p>
    <w:p w:rsidR="00AF2508" w:rsidRDefault="00AF2508">
      <w:pPr>
        <w:pStyle w:val="Amain"/>
      </w:pPr>
      <w:r>
        <w:tab/>
        <w:t>(1)</w:t>
      </w:r>
      <w:r>
        <w:tab/>
        <w:t>A hoist tower means a vertical tower of rectangular section, within which loads are raised or lowered by means of a guided platform, guided bucket, or other convenient guided medium.</w:t>
      </w:r>
    </w:p>
    <w:p w:rsidR="00AF2508" w:rsidRDefault="00AF2508">
      <w:pPr>
        <w:pStyle w:val="Amain"/>
      </w:pPr>
      <w:r>
        <w:tab/>
        <w:t>(2)</w:t>
      </w:r>
      <w:r>
        <w:tab/>
        <w:t>The tower is maintained in an upright position by guys or struts, or more commonly by being secured to an adjacent building or structure.</w:t>
      </w:r>
    </w:p>
    <w:p w:rsidR="00AF2508" w:rsidRDefault="00AF2508">
      <w:pPr>
        <w:pStyle w:val="Amain"/>
      </w:pPr>
      <w:r>
        <w:tab/>
        <w:t>(3)</w:t>
      </w:r>
      <w:r>
        <w:tab/>
        <w:t>Each of the 4 sides, or faces, of the tower shall comprise a simple truss of plain orthodox design, capable of resisting transverse forces.</w:t>
      </w:r>
    </w:p>
    <w:p w:rsidR="00AF2508" w:rsidRDefault="00AF2508">
      <w:pPr>
        <w:pStyle w:val="Amain"/>
      </w:pPr>
      <w:r>
        <w:tab/>
        <w:t>(4)</w:t>
      </w:r>
      <w:r>
        <w:tab/>
        <w:t>Neither the horizontal width nor the horizontal depth of a hoist tower shall exceed 6 feet, or be less than 5 feet.</w:t>
      </w:r>
    </w:p>
    <w:p w:rsidR="00AF2508" w:rsidRDefault="00AF2508">
      <w:pPr>
        <w:pStyle w:val="Amain"/>
      </w:pPr>
      <w:r>
        <w:tab/>
        <w:t>(5)</w:t>
      </w:r>
      <w:r>
        <w:tab/>
        <w:t>All hoist towers shall be constructed of members not less in strength, rigidity and reliability than those prescribed by table 139, and no tower shall exceed the relevant and appropriate height prescribed, nor shall any panel of it be of any greater panel length.</w:t>
      </w:r>
    </w:p>
    <w:p w:rsidR="00AF2508" w:rsidRDefault="00AF2508">
      <w:pPr>
        <w:pStyle w:val="02Text"/>
        <w:sectPr w:rsidR="00AF2508">
          <w:headerReference w:type="even" r:id="rId130"/>
          <w:headerReference w:type="default" r:id="rId131"/>
          <w:footerReference w:type="even" r:id="rId132"/>
          <w:footerReference w:type="default" r:id="rId133"/>
          <w:footerReference w:type="first" r:id="rId134"/>
          <w:pgSz w:w="11907" w:h="16839" w:code="9"/>
          <w:pgMar w:top="3000" w:right="1900" w:bottom="2500" w:left="2300" w:header="2480" w:footer="2100" w:gutter="0"/>
          <w:cols w:space="720"/>
          <w:docGrid w:linePitch="254"/>
        </w:sectPr>
      </w:pPr>
    </w:p>
    <w:p w:rsidR="00AF2508" w:rsidRDefault="00AF2508">
      <w:pPr>
        <w:pStyle w:val="TableHd"/>
      </w:pPr>
      <w:r>
        <w:t>Table 139</w:t>
      </w:r>
      <w:r>
        <w:tab/>
        <w:t>Tower hoists for constructional, building, demolition or excavation works (for hoisting materials only), maximum heights and panel length and minimum dimensions of members</w:t>
      </w:r>
    </w:p>
    <w:tbl>
      <w:tblPr>
        <w:tblW w:w="0" w:type="auto"/>
        <w:tblInd w:w="-640" w:type="dxa"/>
        <w:tblLayout w:type="fixed"/>
        <w:tblCellMar>
          <w:left w:w="80" w:type="dxa"/>
          <w:right w:w="80" w:type="dxa"/>
        </w:tblCellMar>
        <w:tblLook w:val="0000" w:firstRow="0" w:lastRow="0" w:firstColumn="0" w:lastColumn="0" w:noHBand="0" w:noVBand="0"/>
      </w:tblPr>
      <w:tblGrid>
        <w:gridCol w:w="600"/>
        <w:gridCol w:w="960"/>
        <w:gridCol w:w="720"/>
        <w:gridCol w:w="600"/>
        <w:gridCol w:w="720"/>
        <w:gridCol w:w="960"/>
        <w:gridCol w:w="840"/>
        <w:gridCol w:w="840"/>
        <w:gridCol w:w="840"/>
        <w:gridCol w:w="15"/>
        <w:gridCol w:w="855"/>
        <w:gridCol w:w="18"/>
        <w:gridCol w:w="840"/>
        <w:gridCol w:w="840"/>
        <w:gridCol w:w="15"/>
        <w:gridCol w:w="780"/>
        <w:gridCol w:w="828"/>
        <w:gridCol w:w="12"/>
        <w:gridCol w:w="945"/>
        <w:gridCol w:w="15"/>
        <w:gridCol w:w="840"/>
        <w:gridCol w:w="48"/>
      </w:tblGrid>
      <w:tr w:rsidR="00AF2508">
        <w:trPr>
          <w:gridAfter w:val="1"/>
          <w:wAfter w:w="48" w:type="dxa"/>
          <w:cantSplit/>
          <w:tblHeader/>
        </w:trPr>
        <w:tc>
          <w:tcPr>
            <w:tcW w:w="1560" w:type="dxa"/>
            <w:gridSpan w:val="2"/>
            <w:tcBorders>
              <w:top w:val="single" w:sz="6" w:space="0" w:color="auto"/>
              <w:bottom w:val="single" w:sz="6" w:space="0" w:color="auto"/>
            </w:tcBorders>
            <w:vAlign w:val="bottom"/>
          </w:tcPr>
          <w:p w:rsidR="00AF2508" w:rsidRDefault="00AF2508">
            <w:pPr>
              <w:pStyle w:val="TableColHd"/>
              <w:jc w:val="center"/>
              <w:rPr>
                <w:sz w:val="14"/>
              </w:rPr>
            </w:pPr>
            <w:r>
              <w:rPr>
                <w:sz w:val="14"/>
              </w:rPr>
              <w:t>maximum height of tower in feet</w:t>
            </w:r>
          </w:p>
        </w:tc>
        <w:tc>
          <w:tcPr>
            <w:tcW w:w="720" w:type="dxa"/>
            <w:tcBorders>
              <w:top w:val="single" w:sz="6" w:space="0" w:color="auto"/>
              <w:left w:val="single" w:sz="6" w:space="0" w:color="auto"/>
              <w:right w:val="single" w:sz="6" w:space="0" w:color="auto"/>
            </w:tcBorders>
            <w:vAlign w:val="bottom"/>
          </w:tcPr>
          <w:p w:rsidR="00AF2508" w:rsidRDefault="00AF2508">
            <w:pPr>
              <w:pStyle w:val="TableColHd"/>
              <w:rPr>
                <w:sz w:val="14"/>
              </w:rPr>
            </w:pPr>
          </w:p>
        </w:tc>
        <w:tc>
          <w:tcPr>
            <w:tcW w:w="600" w:type="dxa"/>
            <w:tcBorders>
              <w:top w:val="single" w:sz="6" w:space="0" w:color="auto"/>
              <w:left w:val="single" w:sz="6" w:space="0" w:color="auto"/>
              <w:right w:val="single" w:sz="6" w:space="0" w:color="auto"/>
            </w:tcBorders>
            <w:vAlign w:val="bottom"/>
          </w:tcPr>
          <w:p w:rsidR="00AF2508" w:rsidRDefault="00AF2508">
            <w:pPr>
              <w:pStyle w:val="TableColHd"/>
              <w:rPr>
                <w:sz w:val="14"/>
              </w:rPr>
            </w:pPr>
          </w:p>
        </w:tc>
        <w:tc>
          <w:tcPr>
            <w:tcW w:w="720" w:type="dxa"/>
            <w:tcBorders>
              <w:top w:val="single" w:sz="6" w:space="0" w:color="auto"/>
              <w:left w:val="single" w:sz="6" w:space="0" w:color="auto"/>
              <w:right w:val="single" w:sz="6" w:space="0" w:color="auto"/>
            </w:tcBorders>
            <w:vAlign w:val="bottom"/>
          </w:tcPr>
          <w:p w:rsidR="00AF2508" w:rsidRDefault="00AF2508">
            <w:pPr>
              <w:pStyle w:val="TableColHd"/>
              <w:rPr>
                <w:sz w:val="14"/>
              </w:rPr>
            </w:pPr>
          </w:p>
        </w:tc>
        <w:tc>
          <w:tcPr>
            <w:tcW w:w="960" w:type="dxa"/>
            <w:tcBorders>
              <w:top w:val="single" w:sz="6" w:space="0" w:color="auto"/>
              <w:left w:val="single" w:sz="6" w:space="0" w:color="auto"/>
              <w:right w:val="single" w:sz="6" w:space="0" w:color="auto"/>
            </w:tcBorders>
            <w:vAlign w:val="bottom"/>
          </w:tcPr>
          <w:p w:rsidR="00AF2508" w:rsidRDefault="00AF2508">
            <w:pPr>
              <w:pStyle w:val="TableColHd"/>
              <w:rPr>
                <w:sz w:val="14"/>
              </w:rPr>
            </w:pPr>
          </w:p>
        </w:tc>
        <w:tc>
          <w:tcPr>
            <w:tcW w:w="840" w:type="dxa"/>
            <w:vMerge w:val="restart"/>
            <w:tcBorders>
              <w:top w:val="single" w:sz="6" w:space="0" w:color="auto"/>
              <w:left w:val="single" w:sz="6" w:space="0" w:color="auto"/>
              <w:right w:val="single" w:sz="6" w:space="0" w:color="auto"/>
            </w:tcBorders>
            <w:vAlign w:val="bottom"/>
          </w:tcPr>
          <w:p w:rsidR="00AF2508" w:rsidRDefault="00AF2508">
            <w:pPr>
              <w:pStyle w:val="TableColHd"/>
              <w:rPr>
                <w:sz w:val="14"/>
              </w:rPr>
            </w:pPr>
            <w:r>
              <w:rPr>
                <w:sz w:val="14"/>
              </w:rPr>
              <w:t>form of section of horizontal bracings II</w:t>
            </w:r>
          </w:p>
        </w:tc>
        <w:tc>
          <w:tcPr>
            <w:tcW w:w="840" w:type="dxa"/>
            <w:vMerge w:val="restart"/>
            <w:tcBorders>
              <w:top w:val="single" w:sz="6" w:space="0" w:color="auto"/>
              <w:left w:val="single" w:sz="6" w:space="0" w:color="auto"/>
              <w:right w:val="single" w:sz="6" w:space="0" w:color="auto"/>
            </w:tcBorders>
            <w:vAlign w:val="bottom"/>
          </w:tcPr>
          <w:p w:rsidR="00AF2508" w:rsidRDefault="00AF2508">
            <w:pPr>
              <w:pStyle w:val="TableColHd"/>
              <w:rPr>
                <w:sz w:val="14"/>
              </w:rPr>
            </w:pPr>
            <w:r>
              <w:rPr>
                <w:sz w:val="14"/>
              </w:rPr>
              <w:t xml:space="preserve">dimen-sions of </w:t>
            </w:r>
          </w:p>
          <w:p w:rsidR="00AF2508" w:rsidRDefault="00AF2508">
            <w:pPr>
              <w:pStyle w:val="TableColHd"/>
              <w:rPr>
                <w:sz w:val="14"/>
              </w:rPr>
            </w:pPr>
            <w:r>
              <w:rPr>
                <w:sz w:val="14"/>
              </w:rPr>
              <w:t>section of horizontal bracings II</w:t>
            </w:r>
          </w:p>
        </w:tc>
        <w:tc>
          <w:tcPr>
            <w:tcW w:w="855" w:type="dxa"/>
            <w:gridSpan w:val="2"/>
            <w:vMerge w:val="restart"/>
            <w:tcBorders>
              <w:top w:val="single" w:sz="6" w:space="0" w:color="auto"/>
              <w:left w:val="single" w:sz="6" w:space="0" w:color="auto"/>
            </w:tcBorders>
            <w:vAlign w:val="bottom"/>
          </w:tcPr>
          <w:p w:rsidR="00AF2508" w:rsidRDefault="00AF2508">
            <w:pPr>
              <w:pStyle w:val="TableColHd"/>
              <w:rPr>
                <w:sz w:val="14"/>
              </w:rPr>
            </w:pPr>
            <w:r>
              <w:rPr>
                <w:sz w:val="14"/>
              </w:rPr>
              <w:t>form of section of diagonal bracings II</w:t>
            </w:r>
          </w:p>
        </w:tc>
        <w:tc>
          <w:tcPr>
            <w:tcW w:w="855" w:type="dxa"/>
            <w:vMerge w:val="restart"/>
            <w:tcBorders>
              <w:top w:val="single" w:sz="6" w:space="0" w:color="auto"/>
              <w:left w:val="single" w:sz="6" w:space="0" w:color="auto"/>
            </w:tcBorders>
            <w:vAlign w:val="bottom"/>
          </w:tcPr>
          <w:p w:rsidR="00AF2508" w:rsidRDefault="00AF2508">
            <w:pPr>
              <w:pStyle w:val="TableColHd"/>
              <w:rPr>
                <w:sz w:val="14"/>
              </w:rPr>
            </w:pPr>
            <w:r>
              <w:rPr>
                <w:sz w:val="14"/>
              </w:rPr>
              <w:t>dimen-sions of section of diagonal bracing II</w:t>
            </w:r>
          </w:p>
        </w:tc>
        <w:tc>
          <w:tcPr>
            <w:tcW w:w="855" w:type="dxa"/>
            <w:gridSpan w:val="2"/>
            <w:vMerge w:val="restart"/>
            <w:tcBorders>
              <w:top w:val="single" w:sz="6" w:space="0" w:color="auto"/>
              <w:left w:val="single" w:sz="6" w:space="0" w:color="auto"/>
            </w:tcBorders>
            <w:vAlign w:val="bottom"/>
          </w:tcPr>
          <w:p w:rsidR="00AF2508" w:rsidRDefault="00AF2508">
            <w:pPr>
              <w:pStyle w:val="TableColHd"/>
              <w:rPr>
                <w:sz w:val="14"/>
              </w:rPr>
            </w:pPr>
            <w:r>
              <w:rPr>
                <w:sz w:val="14"/>
              </w:rPr>
              <w:t xml:space="preserve">form of section of  top horizontal whalings # </w:t>
            </w:r>
          </w:p>
        </w:tc>
        <w:tc>
          <w:tcPr>
            <w:tcW w:w="855" w:type="dxa"/>
            <w:gridSpan w:val="2"/>
            <w:vMerge w:val="restart"/>
            <w:tcBorders>
              <w:top w:val="single" w:sz="6" w:space="0" w:color="auto"/>
              <w:left w:val="single" w:sz="6" w:space="0" w:color="auto"/>
            </w:tcBorders>
            <w:vAlign w:val="bottom"/>
          </w:tcPr>
          <w:p w:rsidR="00AF2508" w:rsidRDefault="00AF2508">
            <w:pPr>
              <w:pStyle w:val="TableColHd"/>
              <w:rPr>
                <w:sz w:val="14"/>
              </w:rPr>
            </w:pPr>
            <w:r>
              <w:rPr>
                <w:sz w:val="14"/>
              </w:rPr>
              <w:t>dimen-sions of section of top horizontal whalings #</w:t>
            </w:r>
          </w:p>
        </w:tc>
        <w:tc>
          <w:tcPr>
            <w:tcW w:w="780" w:type="dxa"/>
            <w:vMerge w:val="restart"/>
            <w:tcBorders>
              <w:top w:val="single" w:sz="6" w:space="0" w:color="auto"/>
              <w:left w:val="single" w:sz="6" w:space="0" w:color="auto"/>
            </w:tcBorders>
            <w:vAlign w:val="bottom"/>
          </w:tcPr>
          <w:p w:rsidR="00AF2508" w:rsidRDefault="00AF2508">
            <w:pPr>
              <w:pStyle w:val="TableColHd"/>
              <w:rPr>
                <w:sz w:val="14"/>
              </w:rPr>
            </w:pPr>
            <w:r>
              <w:rPr>
                <w:sz w:val="14"/>
              </w:rPr>
              <w:t>form of section of head-beams</w:t>
            </w:r>
          </w:p>
        </w:tc>
        <w:tc>
          <w:tcPr>
            <w:tcW w:w="840" w:type="dxa"/>
            <w:gridSpan w:val="2"/>
            <w:vMerge w:val="restart"/>
            <w:tcBorders>
              <w:top w:val="single" w:sz="6" w:space="0" w:color="auto"/>
              <w:left w:val="single" w:sz="6" w:space="0" w:color="auto"/>
            </w:tcBorders>
            <w:vAlign w:val="bottom"/>
          </w:tcPr>
          <w:p w:rsidR="00AF2508" w:rsidRDefault="00AF2508">
            <w:pPr>
              <w:pStyle w:val="TableColHd"/>
              <w:rPr>
                <w:sz w:val="14"/>
              </w:rPr>
            </w:pPr>
            <w:r>
              <w:rPr>
                <w:sz w:val="14"/>
              </w:rPr>
              <w:t>dimen-sions of section of head-beams</w:t>
            </w:r>
          </w:p>
        </w:tc>
        <w:tc>
          <w:tcPr>
            <w:tcW w:w="945" w:type="dxa"/>
            <w:vMerge w:val="restart"/>
            <w:tcBorders>
              <w:top w:val="single" w:sz="6" w:space="0" w:color="auto"/>
              <w:left w:val="single" w:sz="6" w:space="0" w:color="auto"/>
            </w:tcBorders>
            <w:vAlign w:val="bottom"/>
          </w:tcPr>
          <w:p w:rsidR="00AF2508" w:rsidRDefault="00AF2508">
            <w:pPr>
              <w:pStyle w:val="TableColHd"/>
              <w:rPr>
                <w:sz w:val="14"/>
              </w:rPr>
            </w:pPr>
            <w:r>
              <w:rPr>
                <w:sz w:val="14"/>
              </w:rPr>
              <w:t>form of section of tower base whalings</w:t>
            </w:r>
          </w:p>
        </w:tc>
        <w:tc>
          <w:tcPr>
            <w:tcW w:w="855" w:type="dxa"/>
            <w:gridSpan w:val="2"/>
            <w:vMerge w:val="restart"/>
            <w:tcBorders>
              <w:top w:val="single" w:sz="6" w:space="0" w:color="auto"/>
              <w:left w:val="single" w:sz="6" w:space="0" w:color="auto"/>
            </w:tcBorders>
            <w:vAlign w:val="bottom"/>
          </w:tcPr>
          <w:p w:rsidR="00AF2508" w:rsidRDefault="00AF2508">
            <w:pPr>
              <w:pStyle w:val="TableColHd"/>
              <w:rPr>
                <w:sz w:val="14"/>
              </w:rPr>
            </w:pPr>
            <w:r>
              <w:rPr>
                <w:sz w:val="14"/>
              </w:rPr>
              <w:t>dimen-sions of section tower base whalings</w:t>
            </w:r>
          </w:p>
        </w:tc>
      </w:tr>
      <w:tr w:rsidR="00AF2508">
        <w:trPr>
          <w:gridAfter w:val="1"/>
          <w:wAfter w:w="48" w:type="dxa"/>
          <w:cantSplit/>
          <w:tblHeader/>
        </w:trPr>
        <w:tc>
          <w:tcPr>
            <w:tcW w:w="600" w:type="dxa"/>
            <w:tcBorders>
              <w:top w:val="single" w:sz="6" w:space="0" w:color="auto"/>
              <w:bottom w:val="single" w:sz="6" w:space="0" w:color="auto"/>
            </w:tcBorders>
            <w:vAlign w:val="bottom"/>
          </w:tcPr>
          <w:p w:rsidR="00AF2508" w:rsidRDefault="00AF2508">
            <w:pPr>
              <w:pStyle w:val="TableColHd"/>
              <w:rPr>
                <w:sz w:val="14"/>
              </w:rPr>
            </w:pPr>
            <w:r>
              <w:rPr>
                <w:sz w:val="14"/>
              </w:rPr>
              <w:t>guyed</w:t>
            </w:r>
          </w:p>
        </w:tc>
        <w:tc>
          <w:tcPr>
            <w:tcW w:w="960" w:type="dxa"/>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rPr>
                <w:sz w:val="14"/>
              </w:rPr>
            </w:pPr>
            <w:r>
              <w:rPr>
                <w:sz w:val="14"/>
              </w:rPr>
              <w:t>supported‡</w:t>
            </w:r>
          </w:p>
        </w:tc>
        <w:tc>
          <w:tcPr>
            <w:tcW w:w="720" w:type="dxa"/>
            <w:tcBorders>
              <w:left w:val="single" w:sz="6" w:space="0" w:color="auto"/>
              <w:bottom w:val="single" w:sz="6" w:space="0" w:color="auto"/>
              <w:right w:val="single" w:sz="6" w:space="0" w:color="auto"/>
            </w:tcBorders>
            <w:vAlign w:val="bottom"/>
          </w:tcPr>
          <w:p w:rsidR="00AF2508" w:rsidRDefault="00AF2508">
            <w:pPr>
              <w:pStyle w:val="TableColHd"/>
              <w:rPr>
                <w:sz w:val="14"/>
              </w:rPr>
            </w:pPr>
            <w:r>
              <w:rPr>
                <w:sz w:val="14"/>
              </w:rPr>
              <w:t>material</w:t>
            </w:r>
          </w:p>
        </w:tc>
        <w:tc>
          <w:tcPr>
            <w:tcW w:w="600" w:type="dxa"/>
            <w:tcBorders>
              <w:left w:val="single" w:sz="6" w:space="0" w:color="auto"/>
              <w:bottom w:val="single" w:sz="6" w:space="0" w:color="auto"/>
              <w:right w:val="single" w:sz="6" w:space="0" w:color="auto"/>
            </w:tcBorders>
            <w:vAlign w:val="bottom"/>
          </w:tcPr>
          <w:p w:rsidR="00AF2508" w:rsidRDefault="00AF2508">
            <w:pPr>
              <w:pStyle w:val="TableColHd"/>
              <w:rPr>
                <w:sz w:val="14"/>
              </w:rPr>
            </w:pPr>
            <w:r>
              <w:rPr>
                <w:sz w:val="14"/>
              </w:rPr>
              <w:t>†max panel length</w:t>
            </w:r>
          </w:p>
        </w:tc>
        <w:tc>
          <w:tcPr>
            <w:tcW w:w="720" w:type="dxa"/>
            <w:tcBorders>
              <w:left w:val="single" w:sz="6" w:space="0" w:color="auto"/>
              <w:bottom w:val="single" w:sz="6" w:space="0" w:color="auto"/>
              <w:right w:val="single" w:sz="6" w:space="0" w:color="auto"/>
            </w:tcBorders>
            <w:vAlign w:val="bottom"/>
          </w:tcPr>
          <w:p w:rsidR="00AF2508" w:rsidRDefault="00AF2508">
            <w:pPr>
              <w:pStyle w:val="TableColHd"/>
              <w:rPr>
                <w:sz w:val="14"/>
              </w:rPr>
            </w:pPr>
            <w:r>
              <w:rPr>
                <w:sz w:val="14"/>
              </w:rPr>
              <w:t>form of section of vertical</w:t>
            </w:r>
          </w:p>
        </w:tc>
        <w:tc>
          <w:tcPr>
            <w:tcW w:w="960" w:type="dxa"/>
            <w:tcBorders>
              <w:left w:val="single" w:sz="6" w:space="0" w:color="auto"/>
              <w:bottom w:val="single" w:sz="6" w:space="0" w:color="auto"/>
              <w:right w:val="single" w:sz="6" w:space="0" w:color="auto"/>
            </w:tcBorders>
            <w:vAlign w:val="bottom"/>
          </w:tcPr>
          <w:p w:rsidR="00AF2508" w:rsidRDefault="00AF2508">
            <w:pPr>
              <w:pStyle w:val="TableColHd"/>
              <w:rPr>
                <w:sz w:val="14"/>
              </w:rPr>
            </w:pPr>
            <w:r>
              <w:rPr>
                <w:sz w:val="14"/>
              </w:rPr>
              <w:t>dimensions of section of vertical</w:t>
            </w:r>
          </w:p>
        </w:tc>
        <w:tc>
          <w:tcPr>
            <w:tcW w:w="840" w:type="dxa"/>
            <w:vMerge/>
            <w:tcBorders>
              <w:left w:val="single" w:sz="6" w:space="0" w:color="auto"/>
              <w:bottom w:val="single" w:sz="6" w:space="0" w:color="auto"/>
              <w:right w:val="single" w:sz="6" w:space="0" w:color="auto"/>
            </w:tcBorders>
            <w:vAlign w:val="bottom"/>
          </w:tcPr>
          <w:p w:rsidR="00AF2508" w:rsidRDefault="00AF2508">
            <w:pPr>
              <w:pStyle w:val="TableColHd"/>
              <w:rPr>
                <w:sz w:val="14"/>
              </w:rPr>
            </w:pPr>
          </w:p>
        </w:tc>
        <w:tc>
          <w:tcPr>
            <w:tcW w:w="840" w:type="dxa"/>
            <w:vMerge/>
            <w:tcBorders>
              <w:left w:val="single" w:sz="6" w:space="0" w:color="auto"/>
              <w:bottom w:val="single" w:sz="6" w:space="0" w:color="auto"/>
              <w:right w:val="single" w:sz="6" w:space="0" w:color="auto"/>
            </w:tcBorders>
            <w:vAlign w:val="bottom"/>
          </w:tcPr>
          <w:p w:rsidR="00AF2508" w:rsidRDefault="00AF2508">
            <w:pPr>
              <w:pStyle w:val="TableColHd"/>
              <w:rPr>
                <w:sz w:val="14"/>
              </w:rPr>
            </w:pPr>
          </w:p>
        </w:tc>
        <w:tc>
          <w:tcPr>
            <w:tcW w:w="855" w:type="dxa"/>
            <w:gridSpan w:val="2"/>
            <w:vMerge/>
            <w:tcBorders>
              <w:left w:val="single" w:sz="6" w:space="0" w:color="auto"/>
              <w:bottom w:val="single" w:sz="6" w:space="0" w:color="auto"/>
            </w:tcBorders>
            <w:vAlign w:val="bottom"/>
          </w:tcPr>
          <w:p w:rsidR="00AF2508" w:rsidRDefault="00AF2508">
            <w:pPr>
              <w:pStyle w:val="TableColHd"/>
              <w:rPr>
                <w:sz w:val="14"/>
              </w:rPr>
            </w:pPr>
          </w:p>
        </w:tc>
        <w:tc>
          <w:tcPr>
            <w:tcW w:w="855" w:type="dxa"/>
            <w:vMerge/>
            <w:tcBorders>
              <w:left w:val="single" w:sz="6" w:space="0" w:color="auto"/>
              <w:bottom w:val="single" w:sz="6" w:space="0" w:color="auto"/>
            </w:tcBorders>
            <w:vAlign w:val="bottom"/>
          </w:tcPr>
          <w:p w:rsidR="00AF2508" w:rsidRDefault="00AF2508">
            <w:pPr>
              <w:pStyle w:val="TableColHd"/>
              <w:rPr>
                <w:sz w:val="14"/>
              </w:rPr>
            </w:pPr>
          </w:p>
        </w:tc>
        <w:tc>
          <w:tcPr>
            <w:tcW w:w="858" w:type="dxa"/>
            <w:gridSpan w:val="2"/>
            <w:vMerge/>
            <w:tcBorders>
              <w:left w:val="single" w:sz="6" w:space="0" w:color="auto"/>
              <w:bottom w:val="single" w:sz="6" w:space="0" w:color="auto"/>
            </w:tcBorders>
            <w:vAlign w:val="bottom"/>
          </w:tcPr>
          <w:p w:rsidR="00AF2508" w:rsidRDefault="00AF2508">
            <w:pPr>
              <w:pStyle w:val="TableColHd"/>
              <w:rPr>
                <w:sz w:val="14"/>
              </w:rPr>
            </w:pPr>
          </w:p>
        </w:tc>
        <w:tc>
          <w:tcPr>
            <w:tcW w:w="855" w:type="dxa"/>
            <w:gridSpan w:val="2"/>
            <w:vMerge/>
            <w:tcBorders>
              <w:left w:val="single" w:sz="6" w:space="0" w:color="auto"/>
              <w:bottom w:val="single" w:sz="6" w:space="0" w:color="auto"/>
            </w:tcBorders>
            <w:vAlign w:val="bottom"/>
          </w:tcPr>
          <w:p w:rsidR="00AF2508" w:rsidRDefault="00AF2508">
            <w:pPr>
              <w:pStyle w:val="TableColHd"/>
              <w:rPr>
                <w:sz w:val="14"/>
              </w:rPr>
            </w:pPr>
          </w:p>
        </w:tc>
        <w:tc>
          <w:tcPr>
            <w:tcW w:w="780" w:type="dxa"/>
            <w:vMerge/>
            <w:tcBorders>
              <w:left w:val="single" w:sz="6" w:space="0" w:color="auto"/>
              <w:bottom w:val="single" w:sz="6" w:space="0" w:color="auto"/>
            </w:tcBorders>
            <w:vAlign w:val="bottom"/>
          </w:tcPr>
          <w:p w:rsidR="00AF2508" w:rsidRDefault="00AF2508">
            <w:pPr>
              <w:pStyle w:val="TableColHd"/>
              <w:rPr>
                <w:sz w:val="14"/>
              </w:rPr>
            </w:pPr>
          </w:p>
        </w:tc>
        <w:tc>
          <w:tcPr>
            <w:tcW w:w="840" w:type="dxa"/>
            <w:gridSpan w:val="2"/>
            <w:vMerge/>
            <w:tcBorders>
              <w:left w:val="single" w:sz="6" w:space="0" w:color="auto"/>
              <w:bottom w:val="single" w:sz="6" w:space="0" w:color="auto"/>
            </w:tcBorders>
            <w:vAlign w:val="bottom"/>
          </w:tcPr>
          <w:p w:rsidR="00AF2508" w:rsidRDefault="00AF2508">
            <w:pPr>
              <w:pStyle w:val="TableColHd"/>
              <w:rPr>
                <w:sz w:val="14"/>
              </w:rPr>
            </w:pPr>
          </w:p>
        </w:tc>
        <w:tc>
          <w:tcPr>
            <w:tcW w:w="945" w:type="dxa"/>
            <w:vMerge/>
            <w:tcBorders>
              <w:left w:val="single" w:sz="6" w:space="0" w:color="auto"/>
              <w:bottom w:val="single" w:sz="6" w:space="0" w:color="auto"/>
            </w:tcBorders>
            <w:vAlign w:val="bottom"/>
          </w:tcPr>
          <w:p w:rsidR="00AF2508" w:rsidRDefault="00AF2508">
            <w:pPr>
              <w:pStyle w:val="TableColHd"/>
              <w:rPr>
                <w:sz w:val="14"/>
              </w:rPr>
            </w:pPr>
          </w:p>
        </w:tc>
        <w:tc>
          <w:tcPr>
            <w:tcW w:w="855" w:type="dxa"/>
            <w:gridSpan w:val="2"/>
            <w:vMerge/>
            <w:tcBorders>
              <w:left w:val="single" w:sz="6" w:space="0" w:color="auto"/>
              <w:bottom w:val="single" w:sz="6" w:space="0" w:color="auto"/>
            </w:tcBorders>
            <w:vAlign w:val="bottom"/>
          </w:tcPr>
          <w:p w:rsidR="00AF2508" w:rsidRDefault="00AF2508">
            <w:pPr>
              <w:pStyle w:val="TableColHd"/>
              <w:rPr>
                <w:sz w:val="14"/>
              </w:rPr>
            </w:pPr>
          </w:p>
        </w:tc>
      </w:tr>
      <w:tr w:rsidR="00AF2508">
        <w:trPr>
          <w:gridAfter w:val="1"/>
          <w:wAfter w:w="48" w:type="dxa"/>
          <w:cantSplit/>
        </w:trPr>
        <w:tc>
          <w:tcPr>
            <w:tcW w:w="600" w:type="dxa"/>
            <w:tcBorders>
              <w:top w:val="single" w:sz="6" w:space="0" w:color="auto"/>
            </w:tcBorders>
          </w:tcPr>
          <w:p w:rsidR="00AF2508" w:rsidRDefault="00AF2508">
            <w:pPr>
              <w:pStyle w:val="TableText"/>
              <w:rPr>
                <w:sz w:val="16"/>
              </w:rPr>
            </w:pPr>
            <w:r>
              <w:rPr>
                <w:sz w:val="16"/>
              </w:rPr>
              <w:t>200</w:t>
            </w:r>
          </w:p>
        </w:tc>
        <w:tc>
          <w:tcPr>
            <w:tcW w:w="96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200</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pine timber *</w:t>
            </w:r>
          </w:p>
        </w:tc>
        <w:tc>
          <w:tcPr>
            <w:tcW w:w="60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60</w:t>
            </w:r>
          </w:p>
        </w:tc>
        <w:tc>
          <w:tcPr>
            <w:tcW w:w="72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rect-angular</w:t>
            </w:r>
          </w:p>
        </w:tc>
        <w:tc>
          <w:tcPr>
            <w:tcW w:w="96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one 4 × 4 or two 5  × 2</w:t>
            </w:r>
          </w:p>
        </w:tc>
        <w:tc>
          <w:tcPr>
            <w:tcW w:w="8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rect-angular</w:t>
            </w:r>
          </w:p>
        </w:tc>
        <w:tc>
          <w:tcPr>
            <w:tcW w:w="8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5 × 2</w:t>
            </w:r>
          </w:p>
        </w:tc>
        <w:tc>
          <w:tcPr>
            <w:tcW w:w="8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rect-angular</w:t>
            </w:r>
          </w:p>
        </w:tc>
        <w:tc>
          <w:tcPr>
            <w:tcW w:w="888" w:type="dxa"/>
            <w:gridSpan w:val="3"/>
            <w:tcBorders>
              <w:top w:val="single" w:sz="6" w:space="0" w:color="auto"/>
              <w:left w:val="single" w:sz="6" w:space="0" w:color="auto"/>
              <w:right w:val="single" w:sz="6" w:space="0" w:color="auto"/>
            </w:tcBorders>
          </w:tcPr>
          <w:p w:rsidR="00AF2508" w:rsidRDefault="00AF2508">
            <w:pPr>
              <w:pStyle w:val="TableText"/>
              <w:rPr>
                <w:sz w:val="16"/>
              </w:rPr>
            </w:pPr>
            <w:r>
              <w:rPr>
                <w:sz w:val="16"/>
              </w:rPr>
              <w:t>5 × 2</w:t>
            </w:r>
          </w:p>
        </w:tc>
        <w:tc>
          <w:tcPr>
            <w:tcW w:w="8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rect-angular</w:t>
            </w:r>
          </w:p>
        </w:tc>
        <w:tc>
          <w:tcPr>
            <w:tcW w:w="840" w:type="dxa"/>
            <w:tcBorders>
              <w:top w:val="single" w:sz="6" w:space="0" w:color="auto"/>
              <w:left w:val="single" w:sz="6" w:space="0" w:color="auto"/>
              <w:right w:val="single" w:sz="6" w:space="0" w:color="auto"/>
            </w:tcBorders>
          </w:tcPr>
          <w:p w:rsidR="00AF2508" w:rsidRDefault="00AF2508">
            <w:pPr>
              <w:pStyle w:val="TableText"/>
              <w:rPr>
                <w:sz w:val="16"/>
              </w:rPr>
            </w:pPr>
            <w:r>
              <w:rPr>
                <w:sz w:val="16"/>
              </w:rPr>
              <w:t>10 deep × 3</w:t>
            </w:r>
            <w:r>
              <w:rPr>
                <w:position w:val="4"/>
                <w:sz w:val="12"/>
              </w:rPr>
              <w:t>1</w:t>
            </w:r>
            <w:r>
              <w:rPr>
                <w:sz w:val="16"/>
              </w:rPr>
              <w:t>/</w:t>
            </w:r>
            <w:r>
              <w:rPr>
                <w:sz w:val="12"/>
              </w:rPr>
              <w:t>2</w:t>
            </w:r>
            <w:r>
              <w:rPr>
                <w:sz w:val="16"/>
              </w:rPr>
              <w:t xml:space="preserve"> wide</w:t>
            </w:r>
          </w:p>
        </w:tc>
        <w:tc>
          <w:tcPr>
            <w:tcW w:w="792" w:type="dxa"/>
            <w:gridSpan w:val="2"/>
            <w:tcBorders>
              <w:top w:val="single" w:sz="6" w:space="0" w:color="auto"/>
              <w:left w:val="single" w:sz="6" w:space="0" w:color="auto"/>
              <w:right w:val="single" w:sz="6" w:space="0" w:color="auto"/>
            </w:tcBorders>
          </w:tcPr>
          <w:p w:rsidR="00AF2508" w:rsidRDefault="00AF2508">
            <w:pPr>
              <w:pStyle w:val="TableText"/>
              <w:rPr>
                <w:sz w:val="16"/>
              </w:rPr>
            </w:pPr>
            <w:r>
              <w:rPr>
                <w:sz w:val="16"/>
              </w:rPr>
              <w:t>rect-angular hard-wood</w:t>
            </w:r>
          </w:p>
        </w:tc>
        <w:tc>
          <w:tcPr>
            <w:tcW w:w="840" w:type="dxa"/>
            <w:gridSpan w:val="2"/>
            <w:tcBorders>
              <w:top w:val="single" w:sz="6" w:space="0" w:color="auto"/>
              <w:left w:val="single" w:sz="6" w:space="0" w:color="auto"/>
              <w:right w:val="single" w:sz="6" w:space="0" w:color="auto"/>
            </w:tcBorders>
          </w:tcPr>
          <w:p w:rsidR="00AF2508" w:rsidRDefault="00AF2508">
            <w:pPr>
              <w:pStyle w:val="TableText"/>
              <w:rPr>
                <w:sz w:val="16"/>
              </w:rPr>
            </w:pPr>
            <w:r>
              <w:rPr>
                <w:sz w:val="16"/>
              </w:rPr>
              <w:t>two 6 deep × 4 wide</w:t>
            </w:r>
          </w:p>
        </w:tc>
        <w:tc>
          <w:tcPr>
            <w:tcW w:w="960" w:type="dxa"/>
            <w:gridSpan w:val="2"/>
            <w:tcBorders>
              <w:top w:val="single" w:sz="6" w:space="0" w:color="auto"/>
              <w:left w:val="single" w:sz="6" w:space="0" w:color="auto"/>
              <w:right w:val="single" w:sz="6" w:space="0" w:color="auto"/>
            </w:tcBorders>
          </w:tcPr>
          <w:p w:rsidR="00AF2508" w:rsidRDefault="00AF2508">
            <w:pPr>
              <w:pStyle w:val="TableText"/>
              <w:rPr>
                <w:sz w:val="16"/>
              </w:rPr>
            </w:pPr>
            <w:r>
              <w:rPr>
                <w:sz w:val="16"/>
              </w:rPr>
              <w:t>rectangular</w:t>
            </w:r>
          </w:p>
        </w:tc>
        <w:tc>
          <w:tcPr>
            <w:tcW w:w="840" w:type="dxa"/>
            <w:tcBorders>
              <w:top w:val="single" w:sz="6" w:space="0" w:color="auto"/>
            </w:tcBorders>
          </w:tcPr>
          <w:p w:rsidR="00AF2508" w:rsidRDefault="00AF2508">
            <w:pPr>
              <w:pStyle w:val="TableText"/>
              <w:rPr>
                <w:sz w:val="16"/>
              </w:rPr>
            </w:pPr>
            <w:r>
              <w:rPr>
                <w:sz w:val="16"/>
              </w:rPr>
              <w:t>5 deep × 2 wide</w:t>
            </w:r>
          </w:p>
        </w:tc>
      </w:tr>
      <w:tr w:rsidR="00AF2508">
        <w:trPr>
          <w:gridAfter w:val="1"/>
          <w:wAfter w:w="48" w:type="dxa"/>
          <w:cantSplit/>
        </w:trPr>
        <w:tc>
          <w:tcPr>
            <w:tcW w:w="600" w:type="dxa"/>
            <w:tcBorders>
              <w:top w:val="single" w:sz="6" w:space="0" w:color="auto"/>
              <w:bottom w:val="single" w:sz="6" w:space="0" w:color="auto"/>
              <w:right w:val="single" w:sz="6" w:space="0" w:color="auto"/>
            </w:tcBorders>
          </w:tcPr>
          <w:p w:rsidR="00AF2508" w:rsidRDefault="00AF2508">
            <w:pPr>
              <w:pStyle w:val="TableText"/>
              <w:rPr>
                <w:sz w:val="16"/>
              </w:rPr>
            </w:pPr>
            <w:r>
              <w:rPr>
                <w:sz w:val="16"/>
              </w:rPr>
              <w:t>200</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mild steel</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angle</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 xml:space="preserve">3 × 3 × </w:t>
            </w:r>
            <w:r>
              <w:rPr>
                <w:position w:val="4"/>
                <w:sz w:val="12"/>
              </w:rPr>
              <w:t>5</w:t>
            </w:r>
            <w:r>
              <w:rPr>
                <w:sz w:val="16"/>
              </w:rPr>
              <w:t>/</w:t>
            </w:r>
            <w:r>
              <w:rPr>
                <w:sz w:val="12"/>
              </w:rPr>
              <w:t>16</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angle</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2</w:t>
            </w:r>
            <w:r>
              <w:rPr>
                <w:position w:val="4"/>
                <w:sz w:val="12"/>
              </w:rPr>
              <w:t>1</w:t>
            </w:r>
            <w:r>
              <w:rPr>
                <w:sz w:val="16"/>
              </w:rPr>
              <w:t>/</w:t>
            </w:r>
            <w:r>
              <w:rPr>
                <w:sz w:val="12"/>
              </w:rPr>
              <w:t>2</w:t>
            </w:r>
            <w:r>
              <w:rPr>
                <w:sz w:val="16"/>
              </w:rPr>
              <w:t xml:space="preserve"> x 2</w:t>
            </w:r>
            <w:r>
              <w:rPr>
                <w:position w:val="4"/>
                <w:sz w:val="12"/>
              </w:rPr>
              <w:t>1</w:t>
            </w:r>
            <w:r>
              <w:rPr>
                <w:sz w:val="16"/>
              </w:rPr>
              <w:t>/</w:t>
            </w:r>
            <w:r>
              <w:rPr>
                <w:sz w:val="12"/>
              </w:rPr>
              <w:t xml:space="preserve">2 </w:t>
            </w:r>
            <w:r>
              <w:rPr>
                <w:sz w:val="16"/>
              </w:rPr>
              <w:t xml:space="preserve">x </w:t>
            </w:r>
            <w:r>
              <w:rPr>
                <w:position w:val="4"/>
                <w:sz w:val="12"/>
              </w:rPr>
              <w:t>1</w:t>
            </w:r>
            <w:r>
              <w:rPr>
                <w:sz w:val="16"/>
              </w:rPr>
              <w:t>/</w:t>
            </w:r>
            <w:r>
              <w:rPr>
                <w:sz w:val="12"/>
              </w:rPr>
              <w:t>4</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angle or 2 flats</w:t>
            </w:r>
          </w:p>
        </w:tc>
        <w:tc>
          <w:tcPr>
            <w:tcW w:w="888"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2</w:t>
            </w:r>
            <w:r>
              <w:rPr>
                <w:position w:val="4"/>
                <w:sz w:val="12"/>
              </w:rPr>
              <w:t>1</w:t>
            </w:r>
            <w:r>
              <w:rPr>
                <w:sz w:val="16"/>
              </w:rPr>
              <w:t>/</w:t>
            </w:r>
            <w:r>
              <w:rPr>
                <w:sz w:val="12"/>
              </w:rPr>
              <w:t>2</w:t>
            </w:r>
            <w:r>
              <w:rPr>
                <w:sz w:val="16"/>
              </w:rPr>
              <w:t xml:space="preserve"> x 2</w:t>
            </w:r>
            <w:r>
              <w:rPr>
                <w:position w:val="4"/>
                <w:sz w:val="12"/>
              </w:rPr>
              <w:t>1</w:t>
            </w:r>
            <w:r>
              <w:rPr>
                <w:sz w:val="16"/>
              </w:rPr>
              <w:t>/</w:t>
            </w:r>
            <w:r>
              <w:rPr>
                <w:sz w:val="12"/>
              </w:rPr>
              <w:t xml:space="preserve">2 </w:t>
            </w:r>
            <w:r>
              <w:rPr>
                <w:sz w:val="16"/>
              </w:rPr>
              <w:t xml:space="preserve">x </w:t>
            </w:r>
            <w:r>
              <w:rPr>
                <w:position w:val="4"/>
                <w:sz w:val="12"/>
              </w:rPr>
              <w:t>¼</w:t>
            </w:r>
          </w:p>
          <w:p w:rsidR="00AF2508" w:rsidRDefault="00AF2508">
            <w:pPr>
              <w:pStyle w:val="TableText"/>
              <w:rPr>
                <w:sz w:val="16"/>
              </w:rPr>
            </w:pPr>
            <w:r>
              <w:rPr>
                <w:sz w:val="16"/>
              </w:rPr>
              <w:t xml:space="preserve">Two 2 × </w:t>
            </w:r>
            <w:r>
              <w:rPr>
                <w:position w:val="4"/>
                <w:sz w:val="12"/>
              </w:rPr>
              <w:t>1</w:t>
            </w:r>
            <w:r>
              <w:rPr>
                <w:sz w:val="16"/>
              </w:rPr>
              <w:t>/</w:t>
            </w:r>
            <w:r>
              <w:rPr>
                <w:sz w:val="12"/>
              </w:rPr>
              <w:t>4</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channel</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7 deep × 3 wide</w:t>
            </w:r>
          </w:p>
        </w:tc>
        <w:tc>
          <w:tcPr>
            <w:tcW w:w="79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channel</w:t>
            </w:r>
          </w:p>
        </w:tc>
        <w:tc>
          <w:tcPr>
            <w:tcW w:w="84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6 deep × 3 wide</w:t>
            </w:r>
          </w:p>
        </w:tc>
        <w:tc>
          <w:tcPr>
            <w:tcW w:w="96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channel or angle</w:t>
            </w:r>
          </w:p>
        </w:tc>
        <w:tc>
          <w:tcPr>
            <w:tcW w:w="840" w:type="dxa"/>
            <w:tcBorders>
              <w:top w:val="single" w:sz="6" w:space="0" w:color="auto"/>
              <w:left w:val="single" w:sz="6" w:space="0" w:color="auto"/>
              <w:bottom w:val="single" w:sz="6" w:space="0" w:color="auto"/>
            </w:tcBorders>
          </w:tcPr>
          <w:p w:rsidR="00AF2508" w:rsidRDefault="00AF2508">
            <w:pPr>
              <w:pStyle w:val="TableText"/>
              <w:rPr>
                <w:sz w:val="16"/>
              </w:rPr>
            </w:pPr>
            <w:r>
              <w:rPr>
                <w:sz w:val="16"/>
              </w:rPr>
              <w:t xml:space="preserve">4 deep × </w:t>
            </w:r>
            <w:r>
              <w:rPr>
                <w:sz w:val="16"/>
              </w:rPr>
              <w:br/>
              <w:t>2 wide</w:t>
            </w:r>
          </w:p>
          <w:p w:rsidR="00AF2508" w:rsidRDefault="00AF2508">
            <w:pPr>
              <w:pStyle w:val="TableText"/>
              <w:rPr>
                <w:sz w:val="16"/>
              </w:rPr>
            </w:pPr>
            <w:r>
              <w:rPr>
                <w:sz w:val="16"/>
              </w:rPr>
              <w:t xml:space="preserve">3 × 3 × </w:t>
            </w:r>
            <w:r>
              <w:rPr>
                <w:position w:val="4"/>
                <w:sz w:val="12"/>
              </w:rPr>
              <w:t>5</w:t>
            </w:r>
            <w:r>
              <w:rPr>
                <w:sz w:val="16"/>
              </w:rPr>
              <w:t>/</w:t>
            </w:r>
            <w:r>
              <w:rPr>
                <w:sz w:val="12"/>
              </w:rPr>
              <w:t>16</w:t>
            </w:r>
          </w:p>
        </w:tc>
      </w:tr>
      <w:tr w:rsidR="00AF2508">
        <w:trPr>
          <w:gridAfter w:val="1"/>
          <w:wAfter w:w="48" w:type="dxa"/>
          <w:cantSplit/>
        </w:trPr>
        <w:tc>
          <w:tcPr>
            <w:tcW w:w="600" w:type="dxa"/>
            <w:tcBorders>
              <w:top w:val="single" w:sz="6" w:space="0" w:color="auto"/>
              <w:bottom w:val="single" w:sz="6" w:space="0" w:color="auto"/>
              <w:right w:val="single" w:sz="6" w:space="0" w:color="auto"/>
            </w:tcBorders>
          </w:tcPr>
          <w:p w:rsidR="00AF2508" w:rsidRDefault="00AF2508">
            <w:pPr>
              <w:pStyle w:val="TableText"/>
              <w:rPr>
                <w:sz w:val="16"/>
              </w:rPr>
            </w:pPr>
            <w:r>
              <w:rPr>
                <w:sz w:val="16"/>
              </w:rPr>
              <w:t>100 §</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mild steel</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888"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ditto</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ditto</w:t>
            </w:r>
          </w:p>
        </w:tc>
        <w:tc>
          <w:tcPr>
            <w:tcW w:w="79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ditto</w:t>
            </w:r>
          </w:p>
        </w:tc>
        <w:tc>
          <w:tcPr>
            <w:tcW w:w="84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ditto</w:t>
            </w:r>
          </w:p>
        </w:tc>
        <w:tc>
          <w:tcPr>
            <w:tcW w:w="96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840" w:type="dxa"/>
            <w:tcBorders>
              <w:top w:val="single" w:sz="6" w:space="0" w:color="auto"/>
              <w:left w:val="single" w:sz="6" w:space="0" w:color="auto"/>
              <w:bottom w:val="single" w:sz="6" w:space="0" w:color="auto"/>
            </w:tcBorders>
          </w:tcPr>
          <w:p w:rsidR="00AF2508" w:rsidRDefault="00AF2508">
            <w:pPr>
              <w:pStyle w:val="TableText"/>
              <w:rPr>
                <w:sz w:val="16"/>
              </w:rPr>
            </w:pPr>
            <w:r>
              <w:rPr>
                <w:sz w:val="16"/>
              </w:rPr>
              <w:t>1.9 outside diameter × 0.192 wall thickness</w:t>
            </w:r>
          </w:p>
        </w:tc>
      </w:tr>
      <w:tr w:rsidR="00AF2508">
        <w:trPr>
          <w:cantSplit/>
        </w:trPr>
        <w:tc>
          <w:tcPr>
            <w:tcW w:w="600" w:type="dxa"/>
            <w:tcBorders>
              <w:top w:val="single" w:sz="6" w:space="0" w:color="auto"/>
              <w:bottom w:val="single" w:sz="6" w:space="0" w:color="auto"/>
            </w:tcBorders>
          </w:tcPr>
          <w:p w:rsidR="00AF2508" w:rsidRDefault="00AF2508">
            <w:pPr>
              <w:pStyle w:val="TableText"/>
              <w:rPr>
                <w:sz w:val="16"/>
              </w:rPr>
            </w:pPr>
            <w:r>
              <w:rPr>
                <w:sz w:val="16"/>
              </w:rPr>
              <w:t>120 §</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alum-inium alloy *</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1.9 outside diameter × 0.176 wall thickness</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1.9 outside diameter × 0.176 wall thickness</w:t>
            </w:r>
          </w:p>
        </w:tc>
        <w:tc>
          <w:tcPr>
            <w:tcW w:w="8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888"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1.9 outside diameter × 0.176 wall thickness</w:t>
            </w:r>
          </w:p>
        </w:tc>
        <w:tc>
          <w:tcPr>
            <w:tcW w:w="168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or</w:t>
            </w:r>
            <w:r>
              <w:rPr>
                <w:sz w:val="16"/>
              </w:rPr>
              <w:br/>
              <w:t>to be framed in an approved way</w:t>
            </w:r>
          </w:p>
        </w:tc>
        <w:tc>
          <w:tcPr>
            <w:tcW w:w="79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ditto</w:t>
            </w:r>
          </w:p>
        </w:tc>
        <w:tc>
          <w:tcPr>
            <w:tcW w:w="828"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ditto</w:t>
            </w:r>
          </w:p>
        </w:tc>
        <w:tc>
          <w:tcPr>
            <w:tcW w:w="972"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16"/>
              </w:rPr>
            </w:pPr>
            <w:r>
              <w:rPr>
                <w:sz w:val="16"/>
              </w:rPr>
              <w:t>round tube **</w:t>
            </w:r>
          </w:p>
        </w:tc>
        <w:tc>
          <w:tcPr>
            <w:tcW w:w="888" w:type="dxa"/>
            <w:gridSpan w:val="2"/>
            <w:tcBorders>
              <w:top w:val="single" w:sz="6" w:space="0" w:color="auto"/>
              <w:bottom w:val="single" w:sz="6" w:space="0" w:color="auto"/>
            </w:tcBorders>
          </w:tcPr>
          <w:p w:rsidR="00AF2508" w:rsidRDefault="00AF2508">
            <w:pPr>
              <w:pStyle w:val="TableText"/>
              <w:rPr>
                <w:sz w:val="16"/>
              </w:rPr>
            </w:pPr>
            <w:r>
              <w:rPr>
                <w:sz w:val="16"/>
              </w:rPr>
              <w:t>1.9 outside diameter × 0.176 wall thickness</w:t>
            </w:r>
          </w:p>
        </w:tc>
      </w:tr>
    </w:tbl>
    <w:p w:rsidR="00AF2508" w:rsidRDefault="00AF2508">
      <w:pPr>
        <w:pStyle w:val="02TextLandscape"/>
        <w:sectPr w:rsidR="00AF2508">
          <w:headerReference w:type="even" r:id="rId135"/>
          <w:headerReference w:type="default" r:id="rId136"/>
          <w:footerReference w:type="even" r:id="rId137"/>
          <w:footerReference w:type="default" r:id="rId138"/>
          <w:pgSz w:w="16839" w:h="11907" w:orient="landscape" w:code="9"/>
          <w:pgMar w:top="2300" w:right="3000" w:bottom="1900" w:left="2500" w:header="2480" w:footer="2100" w:gutter="0"/>
          <w:cols w:space="720"/>
          <w:docGrid w:linePitch="254"/>
        </w:sectPr>
      </w:pPr>
    </w:p>
    <w:p w:rsidR="00AF2508" w:rsidRDefault="00AF2508">
      <w:pPr>
        <w:pStyle w:val="Amainreturn"/>
        <w:rPr>
          <w:sz w:val="20"/>
        </w:rPr>
      </w:pPr>
      <w:r>
        <w:rPr>
          <w:sz w:val="20"/>
        </w:rPr>
        <w:t>*</w:t>
      </w:r>
      <w:r>
        <w:rPr>
          <w:sz w:val="20"/>
        </w:rPr>
        <w:tab/>
        <w:t>These must be of approved type and quality and material.</w:t>
      </w:r>
    </w:p>
    <w:p w:rsidR="00AF2508" w:rsidRDefault="00AF2508">
      <w:pPr>
        <w:pStyle w:val="Amainreturn"/>
        <w:ind w:left="1440" w:hanging="340"/>
        <w:rPr>
          <w:sz w:val="20"/>
        </w:rPr>
      </w:pPr>
      <w:r>
        <w:rPr>
          <w:sz w:val="20"/>
        </w:rPr>
        <w:t>†</w:t>
      </w:r>
      <w:r>
        <w:rPr>
          <w:sz w:val="20"/>
        </w:rPr>
        <w:tab/>
        <w:t xml:space="preserve">This may be measured as a vertical distance from centre to centre of the horizontal braces referred to in note </w:t>
      </w:r>
      <w:r>
        <w:rPr>
          <w:rFonts w:ascii="Arial" w:hAnsi="Arial" w:cs="Arial"/>
          <w:sz w:val="18"/>
        </w:rPr>
        <w:t>II</w:t>
      </w:r>
      <w:r>
        <w:rPr>
          <w:sz w:val="20"/>
        </w:rPr>
        <w:t xml:space="preserve"> below.</w:t>
      </w:r>
    </w:p>
    <w:p w:rsidR="00AF2508" w:rsidRDefault="00AF2508">
      <w:pPr>
        <w:pStyle w:val="Amainreturn"/>
        <w:ind w:left="1440" w:hanging="340"/>
        <w:rPr>
          <w:sz w:val="20"/>
        </w:rPr>
      </w:pPr>
      <w:r>
        <w:rPr>
          <w:sz w:val="20"/>
        </w:rPr>
        <w:t>‡</w:t>
      </w:r>
      <w:r>
        <w:rPr>
          <w:sz w:val="20"/>
        </w:rPr>
        <w:tab/>
        <w:t>Provided tower is fully supported against wind and other lateral forces by being braced in an approved way to a building or structure equivalent to it.</w:t>
      </w:r>
    </w:p>
    <w:p w:rsidR="00AF2508" w:rsidRDefault="00AF2508">
      <w:pPr>
        <w:pStyle w:val="Amainreturn"/>
        <w:ind w:left="1440" w:hanging="340"/>
        <w:rPr>
          <w:sz w:val="20"/>
        </w:rPr>
      </w:pPr>
      <w:r>
        <w:rPr>
          <w:sz w:val="20"/>
        </w:rPr>
        <w:t>§</w:t>
      </w:r>
      <w:r>
        <w:rPr>
          <w:sz w:val="20"/>
        </w:rPr>
        <w:tab/>
        <w:t>This height may be increased by 30 feet if the major load or reaction applied by headbeams to tower is divided equally between 2 main verticals.</w:t>
      </w:r>
    </w:p>
    <w:p w:rsidR="00AF2508" w:rsidRDefault="00AF2508">
      <w:pPr>
        <w:pStyle w:val="Amainreturn"/>
        <w:ind w:left="1440" w:hanging="340"/>
        <w:rPr>
          <w:sz w:val="20"/>
        </w:rPr>
      </w:pPr>
      <w:r>
        <w:rPr>
          <w:rFonts w:ascii="Arial" w:hAnsi="Arial" w:cs="Arial"/>
          <w:sz w:val="18"/>
        </w:rPr>
        <w:t>II</w:t>
      </w:r>
      <w:r>
        <w:rPr>
          <w:sz w:val="20"/>
        </w:rPr>
        <w:tab/>
        <w:t>ie, internal bracings forming the web system of the tower, as distinct from the external bracings referred to in  ‡ above.</w:t>
      </w:r>
    </w:p>
    <w:p w:rsidR="00AF2508" w:rsidRDefault="00AF2508">
      <w:pPr>
        <w:pStyle w:val="Amainreturn"/>
        <w:ind w:left="1440" w:hanging="340"/>
        <w:rPr>
          <w:sz w:val="20"/>
        </w:rPr>
      </w:pPr>
      <w:r>
        <w:rPr>
          <w:sz w:val="20"/>
        </w:rPr>
        <w:t>#</w:t>
      </w:r>
      <w:r>
        <w:rPr>
          <w:sz w:val="20"/>
        </w:rPr>
        <w:tab/>
        <w:t>ie, the particular whaling carrying greatest load from the headbeams, other whalings may be 6 in × 3 in pine timber.  If practicable, however, the headbeams should be supported directly by the runners or by the corner posts or verticals of the tower, and in such case smaller whalings could be used.</w:t>
      </w:r>
    </w:p>
    <w:p w:rsidR="00AF2508" w:rsidRDefault="00AF2508">
      <w:pPr>
        <w:pStyle w:val="Amainreturn"/>
        <w:rPr>
          <w:sz w:val="20"/>
        </w:rPr>
      </w:pPr>
      <w:r>
        <w:rPr>
          <w:sz w:val="20"/>
        </w:rPr>
        <w:t>**</w:t>
      </w:r>
      <w:r>
        <w:rPr>
          <w:sz w:val="20"/>
        </w:rPr>
        <w:tab/>
        <w:t xml:space="preserve">The vertical tubes shall in addition have approved feet or base plates.  </w:t>
      </w:r>
    </w:p>
    <w:p w:rsidR="00AF2508" w:rsidRDefault="00AF2508">
      <w:pPr>
        <w:pStyle w:val="Amainreturn"/>
        <w:rPr>
          <w:sz w:val="20"/>
        </w:rPr>
      </w:pPr>
      <w:r>
        <w:rPr>
          <w:sz w:val="20"/>
        </w:rPr>
        <w:t>Unless otherwise stated, all dimensions are in inches.</w:t>
      </w:r>
    </w:p>
    <w:p w:rsidR="00AF2508" w:rsidRDefault="00AF2508">
      <w:pPr>
        <w:pStyle w:val="Amain"/>
      </w:pPr>
      <w:r>
        <w:tab/>
        <w:t>(6)</w:t>
      </w:r>
      <w:r>
        <w:tab/>
        <w:t>No person shall set up, or build, or set or place in position any hoist of greater size, or speed, or for bearing greater loads, or of different construction than prescribed in this section, until the person has submitted drawings of it to the chief inspector and obtained the chief inspector’s approval.</w:t>
      </w:r>
    </w:p>
    <w:p w:rsidR="00AF2508" w:rsidRDefault="00AF2508">
      <w:pPr>
        <w:pStyle w:val="Amain"/>
      </w:pPr>
      <w:r>
        <w:tab/>
        <w:t>(7)</w:t>
      </w:r>
      <w:r>
        <w:tab/>
        <w:t>The combined weight of the safe working load and the platform, bucket, or other medium by means of which it is raised or lowered shall not exceed 1 ton.</w:t>
      </w:r>
    </w:p>
    <w:p w:rsidR="00AF2508" w:rsidRDefault="00AF2508">
      <w:pPr>
        <w:pStyle w:val="Amain"/>
      </w:pPr>
      <w:r>
        <w:tab/>
        <w:t>(8)</w:t>
      </w:r>
      <w:r>
        <w:tab/>
        <w:t>No person shall attach to or impose on any hoist tower, or any part of it, any load other than that borne by the platform, bucket, or medium analogous to it, and no person shall attach to any hoist tower or to any part of it any device capable of imposing such load, unless approved by the chief inspector.</w:t>
      </w:r>
    </w:p>
    <w:p w:rsidR="00AF2508" w:rsidRDefault="00AF2508">
      <w:pPr>
        <w:pStyle w:val="Amain"/>
      </w:pPr>
      <w:r>
        <w:tab/>
        <w:t>(9)</w:t>
      </w:r>
      <w:r>
        <w:tab/>
        <w:t>However, subsection (8) shall not prevent the use of a dynamic counterbalance weight as prescribed in this section.</w:t>
      </w:r>
    </w:p>
    <w:p w:rsidR="00AF2508" w:rsidRDefault="00AF2508">
      <w:pPr>
        <w:pStyle w:val="Amain"/>
      </w:pPr>
      <w:r>
        <w:tab/>
        <w:t>(10)</w:t>
      </w:r>
      <w:r>
        <w:tab/>
        <w:t>The speed at which any load is raised or lowered shall not exceed 600 feet per minute.</w:t>
      </w:r>
    </w:p>
    <w:p w:rsidR="00AF2508" w:rsidRDefault="00AF2508">
      <w:pPr>
        <w:pStyle w:val="Amain"/>
      </w:pPr>
      <w:r>
        <w:tab/>
        <w:t>(11)</w:t>
      </w:r>
      <w:r>
        <w:tab/>
        <w:t>If dynamic (flying) counterbalance weights are employed, they shall not balance more than 70% of the unladen weight of the platform, bucket, or other medium by means of which loads are raised or lowered.</w:t>
      </w:r>
    </w:p>
    <w:p w:rsidR="00AF2508" w:rsidRDefault="00AF2508">
      <w:pPr>
        <w:pStyle w:val="Amain"/>
      </w:pPr>
      <w:r>
        <w:tab/>
        <w:t>(12)</w:t>
      </w:r>
      <w:r>
        <w:tab/>
        <w:t>The corner posts or verticals of every hoist tower shall be braced together with horizontal braces and by it divided into panels each not greater in vertical height than 5 feet.</w:t>
      </w:r>
    </w:p>
    <w:p w:rsidR="00AF2508" w:rsidRDefault="00AF2508">
      <w:pPr>
        <w:pStyle w:val="Amain"/>
      </w:pPr>
      <w:r>
        <w:tab/>
        <w:t>(13)</w:t>
      </w:r>
      <w:r>
        <w:tab/>
        <w:t>Every such panel shall contain 1 rigid, or alternatively 2 flexible braces, fixed diagonally to provide against shearing forces, and to complete the web system of the 4 trusses comprising the tower.</w:t>
      </w:r>
    </w:p>
    <w:p w:rsidR="00AF2508" w:rsidRDefault="00AF2508">
      <w:pPr>
        <w:pStyle w:val="Amain"/>
      </w:pPr>
      <w:r>
        <w:tab/>
        <w:t>(14)</w:t>
      </w:r>
      <w:r>
        <w:tab/>
        <w:t>If, for purposes of access, it is necessary to omit any diagonal brace, the panel thus weakened shall be adequately strengthened by other bracing at least equivalent to that omitted.</w:t>
      </w:r>
    </w:p>
    <w:p w:rsidR="00AF2508" w:rsidRDefault="00AF2508">
      <w:pPr>
        <w:pStyle w:val="Amain"/>
      </w:pPr>
      <w:r>
        <w:tab/>
        <w:t>(15)</w:t>
      </w:r>
      <w:r>
        <w:tab/>
        <w:t xml:space="preserve">No bolt less in diameter than </w:t>
      </w:r>
      <w:r>
        <w:rPr>
          <w:position w:val="6"/>
          <w:sz w:val="18"/>
        </w:rPr>
        <w:t>5</w:t>
      </w:r>
      <w:r>
        <w:t>/</w:t>
      </w:r>
      <w:r>
        <w:rPr>
          <w:sz w:val="18"/>
        </w:rPr>
        <w:t>8</w:t>
      </w:r>
      <w:r>
        <w:t xml:space="preserve"> of an inch shall be used to connect or interconnect the members of a hoist tower, or to attach guides or runners to it.</w:t>
      </w:r>
    </w:p>
    <w:p w:rsidR="00AF2508" w:rsidRDefault="00AF2508">
      <w:pPr>
        <w:pStyle w:val="Amain"/>
      </w:pPr>
      <w:r>
        <w:tab/>
        <w:t>(16)</w:t>
      </w:r>
      <w:r>
        <w:tab/>
        <w:t>Not less than 6 such bolts shall be effectively used in each splice made in the posts or verticals of every hoist tower, 3 being above, and 3 below the joint.</w:t>
      </w:r>
    </w:p>
    <w:p w:rsidR="00AF2508" w:rsidRDefault="00AF2508">
      <w:pPr>
        <w:pStyle w:val="Amain"/>
      </w:pPr>
      <w:r>
        <w:tab/>
        <w:t>(17)</w:t>
      </w:r>
      <w:r>
        <w:tab/>
        <w:t>Each splice in the verticals of towers of metal or alloy tubes shall be designed for the full comprehensive load, and alternatively a tensile load of not less than 2 tons.</w:t>
      </w:r>
    </w:p>
    <w:p w:rsidR="00AF2508" w:rsidRDefault="00AF2508">
      <w:pPr>
        <w:pStyle w:val="Amain"/>
      </w:pPr>
      <w:r>
        <w:tab/>
        <w:t>(18)</w:t>
      </w:r>
      <w:r>
        <w:tab/>
        <w:t>Every hoist tower shall be effectively supported laterally, at a level of not more than 30 feet above its base, and after that at levels not more than 30 feet apart, so that no greater length of tower than 30 feet remains unsupported.</w:t>
      </w:r>
    </w:p>
    <w:p w:rsidR="00AF2508" w:rsidRDefault="00AF2508">
      <w:pPr>
        <w:pStyle w:val="Amain"/>
      </w:pPr>
      <w:r>
        <w:tab/>
        <w:t>(19)</w:t>
      </w:r>
      <w:r>
        <w:tab/>
        <w:t>In addition, the top of the tower shall be so supported if more than 20 feet above the next lower lateral supports, and in any case if carrying a hopper or tipping bucket or analogous device.</w:t>
      </w:r>
    </w:p>
    <w:p w:rsidR="00AF2508" w:rsidRDefault="00AF2508">
      <w:pPr>
        <w:pStyle w:val="Amain"/>
      </w:pPr>
      <w:r>
        <w:tab/>
        <w:t>(20)</w:t>
      </w:r>
      <w:r>
        <w:tab/>
        <w:t>The lateral supports shall comprise at each such level not less than 4 flexible or extra flexible steel wire rope guys, each not less in circumference than 1</w:t>
      </w:r>
      <w:r>
        <w:rPr>
          <w:position w:val="6"/>
          <w:sz w:val="18"/>
        </w:rPr>
        <w:t>1</w:t>
      </w:r>
      <w:r>
        <w:t>/</w:t>
      </w:r>
      <w:r>
        <w:rPr>
          <w:sz w:val="18"/>
        </w:rPr>
        <w:t>2</w:t>
      </w:r>
      <w:r>
        <w:t xml:space="preserve"> inches and each having an ultimate tensile value of not less than 5</w:t>
      </w:r>
      <w:r>
        <w:rPr>
          <w:position w:val="6"/>
          <w:sz w:val="18"/>
        </w:rPr>
        <w:t>7</w:t>
      </w:r>
      <w:r>
        <w:t>/</w:t>
      </w:r>
      <w:r>
        <w:rPr>
          <w:sz w:val="18"/>
        </w:rPr>
        <w:t>10</w:t>
      </w:r>
      <w:r>
        <w:t xml:space="preserve"> tons.</w:t>
      </w:r>
    </w:p>
    <w:p w:rsidR="00AF2508" w:rsidRDefault="00AF2508">
      <w:pPr>
        <w:pStyle w:val="Amain"/>
      </w:pPr>
      <w:r>
        <w:tab/>
        <w:t>(21)</w:t>
      </w:r>
      <w:r>
        <w:tab/>
        <w:t>Each guy rope shall have not less than 6 strands and each such strand shall have at least 19 wires.</w:t>
      </w:r>
    </w:p>
    <w:p w:rsidR="00AF2508" w:rsidRDefault="00AF2508">
      <w:pPr>
        <w:pStyle w:val="Amain"/>
      </w:pPr>
      <w:r>
        <w:tab/>
        <w:t>(22)</w:t>
      </w:r>
      <w:r>
        <w:tab/>
        <w:t>All guys shall be effectively secured to the corner posts or verticals of the tower.</w:t>
      </w:r>
    </w:p>
    <w:p w:rsidR="00AF2508" w:rsidRDefault="00AF2508">
      <w:pPr>
        <w:pStyle w:val="Amain"/>
      </w:pPr>
      <w:r>
        <w:tab/>
        <w:t>(23)</w:t>
      </w:r>
      <w:r>
        <w:tab/>
        <w:t>Alternatively, at the levels previously mentioned, the tower shall be effectively braced in an approved way to an adjacent building or other structure self-evidently capable of affording the tower complete support.</w:t>
      </w:r>
    </w:p>
    <w:p w:rsidR="00AF2508" w:rsidRDefault="00AF2508">
      <w:pPr>
        <w:pStyle w:val="Amain"/>
      </w:pPr>
      <w:r>
        <w:tab/>
        <w:t>(24)</w:t>
      </w:r>
      <w:r>
        <w:tab/>
        <w:t>In plan view all guys shall appear as straight line continuations or extensions of the diagonals of a section of the tower.</w:t>
      </w:r>
    </w:p>
    <w:p w:rsidR="00AF2508" w:rsidRDefault="00AF2508">
      <w:pPr>
        <w:pStyle w:val="Amain"/>
      </w:pPr>
      <w:r>
        <w:tab/>
        <w:t>(25)</w:t>
      </w:r>
      <w:r>
        <w:tab/>
        <w:t>A closely boarded platform of planks not less in thickness than 1</w:t>
      </w:r>
      <w:r>
        <w:rPr>
          <w:position w:val="6"/>
          <w:sz w:val="18"/>
        </w:rPr>
        <w:t>1</w:t>
      </w:r>
      <w:r>
        <w:t>/</w:t>
      </w:r>
      <w:r>
        <w:rPr>
          <w:sz w:val="18"/>
        </w:rPr>
        <w:t>2 </w:t>
      </w:r>
      <w:r>
        <w:t>inches if pine timber and 1</w:t>
      </w:r>
      <w:r>
        <w:rPr>
          <w:position w:val="6"/>
          <w:sz w:val="18"/>
        </w:rPr>
        <w:t>1</w:t>
      </w:r>
      <w:r>
        <w:t>/</w:t>
      </w:r>
      <w:r>
        <w:rPr>
          <w:sz w:val="18"/>
        </w:rPr>
        <w:t>8</w:t>
      </w:r>
      <w:r>
        <w:t xml:space="preserve"> inches if hardwood, shall be provided and fixed adjacent to the tower-head rope-sheaves as prescribed by section 127 (153) and (154).</w:t>
      </w:r>
    </w:p>
    <w:p w:rsidR="00AF2508" w:rsidRDefault="00AF2508">
      <w:pPr>
        <w:pStyle w:val="Amain"/>
      </w:pPr>
      <w:r>
        <w:tab/>
        <w:t>(26)</w:t>
      </w:r>
      <w:r>
        <w:tab/>
        <w:t>The platform shall be protected on sides and ends by guardrails conforming with section 154.</w:t>
      </w:r>
    </w:p>
    <w:p w:rsidR="00AF2508" w:rsidRDefault="00AF2508">
      <w:pPr>
        <w:pStyle w:val="Amain"/>
      </w:pPr>
      <w:r>
        <w:tab/>
        <w:t>(27)</w:t>
      </w:r>
      <w:r>
        <w:tab/>
        <w:t>If access to the platform cannot be safely obtained from the platform or bucket of the hoist, safe access ladders and platforms in accordance with section 154 shall be provided and fixed.</w:t>
      </w:r>
    </w:p>
    <w:p w:rsidR="00AF2508" w:rsidRDefault="00AF2508">
      <w:pPr>
        <w:pStyle w:val="Amain"/>
        <w:keepLines/>
      </w:pPr>
      <w:r>
        <w:tab/>
        <w:t>(28)</w:t>
      </w:r>
      <w:r>
        <w:tab/>
        <w:t xml:space="preserve">The hoist tower shall be effectively enclosed and shall be kept so enclosed, by close-fitting timber boarding not less than </w:t>
      </w:r>
      <w:r>
        <w:rPr>
          <w:position w:val="6"/>
          <w:sz w:val="18"/>
        </w:rPr>
        <w:t>3</w:t>
      </w:r>
      <w:r>
        <w:t>/</w:t>
      </w:r>
      <w:r>
        <w:rPr>
          <w:sz w:val="18"/>
        </w:rPr>
        <w:t>4</w:t>
      </w:r>
      <w:r>
        <w:t xml:space="preserve"> of an inch in thickness or by 18-gauge wire netting having a mesh not greater than 2 inches, or by black or galvanised steel sheeting of thickness not less than 24 gauge, positively fixed to the outside of the tower frame to a height of not less than 6 feet above the level of every floor surface, scaffolding, platform or stairway adjacent to the hoist tower.</w:t>
      </w:r>
    </w:p>
    <w:p w:rsidR="00AF2508" w:rsidRDefault="00AF2508">
      <w:pPr>
        <w:pStyle w:val="Amain"/>
      </w:pPr>
      <w:r>
        <w:tab/>
        <w:t>(29)</w:t>
      </w:r>
      <w:r>
        <w:tab/>
        <w:t>The verticals of hoist towers of metal shall not be subjected to transverse (bending) forces, and no rope deflector block or other device or attachment capable of applying such forces shall be fixed or applied to the verticals, or used.</w:t>
      </w:r>
    </w:p>
    <w:p w:rsidR="00AF2508" w:rsidRDefault="00AF2508">
      <w:pPr>
        <w:pStyle w:val="Amain"/>
      </w:pPr>
      <w:r>
        <w:tab/>
        <w:t>(30)</w:t>
      </w:r>
      <w:r>
        <w:tab/>
        <w:t>Guardrails conforming with section 154 shall be provided and fixed across all openings giving access to the interior of all hoist towers.</w:t>
      </w:r>
    </w:p>
    <w:p w:rsidR="00AF2508" w:rsidRDefault="00AF2508">
      <w:pPr>
        <w:pStyle w:val="Amain"/>
      </w:pPr>
      <w:r>
        <w:tab/>
        <w:t>(31)</w:t>
      </w:r>
      <w:r>
        <w:tab/>
        <w:t>The rails shall be so pivoted at at least 1 side of the opening that access is obtained by raising the rail or rails, which may be suitably counterbalanced.</w:t>
      </w:r>
    </w:p>
    <w:p w:rsidR="00AF2508" w:rsidRDefault="00AF2508">
      <w:pPr>
        <w:pStyle w:val="Amain"/>
      </w:pPr>
      <w:r>
        <w:tab/>
        <w:t>(32)</w:t>
      </w:r>
      <w:r>
        <w:tab/>
        <w:t>Brackets or stops shall be provided which shall prevent guardrails being lowered below horizontal.</w:t>
      </w:r>
    </w:p>
    <w:p w:rsidR="00AF2508" w:rsidRDefault="00AF2508">
      <w:pPr>
        <w:pStyle w:val="Amain"/>
      </w:pPr>
      <w:r>
        <w:tab/>
        <w:t>(33)</w:t>
      </w:r>
      <w:r>
        <w:tab/>
        <w:t>Guardrails shall be set 12 inches back from the tower face served by them.</w:t>
      </w:r>
    </w:p>
    <w:p w:rsidR="00AF2508" w:rsidRDefault="00AF2508">
      <w:pPr>
        <w:pStyle w:val="Amain"/>
      </w:pPr>
      <w:r>
        <w:tab/>
        <w:t>(34)</w:t>
      </w:r>
      <w:r>
        <w:tab/>
        <w:t>No person shall raise or otherwise displace any guardrail unless the hoist platform is stationary and level with the floor or surface served by the rail, and all rails shall be replaced in the safe horizontal position before the platform moves from the floor or surface.</w:t>
      </w:r>
    </w:p>
    <w:p w:rsidR="00AF2508" w:rsidRDefault="00AF2508">
      <w:pPr>
        <w:pStyle w:val="Amain"/>
      </w:pPr>
      <w:r>
        <w:tab/>
        <w:t>(35)</w:t>
      </w:r>
      <w:r>
        <w:tab/>
        <w:t>The horizontal clearance between the front or back edge of a hoist platform and the adjacent interior face of the tower bracings shall not exceed 2 inches.</w:t>
      </w:r>
    </w:p>
    <w:p w:rsidR="00AF2508" w:rsidRDefault="00AF2508">
      <w:pPr>
        <w:pStyle w:val="Amain"/>
        <w:keepLines/>
      </w:pPr>
      <w:r>
        <w:tab/>
        <w:t>(36)</w:t>
      </w:r>
      <w:r>
        <w:tab/>
        <w:t>An efficient and safe signalling arrangement shall be provided for the purpose of transmitting signals to the hoist driver as to when to raise and to lower the hoist platform or vessel, and also as to when to stop all motion of the hoist.</w:t>
      </w:r>
    </w:p>
    <w:p w:rsidR="00AF2508" w:rsidRDefault="00AF2508">
      <w:pPr>
        <w:pStyle w:val="Amain"/>
      </w:pPr>
      <w:r>
        <w:tab/>
        <w:t>(37)</w:t>
      </w:r>
      <w:r>
        <w:tab/>
        <w:t>The signalling system shall be arranged so that its operation must be intentional on the part of the operator.</w:t>
      </w:r>
    </w:p>
    <w:p w:rsidR="00AF2508" w:rsidRDefault="00AF2508">
      <w:pPr>
        <w:pStyle w:val="Amain"/>
      </w:pPr>
      <w:r>
        <w:tab/>
        <w:t>(38)</w:t>
      </w:r>
      <w:r>
        <w:tab/>
        <w:t>A warning bell, the sound of which will be distinctly and continuously heard when the platform is moving in any position of its travel, shall be fitted to every hoist platform.</w:t>
      </w:r>
    </w:p>
    <w:p w:rsidR="00AF2508" w:rsidRDefault="00AF2508">
      <w:pPr>
        <w:pStyle w:val="Amain"/>
      </w:pPr>
      <w:r>
        <w:tab/>
        <w:t>(39)</w:t>
      </w:r>
      <w:r>
        <w:tab/>
        <w:t>No person other than a worker engaged in bona fide maintenance work shall ride on the hoist platform, bucket, or other medium by means of which loads are raised or lowered.</w:t>
      </w:r>
    </w:p>
    <w:p w:rsidR="00AF2508" w:rsidRDefault="00AF2508">
      <w:pPr>
        <w:pStyle w:val="Amain"/>
      </w:pPr>
      <w:r>
        <w:tab/>
        <w:t>(40)</w:t>
      </w:r>
      <w:r>
        <w:tab/>
        <w:t>No person shall instruct, permit, or allow any other person so to do.</w:t>
      </w:r>
    </w:p>
    <w:p w:rsidR="00AF2508" w:rsidRDefault="00AF2508">
      <w:pPr>
        <w:pStyle w:val="Amain"/>
      </w:pPr>
      <w:r>
        <w:tab/>
        <w:t>(41)</w:t>
      </w:r>
      <w:r>
        <w:tab/>
        <w:t>However, subsections (39) and (40) shall not apply for hoists designed and constructed in accordance with this regulation for raising or lowering workers.</w:t>
      </w:r>
    </w:p>
    <w:p w:rsidR="00AF2508" w:rsidRDefault="00AF2508">
      <w:pPr>
        <w:pStyle w:val="Amain"/>
      </w:pPr>
      <w:r>
        <w:tab/>
        <w:t>(42)</w:t>
      </w:r>
      <w:r>
        <w:tab/>
        <w:t>A notice stating that persons are prohibited from riding on the platform or other lifting medium shall be fixed and kept so fixed in such a position on the hoist platform or medium that it can be clearly read by a person standing at least 3 feet away from the edge of the hoist platform, bucket, or other lifting medium.</w:t>
      </w:r>
    </w:p>
    <w:p w:rsidR="00AF2508" w:rsidRDefault="00AF2508">
      <w:pPr>
        <w:pStyle w:val="Amain"/>
      </w:pPr>
      <w:r>
        <w:tab/>
        <w:t>(43)</w:t>
      </w:r>
      <w:r>
        <w:tab/>
        <w:t>However, subsection (42) shall not apply for hoists designed and constructed in accordance with this regulation for raising or lowering workers.</w:t>
      </w:r>
    </w:p>
    <w:p w:rsidR="00AF2508" w:rsidRDefault="00AF2508">
      <w:pPr>
        <w:pStyle w:val="Amain"/>
      </w:pPr>
      <w:r>
        <w:tab/>
        <w:t>(44)</w:t>
      </w:r>
      <w:r>
        <w:tab/>
        <w:t>Every hoist winch shall have legibly painted, and kept so painted on it, a number for purposes of identification and record.</w:t>
      </w:r>
    </w:p>
    <w:p w:rsidR="00AF2508" w:rsidRDefault="00AF2508">
      <w:pPr>
        <w:pStyle w:val="Amain"/>
      </w:pPr>
      <w:r>
        <w:tab/>
        <w:t>(45)</w:t>
      </w:r>
      <w:r>
        <w:tab/>
        <w:t>The safe working load shall be painted in positions where it will be clearly discerned by the hoist driver and by persons loading the hoist.</w:t>
      </w:r>
    </w:p>
    <w:p w:rsidR="00AF2508" w:rsidRDefault="00AF2508">
      <w:pPr>
        <w:pStyle w:val="Amain"/>
      </w:pPr>
      <w:r>
        <w:tab/>
        <w:t>(46)</w:t>
      </w:r>
      <w:r>
        <w:tab/>
        <w:t>All openings in floors, walls, or other parts of the building or structure through which a hoist operates shall be fenced with guardrails conforming with section 154.</w:t>
      </w:r>
    </w:p>
    <w:p w:rsidR="00AF2508" w:rsidRDefault="00AF2508">
      <w:pPr>
        <w:pStyle w:val="Amain"/>
      </w:pPr>
      <w:r>
        <w:tab/>
        <w:t>(47)</w:t>
      </w:r>
      <w:r>
        <w:tab/>
        <w:t>The rails shall be set 12 inches back from the adjacent edges of the openings.</w:t>
      </w:r>
    </w:p>
    <w:p w:rsidR="00AF2508" w:rsidRDefault="00AF2508">
      <w:pPr>
        <w:pStyle w:val="Amain"/>
      </w:pPr>
      <w:r>
        <w:tab/>
        <w:t>(48)</w:t>
      </w:r>
      <w:r>
        <w:tab/>
        <w:t>All winch control levers, and the controls of the engine or electric motor driving the winch, shall be so grouped that every such control lever and control is within workable reach of the person acting as driver in charge of the hoist from the position that the person takes up when driving the hoist.</w:t>
      </w:r>
    </w:p>
    <w:p w:rsidR="00AF2508" w:rsidRDefault="00AF2508">
      <w:pPr>
        <w:pStyle w:val="Amain"/>
      </w:pPr>
      <w:r>
        <w:tab/>
        <w:t>(49)</w:t>
      </w:r>
      <w:r>
        <w:tab/>
        <w:t>The maximum throw of the control lever of a friction hoist winch shall not exceed 60°.</w:t>
      </w:r>
    </w:p>
    <w:p w:rsidR="00AF2508" w:rsidRDefault="00AF2508">
      <w:pPr>
        <w:pStyle w:val="AH4SubDiv"/>
        <w:ind w:left="0" w:firstLine="0"/>
      </w:pPr>
      <w:bookmarkStart w:id="285" w:name="_Toc161636917"/>
      <w:r>
        <w:t>Whip or sheerleg hoists for constructional, building, demolition, or excavation works</w:t>
      </w:r>
      <w:bookmarkEnd w:id="285"/>
    </w:p>
    <w:p w:rsidR="00AF2508" w:rsidRDefault="00AF2508">
      <w:pPr>
        <w:pStyle w:val="AH5Sec"/>
      </w:pPr>
      <w:bookmarkStart w:id="286" w:name="_Toc161636918"/>
      <w:r>
        <w:rPr>
          <w:rStyle w:val="CharSectNo"/>
        </w:rPr>
        <w:t>140</w:t>
      </w:r>
      <w:bookmarkEnd w:id="286"/>
      <w:r>
        <w:tab/>
        <w:t xml:space="preserve">  </w:t>
      </w:r>
    </w:p>
    <w:p w:rsidR="00AF2508" w:rsidRDefault="00AF2508">
      <w:pPr>
        <w:pStyle w:val="Amain"/>
      </w:pPr>
      <w:r>
        <w:tab/>
        <w:t>(1)</w:t>
      </w:r>
      <w:r>
        <w:tab/>
        <w:t>A whip hoist means a simple sheerlegs or other approved frame, set at the brink of an elevated platform or surface, or of a hole, and carrying rope and sheave equipment by means of which loads are raised or lowered.</w:t>
      </w:r>
    </w:p>
    <w:p w:rsidR="00AF2508" w:rsidRDefault="00AF2508">
      <w:pPr>
        <w:pStyle w:val="Amain"/>
      </w:pPr>
      <w:r>
        <w:tab/>
        <w:t>(2)</w:t>
      </w:r>
      <w:r>
        <w:tab/>
        <w:t>The loads commonly consisting of barrows of building material, and being steadied and guided to some extent by being allowed to slide or drag against skidboards or equivalent devices during ascent and descent.</w:t>
      </w:r>
    </w:p>
    <w:p w:rsidR="00AF2508" w:rsidRDefault="00AF2508">
      <w:pPr>
        <w:pStyle w:val="Amain"/>
      </w:pPr>
      <w:r>
        <w:tab/>
        <w:t>(3)</w:t>
      </w:r>
      <w:r>
        <w:tab/>
        <w:t>Each leg of the sheerlegs shall, if of pine timber, be not less in section than 5 inches by 3 inches.</w:t>
      </w:r>
    </w:p>
    <w:p w:rsidR="00AF2508" w:rsidRDefault="00AF2508">
      <w:pPr>
        <w:pStyle w:val="Amain"/>
      </w:pPr>
      <w:r>
        <w:tab/>
        <w:t>(4)</w:t>
      </w:r>
      <w:r>
        <w:tab/>
        <w:t>It shall be of sufficient length to extend at least 12 inches above the top connecting bolt.</w:t>
      </w:r>
    </w:p>
    <w:p w:rsidR="00AF2508" w:rsidRDefault="00AF2508">
      <w:pPr>
        <w:pStyle w:val="Amain"/>
      </w:pPr>
      <w:r>
        <w:tab/>
        <w:t>(5)</w:t>
      </w:r>
      <w:r>
        <w:tab/>
        <w:t>The horizontal distance between the lower ends of the legs of the sheerlegs shall not be greater than 7 feet 6 inches, and the vertical height of the top connecting bolt of the sheerlegs shall not be less than 14 feet above the level at which that horizontal distance is measured.</w:t>
      </w:r>
    </w:p>
    <w:p w:rsidR="00AF2508" w:rsidRDefault="00AF2508">
      <w:pPr>
        <w:pStyle w:val="Amain"/>
      </w:pPr>
      <w:r>
        <w:tab/>
        <w:t>(6)</w:t>
      </w:r>
      <w:r>
        <w:tab/>
        <w:t>Alternatively or if a large sheerlegs is required, the angle contained between either leg and the horizontal shall not be less than 75°.</w:t>
      </w:r>
    </w:p>
    <w:p w:rsidR="00AF2508" w:rsidRDefault="00AF2508">
      <w:pPr>
        <w:pStyle w:val="Amain"/>
      </w:pPr>
      <w:r>
        <w:tab/>
        <w:t>(7)</w:t>
      </w:r>
      <w:r>
        <w:tab/>
        <w:t>Sheerlegs shall be symmetrical in construction.</w:t>
      </w:r>
    </w:p>
    <w:p w:rsidR="00AF2508" w:rsidRDefault="00AF2508">
      <w:pPr>
        <w:pStyle w:val="Amain"/>
      </w:pPr>
      <w:r>
        <w:tab/>
        <w:t>(8)</w:t>
      </w:r>
      <w:r>
        <w:tab/>
        <w:t xml:space="preserve">The top connecting bolt mentioned in subsection (4) shall not be less in diameter than </w:t>
      </w:r>
      <w:r>
        <w:rPr>
          <w:position w:val="6"/>
          <w:sz w:val="18"/>
        </w:rPr>
        <w:t>3</w:t>
      </w:r>
      <w:r>
        <w:t>/</w:t>
      </w:r>
      <w:r>
        <w:rPr>
          <w:sz w:val="18"/>
        </w:rPr>
        <w:t>4</w:t>
      </w:r>
      <w:r>
        <w:t xml:space="preserve"> of an inch and the nut shall be locked.</w:t>
      </w:r>
    </w:p>
    <w:p w:rsidR="00AF2508" w:rsidRDefault="00AF2508">
      <w:pPr>
        <w:pStyle w:val="Amain"/>
      </w:pPr>
      <w:r>
        <w:tab/>
        <w:t>(9)</w:t>
      </w:r>
      <w:r>
        <w:tab/>
        <w:t>The legs of the sheerlegs shall rest on a base plank not less in section than 12 inches in horizontal width by 2 inches thick.</w:t>
      </w:r>
    </w:p>
    <w:p w:rsidR="00AF2508" w:rsidRDefault="00AF2508">
      <w:pPr>
        <w:pStyle w:val="Amain"/>
      </w:pPr>
      <w:r>
        <w:tab/>
        <w:t>(10)</w:t>
      </w:r>
      <w:r>
        <w:tab/>
        <w:t xml:space="preserve">The legs shall be prevented from spreading, and from moving towards the edges of the base plank by hardwood battens 3 inches by 2 inches in section, bolted to the base plank by bolts not less in diameter than </w:t>
      </w:r>
      <w:r>
        <w:rPr>
          <w:position w:val="6"/>
          <w:sz w:val="18"/>
        </w:rPr>
        <w:t>1</w:t>
      </w:r>
      <w:r>
        <w:t>/</w:t>
      </w:r>
      <w:r>
        <w:rPr>
          <w:sz w:val="18"/>
        </w:rPr>
        <w:t>2</w:t>
      </w:r>
      <w:r>
        <w:t xml:space="preserve"> inch.</w:t>
      </w:r>
    </w:p>
    <w:p w:rsidR="00AF2508" w:rsidRDefault="00AF2508">
      <w:pPr>
        <w:pStyle w:val="Amain"/>
      </w:pPr>
      <w:r>
        <w:tab/>
        <w:t>(11)</w:t>
      </w:r>
      <w:r>
        <w:tab/>
        <w:t>In addition the legs shall be prevented from lifting over the battens by wire rope lashings passing through holes drilled not less than 6 inches above the lower ends of the legs.</w:t>
      </w:r>
    </w:p>
    <w:p w:rsidR="00AF2508" w:rsidRDefault="00AF2508">
      <w:pPr>
        <w:pStyle w:val="Amain"/>
      </w:pPr>
      <w:r>
        <w:tab/>
        <w:t>(12)</w:t>
      </w:r>
      <w:r>
        <w:tab/>
        <w:t>The topmost hoisting block shall be suspended on a 1</w:t>
      </w:r>
      <w:r>
        <w:rPr>
          <w:position w:val="6"/>
          <w:sz w:val="18"/>
        </w:rPr>
        <w:t>1</w:t>
      </w:r>
      <w:r>
        <w:t>/</w:t>
      </w:r>
      <w:r>
        <w:rPr>
          <w:sz w:val="18"/>
        </w:rPr>
        <w:t>2</w:t>
      </w:r>
      <w:r>
        <w:t xml:space="preserve"> inch circumference steel wire rope snotter having not less than 6 strands each containing not less than 24 wires, and the snotter shall lie or rest in the topmost V formed between the legs, above the top connecting bolt.</w:t>
      </w:r>
    </w:p>
    <w:p w:rsidR="00AF2508" w:rsidRDefault="00AF2508">
      <w:pPr>
        <w:pStyle w:val="Amain"/>
      </w:pPr>
      <w:r>
        <w:tab/>
        <w:t>(13)</w:t>
      </w:r>
      <w:r>
        <w:tab/>
        <w:t>The back guy shall be of steel wire rope at least 1</w:t>
      </w:r>
      <w:r>
        <w:rPr>
          <w:position w:val="6"/>
          <w:sz w:val="18"/>
        </w:rPr>
        <w:t>3</w:t>
      </w:r>
      <w:r>
        <w:t>/</w:t>
      </w:r>
      <w:r>
        <w:rPr>
          <w:sz w:val="18"/>
        </w:rPr>
        <w:t>8</w:t>
      </w:r>
      <w:r>
        <w:t xml:space="preserve"> inches in circumference, having not less than 6 strands each containing not less than 19 wires.</w:t>
      </w:r>
    </w:p>
    <w:p w:rsidR="00AF2508" w:rsidRDefault="00AF2508">
      <w:pPr>
        <w:pStyle w:val="Amain"/>
      </w:pPr>
      <w:r>
        <w:tab/>
        <w:t>(14)</w:t>
      </w:r>
      <w:r>
        <w:tab/>
        <w:t>It shall be secured to the sheerlegs at their intersection, by at least 2 full turns and 2 approved wire-rope grips.</w:t>
      </w:r>
    </w:p>
    <w:p w:rsidR="00AF2508" w:rsidRDefault="00AF2508">
      <w:pPr>
        <w:pStyle w:val="Amain"/>
      </w:pPr>
      <w:r>
        <w:tab/>
        <w:t>(15)</w:t>
      </w:r>
      <w:r>
        <w:tab/>
        <w:t>Alternatively, this fastening may comprise 2 full turns and a spliced eye.</w:t>
      </w:r>
    </w:p>
    <w:p w:rsidR="00AF2508" w:rsidRDefault="00AF2508">
      <w:pPr>
        <w:pStyle w:val="Amain"/>
      </w:pPr>
      <w:r>
        <w:tab/>
        <w:t>(16)</w:t>
      </w:r>
      <w:r>
        <w:tab/>
        <w:t>The front, or lazy guy, shall be of rope of the same construction as the back guy, not less in circumference than 1</w:t>
      </w:r>
      <w:r>
        <w:rPr>
          <w:position w:val="6"/>
          <w:sz w:val="18"/>
        </w:rPr>
        <w:t>1</w:t>
      </w:r>
      <w:r>
        <w:t>/</w:t>
      </w:r>
      <w:r>
        <w:rPr>
          <w:sz w:val="18"/>
        </w:rPr>
        <w:t>8</w:t>
      </w:r>
      <w:r>
        <w:t xml:space="preserve"> inches, fastened as previously mentioned.</w:t>
      </w:r>
    </w:p>
    <w:p w:rsidR="00AF2508" w:rsidRDefault="00AF2508">
      <w:pPr>
        <w:pStyle w:val="Amain"/>
      </w:pPr>
      <w:r>
        <w:tab/>
        <w:t>(17)</w:t>
      </w:r>
      <w:r>
        <w:tab/>
        <w:t>Alternatively, the front guy may be of approved fibre rope not less in circumference than 2</w:t>
      </w:r>
      <w:r>
        <w:rPr>
          <w:position w:val="6"/>
          <w:sz w:val="18"/>
        </w:rPr>
        <w:t>1</w:t>
      </w:r>
      <w:r>
        <w:t>/</w:t>
      </w:r>
      <w:r>
        <w:rPr>
          <w:sz w:val="18"/>
        </w:rPr>
        <w:t>2</w:t>
      </w:r>
      <w:r>
        <w:t xml:space="preserve"> inches.</w:t>
      </w:r>
    </w:p>
    <w:p w:rsidR="00AF2508" w:rsidRDefault="00AF2508">
      <w:pPr>
        <w:pStyle w:val="Amain"/>
      </w:pPr>
      <w:r>
        <w:tab/>
        <w:t>(18)</w:t>
      </w:r>
      <w:r>
        <w:tab/>
        <w:t>The guys shall be so adjusted that the total fore and aft movement of the topmost bolt of the sheerlegs shall not exceed 30 inches in any circumstances.</w:t>
      </w:r>
    </w:p>
    <w:p w:rsidR="00AF2508" w:rsidRDefault="00AF2508">
      <w:pPr>
        <w:pStyle w:val="Amain"/>
      </w:pPr>
      <w:r>
        <w:tab/>
        <w:t>(19)</w:t>
      </w:r>
      <w:r>
        <w:tab/>
        <w:t>Smooth skids not less in horizontal width than 45 inches shall be provided and fixed in such a way that they guide the barrow or other lifting medium and its load smoothly from level to level.</w:t>
      </w:r>
    </w:p>
    <w:p w:rsidR="00AF2508" w:rsidRDefault="00AF2508">
      <w:pPr>
        <w:pStyle w:val="Amain"/>
      </w:pPr>
      <w:r>
        <w:tab/>
        <w:t>(20)</w:t>
      </w:r>
      <w:r>
        <w:tab/>
        <w:t>Landings for barrows, or loads, shall be not less than 9 feet in width by 14 feet in length, and shall be provided with handrails at the idle sides.</w:t>
      </w:r>
    </w:p>
    <w:p w:rsidR="00AF2508" w:rsidRDefault="00AF2508">
      <w:pPr>
        <w:pStyle w:val="Amain"/>
      </w:pPr>
      <w:r>
        <w:tab/>
        <w:t>(21)</w:t>
      </w:r>
      <w:r>
        <w:tab/>
        <w:t>The hauling rope shall lead or pass from the top block in a direction as nearly as practicably parallel to 1 of the legs of the sheerlegs, and then through a guide or deflector block secured to the foot of the leg, or to a point closely adjacent to it, before passing to the winch.</w:t>
      </w:r>
    </w:p>
    <w:p w:rsidR="00AF2508" w:rsidRDefault="00AF2508">
      <w:pPr>
        <w:pStyle w:val="Amain"/>
      </w:pPr>
      <w:r>
        <w:tab/>
        <w:t>(22)</w:t>
      </w:r>
      <w:r>
        <w:tab/>
        <w:t>Guardrails shall be provided and so fixed, that persons not actively engaged in the hoisting operations are restrained from entering within 15 feet of the skids, and no person unless so engaged shall so enter.</w:t>
      </w:r>
    </w:p>
    <w:p w:rsidR="00AF2508" w:rsidRDefault="00AF2508">
      <w:pPr>
        <w:pStyle w:val="PageBreak"/>
      </w:pPr>
      <w:r>
        <w:br w:type="page"/>
      </w:r>
    </w:p>
    <w:p w:rsidR="00AF2508" w:rsidRDefault="00AF2508">
      <w:pPr>
        <w:pStyle w:val="AH2Part"/>
      </w:pPr>
      <w:bookmarkStart w:id="287" w:name="_Toc161636919"/>
      <w:r>
        <w:rPr>
          <w:rStyle w:val="CharPartNo"/>
        </w:rPr>
        <w:t>Part 12</w:t>
      </w:r>
      <w:r>
        <w:tab/>
      </w:r>
      <w:r>
        <w:rPr>
          <w:rStyle w:val="CharPartText"/>
        </w:rPr>
        <w:t>Plant and gear</w:t>
      </w:r>
      <w:bookmarkEnd w:id="287"/>
    </w:p>
    <w:p w:rsidR="00AF2508" w:rsidRDefault="00AF2508">
      <w:pPr>
        <w:pStyle w:val="AH4SubDiv"/>
      </w:pPr>
      <w:bookmarkStart w:id="288" w:name="_Toc161636920"/>
      <w:r>
        <w:t>General</w:t>
      </w:r>
      <w:bookmarkEnd w:id="288"/>
    </w:p>
    <w:p w:rsidR="00AF2508" w:rsidRDefault="00AF2508">
      <w:pPr>
        <w:pStyle w:val="AH5Sec"/>
      </w:pPr>
      <w:bookmarkStart w:id="289" w:name="_Toc161636921"/>
      <w:r>
        <w:rPr>
          <w:rStyle w:val="CharSectNo"/>
        </w:rPr>
        <w:t>141</w:t>
      </w:r>
      <w:bookmarkEnd w:id="289"/>
      <w:r>
        <w:tab/>
        <w:t xml:space="preserve">  </w:t>
      </w:r>
    </w:p>
    <w:p w:rsidR="00AF2508" w:rsidRDefault="00AF2508">
      <w:pPr>
        <w:pStyle w:val="Amain"/>
      </w:pPr>
      <w:r>
        <w:tab/>
        <w:t>(1)</w:t>
      </w:r>
      <w:r>
        <w:tab/>
        <w:t>All plant and gear and every part of it shall be of sound material, good construction, adequate strength, free from patent defects and be suitable and safe for the purpose for which it is intended.</w:t>
      </w:r>
    </w:p>
    <w:p w:rsidR="00AF2508" w:rsidRDefault="00AF2508">
      <w:pPr>
        <w:pStyle w:val="Amain"/>
      </w:pPr>
      <w:r>
        <w:tab/>
        <w:t>(2)</w:t>
      </w:r>
      <w:r>
        <w:tab/>
        <w:t>If in this part reference is made to any of the rules, codes or specifications of Standards Australia or the British Standards Institution, each shall be interpreted as intended by the rules, codes or specifications.</w:t>
      </w:r>
    </w:p>
    <w:p w:rsidR="00AF2508" w:rsidRDefault="00AF2508">
      <w:pPr>
        <w:pStyle w:val="Amain"/>
      </w:pPr>
      <w:r>
        <w:tab/>
        <w:t>(3)</w:t>
      </w:r>
      <w:r>
        <w:tab/>
        <w:t>Unless elsewhere more specifically prescribed by this regulation all hooks, rings, egg links, intermediate links, shackles, Bordeaux connections, rope clips, rope sockets, eyebolts, rigging screws, turnbuckles, swivels, and analogous media that conform in all respects with the requirements of a standard specification promulgated by Standards Australia shall be deemed to be within classification 3 of section 122.</w:t>
      </w:r>
    </w:p>
    <w:p w:rsidR="00AF2508" w:rsidRDefault="00AF2508">
      <w:pPr>
        <w:pStyle w:val="Amain"/>
      </w:pPr>
      <w:r>
        <w:tab/>
        <w:t>(4)</w:t>
      </w:r>
      <w:r>
        <w:tab/>
        <w:t>If the media are to be used in connection with any crane, lift, hoist, scaffolding or plant within classification 4 of section 122, they shall be further increased in strength by not less than 18</w:t>
      </w:r>
      <w:r>
        <w:rPr>
          <w:position w:val="6"/>
          <w:sz w:val="18"/>
        </w:rPr>
        <w:t>1</w:t>
      </w:r>
      <w:r>
        <w:t>/</w:t>
      </w:r>
      <w:r>
        <w:rPr>
          <w:sz w:val="18"/>
        </w:rPr>
        <w:t>2</w:t>
      </w:r>
      <w:r>
        <w:rPr>
          <w:sz w:val="20"/>
        </w:rPr>
        <w:t>%</w:t>
      </w:r>
      <w:r>
        <w:t xml:space="preserve"> .</w:t>
      </w:r>
    </w:p>
    <w:p w:rsidR="00AF2508" w:rsidRDefault="00AF2508">
      <w:pPr>
        <w:pStyle w:val="AH3Div"/>
      </w:pPr>
      <w:bookmarkStart w:id="290" w:name="_Toc161636922"/>
      <w:r>
        <w:t>Ladders</w:t>
      </w:r>
      <w:bookmarkEnd w:id="290"/>
    </w:p>
    <w:p w:rsidR="00AF2508" w:rsidRDefault="00AF2508">
      <w:pPr>
        <w:pStyle w:val="AH4SubDiv"/>
      </w:pPr>
      <w:bookmarkStart w:id="291" w:name="_Toc161636923"/>
      <w:r>
        <w:t>Definitions</w:t>
      </w:r>
      <w:bookmarkEnd w:id="291"/>
    </w:p>
    <w:p w:rsidR="00AF2508" w:rsidRDefault="00AF2508">
      <w:pPr>
        <w:pStyle w:val="AH5Sec"/>
      </w:pPr>
      <w:bookmarkStart w:id="292" w:name="_Toc161636924"/>
      <w:r>
        <w:rPr>
          <w:rStyle w:val="CharSectNo"/>
        </w:rPr>
        <w:t>142</w:t>
      </w:r>
      <w:bookmarkEnd w:id="292"/>
      <w:r>
        <w:tab/>
        <w:t xml:space="preserve">  </w:t>
      </w:r>
    </w:p>
    <w:p w:rsidR="00AF2508" w:rsidRDefault="00AF2508">
      <w:pPr>
        <w:pStyle w:val="Amain"/>
        <w:keepNext/>
      </w:pPr>
      <w:r>
        <w:tab/>
        <w:t>(1)</w:t>
      </w:r>
      <w:r>
        <w:tab/>
        <w:t>In this section:</w:t>
      </w:r>
    </w:p>
    <w:p w:rsidR="00AF2508" w:rsidRDefault="00AF2508">
      <w:pPr>
        <w:pStyle w:val="aDef"/>
      </w:pPr>
      <w:r>
        <w:rPr>
          <w:rStyle w:val="charBoldItals"/>
        </w:rPr>
        <w:t>ladder</w:t>
      </w:r>
      <w:r>
        <w:t xml:space="preserve"> means an appliance usually consisting of 2 side rails or stiles joined at regular intervals by cross pieces called steps, rungs or treads, on which a person may rest or step in ascending or descending.</w:t>
      </w:r>
    </w:p>
    <w:p w:rsidR="00AF2508" w:rsidRDefault="00AF2508">
      <w:pPr>
        <w:pStyle w:val="aDef"/>
      </w:pPr>
      <w:r>
        <w:rPr>
          <w:rStyle w:val="charBoldItals"/>
        </w:rPr>
        <w:t>single ladder</w:t>
      </w:r>
      <w:r>
        <w:t xml:space="preserve"> means a non-self-supporting portable ladder, non</w:t>
      </w:r>
      <w:r>
        <w:noBreakHyphen/>
        <w:t>adjustable in length consisting of but 1 section and its size is designated by the overall length of a side rail.</w:t>
      </w:r>
    </w:p>
    <w:p w:rsidR="00AF2508" w:rsidRDefault="00AF2508">
      <w:pPr>
        <w:pStyle w:val="aDef"/>
      </w:pPr>
      <w:r>
        <w:rPr>
          <w:rStyle w:val="charBoldItals"/>
        </w:rPr>
        <w:t>extension ladder</w:t>
      </w:r>
      <w:r>
        <w:t xml:space="preserve"> means a non-self-supporting portable ladder adjustable in length, consisting of 2 or more sections being in guides or brackets so arranged to permit length adjustment and its size being designated by the maximum extended working length of the ladder measured along the side rails.</w:t>
      </w:r>
    </w:p>
    <w:p w:rsidR="00AF2508" w:rsidRDefault="00AF2508">
      <w:pPr>
        <w:pStyle w:val="aDef"/>
      </w:pPr>
      <w:r>
        <w:rPr>
          <w:rStyle w:val="charBoldItals"/>
        </w:rPr>
        <w:t>stepladder</w:t>
      </w:r>
      <w:r>
        <w:t xml:space="preserve"> means a self-supporting portable ladder, non-adjustable in length, having flat steps or treads and hinged back legs and its size being designated by the overall length of the ladder measured along the front edge of the side rails.</w:t>
      </w:r>
    </w:p>
    <w:p w:rsidR="00AF2508" w:rsidRDefault="00AF2508">
      <w:pPr>
        <w:pStyle w:val="aDef"/>
      </w:pPr>
      <w:r>
        <w:rPr>
          <w:rStyle w:val="charBoldItals"/>
        </w:rPr>
        <w:t>trestle ladder</w:t>
      </w:r>
      <w:r>
        <w:t xml:space="preserve"> means a self-supporting portable ladder consisting of 2 sections hinged at the top to form equal angles with the base and its size is designated by the length of the side rails measured along the front edge.</w:t>
      </w:r>
    </w:p>
    <w:p w:rsidR="00AF2508" w:rsidRDefault="00AF2508">
      <w:pPr>
        <w:pStyle w:val="aDef"/>
      </w:pPr>
      <w:r>
        <w:rPr>
          <w:rStyle w:val="charBoldItals"/>
        </w:rPr>
        <w:t>fixed ladder</w:t>
      </w:r>
      <w:r>
        <w:t xml:space="preserve"> means a ladder that is permanently attached to a building or structure.</w:t>
      </w:r>
    </w:p>
    <w:p w:rsidR="00AF2508" w:rsidRDefault="00AF2508">
      <w:pPr>
        <w:pStyle w:val="Assectheading"/>
        <w:rPr>
          <w:i w:val="0"/>
        </w:rPr>
      </w:pPr>
      <w:r>
        <w:rPr>
          <w:rStyle w:val="charItals"/>
          <w:i/>
        </w:rPr>
        <w:t>General</w:t>
      </w:r>
    </w:p>
    <w:p w:rsidR="00AF2508" w:rsidRDefault="00AF2508">
      <w:pPr>
        <w:pStyle w:val="Amain"/>
      </w:pPr>
      <w:r>
        <w:tab/>
        <w:t>(2)</w:t>
      </w:r>
      <w:r>
        <w:tab/>
        <w:t>Timber used in a ladder shall not be painted.</w:t>
      </w:r>
    </w:p>
    <w:p w:rsidR="00AF2508" w:rsidRDefault="00AF2508">
      <w:pPr>
        <w:pStyle w:val="Amain"/>
      </w:pPr>
      <w:r>
        <w:tab/>
        <w:t>(3)</w:t>
      </w:r>
      <w:r>
        <w:tab/>
        <w:t>If a timber preservative is used it shall be and remain transparent on the timber.</w:t>
      </w:r>
    </w:p>
    <w:p w:rsidR="00AF2508" w:rsidRDefault="00AF2508">
      <w:pPr>
        <w:pStyle w:val="Amain"/>
      </w:pPr>
      <w:r>
        <w:tab/>
        <w:t>(4)</w:t>
      </w:r>
      <w:r>
        <w:tab/>
        <w:t>Ladders shall be kept clean and free from dirt, moisture or splashing of paint or materials.</w:t>
      </w:r>
    </w:p>
    <w:p w:rsidR="00AF2508" w:rsidRDefault="00AF2508">
      <w:pPr>
        <w:pStyle w:val="Amain"/>
      </w:pPr>
      <w:r>
        <w:tab/>
        <w:t>(5)</w:t>
      </w:r>
      <w:r>
        <w:tab/>
        <w:t>Ladders with broken, split, or otherwise defective or loose components shall not be used, or kept or placed where they may be used.</w:t>
      </w:r>
    </w:p>
    <w:p w:rsidR="00AF2508" w:rsidRDefault="00AF2508">
      <w:pPr>
        <w:pStyle w:val="Amain"/>
      </w:pPr>
      <w:r>
        <w:tab/>
        <w:t>(6)</w:t>
      </w:r>
      <w:r>
        <w:tab/>
        <w:t>All timber shall be dressed on all sides and shall have all corners rounded and free from splinters or slivers.</w:t>
      </w:r>
    </w:p>
    <w:p w:rsidR="00AF2508" w:rsidRDefault="00AF2508">
      <w:pPr>
        <w:pStyle w:val="Amain"/>
      </w:pPr>
      <w:r>
        <w:tab/>
        <w:t>(7)</w:t>
      </w:r>
      <w:r>
        <w:tab/>
        <w:t>Where nails or screws are required in a connection, at least 2 shall be used unless otherwise prescribed in this section.</w:t>
      </w:r>
    </w:p>
    <w:p w:rsidR="00AF2508" w:rsidRDefault="00AF2508">
      <w:pPr>
        <w:pStyle w:val="Amain"/>
      </w:pPr>
      <w:r>
        <w:tab/>
        <w:t>(8)</w:t>
      </w:r>
      <w:r>
        <w:tab/>
        <w:t>Unless otherwise approved all materials shall comply with this regulation.</w:t>
      </w:r>
    </w:p>
    <w:p w:rsidR="00AF2508" w:rsidRDefault="00AF2508">
      <w:pPr>
        <w:pStyle w:val="Amain"/>
      </w:pPr>
      <w:r>
        <w:tab/>
        <w:t>(9)</w:t>
      </w:r>
      <w:r>
        <w:tab/>
        <w:t>Every ladder and every part of it shall be of sound material, good construction, adequate strength, free from patent defects, and be suitable and safe for the purpose for which it is intended.</w:t>
      </w:r>
    </w:p>
    <w:p w:rsidR="00AF2508" w:rsidRDefault="00AF2508">
      <w:pPr>
        <w:pStyle w:val="Assectheading"/>
        <w:rPr>
          <w:i w:val="0"/>
        </w:rPr>
      </w:pPr>
      <w:r>
        <w:rPr>
          <w:rStyle w:val="charItals"/>
          <w:i/>
        </w:rPr>
        <w:t>Materials</w:t>
      </w:r>
    </w:p>
    <w:p w:rsidR="00AF2508" w:rsidRDefault="00AF2508">
      <w:pPr>
        <w:pStyle w:val="Amain"/>
      </w:pPr>
      <w:r>
        <w:tab/>
        <w:t>(10)</w:t>
      </w:r>
      <w:r>
        <w:tab/>
        <w:t>All timber used in the construction of ladders shall be of Oregon or other approved timber.</w:t>
      </w:r>
    </w:p>
    <w:p w:rsidR="00AF2508" w:rsidRDefault="00AF2508">
      <w:pPr>
        <w:pStyle w:val="Amain"/>
      </w:pPr>
      <w:r>
        <w:tab/>
        <w:t>(11)</w:t>
      </w:r>
      <w:r>
        <w:tab/>
        <w:t>All timber shall comply with the provisions of ‘select grade for scantlings’ provided in the Australian Standard Grading Rules (Emergency Series) for Sawn and Hewn Structural Timbers, No (E) O.54-1942, promulgated by Standards Australia, as amended in June, 1944.</w:t>
      </w:r>
    </w:p>
    <w:p w:rsidR="00AF2508" w:rsidRDefault="00AF2508">
      <w:pPr>
        <w:pStyle w:val="Amain"/>
      </w:pPr>
      <w:r>
        <w:tab/>
        <w:t>(12)</w:t>
      </w:r>
      <w:r>
        <w:tab/>
        <w:t>In addition, the slope of the grain shall not exceed 1 inch in 20 inches and no defect shall occur except in the middle 3rd of the timber cross-section.</w:t>
      </w:r>
    </w:p>
    <w:p w:rsidR="00AF2508" w:rsidRDefault="00AF2508">
      <w:pPr>
        <w:pStyle w:val="Amain"/>
      </w:pPr>
      <w:r>
        <w:tab/>
        <w:t>(13)</w:t>
      </w:r>
      <w:r>
        <w:tab/>
        <w:t>Brash (Carrotty) timber shall not be used.</w:t>
      </w:r>
    </w:p>
    <w:p w:rsidR="00AF2508" w:rsidRDefault="00AF2508">
      <w:pPr>
        <w:pStyle w:val="Amain"/>
      </w:pPr>
      <w:r>
        <w:tab/>
        <w:t>(14)</w:t>
      </w:r>
      <w:r>
        <w:tab/>
        <w:t>Low density timber of weight less than 30 pounds per cubic foot shall not be used.</w:t>
      </w:r>
    </w:p>
    <w:p w:rsidR="00AF2508" w:rsidRDefault="00AF2508">
      <w:pPr>
        <w:pStyle w:val="Assectheading"/>
        <w:rPr>
          <w:i w:val="0"/>
        </w:rPr>
      </w:pPr>
      <w:r>
        <w:rPr>
          <w:rStyle w:val="charItals"/>
          <w:i/>
        </w:rPr>
        <w:t>Single ladders</w:t>
      </w:r>
      <w:r>
        <w:rPr>
          <w:i w:val="0"/>
          <w:color w:val="000000"/>
        </w:rPr>
        <w:t>—</w:t>
      </w:r>
      <w:r>
        <w:rPr>
          <w:rStyle w:val="charItals"/>
          <w:i/>
        </w:rPr>
        <w:t>ladders not to exceed 30 feet in length</w:t>
      </w:r>
    </w:p>
    <w:p w:rsidR="00AF2508" w:rsidRDefault="00AF2508">
      <w:pPr>
        <w:pStyle w:val="Amain"/>
      </w:pPr>
      <w:r>
        <w:tab/>
        <w:t>(15)</w:t>
      </w:r>
      <w:r>
        <w:tab/>
        <w:t>Single ladders exceeding 30 feet in length shall not be used unless otherwise approved.</w:t>
      </w:r>
    </w:p>
    <w:p w:rsidR="00AF2508" w:rsidRDefault="00AF2508">
      <w:pPr>
        <w:pStyle w:val="Assectheading"/>
        <w:rPr>
          <w:i w:val="0"/>
          <w:color w:val="000000"/>
        </w:rPr>
      </w:pPr>
      <w:r>
        <w:rPr>
          <w:color w:val="000000"/>
        </w:rPr>
        <w:t>Single ladders—s</w:t>
      </w:r>
      <w:r>
        <w:rPr>
          <w:rStyle w:val="charItals"/>
          <w:i/>
        </w:rPr>
        <w:t>ide rails (stiles)</w:t>
      </w:r>
      <w:r>
        <w:rPr>
          <w:i w:val="0"/>
          <w:color w:val="000000"/>
        </w:rPr>
        <w:t>—</w:t>
      </w:r>
      <w:r>
        <w:rPr>
          <w:rStyle w:val="charItals"/>
          <w:i/>
        </w:rPr>
        <w:t>dimensions</w:t>
      </w:r>
    </w:p>
    <w:p w:rsidR="00AF2508" w:rsidRDefault="00AF2508">
      <w:pPr>
        <w:pStyle w:val="Amain"/>
      </w:pPr>
      <w:r>
        <w:tab/>
        <w:t>(16)</w:t>
      </w:r>
      <w:r>
        <w:tab/>
        <w:t>The dimensions of side rails shall be not less than those provided in table 142.1:</w:t>
      </w:r>
    </w:p>
    <w:p w:rsidR="00AF2508" w:rsidRDefault="00AF2508">
      <w:pPr>
        <w:pStyle w:val="TableHd"/>
        <w:ind w:left="1368" w:hanging="1368"/>
      </w:pPr>
      <w:r>
        <w:t>Table 142.1</w:t>
      </w:r>
      <w:r>
        <w:tab/>
        <w:t>Dimensions of timber single ladders</w:t>
      </w:r>
    </w:p>
    <w:tbl>
      <w:tblPr>
        <w:tblW w:w="0" w:type="auto"/>
        <w:tblLayout w:type="fixed"/>
        <w:tblCellMar>
          <w:left w:w="80" w:type="dxa"/>
          <w:right w:w="80" w:type="dxa"/>
        </w:tblCellMar>
        <w:tblLook w:val="0000" w:firstRow="0" w:lastRow="0" w:firstColumn="0" w:lastColumn="0" w:noHBand="0" w:noVBand="0"/>
      </w:tblPr>
      <w:tblGrid>
        <w:gridCol w:w="3240"/>
        <w:gridCol w:w="4040"/>
      </w:tblGrid>
      <w:tr w:rsidR="00AF2508">
        <w:trPr>
          <w:cantSplit/>
        </w:trPr>
        <w:tc>
          <w:tcPr>
            <w:tcW w:w="3240" w:type="dxa"/>
            <w:tcBorders>
              <w:bottom w:val="single" w:sz="4" w:space="0" w:color="auto"/>
            </w:tcBorders>
          </w:tcPr>
          <w:p w:rsidR="00AF2508" w:rsidRDefault="00AF2508">
            <w:pPr>
              <w:pStyle w:val="TableColHd"/>
            </w:pPr>
            <w:r>
              <w:t xml:space="preserve">ladder length </w:t>
            </w:r>
            <w:r>
              <w:br/>
              <w:t>(in feet)</w:t>
            </w:r>
          </w:p>
        </w:tc>
        <w:tc>
          <w:tcPr>
            <w:tcW w:w="4040" w:type="dxa"/>
            <w:tcBorders>
              <w:bottom w:val="single" w:sz="4" w:space="0" w:color="auto"/>
            </w:tcBorders>
          </w:tcPr>
          <w:p w:rsidR="00AF2508" w:rsidRDefault="00AF2508">
            <w:pPr>
              <w:pStyle w:val="TableColHd"/>
            </w:pPr>
            <w:r>
              <w:t>side rails (stiles) least dimensions</w:t>
            </w:r>
            <w:r>
              <w:br/>
              <w:t xml:space="preserve"> (in inches)</w:t>
            </w:r>
          </w:p>
        </w:tc>
      </w:tr>
      <w:tr w:rsidR="00AF2508">
        <w:trPr>
          <w:cantSplit/>
        </w:trPr>
        <w:tc>
          <w:tcPr>
            <w:tcW w:w="3240" w:type="dxa"/>
            <w:tcBorders>
              <w:top w:val="single" w:sz="4" w:space="0" w:color="auto"/>
            </w:tcBorders>
          </w:tcPr>
          <w:p w:rsidR="00AF2508" w:rsidRDefault="00AF2508">
            <w:pPr>
              <w:pStyle w:val="TableText"/>
            </w:pPr>
            <w:r>
              <w:t>14 and under</w:t>
            </w:r>
          </w:p>
        </w:tc>
        <w:tc>
          <w:tcPr>
            <w:tcW w:w="4040" w:type="dxa"/>
            <w:tcBorders>
              <w:top w:val="single" w:sz="4" w:space="0" w:color="auto"/>
            </w:tcBorders>
          </w:tcPr>
          <w:p w:rsidR="00AF2508" w:rsidRDefault="00AF2508">
            <w:pPr>
              <w:pStyle w:val="TableText"/>
            </w:pPr>
            <w:r>
              <w:t>2</w:t>
            </w:r>
            <w:r>
              <w:rPr>
                <w:position w:val="6"/>
                <w:sz w:val="18"/>
              </w:rPr>
              <w:t>1</w:t>
            </w:r>
            <w:r>
              <w:t>/</w:t>
            </w:r>
            <w:r>
              <w:rPr>
                <w:sz w:val="18"/>
              </w:rPr>
              <w:t>2</w:t>
            </w:r>
            <w:r>
              <w:t xml:space="preserve"> </w:t>
            </w:r>
            <w:r>
              <w:sym w:font="Symbol" w:char="F0B4"/>
            </w:r>
            <w:r>
              <w:t xml:space="preserve"> 1</w:t>
            </w:r>
            <w:r>
              <w:rPr>
                <w:position w:val="6"/>
                <w:sz w:val="18"/>
              </w:rPr>
              <w:t>3</w:t>
            </w:r>
            <w:r>
              <w:t>/</w:t>
            </w:r>
            <w:r>
              <w:rPr>
                <w:sz w:val="18"/>
              </w:rPr>
              <w:t>8</w:t>
            </w:r>
          </w:p>
        </w:tc>
      </w:tr>
      <w:tr w:rsidR="00AF2508">
        <w:trPr>
          <w:cantSplit/>
        </w:trPr>
        <w:tc>
          <w:tcPr>
            <w:tcW w:w="3240" w:type="dxa"/>
          </w:tcPr>
          <w:p w:rsidR="00AF2508" w:rsidRDefault="00AF2508">
            <w:pPr>
              <w:pStyle w:val="TableText"/>
            </w:pPr>
            <w:r>
              <w:t>15 to 22</w:t>
            </w:r>
          </w:p>
        </w:tc>
        <w:tc>
          <w:tcPr>
            <w:tcW w:w="4040" w:type="dxa"/>
          </w:tcPr>
          <w:p w:rsidR="00AF2508" w:rsidRDefault="00AF2508">
            <w:pPr>
              <w:pStyle w:val="TableText"/>
            </w:pPr>
            <w:r>
              <w:t>3</w:t>
            </w:r>
            <w:r>
              <w:rPr>
                <w:position w:val="6"/>
                <w:sz w:val="18"/>
              </w:rPr>
              <w:t>1</w:t>
            </w:r>
            <w:r>
              <w:t>/</w:t>
            </w:r>
            <w:r>
              <w:rPr>
                <w:sz w:val="18"/>
              </w:rPr>
              <w:t>4</w:t>
            </w:r>
            <w:r>
              <w:t xml:space="preserve"> </w:t>
            </w:r>
            <w:r>
              <w:sym w:font="Symbol" w:char="F0B4"/>
            </w:r>
            <w:r>
              <w:t xml:space="preserve"> 1</w:t>
            </w:r>
            <w:r>
              <w:rPr>
                <w:position w:val="6"/>
                <w:sz w:val="18"/>
              </w:rPr>
              <w:t>3</w:t>
            </w:r>
            <w:r>
              <w:t>/</w:t>
            </w:r>
            <w:r>
              <w:rPr>
                <w:sz w:val="18"/>
              </w:rPr>
              <w:t>8</w:t>
            </w:r>
          </w:p>
        </w:tc>
      </w:tr>
      <w:tr w:rsidR="00AF2508">
        <w:trPr>
          <w:cantSplit/>
        </w:trPr>
        <w:tc>
          <w:tcPr>
            <w:tcW w:w="3240" w:type="dxa"/>
          </w:tcPr>
          <w:p w:rsidR="00AF2508" w:rsidRDefault="00AF2508">
            <w:pPr>
              <w:pStyle w:val="TableText"/>
            </w:pPr>
            <w:r>
              <w:t>22 to 30</w:t>
            </w:r>
          </w:p>
        </w:tc>
        <w:tc>
          <w:tcPr>
            <w:tcW w:w="4040" w:type="dxa"/>
          </w:tcPr>
          <w:p w:rsidR="00AF2508" w:rsidRDefault="00AF2508">
            <w:pPr>
              <w:pStyle w:val="TableText"/>
            </w:pPr>
            <w:r>
              <w:t>3</w:t>
            </w:r>
            <w:r>
              <w:rPr>
                <w:position w:val="6"/>
                <w:sz w:val="18"/>
              </w:rPr>
              <w:t>3</w:t>
            </w:r>
            <w:r>
              <w:t>/</w:t>
            </w:r>
            <w:r>
              <w:rPr>
                <w:sz w:val="18"/>
              </w:rPr>
              <w:t>4</w:t>
            </w:r>
            <w:r>
              <w:t xml:space="preserve"> </w:t>
            </w:r>
            <w:r>
              <w:sym w:font="Symbol" w:char="F0B4"/>
            </w:r>
            <w:r>
              <w:t xml:space="preserve"> 1</w:t>
            </w:r>
            <w:r>
              <w:rPr>
                <w:position w:val="6"/>
                <w:sz w:val="18"/>
              </w:rPr>
              <w:t>3</w:t>
            </w:r>
            <w:r>
              <w:t>/</w:t>
            </w:r>
            <w:r>
              <w:rPr>
                <w:sz w:val="18"/>
              </w:rPr>
              <w:t>4</w:t>
            </w:r>
          </w:p>
        </w:tc>
      </w:tr>
    </w:tbl>
    <w:p w:rsidR="00AF2508" w:rsidRDefault="00AF2508">
      <w:pPr>
        <w:pStyle w:val="Assectheading"/>
        <w:rPr>
          <w:i w:val="0"/>
          <w:color w:val="000000"/>
        </w:rPr>
      </w:pPr>
      <w:r>
        <w:rPr>
          <w:color w:val="000000"/>
        </w:rPr>
        <w:t>Single ladders—s</w:t>
      </w:r>
      <w:r>
        <w:rPr>
          <w:rStyle w:val="charItals"/>
          <w:i/>
        </w:rPr>
        <w:t>ide rails (stiles)</w:t>
      </w:r>
      <w:r>
        <w:rPr>
          <w:i w:val="0"/>
          <w:color w:val="000000"/>
        </w:rPr>
        <w:t>—</w:t>
      </w:r>
      <w:r>
        <w:rPr>
          <w:rStyle w:val="charItals"/>
          <w:i/>
        </w:rPr>
        <w:t>drilling for rungs</w:t>
      </w:r>
    </w:p>
    <w:p w:rsidR="00AF2508" w:rsidRDefault="00AF2508">
      <w:pPr>
        <w:pStyle w:val="Amain"/>
      </w:pPr>
      <w:r>
        <w:tab/>
        <w:t>(17)</w:t>
      </w:r>
      <w:r>
        <w:tab/>
        <w:t>All holes for rungs shall be accurately bored through the centre-line of the wide face of each side rail.</w:t>
      </w:r>
    </w:p>
    <w:p w:rsidR="00AF2508" w:rsidRDefault="00AF2508">
      <w:pPr>
        <w:pStyle w:val="Amain"/>
      </w:pPr>
      <w:r>
        <w:tab/>
        <w:t>(18)</w:t>
      </w:r>
      <w:r>
        <w:tab/>
        <w:t>If practicable rungs shall not fit through the full thickness of side rail.</w:t>
      </w:r>
    </w:p>
    <w:p w:rsidR="00AF2508" w:rsidRDefault="00AF2508">
      <w:pPr>
        <w:pStyle w:val="Amain"/>
      </w:pPr>
      <w:r>
        <w:tab/>
        <w:t>(19)</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AF2508" w:rsidRDefault="00AF2508">
      <w:pPr>
        <w:pStyle w:val="Assectheading"/>
        <w:rPr>
          <w:i w:val="0"/>
          <w:color w:val="000000"/>
        </w:rPr>
      </w:pPr>
      <w:r>
        <w:rPr>
          <w:color w:val="000000"/>
        </w:rPr>
        <w:t>Single ladders—s</w:t>
      </w:r>
      <w:r>
        <w:rPr>
          <w:rStyle w:val="charItals"/>
          <w:i/>
        </w:rPr>
        <w:t>ide rails (stiles)</w:t>
      </w:r>
      <w:r>
        <w:rPr>
          <w:i w:val="0"/>
          <w:color w:val="000000"/>
        </w:rPr>
        <w:t>—</w:t>
      </w:r>
      <w:r>
        <w:rPr>
          <w:rStyle w:val="charItals"/>
          <w:i/>
        </w:rPr>
        <w:t>spacing between side rails</w:t>
      </w:r>
    </w:p>
    <w:p w:rsidR="00AF2508" w:rsidRDefault="00AF2508">
      <w:pPr>
        <w:pStyle w:val="Amain"/>
      </w:pPr>
      <w:r>
        <w:tab/>
        <w:t>(20)</w:t>
      </w:r>
      <w:r>
        <w:tab/>
        <w:t>The width between inside faces of side rails shall be not less than 10</w:t>
      </w:r>
      <w:r>
        <w:rPr>
          <w:position w:val="6"/>
          <w:sz w:val="18"/>
        </w:rPr>
        <w:t>1</w:t>
      </w:r>
      <w:r>
        <w:t>/</w:t>
      </w:r>
      <w:r>
        <w:rPr>
          <w:sz w:val="18"/>
        </w:rPr>
        <w:t>2</w:t>
      </w:r>
      <w:r>
        <w:t xml:space="preserve"> inches and shall not be more than 14 inches, unless otherwise approved.</w:t>
      </w:r>
    </w:p>
    <w:p w:rsidR="00AF2508" w:rsidRDefault="00AF2508">
      <w:pPr>
        <w:pStyle w:val="Assectheading"/>
        <w:rPr>
          <w:i w:val="0"/>
          <w:color w:val="000000"/>
        </w:rPr>
      </w:pPr>
      <w:r>
        <w:rPr>
          <w:color w:val="000000"/>
        </w:rPr>
        <w:t>Single ladders—s</w:t>
      </w:r>
      <w:r>
        <w:rPr>
          <w:rStyle w:val="charItals"/>
          <w:i/>
        </w:rPr>
        <w:t>ide rails (stiles)</w:t>
      </w:r>
      <w:r>
        <w:rPr>
          <w:i w:val="0"/>
          <w:color w:val="000000"/>
        </w:rPr>
        <w:t>—</w:t>
      </w:r>
      <w:r>
        <w:rPr>
          <w:rStyle w:val="charItals"/>
          <w:i/>
        </w:rPr>
        <w:t>spacing of rungs</w:t>
      </w:r>
    </w:p>
    <w:p w:rsidR="00AF2508" w:rsidRDefault="00AF2508">
      <w:pPr>
        <w:pStyle w:val="Amain"/>
      </w:pPr>
      <w:r>
        <w:tab/>
        <w:t>(21)</w:t>
      </w:r>
      <w:r>
        <w:tab/>
        <w:t>All rungs shall be equally spaced.</w:t>
      </w:r>
    </w:p>
    <w:p w:rsidR="00AF2508" w:rsidRDefault="00AF2508">
      <w:pPr>
        <w:pStyle w:val="Amain"/>
      </w:pPr>
      <w:r>
        <w:tab/>
        <w:t>(22)</w:t>
      </w:r>
      <w:r>
        <w:tab/>
        <w:t>The spacing shall be not less than 8</w:t>
      </w:r>
      <w:r>
        <w:rPr>
          <w:position w:val="6"/>
          <w:sz w:val="18"/>
        </w:rPr>
        <w:t>1</w:t>
      </w:r>
      <w:r>
        <w:t>/</w:t>
      </w:r>
      <w:r>
        <w:rPr>
          <w:sz w:val="18"/>
        </w:rPr>
        <w:t>2</w:t>
      </w:r>
      <w:r>
        <w:t xml:space="preserve"> inches or more than 10</w:t>
      </w:r>
      <w:r>
        <w:rPr>
          <w:position w:val="6"/>
          <w:sz w:val="18"/>
        </w:rPr>
        <w:t>1</w:t>
      </w:r>
      <w:r>
        <w:t>/</w:t>
      </w:r>
      <w:r>
        <w:rPr>
          <w:sz w:val="18"/>
        </w:rPr>
        <w:t>2 </w:t>
      </w:r>
      <w:r>
        <w:t>inches measured centre to centre unless otherwise approved.</w:t>
      </w:r>
    </w:p>
    <w:p w:rsidR="00AF2508" w:rsidRDefault="00AF2508">
      <w:pPr>
        <w:pStyle w:val="Amain"/>
      </w:pPr>
      <w:r>
        <w:tab/>
        <w:t>(23)</w:t>
      </w:r>
      <w:r>
        <w:tab/>
        <w:t>The distance from the bottom of the side rails to the centre of the nearest rung shall be the same as the spacing of the rungs.</w:t>
      </w:r>
    </w:p>
    <w:p w:rsidR="00AF2508" w:rsidRDefault="00AF2508">
      <w:pPr>
        <w:pStyle w:val="Assectheading"/>
        <w:rPr>
          <w:i w:val="0"/>
          <w:color w:val="000000"/>
        </w:rPr>
      </w:pPr>
      <w:r>
        <w:rPr>
          <w:color w:val="000000"/>
        </w:rPr>
        <w:t>Single ladders—</w:t>
      </w:r>
      <w:r>
        <w:rPr>
          <w:rStyle w:val="charItals"/>
          <w:i/>
        </w:rPr>
        <w:t>rungs—material</w:t>
      </w:r>
    </w:p>
    <w:p w:rsidR="00AF2508" w:rsidRDefault="00AF2508">
      <w:pPr>
        <w:pStyle w:val="Amain"/>
      </w:pPr>
      <w:r>
        <w:tab/>
        <w:t>(24)</w:t>
      </w:r>
      <w:r>
        <w:tab/>
        <w:t>All rungs shall be of spotted gum or other timber of at least equivalent strength and suitability.</w:t>
      </w:r>
    </w:p>
    <w:p w:rsidR="00AF2508" w:rsidRDefault="00AF2508">
      <w:pPr>
        <w:pStyle w:val="Amain"/>
      </w:pPr>
      <w:r>
        <w:tab/>
        <w:t>(25)</w:t>
      </w:r>
      <w:r>
        <w:tab/>
        <w:t>All timber so used shall be well-seasoned, straight-grained, free from sap wood, knots and other defects.</w:t>
      </w:r>
    </w:p>
    <w:p w:rsidR="00AF2508" w:rsidRDefault="00AF2508">
      <w:pPr>
        <w:pStyle w:val="Assectheading"/>
        <w:rPr>
          <w:i w:val="0"/>
          <w:color w:val="000000"/>
        </w:rPr>
      </w:pPr>
      <w:r>
        <w:rPr>
          <w:color w:val="000000"/>
        </w:rPr>
        <w:t>Single ladders—</w:t>
      </w:r>
      <w:r>
        <w:rPr>
          <w:rStyle w:val="charItals"/>
          <w:i/>
        </w:rPr>
        <w:t>rungs—dimensions</w:t>
      </w:r>
    </w:p>
    <w:p w:rsidR="00AF2508" w:rsidRDefault="00AF2508">
      <w:pPr>
        <w:pStyle w:val="Amain"/>
      </w:pPr>
      <w:r>
        <w:tab/>
        <w:t>(26)</w:t>
      </w:r>
      <w:r>
        <w:tab/>
        <w:t>Rungs shall be 1</w:t>
      </w:r>
      <w:r>
        <w:rPr>
          <w:position w:val="6"/>
          <w:sz w:val="18"/>
        </w:rPr>
        <w:t>1</w:t>
      </w:r>
      <w:r>
        <w:t>/</w:t>
      </w:r>
      <w:r>
        <w:rPr>
          <w:sz w:val="18"/>
        </w:rPr>
        <w:t>8</w:t>
      </w:r>
      <w:r>
        <w:t xml:space="preserve"> inches diameter reduced at each end to form tenons </w:t>
      </w:r>
      <w:r>
        <w:rPr>
          <w:position w:val="6"/>
          <w:sz w:val="18"/>
        </w:rPr>
        <w:t>7</w:t>
      </w:r>
      <w:r>
        <w:t>/</w:t>
      </w:r>
      <w:r>
        <w:rPr>
          <w:sz w:val="18"/>
        </w:rPr>
        <w:t>8</w:t>
      </w:r>
      <w:r>
        <w:t xml:space="preserve"> of an inch diameter.</w:t>
      </w:r>
    </w:p>
    <w:p w:rsidR="00AF2508" w:rsidRDefault="00AF2508">
      <w:pPr>
        <w:pStyle w:val="Amain"/>
      </w:pPr>
      <w:r>
        <w:tab/>
        <w:t>(27)</w:t>
      </w:r>
      <w:r>
        <w:tab/>
        <w:t xml:space="preserve">Rungs shall extend at least </w:t>
      </w:r>
      <w:r>
        <w:rPr>
          <w:position w:val="6"/>
          <w:sz w:val="18"/>
        </w:rPr>
        <w:t>3</w:t>
      </w:r>
      <w:r>
        <w:t>/</w:t>
      </w:r>
      <w:r>
        <w:rPr>
          <w:sz w:val="18"/>
        </w:rPr>
        <w:t>4</w:t>
      </w:r>
      <w:r>
        <w:t xml:space="preserve"> of an inch into side rails and if practicable shall finish </w:t>
      </w:r>
      <w:r>
        <w:rPr>
          <w:position w:val="6"/>
          <w:sz w:val="18"/>
        </w:rPr>
        <w:t>5</w:t>
      </w:r>
      <w:r>
        <w:t>/</w:t>
      </w:r>
      <w:r>
        <w:rPr>
          <w:sz w:val="18"/>
        </w:rPr>
        <w:t>16</w:t>
      </w:r>
      <w:r>
        <w:t xml:space="preserve"> of an inch from the outer face of side rails.</w:t>
      </w:r>
    </w:p>
    <w:p w:rsidR="00AF2508" w:rsidRDefault="00AF2508">
      <w:pPr>
        <w:pStyle w:val="Assectheading"/>
        <w:rPr>
          <w:i w:val="0"/>
          <w:color w:val="000000"/>
        </w:rPr>
      </w:pPr>
      <w:r>
        <w:rPr>
          <w:color w:val="000000"/>
        </w:rPr>
        <w:t>Single ladders—</w:t>
      </w:r>
      <w:r>
        <w:rPr>
          <w:rStyle w:val="charItals"/>
          <w:i/>
        </w:rPr>
        <w:t>rungs—attachment of rungs to side rails</w:t>
      </w:r>
    </w:p>
    <w:p w:rsidR="00AF2508" w:rsidRDefault="00AF2508">
      <w:pPr>
        <w:pStyle w:val="Amain"/>
      </w:pPr>
      <w:r>
        <w:tab/>
        <w:t>(28)</w:t>
      </w:r>
      <w:r>
        <w:tab/>
        <w:t>Rung tenons shall be a tight fit in the side rails and the shoulders shall fit accurately against the side rails.</w:t>
      </w:r>
    </w:p>
    <w:p w:rsidR="00AF2508" w:rsidRDefault="00AF2508">
      <w:pPr>
        <w:pStyle w:val="Amain"/>
      </w:pPr>
      <w:r>
        <w:tab/>
        <w:t>(29)</w:t>
      </w:r>
      <w:r>
        <w:tab/>
        <w:t>Each rung tenon shall be prevented from turning by means of a nail at least 0.104 inches diameter (12</w:t>
      </w:r>
      <w:r>
        <w:rPr>
          <w:b/>
        </w:rPr>
        <w:t xml:space="preserve"> </w:t>
      </w:r>
      <w:r>
        <w:t>gauge), driven through the narrow edge of the side rail and passing completely through the rung tenon.</w:t>
      </w:r>
    </w:p>
    <w:p w:rsidR="00AF2508" w:rsidRDefault="00AF2508">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material</w:t>
      </w:r>
    </w:p>
    <w:p w:rsidR="00AF2508" w:rsidRDefault="00AF2508">
      <w:pPr>
        <w:pStyle w:val="Amain"/>
      </w:pPr>
      <w:r>
        <w:tab/>
        <w:t>(30)</w:t>
      </w:r>
      <w:r>
        <w:tab/>
        <w:t>Ties shall be of steel or other approved material.</w:t>
      </w:r>
    </w:p>
    <w:p w:rsidR="00AF2508" w:rsidRDefault="00AF2508">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dimensions</w:t>
      </w:r>
    </w:p>
    <w:p w:rsidR="00AF2508" w:rsidRDefault="00AF2508">
      <w:pPr>
        <w:pStyle w:val="Amain"/>
      </w:pPr>
      <w:r>
        <w:tab/>
        <w:t>(31)</w:t>
      </w:r>
      <w:r>
        <w:tab/>
        <w:t xml:space="preserve">Ties of steel shall be not less than </w:t>
      </w:r>
      <w:r>
        <w:rPr>
          <w:position w:val="6"/>
          <w:sz w:val="18"/>
        </w:rPr>
        <w:t>1</w:t>
      </w:r>
      <w:r>
        <w:t>/</w:t>
      </w:r>
      <w:r>
        <w:rPr>
          <w:sz w:val="18"/>
        </w:rPr>
        <w:t>4</w:t>
      </w:r>
      <w:r>
        <w:t xml:space="preserve"> or more than </w:t>
      </w:r>
      <w:r>
        <w:rPr>
          <w:position w:val="6"/>
          <w:sz w:val="18"/>
        </w:rPr>
        <w:t>3</w:t>
      </w:r>
      <w:r>
        <w:t>/</w:t>
      </w:r>
      <w:r>
        <w:rPr>
          <w:sz w:val="18"/>
        </w:rPr>
        <w:t>8</w:t>
      </w:r>
      <w:r>
        <w:t xml:space="preserve"> of an inch diameter and shall be fitted with washers at each end made of at least 0.05 inches thickness (18 gauge steel), twice the diameter of the tie rod hole in each side rail.</w:t>
      </w:r>
    </w:p>
    <w:p w:rsidR="00AF2508" w:rsidRDefault="00AF2508">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spacing of ties</w:t>
      </w:r>
    </w:p>
    <w:p w:rsidR="00AF2508" w:rsidRDefault="00AF2508">
      <w:pPr>
        <w:pStyle w:val="Amain"/>
      </w:pPr>
      <w:r>
        <w:tab/>
        <w:t>(32)</w:t>
      </w:r>
      <w:r>
        <w:tab/>
        <w:t>A tie shall be fitted at the top and bottom rungs.</w:t>
      </w:r>
    </w:p>
    <w:p w:rsidR="00AF2508" w:rsidRDefault="00AF2508">
      <w:pPr>
        <w:pStyle w:val="Amain"/>
      </w:pPr>
      <w:r>
        <w:tab/>
        <w:t>(33)</w:t>
      </w:r>
      <w:r>
        <w:tab/>
        <w:t>Intermediate ties shall be fitted to at least every 6th rung.</w:t>
      </w:r>
    </w:p>
    <w:p w:rsidR="00AF2508" w:rsidRDefault="00AF2508">
      <w:pPr>
        <w:pStyle w:val="Amain"/>
      </w:pPr>
      <w:r>
        <w:tab/>
        <w:t>(34)</w:t>
      </w:r>
      <w:r>
        <w:tab/>
        <w:t>Ties shall be equally spaced if practicable and shall be fitted immediately below their adjacent rungs, pass through the centre-line of the wide face of each side rail and be well rivetted over washers at their ends to prevent spreading of the side rails.</w:t>
      </w:r>
    </w:p>
    <w:p w:rsidR="00AF2508" w:rsidRDefault="00AF2508">
      <w:pPr>
        <w:pStyle w:val="Assectheading"/>
        <w:rPr>
          <w:i w:val="0"/>
        </w:rPr>
      </w:pPr>
      <w:r>
        <w:rPr>
          <w:rStyle w:val="charItals"/>
          <w:i/>
        </w:rPr>
        <w:t>Extension ladders</w:t>
      </w:r>
      <w:r>
        <w:rPr>
          <w:i w:val="0"/>
          <w:color w:val="000000"/>
        </w:rPr>
        <w:t>—</w:t>
      </w:r>
      <w:r>
        <w:rPr>
          <w:rStyle w:val="charItals"/>
          <w:i/>
        </w:rPr>
        <w:t>extension ladders not to exceed 50 feet in length</w:t>
      </w:r>
    </w:p>
    <w:p w:rsidR="00AF2508" w:rsidRDefault="00AF2508">
      <w:pPr>
        <w:pStyle w:val="Amain"/>
      </w:pPr>
      <w:r>
        <w:tab/>
        <w:t>(35)</w:t>
      </w:r>
      <w:r>
        <w:tab/>
        <w:t>An extension ladder exceeding 50 feet in length shall not be used unless otherwise approved.</w:t>
      </w:r>
    </w:p>
    <w:p w:rsidR="00AF2508" w:rsidRDefault="00AF2508">
      <w:pPr>
        <w:pStyle w:val="Assectheading"/>
        <w:rPr>
          <w:i w:val="0"/>
        </w:rPr>
      </w:pPr>
      <w:r>
        <w:rPr>
          <w:rStyle w:val="charItals"/>
          <w:i/>
        </w:rPr>
        <w:t>Extension ladders—side rails (stiles)—dimensions</w:t>
      </w:r>
    </w:p>
    <w:p w:rsidR="00AF2508" w:rsidRDefault="00AF2508">
      <w:pPr>
        <w:pStyle w:val="Amain"/>
      </w:pPr>
      <w:r>
        <w:tab/>
        <w:t>(36)</w:t>
      </w:r>
      <w:r>
        <w:tab/>
        <w:t>Side rails shall have dimensions not less than those provided in table 142.2.</w:t>
      </w:r>
    </w:p>
    <w:p w:rsidR="00AF2508" w:rsidRDefault="00AF2508">
      <w:pPr>
        <w:pStyle w:val="aNote"/>
      </w:pPr>
      <w:r>
        <w:rPr>
          <w:i/>
          <w:iCs/>
        </w:rPr>
        <w:t>Note</w:t>
      </w:r>
      <w:r>
        <w:tab/>
        <w:t>Table 142.2 is after s (66).</w:t>
      </w:r>
    </w:p>
    <w:p w:rsidR="00AF2508" w:rsidRDefault="00AF2508">
      <w:pPr>
        <w:pStyle w:val="Assectheading"/>
        <w:rPr>
          <w:i w:val="0"/>
        </w:rPr>
      </w:pPr>
      <w:r>
        <w:rPr>
          <w:rStyle w:val="charItals"/>
          <w:i/>
        </w:rPr>
        <w:t>Extension ladders—side rails (stiles)—drilling for rungs</w:t>
      </w:r>
    </w:p>
    <w:p w:rsidR="00AF2508" w:rsidRDefault="00AF2508">
      <w:pPr>
        <w:pStyle w:val="Amain"/>
      </w:pPr>
      <w:r>
        <w:tab/>
        <w:t>(37)</w:t>
      </w:r>
      <w:r>
        <w:tab/>
        <w:t>All holes for rungs shall be accurately bored through the centre-line of the wide face of side rails.</w:t>
      </w:r>
    </w:p>
    <w:p w:rsidR="00AF2508" w:rsidRDefault="00AF2508">
      <w:pPr>
        <w:pStyle w:val="Amain"/>
      </w:pPr>
      <w:r>
        <w:tab/>
        <w:t>(38)</w:t>
      </w:r>
      <w:r>
        <w:tab/>
        <w:t>If practicable rungs shall not fit through the full thickness of side rail.</w:t>
      </w:r>
    </w:p>
    <w:p w:rsidR="00AF2508" w:rsidRDefault="00AF2508">
      <w:pPr>
        <w:pStyle w:val="Amain"/>
      </w:pPr>
      <w:r>
        <w:tab/>
        <w:t>(39)</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AF2508" w:rsidRDefault="00AF2508">
      <w:pPr>
        <w:pStyle w:val="Assectheading"/>
        <w:rPr>
          <w:i w:val="0"/>
        </w:rPr>
      </w:pPr>
      <w:r>
        <w:rPr>
          <w:rStyle w:val="charItals"/>
          <w:i/>
        </w:rPr>
        <w:t>Extension ladders—side rails (stiles)—spacing of rungs</w:t>
      </w:r>
    </w:p>
    <w:p w:rsidR="00AF2508" w:rsidRDefault="00AF2508">
      <w:pPr>
        <w:pStyle w:val="Amain"/>
      </w:pPr>
      <w:r>
        <w:tab/>
        <w:t>(40)</w:t>
      </w:r>
      <w:r>
        <w:tab/>
        <w:t>All rungs shall be equally spaced.</w:t>
      </w:r>
    </w:p>
    <w:p w:rsidR="00AF2508" w:rsidRDefault="00AF2508">
      <w:pPr>
        <w:pStyle w:val="Amain"/>
      </w:pPr>
      <w:r>
        <w:tab/>
        <w:t>(41)</w:t>
      </w:r>
      <w:r>
        <w:tab/>
        <w:t>The spacing shall be 12</w:t>
      </w:r>
      <w:r>
        <w:rPr>
          <w:b/>
        </w:rPr>
        <w:t xml:space="preserve"> </w:t>
      </w:r>
      <w:r>
        <w:t>inches measured centre to centre.</w:t>
      </w:r>
    </w:p>
    <w:p w:rsidR="00AF2508" w:rsidRDefault="00AF2508">
      <w:pPr>
        <w:pStyle w:val="Assectheading"/>
        <w:rPr>
          <w:i w:val="0"/>
        </w:rPr>
      </w:pPr>
      <w:r>
        <w:rPr>
          <w:rStyle w:val="charItals"/>
          <w:i/>
        </w:rPr>
        <w:t>Extension ladders—side rails (stiles)—spacing between side rails</w:t>
      </w:r>
    </w:p>
    <w:p w:rsidR="00AF2508" w:rsidRDefault="00AF2508">
      <w:pPr>
        <w:pStyle w:val="Amain"/>
      </w:pPr>
      <w:r>
        <w:tab/>
        <w:t>(42)</w:t>
      </w:r>
      <w:r>
        <w:tab/>
        <w:t>The width between inside faces of side rails shall be not less than 10</w:t>
      </w:r>
      <w:r>
        <w:rPr>
          <w:position w:val="6"/>
          <w:sz w:val="18"/>
        </w:rPr>
        <w:t>1</w:t>
      </w:r>
      <w:r>
        <w:t>/</w:t>
      </w:r>
      <w:r>
        <w:rPr>
          <w:sz w:val="18"/>
        </w:rPr>
        <w:t>2</w:t>
      </w:r>
      <w:r>
        <w:t xml:space="preserve"> inches and not more than 15 inches.</w:t>
      </w:r>
    </w:p>
    <w:p w:rsidR="00AF2508" w:rsidRDefault="00AF2508">
      <w:pPr>
        <w:pStyle w:val="Assectheading"/>
        <w:rPr>
          <w:i w:val="0"/>
        </w:rPr>
      </w:pPr>
      <w:r>
        <w:rPr>
          <w:rStyle w:val="charItals"/>
          <w:i/>
        </w:rPr>
        <w:t>Extension ladders—side rails (stiles)—reinforcing of side rails</w:t>
      </w:r>
    </w:p>
    <w:p w:rsidR="00AF2508" w:rsidRDefault="00AF2508">
      <w:pPr>
        <w:pStyle w:val="Amain"/>
      </w:pPr>
      <w:r>
        <w:tab/>
        <w:t>(43)</w:t>
      </w:r>
      <w:r>
        <w:tab/>
        <w:t>The tension edge of each side rail shall be grooved and fitted with galvanised steel reinforcing wire or its approved equivalent.</w:t>
      </w:r>
    </w:p>
    <w:p w:rsidR="00AF2508" w:rsidRDefault="00AF2508">
      <w:pPr>
        <w:pStyle w:val="Amain"/>
        <w:keepLines/>
      </w:pPr>
      <w:r>
        <w:tab/>
        <w:t>(44)</w:t>
      </w:r>
      <w:r>
        <w:tab/>
        <w:t>Wire of size not less than 0.128 inches diameter (10 gauge) shall be used for extension ladders of 32 feet or under and wire of size of not less than 0.16 inches diameter (8</w:t>
      </w:r>
      <w:r>
        <w:rPr>
          <w:b/>
        </w:rPr>
        <w:t xml:space="preserve"> </w:t>
      </w:r>
      <w:r>
        <w:t>gauge) shall be used for extension ladders over 32 feet in length.</w:t>
      </w:r>
    </w:p>
    <w:p w:rsidR="00AF2508" w:rsidRDefault="00AF2508">
      <w:pPr>
        <w:pStyle w:val="Amain"/>
      </w:pPr>
      <w:r>
        <w:tab/>
        <w:t>(45)</w:t>
      </w:r>
      <w:r>
        <w:tab/>
        <w:t>This wire shall be so fitted that when the ladder is straight the wire is sufficiently tensioned to keep it taut at the bottom of the groove.</w:t>
      </w:r>
    </w:p>
    <w:p w:rsidR="00AF2508" w:rsidRDefault="00AF2508">
      <w:pPr>
        <w:pStyle w:val="Amain"/>
      </w:pPr>
      <w:r>
        <w:tab/>
        <w:t>(46)</w:t>
      </w:r>
      <w:r>
        <w:tab/>
        <w:t>The wire shall be stapled in the groove and anchored at each end in an approved way.</w:t>
      </w:r>
    </w:p>
    <w:p w:rsidR="00AF2508" w:rsidRDefault="00AF2508">
      <w:pPr>
        <w:pStyle w:val="Assectheading"/>
        <w:rPr>
          <w:i w:val="0"/>
        </w:rPr>
      </w:pPr>
      <w:r>
        <w:rPr>
          <w:rStyle w:val="charItals"/>
          <w:i/>
        </w:rPr>
        <w:t>Extension ladders—side rails (stiles)—overlap of side rails when fully extended</w:t>
      </w:r>
    </w:p>
    <w:p w:rsidR="00AF2508" w:rsidRDefault="00AF2508">
      <w:pPr>
        <w:pStyle w:val="Amain"/>
      </w:pPr>
      <w:r>
        <w:tab/>
        <w:t>(47)</w:t>
      </w:r>
      <w:r>
        <w:tab/>
        <w:t>The overlap of each side rail in the fully extended position shall be not less than that in table 142.2.</w:t>
      </w:r>
    </w:p>
    <w:p w:rsidR="00AF2508" w:rsidRDefault="00AF2508">
      <w:pPr>
        <w:pStyle w:val="aNote"/>
      </w:pPr>
      <w:r>
        <w:rPr>
          <w:i/>
          <w:iCs/>
        </w:rPr>
        <w:t>Note</w:t>
      </w:r>
      <w:r>
        <w:tab/>
        <w:t>Table 142.2 is after s (66).</w:t>
      </w:r>
    </w:p>
    <w:p w:rsidR="00AF2508" w:rsidRDefault="00AF2508">
      <w:pPr>
        <w:pStyle w:val="Assectheading"/>
        <w:rPr>
          <w:i w:val="0"/>
        </w:rPr>
      </w:pPr>
      <w:r>
        <w:rPr>
          <w:rStyle w:val="charItals"/>
          <w:i/>
        </w:rPr>
        <w:t>Extension ladders—rungs—material</w:t>
      </w:r>
    </w:p>
    <w:p w:rsidR="00AF2508" w:rsidRDefault="00AF2508">
      <w:pPr>
        <w:pStyle w:val="Amain"/>
      </w:pPr>
      <w:r>
        <w:tab/>
        <w:t>(48)</w:t>
      </w:r>
      <w:r>
        <w:tab/>
        <w:t>All rungs shall be made of spotted gum or other approved timber of equivalent characteristics and suitability.</w:t>
      </w:r>
    </w:p>
    <w:p w:rsidR="00AF2508" w:rsidRDefault="00AF2508">
      <w:pPr>
        <w:pStyle w:val="Amain"/>
      </w:pPr>
      <w:r>
        <w:tab/>
        <w:t>(49)</w:t>
      </w:r>
      <w:r>
        <w:tab/>
        <w:t>The timber so used shall be well-seasoned, straight-grained, free from sapwood, knots and other defects.</w:t>
      </w:r>
    </w:p>
    <w:p w:rsidR="00AF2508" w:rsidRDefault="00AF2508">
      <w:pPr>
        <w:pStyle w:val="Assectheading"/>
        <w:rPr>
          <w:i w:val="0"/>
        </w:rPr>
      </w:pPr>
      <w:r>
        <w:rPr>
          <w:rStyle w:val="charItals"/>
          <w:i/>
        </w:rPr>
        <w:t>Extension ladders—rungs—dimensions</w:t>
      </w:r>
    </w:p>
    <w:p w:rsidR="00AF2508" w:rsidRDefault="00AF2508">
      <w:pPr>
        <w:pStyle w:val="Amain"/>
      </w:pPr>
      <w:r>
        <w:tab/>
        <w:t>(50)</w:t>
      </w:r>
      <w:r>
        <w:tab/>
        <w:t>Rungs shall be 1</w:t>
      </w:r>
      <w:r>
        <w:rPr>
          <w:position w:val="6"/>
          <w:sz w:val="18"/>
        </w:rPr>
        <w:t>1</w:t>
      </w:r>
      <w:r>
        <w:t>/</w:t>
      </w:r>
      <w:r>
        <w:rPr>
          <w:sz w:val="18"/>
        </w:rPr>
        <w:t>8</w:t>
      </w:r>
      <w:r>
        <w:t xml:space="preserve"> inches diameter reduced at each end to form tenons </w:t>
      </w:r>
      <w:r>
        <w:rPr>
          <w:position w:val="6"/>
          <w:sz w:val="18"/>
        </w:rPr>
        <w:t>7</w:t>
      </w:r>
      <w:r>
        <w:t>/</w:t>
      </w:r>
      <w:r>
        <w:rPr>
          <w:sz w:val="18"/>
        </w:rPr>
        <w:t>8</w:t>
      </w:r>
      <w:r>
        <w:t xml:space="preserve"> of an inch diameter.</w:t>
      </w:r>
    </w:p>
    <w:p w:rsidR="00AF2508" w:rsidRDefault="00AF2508">
      <w:pPr>
        <w:pStyle w:val="Amain"/>
      </w:pPr>
      <w:r>
        <w:tab/>
        <w:t>(51)</w:t>
      </w:r>
      <w:r>
        <w:tab/>
        <w:t xml:space="preserve">Rungs shall extend at least </w:t>
      </w:r>
      <w:r>
        <w:rPr>
          <w:position w:val="6"/>
          <w:sz w:val="18"/>
        </w:rPr>
        <w:t>3</w:t>
      </w:r>
      <w:r>
        <w:t>/</w:t>
      </w:r>
      <w:r>
        <w:rPr>
          <w:sz w:val="18"/>
        </w:rPr>
        <w:t>4</w:t>
      </w:r>
      <w:r>
        <w:t xml:space="preserve"> of an inch into side rails and if practicable shall finish </w:t>
      </w:r>
      <w:r>
        <w:rPr>
          <w:position w:val="6"/>
          <w:sz w:val="18"/>
        </w:rPr>
        <w:t>5</w:t>
      </w:r>
      <w:r>
        <w:t>/</w:t>
      </w:r>
      <w:r>
        <w:rPr>
          <w:sz w:val="18"/>
        </w:rPr>
        <w:t>16</w:t>
      </w:r>
      <w:r>
        <w:t xml:space="preserve"> of an inch from the outer face of side rail.</w:t>
      </w:r>
    </w:p>
    <w:p w:rsidR="00AF2508" w:rsidRDefault="00AF2508">
      <w:pPr>
        <w:pStyle w:val="Assectheading"/>
        <w:rPr>
          <w:i w:val="0"/>
        </w:rPr>
      </w:pPr>
      <w:r>
        <w:rPr>
          <w:rStyle w:val="charItals"/>
          <w:i/>
        </w:rPr>
        <w:t>Extension ladders—rungs—attachment of rungs to side rails</w:t>
      </w:r>
    </w:p>
    <w:p w:rsidR="00AF2508" w:rsidRDefault="00AF2508">
      <w:pPr>
        <w:pStyle w:val="Amain"/>
      </w:pPr>
      <w:r>
        <w:tab/>
        <w:t>(52)</w:t>
      </w:r>
      <w:r>
        <w:tab/>
        <w:t>Rung tenons shall be a tight fit in the side rail and the shoulders shall fit accurately against the same.</w:t>
      </w:r>
    </w:p>
    <w:p w:rsidR="00AF2508" w:rsidRDefault="00AF2508">
      <w:pPr>
        <w:pStyle w:val="Amain"/>
      </w:pPr>
      <w:r>
        <w:tab/>
        <w:t>(53)</w:t>
      </w:r>
      <w:r>
        <w:tab/>
        <w:t>Each rung tenon shall be prevented from turning by means of a nail at least 0.092 inches diameter (13 gauge) driven through the narrow edge of the side rail and passing completely through the rung tenon.</w:t>
      </w:r>
    </w:p>
    <w:p w:rsidR="00AF2508" w:rsidRDefault="00AF2508">
      <w:pPr>
        <w:pStyle w:val="Assectheading"/>
        <w:rPr>
          <w:i w:val="0"/>
        </w:rPr>
      </w:pPr>
      <w:r>
        <w:rPr>
          <w:rStyle w:val="charItals"/>
          <w:i/>
        </w:rPr>
        <w:t>Extension ladders—safety lock fittings and side rail guides</w:t>
      </w:r>
    </w:p>
    <w:p w:rsidR="00AF2508" w:rsidRDefault="00AF2508">
      <w:pPr>
        <w:pStyle w:val="Amain"/>
      </w:pPr>
      <w:r>
        <w:tab/>
        <w:t>(54)</w:t>
      </w:r>
      <w:r>
        <w:tab/>
        <w:t>Every extension ladder shall be fitted with an approved lock and guide brackets that shall effectively allow the ladder to be extended, retracted and locked in any position.</w:t>
      </w:r>
    </w:p>
    <w:p w:rsidR="00AF2508" w:rsidRDefault="00AF2508">
      <w:pPr>
        <w:pStyle w:val="Amain"/>
      </w:pPr>
      <w:r>
        <w:tab/>
        <w:t>(55)</w:t>
      </w:r>
      <w:r>
        <w:tab/>
        <w:t>The lock shall be reliable in principle, simple in detail and capable of safe operation in any extended position of the ladder.</w:t>
      </w:r>
    </w:p>
    <w:p w:rsidR="00AF2508" w:rsidRDefault="00AF2508">
      <w:pPr>
        <w:pStyle w:val="Amain"/>
      </w:pPr>
      <w:r>
        <w:tab/>
        <w:t>(56)</w:t>
      </w:r>
      <w:r>
        <w:tab/>
        <w:t>It shall be so arranged that it will maintain the sections of the ladder in the relative position to each other that the rungs of the sections overlapping in every stage of extension shall form double treads.</w:t>
      </w:r>
    </w:p>
    <w:p w:rsidR="00AF2508" w:rsidRDefault="00AF2508">
      <w:pPr>
        <w:pStyle w:val="Assectheading"/>
        <w:rPr>
          <w:i w:val="0"/>
        </w:rPr>
      </w:pPr>
      <w:r>
        <w:rPr>
          <w:rStyle w:val="charItals"/>
          <w:i/>
        </w:rPr>
        <w:t>Extension ladders—extension ropes and pulleys</w:t>
      </w:r>
    </w:p>
    <w:p w:rsidR="00AF2508" w:rsidRDefault="00AF2508">
      <w:pPr>
        <w:pStyle w:val="Amain"/>
      </w:pPr>
      <w:r>
        <w:tab/>
        <w:t>(57)</w:t>
      </w:r>
      <w:r>
        <w:tab/>
        <w:t>All extension ladders longer than 14 feet when fully extended shall be provided with extension ropes that shall be fibre rope of approved quality not less than 1</w:t>
      </w:r>
      <w:r>
        <w:rPr>
          <w:b/>
        </w:rPr>
        <w:t xml:space="preserve"> </w:t>
      </w:r>
      <w:r>
        <w:t>inch circumference.</w:t>
      </w:r>
    </w:p>
    <w:p w:rsidR="00AF2508" w:rsidRDefault="00AF2508">
      <w:pPr>
        <w:pStyle w:val="Amain"/>
      </w:pPr>
      <w:r>
        <w:tab/>
        <w:t>(58)</w:t>
      </w:r>
      <w:r>
        <w:tab/>
        <w:t>Extension ladders longer than 34 feet when fully extended shall be fitted with 2 fibre ropes.</w:t>
      </w:r>
    </w:p>
    <w:p w:rsidR="00AF2508" w:rsidRDefault="00AF2508">
      <w:pPr>
        <w:pStyle w:val="Amain"/>
      </w:pPr>
      <w:r>
        <w:tab/>
        <w:t>(59)</w:t>
      </w:r>
      <w:r>
        <w:tab/>
        <w:t>The ropes shall be effectively anchored and maintained.</w:t>
      </w:r>
    </w:p>
    <w:p w:rsidR="00AF2508" w:rsidRDefault="00AF2508">
      <w:pPr>
        <w:pStyle w:val="Amain"/>
      </w:pPr>
      <w:r>
        <w:tab/>
        <w:t>(60)</w:t>
      </w:r>
      <w:r>
        <w:tab/>
        <w:t xml:space="preserve">Pulleys shall be fitted to properly accommodate the extension ropes, and shall have axles not less than </w:t>
      </w:r>
      <w:r>
        <w:rPr>
          <w:position w:val="6"/>
          <w:sz w:val="18"/>
        </w:rPr>
        <w:t>1</w:t>
      </w:r>
      <w:r>
        <w:t>/</w:t>
      </w:r>
      <w:r>
        <w:rPr>
          <w:sz w:val="18"/>
        </w:rPr>
        <w:t>4</w:t>
      </w:r>
      <w:r>
        <w:t xml:space="preserve"> of an inch in diameter.</w:t>
      </w:r>
    </w:p>
    <w:p w:rsidR="00AF2508" w:rsidRDefault="00AF2508">
      <w:pPr>
        <w:pStyle w:val="Amain"/>
      </w:pPr>
      <w:r>
        <w:tab/>
        <w:t>(61)</w:t>
      </w:r>
      <w:r>
        <w:tab/>
        <w:t>The pulleys shall be fitted to either side(s) or centre of ladder.</w:t>
      </w:r>
    </w:p>
    <w:p w:rsidR="00AF2508" w:rsidRDefault="00AF2508">
      <w:pPr>
        <w:pStyle w:val="Assectheading"/>
        <w:rPr>
          <w:i w:val="0"/>
        </w:rPr>
      </w:pPr>
      <w:r>
        <w:rPr>
          <w:rStyle w:val="charItals"/>
          <w:i/>
        </w:rPr>
        <w:t>Ties—side rail to side rail—material</w:t>
      </w:r>
    </w:p>
    <w:p w:rsidR="00AF2508" w:rsidRDefault="00AF2508">
      <w:pPr>
        <w:pStyle w:val="Amain"/>
      </w:pPr>
      <w:r>
        <w:tab/>
        <w:t>(62)</w:t>
      </w:r>
      <w:r>
        <w:tab/>
        <w:t>Ties shall be of steel or other approved material.</w:t>
      </w:r>
    </w:p>
    <w:p w:rsidR="00AF2508" w:rsidRDefault="00AF2508">
      <w:pPr>
        <w:pStyle w:val="Assectheading"/>
        <w:rPr>
          <w:i w:val="0"/>
        </w:rPr>
      </w:pPr>
      <w:r>
        <w:rPr>
          <w:rStyle w:val="charItals"/>
          <w:i/>
        </w:rPr>
        <w:t>Ties—side rail to side rail—dimensions</w:t>
      </w:r>
    </w:p>
    <w:p w:rsidR="00AF2508" w:rsidRDefault="00AF2508">
      <w:pPr>
        <w:pStyle w:val="Amain"/>
      </w:pPr>
      <w:r>
        <w:tab/>
        <w:t>(63)</w:t>
      </w:r>
      <w:r>
        <w:tab/>
        <w:t xml:space="preserve">Ties, if of steel, shall be </w:t>
      </w:r>
      <w:r>
        <w:rPr>
          <w:position w:val="6"/>
          <w:sz w:val="18"/>
        </w:rPr>
        <w:t>1</w:t>
      </w:r>
      <w:r>
        <w:t>/</w:t>
      </w:r>
      <w:r>
        <w:rPr>
          <w:sz w:val="18"/>
        </w:rPr>
        <w:t>4</w:t>
      </w:r>
      <w:r>
        <w:t xml:space="preserve"> of an inch diameter and shall be fitted with washers at each end at least 0.05 inches thickness (18 gauge steel), twice the diameter of the tie rod hole in each side rail.</w:t>
      </w:r>
    </w:p>
    <w:p w:rsidR="00AF2508" w:rsidRDefault="00AF2508">
      <w:pPr>
        <w:pStyle w:val="Assectheading"/>
        <w:rPr>
          <w:i w:val="0"/>
        </w:rPr>
      </w:pPr>
      <w:r>
        <w:rPr>
          <w:rStyle w:val="charItals"/>
          <w:i/>
        </w:rPr>
        <w:t>Ties—side rail to side rail—spacing of ties</w:t>
      </w:r>
    </w:p>
    <w:p w:rsidR="00AF2508" w:rsidRDefault="00AF2508">
      <w:pPr>
        <w:pStyle w:val="Amain"/>
      </w:pPr>
      <w:r>
        <w:tab/>
        <w:t>(64)</w:t>
      </w:r>
      <w:r>
        <w:tab/>
        <w:t>A tie shall be fitted at the top and bottom rungs if practicable.</w:t>
      </w:r>
    </w:p>
    <w:p w:rsidR="00AF2508" w:rsidRDefault="00AF2508">
      <w:pPr>
        <w:pStyle w:val="Amain"/>
      </w:pPr>
      <w:r>
        <w:tab/>
        <w:t>(65)</w:t>
      </w:r>
      <w:r>
        <w:tab/>
        <w:t>Intermediate ties shall be fitted to at least every 6th rung.</w:t>
      </w:r>
    </w:p>
    <w:p w:rsidR="00AF2508" w:rsidRDefault="00AF2508">
      <w:pPr>
        <w:pStyle w:val="Amain"/>
      </w:pPr>
      <w:r>
        <w:tab/>
        <w:t>(66)</w:t>
      </w:r>
      <w:r>
        <w:tab/>
        <w:t>Ties shall be equally spaced if practicable and shall be fitted immediately below their adjacent rungs, pass through the centre-line of the wide face of each side rail and be well rivetted over washers at their ends to prevent spreading of the side rails.</w:t>
      </w:r>
    </w:p>
    <w:p w:rsidR="00AF2508" w:rsidRDefault="00AF2508">
      <w:pPr>
        <w:pStyle w:val="TableHd"/>
        <w:ind w:left="1368" w:hanging="1368"/>
      </w:pPr>
      <w:r>
        <w:t>Table 142.2</w:t>
      </w:r>
      <w:r>
        <w:tab/>
        <w:t>Dimensions of timber extension ladders</w:t>
      </w:r>
    </w:p>
    <w:tbl>
      <w:tblPr>
        <w:tblW w:w="0" w:type="auto"/>
        <w:tblLayout w:type="fixed"/>
        <w:tblCellMar>
          <w:left w:w="80" w:type="dxa"/>
          <w:right w:w="80" w:type="dxa"/>
        </w:tblCellMar>
        <w:tblLook w:val="0000" w:firstRow="0" w:lastRow="0" w:firstColumn="0" w:lastColumn="0" w:noHBand="0" w:noVBand="0"/>
      </w:tblPr>
      <w:tblGrid>
        <w:gridCol w:w="2406"/>
        <w:gridCol w:w="2406"/>
        <w:gridCol w:w="2406"/>
      </w:tblGrid>
      <w:tr w:rsidR="00AF2508">
        <w:trPr>
          <w:cantSplit/>
        </w:trPr>
        <w:tc>
          <w:tcPr>
            <w:tcW w:w="2406" w:type="dxa"/>
            <w:tcBorders>
              <w:bottom w:val="single" w:sz="4" w:space="0" w:color="auto"/>
            </w:tcBorders>
          </w:tcPr>
          <w:p w:rsidR="00AF2508" w:rsidRDefault="00AF2508">
            <w:pPr>
              <w:pStyle w:val="TableColHd"/>
            </w:pPr>
            <w:r>
              <w:t xml:space="preserve">ladder length </w:t>
            </w:r>
            <w:r>
              <w:br/>
              <w:t xml:space="preserve">fully extended </w:t>
            </w:r>
            <w:r>
              <w:br/>
              <w:t>(in feet)</w:t>
            </w:r>
          </w:p>
        </w:tc>
        <w:tc>
          <w:tcPr>
            <w:tcW w:w="2406" w:type="dxa"/>
            <w:tcBorders>
              <w:bottom w:val="single" w:sz="4" w:space="0" w:color="auto"/>
            </w:tcBorders>
          </w:tcPr>
          <w:p w:rsidR="00AF2508" w:rsidRDefault="00AF2508">
            <w:pPr>
              <w:pStyle w:val="TableColHd"/>
            </w:pPr>
            <w:r>
              <w:t xml:space="preserve">minimum overlap </w:t>
            </w:r>
            <w:r>
              <w:br/>
              <w:t xml:space="preserve">of side rails </w:t>
            </w:r>
            <w:r>
              <w:br/>
              <w:t>(in feet)</w:t>
            </w:r>
          </w:p>
        </w:tc>
        <w:tc>
          <w:tcPr>
            <w:tcW w:w="2406" w:type="dxa"/>
            <w:tcBorders>
              <w:bottom w:val="single" w:sz="4" w:space="0" w:color="auto"/>
            </w:tcBorders>
          </w:tcPr>
          <w:p w:rsidR="00AF2508" w:rsidRDefault="00AF2508">
            <w:pPr>
              <w:pStyle w:val="TableColHd"/>
            </w:pPr>
            <w:r>
              <w:t xml:space="preserve">side rails (stiles) </w:t>
            </w:r>
            <w:r>
              <w:br/>
              <w:t xml:space="preserve">least dimensions </w:t>
            </w:r>
            <w:r>
              <w:br/>
              <w:t>(in inches)</w:t>
            </w:r>
          </w:p>
        </w:tc>
      </w:tr>
      <w:tr w:rsidR="00AF2508">
        <w:trPr>
          <w:cantSplit/>
        </w:trPr>
        <w:tc>
          <w:tcPr>
            <w:tcW w:w="2406" w:type="dxa"/>
            <w:tcBorders>
              <w:top w:val="single" w:sz="4" w:space="0" w:color="auto"/>
            </w:tcBorders>
          </w:tcPr>
          <w:p w:rsidR="00AF2508" w:rsidRDefault="00AF2508">
            <w:pPr>
              <w:pStyle w:val="TableText"/>
            </w:pPr>
            <w:r>
              <w:t>26 and under</w:t>
            </w:r>
          </w:p>
        </w:tc>
        <w:tc>
          <w:tcPr>
            <w:tcW w:w="2406" w:type="dxa"/>
            <w:tcBorders>
              <w:top w:val="single" w:sz="4" w:space="0" w:color="auto"/>
            </w:tcBorders>
          </w:tcPr>
          <w:p w:rsidR="00AF2508" w:rsidRDefault="00AF2508">
            <w:pPr>
              <w:pStyle w:val="TableText"/>
            </w:pPr>
            <w:r>
              <w:t>2</w:t>
            </w:r>
          </w:p>
        </w:tc>
        <w:tc>
          <w:tcPr>
            <w:tcW w:w="2406" w:type="dxa"/>
            <w:tcBorders>
              <w:top w:val="single" w:sz="4" w:space="0" w:color="auto"/>
            </w:tcBorders>
          </w:tcPr>
          <w:p w:rsidR="00AF2508" w:rsidRDefault="00AF2508">
            <w:pPr>
              <w:pStyle w:val="TableText"/>
            </w:pPr>
            <w:r>
              <w:t>2</w:t>
            </w:r>
            <w:r>
              <w:rPr>
                <w:position w:val="6"/>
                <w:sz w:val="18"/>
              </w:rPr>
              <w:t>1</w:t>
            </w:r>
            <w:r>
              <w:t>/</w:t>
            </w:r>
            <w:r>
              <w:rPr>
                <w:sz w:val="18"/>
              </w:rPr>
              <w:t>4</w:t>
            </w:r>
            <w:r>
              <w:t xml:space="preserve"> x 1</w:t>
            </w:r>
            <w:r>
              <w:rPr>
                <w:position w:val="6"/>
                <w:sz w:val="18"/>
              </w:rPr>
              <w:t>1</w:t>
            </w:r>
            <w:r>
              <w:t>/</w:t>
            </w:r>
            <w:r>
              <w:rPr>
                <w:sz w:val="18"/>
              </w:rPr>
              <w:t>4</w:t>
            </w:r>
          </w:p>
        </w:tc>
      </w:tr>
      <w:tr w:rsidR="00AF2508">
        <w:trPr>
          <w:cantSplit/>
        </w:trPr>
        <w:tc>
          <w:tcPr>
            <w:tcW w:w="2406" w:type="dxa"/>
          </w:tcPr>
          <w:p w:rsidR="00AF2508" w:rsidRDefault="00AF2508">
            <w:pPr>
              <w:pStyle w:val="TableText"/>
            </w:pPr>
            <w:r>
              <w:t>28 to 30</w:t>
            </w:r>
          </w:p>
        </w:tc>
        <w:tc>
          <w:tcPr>
            <w:tcW w:w="2406" w:type="dxa"/>
          </w:tcPr>
          <w:p w:rsidR="00AF2508" w:rsidRDefault="00AF2508">
            <w:pPr>
              <w:pStyle w:val="TableText"/>
            </w:pPr>
            <w:r>
              <w:t>2</w:t>
            </w:r>
          </w:p>
        </w:tc>
        <w:tc>
          <w:tcPr>
            <w:tcW w:w="2406" w:type="dxa"/>
          </w:tcPr>
          <w:p w:rsidR="00AF2508" w:rsidRDefault="00AF2508">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AF2508">
        <w:trPr>
          <w:cantSplit/>
        </w:trPr>
        <w:tc>
          <w:tcPr>
            <w:tcW w:w="2406" w:type="dxa"/>
          </w:tcPr>
          <w:p w:rsidR="00AF2508" w:rsidRDefault="00AF2508">
            <w:pPr>
              <w:pStyle w:val="TableText"/>
            </w:pPr>
            <w:r>
              <w:t>32 to 34</w:t>
            </w:r>
          </w:p>
        </w:tc>
        <w:tc>
          <w:tcPr>
            <w:tcW w:w="2406" w:type="dxa"/>
          </w:tcPr>
          <w:p w:rsidR="00AF2508" w:rsidRDefault="00AF2508">
            <w:pPr>
              <w:pStyle w:val="TableText"/>
            </w:pPr>
            <w:r>
              <w:t>4</w:t>
            </w:r>
          </w:p>
        </w:tc>
        <w:tc>
          <w:tcPr>
            <w:tcW w:w="2406" w:type="dxa"/>
          </w:tcPr>
          <w:p w:rsidR="00AF2508" w:rsidRDefault="00AF2508">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AF2508">
        <w:trPr>
          <w:cantSplit/>
        </w:trPr>
        <w:tc>
          <w:tcPr>
            <w:tcW w:w="2406" w:type="dxa"/>
          </w:tcPr>
          <w:p w:rsidR="00AF2508" w:rsidRDefault="00AF2508">
            <w:pPr>
              <w:pStyle w:val="TableText"/>
            </w:pPr>
            <w:r>
              <w:t>36 to 46</w:t>
            </w:r>
          </w:p>
        </w:tc>
        <w:tc>
          <w:tcPr>
            <w:tcW w:w="2406" w:type="dxa"/>
          </w:tcPr>
          <w:p w:rsidR="00AF2508" w:rsidRDefault="00AF2508">
            <w:pPr>
              <w:pStyle w:val="TableText"/>
            </w:pPr>
            <w:r>
              <w:t>4</w:t>
            </w:r>
          </w:p>
        </w:tc>
        <w:tc>
          <w:tcPr>
            <w:tcW w:w="2406" w:type="dxa"/>
          </w:tcPr>
          <w:p w:rsidR="00AF2508" w:rsidRDefault="00AF2508">
            <w:pPr>
              <w:pStyle w:val="TableText"/>
            </w:pPr>
            <w:r>
              <w:t>2</w:t>
            </w:r>
            <w:r>
              <w:rPr>
                <w:position w:val="6"/>
                <w:sz w:val="18"/>
              </w:rPr>
              <w:t>3</w:t>
            </w:r>
            <w:r>
              <w:t>/</w:t>
            </w:r>
            <w:r>
              <w:rPr>
                <w:sz w:val="18"/>
              </w:rPr>
              <w:t>4</w:t>
            </w:r>
            <w:r>
              <w:t xml:space="preserve"> x 1</w:t>
            </w:r>
            <w:r>
              <w:rPr>
                <w:position w:val="6"/>
                <w:sz w:val="18"/>
              </w:rPr>
              <w:t>3</w:t>
            </w:r>
            <w:r>
              <w:t>/</w:t>
            </w:r>
            <w:r>
              <w:rPr>
                <w:sz w:val="18"/>
              </w:rPr>
              <w:t>4</w:t>
            </w:r>
          </w:p>
        </w:tc>
      </w:tr>
      <w:tr w:rsidR="00AF2508">
        <w:trPr>
          <w:cantSplit/>
        </w:trPr>
        <w:tc>
          <w:tcPr>
            <w:tcW w:w="2406" w:type="dxa"/>
          </w:tcPr>
          <w:p w:rsidR="00AF2508" w:rsidRDefault="00AF2508">
            <w:pPr>
              <w:pStyle w:val="TableText"/>
            </w:pPr>
            <w:r>
              <w:t>48 to 50</w:t>
            </w:r>
          </w:p>
        </w:tc>
        <w:tc>
          <w:tcPr>
            <w:tcW w:w="2406" w:type="dxa"/>
          </w:tcPr>
          <w:p w:rsidR="00AF2508" w:rsidRDefault="00AF2508">
            <w:pPr>
              <w:pStyle w:val="TableText"/>
            </w:pPr>
            <w:r>
              <w:t>6</w:t>
            </w:r>
          </w:p>
        </w:tc>
        <w:tc>
          <w:tcPr>
            <w:tcW w:w="2406" w:type="dxa"/>
          </w:tcPr>
          <w:p w:rsidR="00AF2508" w:rsidRDefault="00AF2508">
            <w:pPr>
              <w:pStyle w:val="TableText"/>
            </w:pPr>
            <w:r>
              <w:t>3</w:t>
            </w:r>
            <w:r>
              <w:rPr>
                <w:position w:val="6"/>
                <w:sz w:val="18"/>
              </w:rPr>
              <w:t>1</w:t>
            </w:r>
            <w:r>
              <w:t>/</w:t>
            </w:r>
            <w:r>
              <w:rPr>
                <w:sz w:val="18"/>
              </w:rPr>
              <w:t>4</w:t>
            </w:r>
            <w:r>
              <w:t xml:space="preserve"> x 1</w:t>
            </w:r>
            <w:r>
              <w:rPr>
                <w:position w:val="6"/>
                <w:sz w:val="18"/>
              </w:rPr>
              <w:t>3</w:t>
            </w:r>
            <w:r>
              <w:t>/</w:t>
            </w:r>
            <w:r>
              <w:rPr>
                <w:sz w:val="18"/>
              </w:rPr>
              <w:t>4</w:t>
            </w:r>
          </w:p>
        </w:tc>
      </w:tr>
    </w:tbl>
    <w:p w:rsidR="00AF2508" w:rsidRDefault="00AF2508">
      <w:pPr>
        <w:pStyle w:val="Amain"/>
        <w:rPr>
          <w:color w:val="000000"/>
        </w:rPr>
      </w:pPr>
    </w:p>
    <w:p w:rsidR="00AF2508" w:rsidRDefault="00AF2508">
      <w:pPr>
        <w:pStyle w:val="Assectheading"/>
        <w:rPr>
          <w:i w:val="0"/>
        </w:rPr>
      </w:pPr>
      <w:r>
        <w:rPr>
          <w:rStyle w:val="charItals"/>
          <w:i/>
        </w:rPr>
        <w:t>Stepladders not to exceed 18 feet in length</w:t>
      </w:r>
    </w:p>
    <w:p w:rsidR="00AF2508" w:rsidRDefault="00AF2508">
      <w:pPr>
        <w:pStyle w:val="Amain"/>
      </w:pPr>
      <w:r>
        <w:tab/>
        <w:t>(67)</w:t>
      </w:r>
      <w:r>
        <w:tab/>
        <w:t>A stepladder exceeding 18 feet in length shall not be used unless otherwise approved.</w:t>
      </w:r>
    </w:p>
    <w:p w:rsidR="00AF2508" w:rsidRDefault="00AF2508">
      <w:pPr>
        <w:pStyle w:val="Assectheading"/>
        <w:rPr>
          <w:i w:val="0"/>
        </w:rPr>
      </w:pPr>
      <w:r>
        <w:rPr>
          <w:rStyle w:val="charItals"/>
          <w:i/>
        </w:rPr>
        <w:t>Side rails (stiles) and back legs—dimensions</w:t>
      </w:r>
    </w:p>
    <w:p w:rsidR="00AF2508" w:rsidRDefault="00AF2508">
      <w:pPr>
        <w:pStyle w:val="Amain"/>
      </w:pPr>
      <w:r>
        <w:tab/>
        <w:t>(68)</w:t>
      </w:r>
      <w:r>
        <w:tab/>
        <w:t>Side rails and back legs shall have dimensions not less than those provided in table 142.3.</w:t>
      </w:r>
    </w:p>
    <w:p w:rsidR="00AF2508" w:rsidRDefault="00AF2508">
      <w:pPr>
        <w:pStyle w:val="aNote"/>
      </w:pPr>
      <w:r>
        <w:rPr>
          <w:i/>
          <w:iCs/>
        </w:rPr>
        <w:t>Note</w:t>
      </w:r>
      <w:r>
        <w:tab/>
        <w:t>Table 142.3 is after s (117).</w:t>
      </w:r>
    </w:p>
    <w:p w:rsidR="00AF2508" w:rsidRDefault="00AF2508">
      <w:pPr>
        <w:pStyle w:val="Assectheading"/>
        <w:rPr>
          <w:i w:val="0"/>
        </w:rPr>
      </w:pPr>
      <w:r>
        <w:rPr>
          <w:rStyle w:val="charItals"/>
          <w:i/>
        </w:rPr>
        <w:t>Side rails (stiles) and back legs—spacing and spread between side rails</w:t>
      </w:r>
    </w:p>
    <w:p w:rsidR="00AF2508" w:rsidRDefault="00AF2508">
      <w:pPr>
        <w:pStyle w:val="Amain"/>
      </w:pPr>
      <w:r>
        <w:tab/>
        <w:t>(69)</w:t>
      </w:r>
      <w:r>
        <w:tab/>
        <w:t>The width between inside faces of side rails measured at the top tread shall be not less than 11</w:t>
      </w:r>
      <w:r>
        <w:rPr>
          <w:position w:val="6"/>
          <w:sz w:val="18"/>
        </w:rPr>
        <w:t>1</w:t>
      </w:r>
      <w:r>
        <w:t>/</w:t>
      </w:r>
      <w:r>
        <w:rPr>
          <w:sz w:val="18"/>
        </w:rPr>
        <w:t>2</w:t>
      </w:r>
      <w:r>
        <w:t xml:space="preserve"> inches, and shall be not more than 13 inches.</w:t>
      </w:r>
    </w:p>
    <w:p w:rsidR="00AF2508" w:rsidRDefault="00AF2508">
      <w:pPr>
        <w:pStyle w:val="Amain"/>
      </w:pPr>
      <w:r>
        <w:tab/>
        <w:t>(70)</w:t>
      </w:r>
      <w:r>
        <w:tab/>
        <w:t>This distance shall increase towards the lower treads at a rate of not less than 1</w:t>
      </w:r>
      <w:r>
        <w:rPr>
          <w:position w:val="6"/>
          <w:sz w:val="18"/>
        </w:rPr>
        <w:t>1</w:t>
      </w:r>
      <w:r>
        <w:t>/</w:t>
      </w:r>
      <w:r>
        <w:rPr>
          <w:sz w:val="18"/>
        </w:rPr>
        <w:t>2</w:t>
      </w:r>
      <w:r>
        <w:t xml:space="preserve"> inches and not more than 1</w:t>
      </w:r>
      <w:r>
        <w:rPr>
          <w:position w:val="6"/>
          <w:sz w:val="18"/>
        </w:rPr>
        <w:t>3</w:t>
      </w:r>
      <w:r>
        <w:t>/</w:t>
      </w:r>
      <w:r>
        <w:rPr>
          <w:sz w:val="18"/>
        </w:rPr>
        <w:t>4</w:t>
      </w:r>
      <w:r>
        <w:t xml:space="preserve"> inches per foot length of side rail.</w:t>
      </w:r>
    </w:p>
    <w:p w:rsidR="00AF2508" w:rsidRDefault="00AF2508">
      <w:pPr>
        <w:pStyle w:val="Assectheading"/>
        <w:rPr>
          <w:i w:val="0"/>
        </w:rPr>
      </w:pPr>
      <w:r>
        <w:rPr>
          <w:rStyle w:val="charItals"/>
          <w:i/>
        </w:rPr>
        <w:t>Side rails (stiles) and back legs—spacing and spread between back legs</w:t>
      </w:r>
    </w:p>
    <w:p w:rsidR="00AF2508" w:rsidRDefault="00AF2508">
      <w:pPr>
        <w:pStyle w:val="Amain"/>
      </w:pPr>
      <w:r>
        <w:tab/>
        <w:t>(71)</w:t>
      </w:r>
      <w:r>
        <w:tab/>
        <w:t>Spacing and spread between back legs shall be the same as for side rails.</w:t>
      </w:r>
    </w:p>
    <w:p w:rsidR="00AF2508" w:rsidRDefault="00AF2508">
      <w:pPr>
        <w:pStyle w:val="Assectheading"/>
        <w:rPr>
          <w:i w:val="0"/>
        </w:rPr>
      </w:pPr>
      <w:r>
        <w:rPr>
          <w:rStyle w:val="charItals"/>
          <w:i/>
        </w:rPr>
        <w:t>Side rails (stiles) and back legs—spread between side rails and back leg</w:t>
      </w:r>
      <w:r>
        <w:rPr>
          <w:i w:val="0"/>
        </w:rPr>
        <w:t>s</w:t>
      </w:r>
    </w:p>
    <w:p w:rsidR="00AF2508" w:rsidRDefault="00AF2508">
      <w:pPr>
        <w:pStyle w:val="Amain"/>
      </w:pPr>
      <w:r>
        <w:tab/>
        <w:t>(72)</w:t>
      </w:r>
      <w:r>
        <w:tab/>
        <w:t>In the fully-opened position, the spread between side rails and back legs shall be not less than 8</w:t>
      </w:r>
      <w:r>
        <w:rPr>
          <w:b/>
        </w:rPr>
        <w:t xml:space="preserve"> </w:t>
      </w:r>
      <w:r>
        <w:t>inches or more than 9</w:t>
      </w:r>
      <w:r>
        <w:rPr>
          <w:b/>
        </w:rPr>
        <w:t xml:space="preserve"> </w:t>
      </w:r>
      <w:r>
        <w:t>inches per foot length of side rails.</w:t>
      </w:r>
    </w:p>
    <w:p w:rsidR="00AF2508" w:rsidRDefault="00AF2508">
      <w:pPr>
        <w:pStyle w:val="Assectheading"/>
        <w:rPr>
          <w:i w:val="0"/>
        </w:rPr>
      </w:pPr>
      <w:r>
        <w:rPr>
          <w:rStyle w:val="charItals"/>
          <w:i/>
        </w:rPr>
        <w:t>Stepladders—restraining rope</w:t>
      </w:r>
    </w:p>
    <w:p w:rsidR="00AF2508" w:rsidRDefault="00AF2508">
      <w:pPr>
        <w:pStyle w:val="Amain"/>
        <w:keepLines/>
      </w:pPr>
      <w:r>
        <w:tab/>
        <w:t>(73)</w:t>
      </w:r>
      <w:r>
        <w:tab/>
        <w:t xml:space="preserve">The spread between side rails and back legs shall be restrained by means of first quality fibre rope not less than </w:t>
      </w:r>
      <w:r>
        <w:rPr>
          <w:position w:val="6"/>
          <w:sz w:val="18"/>
        </w:rPr>
        <w:t>3</w:t>
      </w:r>
      <w:r>
        <w:t>/</w:t>
      </w:r>
      <w:r>
        <w:rPr>
          <w:sz w:val="18"/>
        </w:rPr>
        <w:t>4</w:t>
      </w:r>
      <w:r>
        <w:t xml:space="preserve"> of an inch in circumference fitted between each back leg and its respective side rail.</w:t>
      </w:r>
    </w:p>
    <w:p w:rsidR="00AF2508" w:rsidRDefault="00AF2508">
      <w:pPr>
        <w:pStyle w:val="Amain"/>
        <w:keepLines/>
      </w:pPr>
      <w:r>
        <w:tab/>
        <w:t>(74)</w:t>
      </w:r>
      <w:r>
        <w:tab/>
        <w:t>These ropes shall be effectively anchored at 1 end through the centre of the wide face of each side rail immediately below the tread 2nd from the bottom, and at the other end through the centre of the wide face of each back leg at the same level.</w:t>
      </w:r>
    </w:p>
    <w:p w:rsidR="00AF2508" w:rsidRDefault="00AF2508">
      <w:pPr>
        <w:pStyle w:val="Amain"/>
      </w:pPr>
      <w:r>
        <w:tab/>
        <w:t>(75)</w:t>
      </w:r>
      <w:r>
        <w:tab/>
        <w:t>Alternatively, other approved means of restraining the side rails and back legs may be used.</w:t>
      </w:r>
    </w:p>
    <w:p w:rsidR="00AF2508" w:rsidRDefault="00AF2508">
      <w:pPr>
        <w:pStyle w:val="Assectheading"/>
        <w:rPr>
          <w:i w:val="0"/>
        </w:rPr>
      </w:pPr>
      <w:r>
        <w:rPr>
          <w:rStyle w:val="charItals"/>
          <w:i/>
        </w:rPr>
        <w:t>Stepladders—bracing for back legs—battens</w:t>
      </w:r>
    </w:p>
    <w:p w:rsidR="00AF2508" w:rsidRDefault="00AF2508">
      <w:pPr>
        <w:pStyle w:val="Amain"/>
      </w:pPr>
      <w:r>
        <w:tab/>
        <w:t>(76)</w:t>
      </w:r>
      <w:r>
        <w:tab/>
        <w:t>Back legs shall be battened together with battens of timber or other approved material.</w:t>
      </w:r>
    </w:p>
    <w:p w:rsidR="00AF2508" w:rsidRDefault="00AF2508">
      <w:pPr>
        <w:pStyle w:val="Amain"/>
      </w:pPr>
      <w:r>
        <w:tab/>
        <w:t>(77)</w:t>
      </w:r>
      <w:r>
        <w:tab/>
        <w:t>If of timber, they shall have dimensions not less than those provided in the table after subsection (117).</w:t>
      </w:r>
    </w:p>
    <w:p w:rsidR="00AF2508" w:rsidRDefault="00AF2508">
      <w:pPr>
        <w:pStyle w:val="Amain"/>
      </w:pPr>
      <w:r>
        <w:tab/>
        <w:t>(78)</w:t>
      </w:r>
      <w:r>
        <w:tab/>
        <w:t>Back legs shall be battened together at the hinge and also at the level of the 2nd tread from the bottom.</w:t>
      </w:r>
    </w:p>
    <w:p w:rsidR="00AF2508" w:rsidRDefault="00AF2508">
      <w:pPr>
        <w:pStyle w:val="Amain"/>
      </w:pPr>
      <w:r>
        <w:tab/>
        <w:t>(79)</w:t>
      </w:r>
      <w:r>
        <w:tab/>
        <w:t>Stepladders over 8</w:t>
      </w:r>
      <w:r>
        <w:rPr>
          <w:b/>
        </w:rPr>
        <w:t xml:space="preserve"> </w:t>
      </w:r>
      <w:r>
        <w:t>feet in length shall have extra battens fitted and equally spaced.</w:t>
      </w:r>
    </w:p>
    <w:p w:rsidR="00AF2508" w:rsidRDefault="00AF2508">
      <w:pPr>
        <w:pStyle w:val="Amain"/>
      </w:pPr>
      <w:r>
        <w:tab/>
        <w:t>(80)</w:t>
      </w:r>
      <w:r>
        <w:tab/>
        <w:t>In no case shall the distance between adjacent battens exceed 6</w:t>
      </w:r>
      <w:r>
        <w:rPr>
          <w:b/>
        </w:rPr>
        <w:t xml:space="preserve"> </w:t>
      </w:r>
      <w:r>
        <w:t>feet.</w:t>
      </w:r>
    </w:p>
    <w:p w:rsidR="00AF2508" w:rsidRDefault="00AF2508">
      <w:pPr>
        <w:pStyle w:val="Amain"/>
      </w:pPr>
      <w:r>
        <w:tab/>
        <w:t>(81)</w:t>
      </w:r>
      <w:r>
        <w:tab/>
        <w:t>Battens shall be screwed, nailed or bolted.</w:t>
      </w:r>
    </w:p>
    <w:p w:rsidR="00AF2508" w:rsidRDefault="00AF2508">
      <w:pPr>
        <w:pStyle w:val="Assectheading"/>
        <w:rPr>
          <w:i w:val="0"/>
        </w:rPr>
      </w:pPr>
      <w:r>
        <w:rPr>
          <w:rStyle w:val="charItals"/>
          <w:i/>
        </w:rPr>
        <w:t>Stepladders—bracing for back legs—diagonal bracing</w:t>
      </w:r>
    </w:p>
    <w:p w:rsidR="00AF2508" w:rsidRDefault="00AF2508">
      <w:pPr>
        <w:pStyle w:val="Amain"/>
      </w:pPr>
      <w:r>
        <w:tab/>
        <w:t>(82)</w:t>
      </w:r>
      <w:r>
        <w:tab/>
        <w:t>Doubled diagonal bracing of timber or other approved material shall be screwed, nailed, or bolted to the back legs between and against adjacent battens.</w:t>
      </w:r>
    </w:p>
    <w:p w:rsidR="00AF2508" w:rsidRDefault="00AF2508">
      <w:pPr>
        <w:pStyle w:val="Amain"/>
      </w:pPr>
      <w:r>
        <w:tab/>
        <w:t>(83)</w:t>
      </w:r>
      <w:r>
        <w:tab/>
        <w:t>The bracing, if of timber or mild steel, shall have dimensions not less than those provided in table 142.3.</w:t>
      </w:r>
    </w:p>
    <w:p w:rsidR="00AF2508" w:rsidRDefault="00AF2508">
      <w:pPr>
        <w:pStyle w:val="aNote"/>
      </w:pPr>
      <w:r>
        <w:rPr>
          <w:i/>
          <w:iCs/>
        </w:rPr>
        <w:t>Note</w:t>
      </w:r>
      <w:r>
        <w:tab/>
        <w:t>Table 142.3 is after s (117).</w:t>
      </w:r>
    </w:p>
    <w:p w:rsidR="00AF2508" w:rsidRDefault="00AF2508">
      <w:pPr>
        <w:pStyle w:val="Assectheading"/>
        <w:rPr>
          <w:i w:val="0"/>
        </w:rPr>
      </w:pPr>
      <w:r>
        <w:rPr>
          <w:rStyle w:val="charItals"/>
          <w:i/>
        </w:rPr>
        <w:t>Stepladder—treads—material</w:t>
      </w:r>
    </w:p>
    <w:p w:rsidR="00AF2508" w:rsidRDefault="00AF2508">
      <w:pPr>
        <w:pStyle w:val="Amain"/>
      </w:pPr>
      <w:r>
        <w:tab/>
        <w:t>(84)</w:t>
      </w:r>
      <w:r>
        <w:tab/>
        <w:t>Treads shall be constructed of timber.</w:t>
      </w:r>
    </w:p>
    <w:p w:rsidR="00AF2508" w:rsidRDefault="00AF2508">
      <w:pPr>
        <w:pStyle w:val="Assectheading"/>
        <w:rPr>
          <w:i w:val="0"/>
        </w:rPr>
      </w:pPr>
      <w:r>
        <w:rPr>
          <w:rStyle w:val="charItals"/>
          <w:i/>
        </w:rPr>
        <w:t>Stepladders—treads—dimensions</w:t>
      </w:r>
    </w:p>
    <w:p w:rsidR="00AF2508" w:rsidRDefault="00AF2508">
      <w:pPr>
        <w:pStyle w:val="Amain"/>
      </w:pPr>
      <w:r>
        <w:tab/>
        <w:t>(85)</w:t>
      </w:r>
      <w:r>
        <w:tab/>
        <w:t>Treads shall have dimensions not less than those provided in table 142.3.</w:t>
      </w:r>
    </w:p>
    <w:p w:rsidR="00AF2508" w:rsidRDefault="00AF2508">
      <w:pPr>
        <w:pStyle w:val="aNote"/>
      </w:pPr>
      <w:r>
        <w:rPr>
          <w:i/>
          <w:iCs/>
        </w:rPr>
        <w:t>Note</w:t>
      </w:r>
      <w:r>
        <w:tab/>
        <w:t>Table 142.3 is after s (117).</w:t>
      </w:r>
    </w:p>
    <w:p w:rsidR="00AF2508" w:rsidRDefault="00AF2508">
      <w:pPr>
        <w:pStyle w:val="Assectheading"/>
        <w:rPr>
          <w:i w:val="0"/>
        </w:rPr>
      </w:pPr>
      <w:r>
        <w:rPr>
          <w:rStyle w:val="charItals"/>
          <w:i/>
        </w:rPr>
        <w:t>Stepladders—treads—spacing</w:t>
      </w:r>
    </w:p>
    <w:p w:rsidR="00AF2508" w:rsidRDefault="00AF2508">
      <w:pPr>
        <w:pStyle w:val="Amain"/>
      </w:pPr>
      <w:r>
        <w:tab/>
        <w:t>(86)</w:t>
      </w:r>
      <w:r>
        <w:tab/>
        <w:t>Treads shall be equally spaced from the bottom of side rails to the top of top step.</w:t>
      </w:r>
    </w:p>
    <w:p w:rsidR="00AF2508" w:rsidRDefault="00AF2508">
      <w:pPr>
        <w:pStyle w:val="Amain"/>
      </w:pPr>
      <w:r>
        <w:tab/>
        <w:t>(87)</w:t>
      </w:r>
      <w:r>
        <w:tab/>
        <w:t>The spacing shall be not less than 10</w:t>
      </w:r>
      <w:r>
        <w:rPr>
          <w:b/>
        </w:rPr>
        <w:t xml:space="preserve"> </w:t>
      </w:r>
      <w:r>
        <w:t>inches or more than 12</w:t>
      </w:r>
      <w:r>
        <w:rPr>
          <w:b/>
        </w:rPr>
        <w:t xml:space="preserve"> </w:t>
      </w:r>
      <w:r>
        <w:t>inches top to top of treads.</w:t>
      </w:r>
    </w:p>
    <w:p w:rsidR="00AF2508" w:rsidRDefault="00AF2508">
      <w:pPr>
        <w:pStyle w:val="Amain"/>
      </w:pPr>
      <w:r>
        <w:tab/>
        <w:t>(88)</w:t>
      </w:r>
      <w:r>
        <w:tab/>
        <w:t>Treads shall be parallel and level when the stepladder is in position for use.</w:t>
      </w:r>
    </w:p>
    <w:p w:rsidR="00AF2508" w:rsidRDefault="00AF2508">
      <w:pPr>
        <w:pStyle w:val="Assectheading"/>
        <w:rPr>
          <w:i w:val="0"/>
        </w:rPr>
      </w:pPr>
      <w:r>
        <w:rPr>
          <w:rStyle w:val="charItals"/>
          <w:i/>
        </w:rPr>
        <w:t>Stepladders—treads— attachment of treads to side rails</w:t>
      </w:r>
    </w:p>
    <w:p w:rsidR="00AF2508" w:rsidRDefault="00AF2508">
      <w:pPr>
        <w:pStyle w:val="Amain"/>
      </w:pPr>
      <w:r>
        <w:tab/>
        <w:t>(89)</w:t>
      </w:r>
      <w:r>
        <w:tab/>
        <w:t>Treads shall be recessed into the side rails or secured to them in an approved way.</w:t>
      </w:r>
    </w:p>
    <w:p w:rsidR="00AF2508" w:rsidRDefault="00AF2508">
      <w:pPr>
        <w:pStyle w:val="Amain"/>
      </w:pPr>
      <w:r>
        <w:tab/>
        <w:t>(90)</w:t>
      </w:r>
      <w:r>
        <w:tab/>
        <w:t xml:space="preserve">If the treads are recessed into the side rails, the recesses in the rails for the treads shall be not more than </w:t>
      </w:r>
      <w:r>
        <w:rPr>
          <w:position w:val="6"/>
          <w:sz w:val="18"/>
        </w:rPr>
        <w:t>1</w:t>
      </w:r>
      <w:r>
        <w:t>/</w:t>
      </w:r>
      <w:r>
        <w:rPr>
          <w:sz w:val="18"/>
        </w:rPr>
        <w:t>4</w:t>
      </w:r>
      <w:r>
        <w:t xml:space="preserve"> of an inch deep or less than </w:t>
      </w:r>
      <w:r>
        <w:rPr>
          <w:position w:val="6"/>
          <w:sz w:val="18"/>
        </w:rPr>
        <w:t>3</w:t>
      </w:r>
      <w:r>
        <w:t>/</w:t>
      </w:r>
      <w:r>
        <w:rPr>
          <w:sz w:val="18"/>
        </w:rPr>
        <w:t>16</w:t>
      </w:r>
      <w:r>
        <w:t xml:space="preserve"> of an inch deep and shall properly accommodate their treads.</w:t>
      </w:r>
    </w:p>
    <w:p w:rsidR="00AF2508" w:rsidRDefault="00AF2508">
      <w:pPr>
        <w:pStyle w:val="Amain"/>
      </w:pPr>
      <w:r>
        <w:tab/>
        <w:t>(91)</w:t>
      </w:r>
      <w:r>
        <w:tab/>
        <w:t>Treads so fitted shall be double screwed to the side rails at each end using wood screws of 0.189 inches diameter (10</w:t>
      </w:r>
      <w:r>
        <w:rPr>
          <w:b/>
        </w:rPr>
        <w:t xml:space="preserve"> </w:t>
      </w:r>
      <w:r>
        <w:t>gauge) not less than 1</w:t>
      </w:r>
      <w:r>
        <w:rPr>
          <w:position w:val="6"/>
          <w:sz w:val="18"/>
        </w:rPr>
        <w:t>1</w:t>
      </w:r>
      <w:r>
        <w:t>/</w:t>
      </w:r>
      <w:r>
        <w:rPr>
          <w:sz w:val="18"/>
        </w:rPr>
        <w:t>2</w:t>
      </w:r>
      <w:r>
        <w:t xml:space="preserve"> inches or more than 1</w:t>
      </w:r>
      <w:r>
        <w:rPr>
          <w:position w:val="6"/>
          <w:sz w:val="18"/>
        </w:rPr>
        <w:t>3</w:t>
      </w:r>
      <w:r>
        <w:t>/</w:t>
      </w:r>
      <w:r>
        <w:rPr>
          <w:sz w:val="18"/>
        </w:rPr>
        <w:t>4</w:t>
      </w:r>
      <w:r>
        <w:t xml:space="preserve"> inches long.</w:t>
      </w:r>
    </w:p>
    <w:p w:rsidR="00AF2508" w:rsidRDefault="00AF2508">
      <w:pPr>
        <w:pStyle w:val="Amain"/>
      </w:pPr>
      <w:r>
        <w:tab/>
        <w:t>(92)</w:t>
      </w:r>
      <w:r>
        <w:tab/>
        <w:t>The screws shall be screwed into the centre-line of the tread at each end.</w:t>
      </w:r>
    </w:p>
    <w:p w:rsidR="00AF2508" w:rsidRDefault="00AF2508">
      <w:pPr>
        <w:pStyle w:val="Assectheading"/>
        <w:rPr>
          <w:i w:val="0"/>
        </w:rPr>
      </w:pPr>
      <w:r>
        <w:rPr>
          <w:rStyle w:val="charItals"/>
          <w:i/>
        </w:rPr>
        <w:t>Stepladders—bracing for treads</w:t>
      </w:r>
      <w:r>
        <w:rPr>
          <w:color w:val="000000"/>
        </w:rPr>
        <w:t>—</w:t>
      </w:r>
      <w:r>
        <w:rPr>
          <w:rStyle w:val="charItals"/>
          <w:i/>
        </w:rPr>
        <w:t>material</w:t>
      </w:r>
    </w:p>
    <w:p w:rsidR="00AF2508" w:rsidRDefault="00AF2508">
      <w:pPr>
        <w:pStyle w:val="Amain"/>
      </w:pPr>
      <w:r>
        <w:tab/>
        <w:t>(93)</w:t>
      </w:r>
      <w:r>
        <w:tab/>
        <w:t>Bracing for treads shall be of timber or other approved material and shall be screwed or nailed in position.</w:t>
      </w:r>
    </w:p>
    <w:p w:rsidR="00AF2508" w:rsidRDefault="00AF2508">
      <w:pPr>
        <w:pStyle w:val="Assectheading"/>
        <w:rPr>
          <w:i w:val="0"/>
        </w:rPr>
      </w:pPr>
      <w:r>
        <w:rPr>
          <w:rStyle w:val="charItals"/>
          <w:i/>
        </w:rPr>
        <w:t>Stepladders—bracing for treads</w:t>
      </w:r>
      <w:r>
        <w:rPr>
          <w:color w:val="000000"/>
        </w:rPr>
        <w:t>—</w:t>
      </w:r>
      <w:r>
        <w:rPr>
          <w:rStyle w:val="charItals"/>
          <w:i/>
        </w:rPr>
        <w:t>dimensions</w:t>
      </w:r>
    </w:p>
    <w:p w:rsidR="00AF2508" w:rsidRDefault="00AF2508">
      <w:pPr>
        <w:pStyle w:val="Amain"/>
      </w:pPr>
      <w:r>
        <w:tab/>
        <w:t>(94)</w:t>
      </w:r>
      <w:r>
        <w:tab/>
        <w:t>Bracing for treads shall have dimensions not less than those provided in table 142.3.</w:t>
      </w:r>
    </w:p>
    <w:p w:rsidR="00AF2508" w:rsidRDefault="00AF2508">
      <w:pPr>
        <w:pStyle w:val="aNote"/>
      </w:pPr>
      <w:r>
        <w:rPr>
          <w:i/>
          <w:iCs/>
        </w:rPr>
        <w:t>Note</w:t>
      </w:r>
      <w:r>
        <w:tab/>
        <w:t>Table 142.3 is after s (117).</w:t>
      </w:r>
    </w:p>
    <w:p w:rsidR="00AF2508" w:rsidRDefault="00AF2508">
      <w:pPr>
        <w:pStyle w:val="Assectheading"/>
        <w:rPr>
          <w:i w:val="0"/>
        </w:rPr>
      </w:pPr>
      <w:r>
        <w:rPr>
          <w:rStyle w:val="charItals"/>
          <w:i/>
        </w:rPr>
        <w:t>Stepladders—bracing for treads</w:t>
      </w:r>
      <w:r>
        <w:rPr>
          <w:color w:val="000000"/>
        </w:rPr>
        <w:t>—</w:t>
      </w:r>
      <w:r>
        <w:rPr>
          <w:rStyle w:val="charItals"/>
          <w:i/>
        </w:rPr>
        <w:t>attachment of bracing to treads</w:t>
      </w:r>
    </w:p>
    <w:p w:rsidR="00AF2508" w:rsidRDefault="00AF2508">
      <w:pPr>
        <w:pStyle w:val="Amain"/>
      </w:pPr>
      <w:r>
        <w:tab/>
        <w:t>(95)</w:t>
      </w:r>
      <w:r>
        <w:tab/>
        <w:t>The backs of treads shall be braced each side adjacent to the side rails with a bracing strip fitted in a direction parallel with the side rails.</w:t>
      </w:r>
    </w:p>
    <w:p w:rsidR="00AF2508" w:rsidRDefault="00AF2508">
      <w:pPr>
        <w:pStyle w:val="Amain"/>
      </w:pPr>
      <w:r>
        <w:tab/>
        <w:t>(96)</w:t>
      </w:r>
      <w:r>
        <w:tab/>
        <w:t>The bracing strips shall be so fitted that distance between them measured along a tread shall be not less than 10</w:t>
      </w:r>
      <w:r>
        <w:rPr>
          <w:position w:val="6"/>
          <w:sz w:val="18"/>
        </w:rPr>
        <w:t>1</w:t>
      </w:r>
      <w:r>
        <w:t>/</w:t>
      </w:r>
      <w:r>
        <w:rPr>
          <w:sz w:val="18"/>
        </w:rPr>
        <w:t>2</w:t>
      </w:r>
      <w:r>
        <w:t xml:space="preserve"> inches.</w:t>
      </w:r>
    </w:p>
    <w:p w:rsidR="00AF2508" w:rsidRDefault="00AF2508">
      <w:pPr>
        <w:pStyle w:val="Amain"/>
      </w:pPr>
      <w:r>
        <w:tab/>
        <w:t>(97)</w:t>
      </w:r>
      <w:r>
        <w:tab/>
        <w:t>The distance between the outside face of a side rail and the inner edge of adjacent bracing strip shall not exceed 4</w:t>
      </w:r>
      <w:r>
        <w:rPr>
          <w:b/>
        </w:rPr>
        <w:t xml:space="preserve"> </w:t>
      </w:r>
      <w:r>
        <w:t>inches.</w:t>
      </w:r>
    </w:p>
    <w:p w:rsidR="00AF2508" w:rsidRDefault="00AF2508">
      <w:pPr>
        <w:pStyle w:val="Assectheading"/>
        <w:rPr>
          <w:i w:val="0"/>
        </w:rPr>
      </w:pPr>
      <w:r>
        <w:rPr>
          <w:rStyle w:val="charItals"/>
          <w:i/>
        </w:rPr>
        <w:t>Stepladders—top step—material</w:t>
      </w:r>
    </w:p>
    <w:p w:rsidR="00AF2508" w:rsidRDefault="00AF2508">
      <w:pPr>
        <w:pStyle w:val="Amain"/>
      </w:pPr>
      <w:r>
        <w:tab/>
        <w:t>(98)</w:t>
      </w:r>
      <w:r>
        <w:tab/>
        <w:t>The top step at the extreme top of the stepladder shall be constructed of timber.</w:t>
      </w:r>
    </w:p>
    <w:p w:rsidR="00AF2508" w:rsidRDefault="00AF2508">
      <w:pPr>
        <w:pStyle w:val="Assectheading"/>
        <w:rPr>
          <w:i w:val="0"/>
        </w:rPr>
      </w:pPr>
      <w:r>
        <w:rPr>
          <w:rStyle w:val="charItals"/>
          <w:i/>
        </w:rPr>
        <w:t>Stepladders—top step—dimensions</w:t>
      </w:r>
    </w:p>
    <w:p w:rsidR="00AF2508" w:rsidRDefault="00AF2508">
      <w:pPr>
        <w:pStyle w:val="Amain"/>
      </w:pPr>
      <w:r>
        <w:tab/>
        <w:t>(99)</w:t>
      </w:r>
      <w:r>
        <w:tab/>
        <w:t>The top step shall be not less than 15 inches long, 4</w:t>
      </w:r>
      <w:r>
        <w:rPr>
          <w:position w:val="6"/>
          <w:sz w:val="18"/>
        </w:rPr>
        <w:t>1</w:t>
      </w:r>
      <w:r>
        <w:t>/</w:t>
      </w:r>
      <w:r>
        <w:rPr>
          <w:sz w:val="18"/>
        </w:rPr>
        <w:t>2</w:t>
      </w:r>
      <w:r>
        <w:t xml:space="preserve"> inches wide, and </w:t>
      </w:r>
      <w:r>
        <w:rPr>
          <w:position w:val="6"/>
          <w:sz w:val="18"/>
        </w:rPr>
        <w:t>13</w:t>
      </w:r>
      <w:r>
        <w:t>/</w:t>
      </w:r>
      <w:r>
        <w:rPr>
          <w:sz w:val="18"/>
        </w:rPr>
        <w:t>16</w:t>
      </w:r>
      <w:r>
        <w:t xml:space="preserve"> of an inch thick, or more than 16 inches long, 5</w:t>
      </w:r>
      <w:r>
        <w:rPr>
          <w:b/>
        </w:rPr>
        <w:t xml:space="preserve"> </w:t>
      </w:r>
      <w:r>
        <w:t>inches wide and 1</w:t>
      </w:r>
      <w:r>
        <w:rPr>
          <w:b/>
        </w:rPr>
        <w:t xml:space="preserve"> </w:t>
      </w:r>
      <w:r>
        <w:t>inch thick.</w:t>
      </w:r>
    </w:p>
    <w:p w:rsidR="00AF2508" w:rsidRDefault="00AF2508">
      <w:pPr>
        <w:pStyle w:val="Assectheading"/>
        <w:rPr>
          <w:i w:val="0"/>
        </w:rPr>
      </w:pPr>
      <w:r>
        <w:rPr>
          <w:rStyle w:val="charItals"/>
          <w:i/>
        </w:rPr>
        <w:t>Stepladders—back support plate for top step—material</w:t>
      </w:r>
    </w:p>
    <w:p w:rsidR="00AF2508" w:rsidRDefault="00AF2508">
      <w:pPr>
        <w:pStyle w:val="Amain"/>
      </w:pPr>
      <w:r>
        <w:tab/>
        <w:t>(100)</w:t>
      </w:r>
      <w:r>
        <w:tab/>
        <w:t>The back support plate shall be of timber or other approved material.</w:t>
      </w:r>
    </w:p>
    <w:p w:rsidR="00AF2508" w:rsidRDefault="00AF2508">
      <w:pPr>
        <w:pStyle w:val="Assectheading"/>
        <w:rPr>
          <w:i w:val="0"/>
        </w:rPr>
      </w:pPr>
      <w:r>
        <w:rPr>
          <w:rStyle w:val="charItals"/>
          <w:i/>
        </w:rPr>
        <w:t>Stepladders—back support plate for top step—dimensions and fitting</w:t>
      </w:r>
    </w:p>
    <w:p w:rsidR="00AF2508" w:rsidRDefault="00AF2508">
      <w:pPr>
        <w:pStyle w:val="Amain"/>
      </w:pPr>
      <w:r>
        <w:tab/>
        <w:t>(101)</w:t>
      </w:r>
      <w:r>
        <w:tab/>
        <w:t>The back support plate, if of timber, shall be not less than 15 inches long, 3</w:t>
      </w:r>
      <w:r>
        <w:rPr>
          <w:position w:val="6"/>
          <w:sz w:val="18"/>
        </w:rPr>
        <w:t>1</w:t>
      </w:r>
      <w:r>
        <w:t>/</w:t>
      </w:r>
      <w:r>
        <w:rPr>
          <w:sz w:val="18"/>
        </w:rPr>
        <w:t>2</w:t>
      </w:r>
      <w:r>
        <w:t xml:space="preserve"> inches wide and </w:t>
      </w:r>
      <w:r>
        <w:rPr>
          <w:position w:val="6"/>
          <w:sz w:val="18"/>
        </w:rPr>
        <w:t>13</w:t>
      </w:r>
      <w:r>
        <w:t>/</w:t>
      </w:r>
      <w:r>
        <w:rPr>
          <w:sz w:val="18"/>
        </w:rPr>
        <w:t>16</w:t>
      </w:r>
      <w:r>
        <w:t xml:space="preserve"> of an inch thick.</w:t>
      </w:r>
    </w:p>
    <w:p w:rsidR="00AF2508" w:rsidRDefault="00AF2508">
      <w:pPr>
        <w:pStyle w:val="Amain"/>
      </w:pPr>
      <w:r>
        <w:tab/>
        <w:t>(102)</w:t>
      </w:r>
      <w:r>
        <w:tab/>
        <w:t>This plate shall properly accommodate the strap hinges if they are used and shall with the side rails properly support the top step.</w:t>
      </w:r>
    </w:p>
    <w:p w:rsidR="00AF2508" w:rsidRDefault="00AF2508">
      <w:pPr>
        <w:pStyle w:val="Assectheading"/>
        <w:rPr>
          <w:i w:val="0"/>
        </w:rPr>
      </w:pPr>
      <w:r>
        <w:rPr>
          <w:rStyle w:val="charItals"/>
          <w:i/>
        </w:rPr>
        <w:t>Stepladders—hinges</w:t>
      </w:r>
    </w:p>
    <w:p w:rsidR="00AF2508" w:rsidRDefault="00AF2508">
      <w:pPr>
        <w:pStyle w:val="Amain"/>
      </w:pPr>
      <w:r>
        <w:tab/>
        <w:t>(103)</w:t>
      </w:r>
      <w:r>
        <w:tab/>
        <w:t>Stepladders whose length is 8</w:t>
      </w:r>
      <w:r>
        <w:rPr>
          <w:b/>
        </w:rPr>
        <w:t xml:space="preserve"> </w:t>
      </w:r>
      <w:r>
        <w:t>feet or less shall have the back legs hinged by means of 2 (two)</w:t>
      </w:r>
      <w:r>
        <w:rPr>
          <w:b/>
        </w:rPr>
        <w:t xml:space="preserve"> </w:t>
      </w:r>
      <w:r>
        <w:t>6</w:t>
      </w:r>
      <w:r>
        <w:rPr>
          <w:b/>
        </w:rPr>
        <w:t xml:space="preserve"> </w:t>
      </w:r>
      <w:r>
        <w:t>inch steel strap hinges or other approved method.</w:t>
      </w:r>
    </w:p>
    <w:p w:rsidR="00AF2508" w:rsidRDefault="00AF2508">
      <w:pPr>
        <w:pStyle w:val="Amain"/>
      </w:pPr>
      <w:r>
        <w:tab/>
        <w:t>(104)</w:t>
      </w:r>
      <w:r>
        <w:tab/>
        <w:t>The strap hinges shall be of not less than 0.062 inches thickness (16 gauge steel) and shall be secured by bolts or wood screws, both bolts or screws to be not less than 0.149 inches diameter (7</w:t>
      </w:r>
      <w:r>
        <w:rPr>
          <w:b/>
        </w:rPr>
        <w:t xml:space="preserve"> </w:t>
      </w:r>
      <w:r>
        <w:t xml:space="preserve">gauge) </w:t>
      </w:r>
      <w:r>
        <w:rPr>
          <w:position w:val="6"/>
          <w:sz w:val="18"/>
        </w:rPr>
        <w:t>3</w:t>
      </w:r>
      <w:r>
        <w:t>/</w:t>
      </w:r>
      <w:r>
        <w:rPr>
          <w:sz w:val="18"/>
        </w:rPr>
        <w:t>4</w:t>
      </w:r>
      <w:r>
        <w:t xml:space="preserve"> of an inch long.</w:t>
      </w:r>
    </w:p>
    <w:p w:rsidR="00AF2508" w:rsidRDefault="00AF2508">
      <w:pPr>
        <w:pStyle w:val="Amain"/>
      </w:pPr>
      <w:r>
        <w:tab/>
        <w:t>(105)</w:t>
      </w:r>
      <w:r>
        <w:tab/>
        <w:t>Cast hinges shall not be used.</w:t>
      </w:r>
    </w:p>
    <w:p w:rsidR="00AF2508" w:rsidRDefault="00AF2508">
      <w:pPr>
        <w:pStyle w:val="Amain"/>
      </w:pPr>
      <w:r>
        <w:tab/>
        <w:t>(106)</w:t>
      </w:r>
      <w:r>
        <w:tab/>
        <w:t>Stepladders whose length exceeds 8</w:t>
      </w:r>
      <w:r>
        <w:rPr>
          <w:b/>
        </w:rPr>
        <w:t xml:space="preserve"> </w:t>
      </w:r>
      <w:r>
        <w:t>feet shall have their back legs hinged direct to the side rails.</w:t>
      </w:r>
    </w:p>
    <w:p w:rsidR="00AF2508" w:rsidRDefault="00AF2508">
      <w:pPr>
        <w:pStyle w:val="Amain"/>
      </w:pPr>
      <w:r>
        <w:tab/>
        <w:t>(107)</w:t>
      </w:r>
      <w:r>
        <w:tab/>
        <w:t>For this purpose, the back legs shall be so arranged that they lie on the outside of their respective side rails, wide face to wide face.</w:t>
      </w:r>
    </w:p>
    <w:p w:rsidR="00AF2508" w:rsidRDefault="00AF2508">
      <w:pPr>
        <w:pStyle w:val="Amain"/>
      </w:pPr>
      <w:r>
        <w:tab/>
        <w:t>(108)</w:t>
      </w:r>
      <w:r>
        <w:tab/>
        <w:t xml:space="preserve">The hinge shall consist of 2 bolts not less than </w:t>
      </w:r>
      <w:r>
        <w:rPr>
          <w:position w:val="6"/>
          <w:sz w:val="18"/>
        </w:rPr>
        <w:t>3</w:t>
      </w:r>
      <w:r>
        <w:t>/</w:t>
      </w:r>
      <w:r>
        <w:rPr>
          <w:sz w:val="18"/>
        </w:rPr>
        <w:t>8</w:t>
      </w:r>
      <w:r>
        <w:t xml:space="preserve"> of an inch or more than </w:t>
      </w:r>
      <w:r>
        <w:rPr>
          <w:position w:val="6"/>
          <w:sz w:val="18"/>
        </w:rPr>
        <w:t>1</w:t>
      </w:r>
      <w:r>
        <w:t>/</w:t>
      </w:r>
      <w:r>
        <w:rPr>
          <w:sz w:val="18"/>
        </w:rPr>
        <w:t>2</w:t>
      </w:r>
      <w:r>
        <w:t xml:space="preserve"> an inch in diameter, each bolt connecting a back leg and its adjacent side rail each side.</w:t>
      </w:r>
    </w:p>
    <w:p w:rsidR="00AF2508" w:rsidRDefault="00AF2508">
      <w:pPr>
        <w:pStyle w:val="Amain"/>
      </w:pPr>
      <w:r>
        <w:tab/>
        <w:t>(109)</w:t>
      </w:r>
      <w:r>
        <w:tab/>
        <w:t>Each hinge bolt shall pass through the centre-line of the wide faces of adjacent members, shall be in line and be fitted not less than 3 inches from the ends of side rails and back legs and nuts shall be properly riveted over.</w:t>
      </w:r>
    </w:p>
    <w:p w:rsidR="00AF2508" w:rsidRDefault="00AF2508">
      <w:pPr>
        <w:pStyle w:val="Amain"/>
      </w:pPr>
      <w:r>
        <w:tab/>
        <w:t>(110)</w:t>
      </w:r>
      <w:r>
        <w:tab/>
        <w:t>Metal bearing plates of at least 0.05 inches (18 gauge) thickness shall be fitted to each face of each back leg and side rail on which the hinge bolts shall bear.</w:t>
      </w:r>
    </w:p>
    <w:p w:rsidR="00AF2508" w:rsidRDefault="00AF2508">
      <w:pPr>
        <w:pStyle w:val="Amain"/>
      </w:pPr>
      <w:r>
        <w:tab/>
        <w:t>(111)</w:t>
      </w:r>
      <w:r>
        <w:tab/>
        <w:t xml:space="preserve">A clearance hole </w:t>
      </w:r>
      <w:r>
        <w:rPr>
          <w:position w:val="6"/>
          <w:sz w:val="18"/>
        </w:rPr>
        <w:t>1</w:t>
      </w:r>
      <w:r>
        <w:t>/</w:t>
      </w:r>
      <w:r>
        <w:rPr>
          <w:sz w:val="18"/>
        </w:rPr>
        <w:t>16</w:t>
      </w:r>
      <w:r>
        <w:t xml:space="preserve"> of an inch greater in diameter than the hinge bolt shall be drilled in the side rails and back legs for this purpose.</w:t>
      </w:r>
    </w:p>
    <w:p w:rsidR="00AF2508" w:rsidRDefault="00AF2508">
      <w:pPr>
        <w:pStyle w:val="Assectheading"/>
        <w:rPr>
          <w:color w:val="000000"/>
        </w:rPr>
      </w:pPr>
      <w:r>
        <w:rPr>
          <w:rStyle w:val="charItals"/>
          <w:i/>
        </w:rPr>
        <w:t>Stepladders—ties—side rails to side rails—material</w:t>
      </w:r>
    </w:p>
    <w:p w:rsidR="00AF2508" w:rsidRDefault="00AF2508">
      <w:pPr>
        <w:pStyle w:val="Amain"/>
      </w:pPr>
      <w:r>
        <w:tab/>
        <w:t>(112)</w:t>
      </w:r>
      <w:r>
        <w:tab/>
        <w:t>Ties shall be of steel or other approved material.</w:t>
      </w:r>
    </w:p>
    <w:p w:rsidR="00AF2508" w:rsidRDefault="00AF2508">
      <w:pPr>
        <w:pStyle w:val="Assectheading"/>
        <w:rPr>
          <w:color w:val="000000"/>
        </w:rPr>
      </w:pPr>
      <w:r>
        <w:rPr>
          <w:rStyle w:val="charItals"/>
          <w:i/>
        </w:rPr>
        <w:t>Stepladders—ties—side rails to side rails—dimensions</w:t>
      </w:r>
    </w:p>
    <w:p w:rsidR="00AF2508" w:rsidRDefault="00AF2508">
      <w:pPr>
        <w:pStyle w:val="Amain"/>
      </w:pPr>
      <w:r>
        <w:tab/>
        <w:t>(113)</w:t>
      </w:r>
      <w:r>
        <w:tab/>
        <w:t xml:space="preserve">Ties, if of steel, shall be not less than </w:t>
      </w:r>
      <w:r>
        <w:rPr>
          <w:position w:val="6"/>
          <w:sz w:val="18"/>
        </w:rPr>
        <w:t>1</w:t>
      </w:r>
      <w:r>
        <w:t>/</w:t>
      </w:r>
      <w:r>
        <w:rPr>
          <w:sz w:val="18"/>
        </w:rPr>
        <w:t>4</w:t>
      </w:r>
      <w:r>
        <w:t xml:space="preserve"> or more than </w:t>
      </w:r>
      <w:r>
        <w:rPr>
          <w:position w:val="6"/>
          <w:sz w:val="18"/>
        </w:rPr>
        <w:t>3</w:t>
      </w:r>
      <w:r>
        <w:t>/</w:t>
      </w:r>
      <w:r>
        <w:rPr>
          <w:sz w:val="18"/>
        </w:rPr>
        <w:t>8</w:t>
      </w:r>
      <w:r>
        <w:t xml:space="preserve"> of an inch in diameter and be fitted with washers at each end at least 0.05 inches thickness (18 gauge steel) twice the diameter of the tie rod hole in each side rail.</w:t>
      </w:r>
    </w:p>
    <w:p w:rsidR="00AF2508" w:rsidRDefault="00AF2508">
      <w:pPr>
        <w:pStyle w:val="Assectheading"/>
        <w:rPr>
          <w:color w:val="000000"/>
        </w:rPr>
      </w:pPr>
      <w:r>
        <w:rPr>
          <w:rStyle w:val="charItals"/>
          <w:i/>
        </w:rPr>
        <w:t>Stepladders—ties—side rails to side rails—spacing and attachment of ties</w:t>
      </w:r>
    </w:p>
    <w:p w:rsidR="00AF2508" w:rsidRDefault="00AF2508">
      <w:pPr>
        <w:pStyle w:val="Amain"/>
      </w:pPr>
      <w:r>
        <w:tab/>
        <w:t>(114)</w:t>
      </w:r>
      <w:r>
        <w:tab/>
        <w:t>Ties shall be fitted to all stepladders whose lengths exceed 5</w:t>
      </w:r>
      <w:r>
        <w:rPr>
          <w:b/>
        </w:rPr>
        <w:t xml:space="preserve"> </w:t>
      </w:r>
      <w:r>
        <w:t>feet.</w:t>
      </w:r>
    </w:p>
    <w:p w:rsidR="00AF2508" w:rsidRDefault="00AF2508">
      <w:pPr>
        <w:pStyle w:val="Amain"/>
      </w:pPr>
      <w:r>
        <w:tab/>
        <w:t>(115)</w:t>
      </w:r>
      <w:r>
        <w:tab/>
        <w:t>Ladders over 5</w:t>
      </w:r>
      <w:r>
        <w:rPr>
          <w:b/>
        </w:rPr>
        <w:t xml:space="preserve"> </w:t>
      </w:r>
      <w:r>
        <w:t>feet in length shall have at least 2 ties.</w:t>
      </w:r>
    </w:p>
    <w:p w:rsidR="00AF2508" w:rsidRDefault="00AF2508">
      <w:pPr>
        <w:pStyle w:val="Amain"/>
      </w:pPr>
      <w:r>
        <w:tab/>
        <w:t>(116)</w:t>
      </w:r>
      <w:r>
        <w:tab/>
        <w:t>One tie shall be fitted at the bottom tread, ties shall be equally spaced if practicable, and the maximum distance between ties or tie and top step shall not exceed 5</w:t>
      </w:r>
      <w:r>
        <w:rPr>
          <w:b/>
        </w:rPr>
        <w:t xml:space="preserve"> </w:t>
      </w:r>
      <w:r>
        <w:t>feet.</w:t>
      </w:r>
    </w:p>
    <w:p w:rsidR="00AF2508" w:rsidRDefault="00AF2508">
      <w:pPr>
        <w:pStyle w:val="Amain"/>
      </w:pPr>
      <w:r>
        <w:tab/>
        <w:t>(117)</w:t>
      </w:r>
      <w:r>
        <w:tab/>
        <w:t>Ties shall be fitted immediately below their adjacent treads, pass through the centre-line of the wide face of each side rail and be well riveted over washers at their ends to prevent spreading of the side rails.</w:t>
      </w:r>
    </w:p>
    <w:p w:rsidR="00AF2508" w:rsidRDefault="00AF2508">
      <w:pPr>
        <w:pStyle w:val="TableHd"/>
        <w:ind w:left="1368" w:hanging="1368"/>
      </w:pPr>
      <w:r>
        <w:t>Table 142.3</w:t>
      </w:r>
      <w:r>
        <w:tab/>
        <w:t>Dimensions of timber stepladders</w:t>
      </w:r>
    </w:p>
    <w:tbl>
      <w:tblPr>
        <w:tblW w:w="0" w:type="auto"/>
        <w:tblInd w:w="-400" w:type="dxa"/>
        <w:tblLayout w:type="fixed"/>
        <w:tblCellMar>
          <w:left w:w="80" w:type="dxa"/>
          <w:right w:w="80" w:type="dxa"/>
        </w:tblCellMar>
        <w:tblLook w:val="0000" w:firstRow="0" w:lastRow="0" w:firstColumn="0" w:lastColumn="0" w:noHBand="0" w:noVBand="0"/>
      </w:tblPr>
      <w:tblGrid>
        <w:gridCol w:w="900"/>
        <w:gridCol w:w="912"/>
        <w:gridCol w:w="1116"/>
        <w:gridCol w:w="1248"/>
        <w:gridCol w:w="1080"/>
        <w:gridCol w:w="1116"/>
        <w:gridCol w:w="924"/>
        <w:gridCol w:w="1104"/>
        <w:gridCol w:w="12"/>
      </w:tblGrid>
      <w:tr w:rsidR="00AF2508">
        <w:trPr>
          <w:gridAfter w:val="1"/>
          <w:wAfter w:w="12" w:type="dxa"/>
          <w:cantSplit/>
        </w:trPr>
        <w:tc>
          <w:tcPr>
            <w:tcW w:w="900" w:type="dxa"/>
            <w:tcBorders>
              <w:top w:val="single" w:sz="6" w:space="0" w:color="auto"/>
              <w:right w:val="single" w:sz="6" w:space="0" w:color="auto"/>
            </w:tcBorders>
          </w:tcPr>
          <w:p w:rsidR="00AF2508" w:rsidRDefault="00AF2508">
            <w:pPr>
              <w:pStyle w:val="TableColHd"/>
            </w:pPr>
          </w:p>
        </w:tc>
        <w:tc>
          <w:tcPr>
            <w:tcW w:w="7500" w:type="dxa"/>
            <w:gridSpan w:val="7"/>
            <w:tcBorders>
              <w:top w:val="single" w:sz="6" w:space="0" w:color="auto"/>
              <w:bottom w:val="single" w:sz="6" w:space="0" w:color="auto"/>
            </w:tcBorders>
          </w:tcPr>
          <w:p w:rsidR="00AF2508" w:rsidRDefault="00AF2508">
            <w:pPr>
              <w:pStyle w:val="TableColHd"/>
              <w:jc w:val="center"/>
            </w:pPr>
            <w:r>
              <w:t>least dimensions of components (in inches)</w:t>
            </w:r>
          </w:p>
        </w:tc>
      </w:tr>
      <w:tr w:rsidR="00AF2508">
        <w:trPr>
          <w:gridAfter w:val="1"/>
          <w:wAfter w:w="12" w:type="dxa"/>
          <w:cantSplit/>
        </w:trPr>
        <w:tc>
          <w:tcPr>
            <w:tcW w:w="900" w:type="dxa"/>
            <w:tcBorders>
              <w:right w:val="single" w:sz="6" w:space="0" w:color="auto"/>
            </w:tcBorders>
            <w:vAlign w:val="bottom"/>
          </w:tcPr>
          <w:p w:rsidR="00AF2508" w:rsidRDefault="00AF2508">
            <w:pPr>
              <w:pStyle w:val="TableColHd"/>
              <w:rPr>
                <w:sz w:val="16"/>
              </w:rPr>
            </w:pPr>
          </w:p>
        </w:tc>
        <w:tc>
          <w:tcPr>
            <w:tcW w:w="912" w:type="dxa"/>
            <w:vAlign w:val="bottom"/>
          </w:tcPr>
          <w:p w:rsidR="00AF2508" w:rsidRDefault="00AF2508">
            <w:pPr>
              <w:pStyle w:val="TableColHd"/>
              <w:rPr>
                <w:sz w:val="16"/>
              </w:rPr>
            </w:pPr>
          </w:p>
        </w:tc>
        <w:tc>
          <w:tcPr>
            <w:tcW w:w="1116" w:type="dxa"/>
            <w:tcBorders>
              <w:left w:val="single" w:sz="6" w:space="0" w:color="auto"/>
              <w:right w:val="single" w:sz="6" w:space="0" w:color="auto"/>
            </w:tcBorders>
            <w:vAlign w:val="bottom"/>
          </w:tcPr>
          <w:p w:rsidR="00AF2508" w:rsidRDefault="00AF2508">
            <w:pPr>
              <w:pStyle w:val="TableColHd"/>
              <w:rPr>
                <w:sz w:val="16"/>
              </w:rPr>
            </w:pPr>
          </w:p>
        </w:tc>
        <w:tc>
          <w:tcPr>
            <w:tcW w:w="1248" w:type="dxa"/>
            <w:tcBorders>
              <w:left w:val="single" w:sz="6" w:space="0" w:color="auto"/>
              <w:right w:val="single" w:sz="6" w:space="0" w:color="auto"/>
            </w:tcBorders>
            <w:vAlign w:val="bottom"/>
          </w:tcPr>
          <w:p w:rsidR="00AF2508" w:rsidRDefault="00AF2508">
            <w:pPr>
              <w:pStyle w:val="TableColHd"/>
              <w:rPr>
                <w:sz w:val="16"/>
              </w:rPr>
            </w:pPr>
          </w:p>
        </w:tc>
        <w:tc>
          <w:tcPr>
            <w:tcW w:w="1080" w:type="dxa"/>
            <w:tcBorders>
              <w:left w:val="single" w:sz="6" w:space="0" w:color="auto"/>
              <w:right w:val="single" w:sz="6" w:space="0" w:color="auto"/>
            </w:tcBorders>
            <w:vAlign w:val="bottom"/>
          </w:tcPr>
          <w:p w:rsidR="00AF2508" w:rsidRDefault="00AF2508">
            <w:pPr>
              <w:pStyle w:val="TableColHd"/>
              <w:rPr>
                <w:sz w:val="16"/>
              </w:rPr>
            </w:pPr>
          </w:p>
        </w:tc>
        <w:tc>
          <w:tcPr>
            <w:tcW w:w="2040" w:type="dxa"/>
            <w:gridSpan w:val="2"/>
            <w:tcBorders>
              <w:bottom w:val="single" w:sz="6" w:space="0" w:color="auto"/>
            </w:tcBorders>
            <w:vAlign w:val="bottom"/>
          </w:tcPr>
          <w:p w:rsidR="00AF2508" w:rsidRDefault="00AF2508">
            <w:pPr>
              <w:pStyle w:val="TableColHd"/>
              <w:rPr>
                <w:sz w:val="16"/>
              </w:rPr>
            </w:pPr>
            <w:r>
              <w:rPr>
                <w:sz w:val="16"/>
              </w:rPr>
              <w:t>diagonal bracing for back legs</w:t>
            </w:r>
          </w:p>
        </w:tc>
        <w:tc>
          <w:tcPr>
            <w:tcW w:w="1104" w:type="dxa"/>
            <w:tcBorders>
              <w:left w:val="single" w:sz="6" w:space="0" w:color="auto"/>
            </w:tcBorders>
            <w:vAlign w:val="bottom"/>
          </w:tcPr>
          <w:p w:rsidR="00AF2508" w:rsidRDefault="00AF2508">
            <w:pPr>
              <w:pStyle w:val="TableColHd"/>
              <w:rPr>
                <w:sz w:val="16"/>
              </w:rPr>
            </w:pPr>
          </w:p>
        </w:tc>
      </w:tr>
      <w:tr w:rsidR="00AF2508">
        <w:trPr>
          <w:cantSplit/>
        </w:trPr>
        <w:tc>
          <w:tcPr>
            <w:tcW w:w="900" w:type="dxa"/>
            <w:tcBorders>
              <w:bottom w:val="single" w:sz="6" w:space="0" w:color="auto"/>
              <w:right w:val="single" w:sz="6" w:space="0" w:color="auto"/>
            </w:tcBorders>
            <w:vAlign w:val="bottom"/>
          </w:tcPr>
          <w:p w:rsidR="00AF2508" w:rsidRDefault="00AF2508">
            <w:pPr>
              <w:pStyle w:val="TableColHd"/>
              <w:rPr>
                <w:sz w:val="16"/>
              </w:rPr>
            </w:pPr>
            <w:r>
              <w:rPr>
                <w:sz w:val="16"/>
              </w:rPr>
              <w:t xml:space="preserve">ladder length </w:t>
            </w:r>
            <w:r>
              <w:rPr>
                <w:sz w:val="16"/>
              </w:rPr>
              <w:br/>
              <w:t>(in feet)</w:t>
            </w:r>
          </w:p>
        </w:tc>
        <w:tc>
          <w:tcPr>
            <w:tcW w:w="912" w:type="dxa"/>
            <w:tcBorders>
              <w:bottom w:val="single" w:sz="6" w:space="0" w:color="auto"/>
            </w:tcBorders>
            <w:vAlign w:val="bottom"/>
          </w:tcPr>
          <w:p w:rsidR="00AF2508" w:rsidRDefault="00AF2508">
            <w:pPr>
              <w:pStyle w:val="TableColHd"/>
              <w:rPr>
                <w:sz w:val="16"/>
              </w:rPr>
            </w:pPr>
            <w:r>
              <w:rPr>
                <w:sz w:val="16"/>
              </w:rPr>
              <w:t>side rails (stiles)</w:t>
            </w:r>
          </w:p>
        </w:tc>
        <w:tc>
          <w:tcPr>
            <w:tcW w:w="1116" w:type="dxa"/>
            <w:tcBorders>
              <w:left w:val="single" w:sz="6" w:space="0" w:color="auto"/>
              <w:bottom w:val="single" w:sz="6" w:space="0" w:color="auto"/>
              <w:right w:val="single" w:sz="6" w:space="0" w:color="auto"/>
            </w:tcBorders>
            <w:vAlign w:val="bottom"/>
          </w:tcPr>
          <w:p w:rsidR="00AF2508" w:rsidRDefault="00AF2508">
            <w:pPr>
              <w:pStyle w:val="TableColHd"/>
              <w:rPr>
                <w:sz w:val="16"/>
              </w:rPr>
            </w:pPr>
            <w:r>
              <w:rPr>
                <w:sz w:val="16"/>
              </w:rPr>
              <w:t>back legs</w:t>
            </w:r>
          </w:p>
        </w:tc>
        <w:tc>
          <w:tcPr>
            <w:tcW w:w="1248" w:type="dxa"/>
            <w:tcBorders>
              <w:left w:val="single" w:sz="6" w:space="0" w:color="auto"/>
              <w:bottom w:val="single" w:sz="6" w:space="0" w:color="auto"/>
              <w:right w:val="single" w:sz="6" w:space="0" w:color="auto"/>
            </w:tcBorders>
            <w:vAlign w:val="bottom"/>
          </w:tcPr>
          <w:p w:rsidR="00AF2508" w:rsidRDefault="00AF2508">
            <w:pPr>
              <w:pStyle w:val="TableColHd"/>
              <w:rPr>
                <w:sz w:val="16"/>
              </w:rPr>
            </w:pPr>
            <w:r>
              <w:rPr>
                <w:sz w:val="16"/>
              </w:rPr>
              <w:t>treads</w:t>
            </w:r>
          </w:p>
        </w:tc>
        <w:tc>
          <w:tcPr>
            <w:tcW w:w="1080" w:type="dxa"/>
            <w:tcBorders>
              <w:left w:val="single" w:sz="6" w:space="0" w:color="auto"/>
              <w:bottom w:val="single" w:sz="6" w:space="0" w:color="auto"/>
              <w:right w:val="single" w:sz="6" w:space="0" w:color="auto"/>
            </w:tcBorders>
            <w:vAlign w:val="bottom"/>
          </w:tcPr>
          <w:p w:rsidR="00AF2508" w:rsidRDefault="00AF2508">
            <w:pPr>
              <w:pStyle w:val="TableColHd"/>
              <w:rPr>
                <w:sz w:val="16"/>
              </w:rPr>
            </w:pPr>
            <w:r>
              <w:rPr>
                <w:sz w:val="16"/>
              </w:rPr>
              <w:t>battens for back legs</w:t>
            </w:r>
          </w:p>
        </w:tc>
        <w:tc>
          <w:tcPr>
            <w:tcW w:w="1116" w:type="dxa"/>
            <w:tcBorders>
              <w:bottom w:val="single" w:sz="6" w:space="0" w:color="auto"/>
            </w:tcBorders>
            <w:vAlign w:val="bottom"/>
          </w:tcPr>
          <w:p w:rsidR="00AF2508" w:rsidRDefault="00AF2508">
            <w:pPr>
              <w:pStyle w:val="TableColHd"/>
              <w:rPr>
                <w:sz w:val="16"/>
              </w:rPr>
            </w:pPr>
            <w:r>
              <w:rPr>
                <w:sz w:val="16"/>
              </w:rPr>
              <w:t xml:space="preserve">timber </w:t>
            </w:r>
          </w:p>
        </w:tc>
        <w:tc>
          <w:tcPr>
            <w:tcW w:w="924" w:type="dxa"/>
            <w:tcBorders>
              <w:bottom w:val="single" w:sz="6" w:space="0" w:color="auto"/>
            </w:tcBorders>
            <w:vAlign w:val="bottom"/>
          </w:tcPr>
          <w:p w:rsidR="00AF2508" w:rsidRDefault="00AF2508">
            <w:pPr>
              <w:pStyle w:val="TableColHd"/>
              <w:rPr>
                <w:sz w:val="16"/>
              </w:rPr>
            </w:pPr>
            <w:r>
              <w:rPr>
                <w:sz w:val="16"/>
              </w:rPr>
              <w:t>mild steel</w:t>
            </w:r>
          </w:p>
        </w:tc>
        <w:tc>
          <w:tcPr>
            <w:tcW w:w="1116" w:type="dxa"/>
            <w:gridSpan w:val="2"/>
            <w:tcBorders>
              <w:left w:val="single" w:sz="6" w:space="0" w:color="auto"/>
              <w:bottom w:val="single" w:sz="6" w:space="0" w:color="auto"/>
            </w:tcBorders>
            <w:vAlign w:val="bottom"/>
          </w:tcPr>
          <w:p w:rsidR="00AF2508" w:rsidRDefault="00AF2508">
            <w:pPr>
              <w:pStyle w:val="TableColHd"/>
              <w:rPr>
                <w:sz w:val="16"/>
              </w:rPr>
            </w:pPr>
            <w:r>
              <w:rPr>
                <w:sz w:val="16"/>
              </w:rPr>
              <w:t>bracing for treads</w:t>
            </w:r>
          </w:p>
        </w:tc>
      </w:tr>
      <w:tr w:rsidR="00AF2508">
        <w:trPr>
          <w:cantSplit/>
        </w:trPr>
        <w:tc>
          <w:tcPr>
            <w:tcW w:w="900" w:type="dxa"/>
            <w:tcBorders>
              <w:top w:val="single" w:sz="6" w:space="0" w:color="auto"/>
              <w:right w:val="single" w:sz="6" w:space="0" w:color="auto"/>
            </w:tcBorders>
          </w:tcPr>
          <w:p w:rsidR="00AF2508" w:rsidRDefault="00AF2508">
            <w:pPr>
              <w:pStyle w:val="TableText"/>
              <w:rPr>
                <w:sz w:val="20"/>
              </w:rPr>
            </w:pPr>
            <w:r>
              <w:rPr>
                <w:sz w:val="20"/>
              </w:rPr>
              <w:t>8 and under</w:t>
            </w:r>
          </w:p>
        </w:tc>
        <w:tc>
          <w:tcPr>
            <w:tcW w:w="912" w:type="dxa"/>
            <w:tcBorders>
              <w:top w:val="single" w:sz="6" w:space="0" w:color="auto"/>
            </w:tcBorders>
          </w:tcPr>
          <w:p w:rsidR="00AF2508" w:rsidRDefault="00AF2508">
            <w:pPr>
              <w:pStyle w:val="TableText"/>
              <w:rPr>
                <w:sz w:val="20"/>
              </w:rPr>
            </w:pPr>
            <w:r>
              <w:rPr>
                <w:sz w:val="20"/>
              </w:rPr>
              <w:t>3 × 1</w:t>
            </w:r>
          </w:p>
        </w:tc>
        <w:tc>
          <w:tcPr>
            <w:tcW w:w="1116"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2</w:t>
            </w:r>
            <w:r>
              <w:rPr>
                <w:position w:val="6"/>
                <w:sz w:val="20"/>
              </w:rPr>
              <w:t>3</w:t>
            </w:r>
            <w:r>
              <w:rPr>
                <w:sz w:val="20"/>
              </w:rPr>
              <w:t xml:space="preserve">/4 x </w:t>
            </w:r>
            <w:r>
              <w:rPr>
                <w:position w:val="6"/>
                <w:sz w:val="20"/>
              </w:rPr>
              <w:t>3</w:t>
            </w:r>
            <w:r>
              <w:rPr>
                <w:sz w:val="20"/>
              </w:rPr>
              <w:t>/4</w:t>
            </w:r>
          </w:p>
        </w:tc>
        <w:tc>
          <w:tcPr>
            <w:tcW w:w="1248"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3</w:t>
            </w:r>
            <w:r>
              <w:rPr>
                <w:position w:val="4"/>
                <w:sz w:val="20"/>
              </w:rPr>
              <w:t>1</w:t>
            </w:r>
            <w:r>
              <w:rPr>
                <w:sz w:val="20"/>
              </w:rPr>
              <w:t xml:space="preserve">/2 x </w:t>
            </w:r>
            <w:r>
              <w:rPr>
                <w:position w:val="4"/>
                <w:sz w:val="20"/>
              </w:rPr>
              <w:t>13</w:t>
            </w:r>
            <w:r>
              <w:rPr>
                <w:sz w:val="20"/>
              </w:rPr>
              <w:t>/16</w:t>
            </w:r>
          </w:p>
        </w:tc>
        <w:tc>
          <w:tcPr>
            <w:tcW w:w="108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Borders>
              <w:top w:val="single" w:sz="6" w:space="0" w:color="auto"/>
            </w:tcBorders>
          </w:tcPr>
          <w:p w:rsidR="00AF2508" w:rsidRDefault="00AF2508">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Borders>
              <w:top w:val="single" w:sz="6" w:space="0" w:color="auto"/>
            </w:tcBorders>
          </w:tcPr>
          <w:p w:rsidR="00AF2508" w:rsidRDefault="00AF2508">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top w:val="single" w:sz="6" w:space="0" w:color="auto"/>
              <w:left w:val="single" w:sz="6" w:space="0" w:color="auto"/>
            </w:tcBorders>
          </w:tcPr>
          <w:p w:rsidR="00AF2508" w:rsidRDefault="00AF2508">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r w:rsidR="00AF2508">
        <w:trPr>
          <w:cantSplit/>
        </w:trPr>
        <w:tc>
          <w:tcPr>
            <w:tcW w:w="900" w:type="dxa"/>
            <w:tcBorders>
              <w:right w:val="single" w:sz="6" w:space="0" w:color="auto"/>
            </w:tcBorders>
          </w:tcPr>
          <w:p w:rsidR="00AF2508" w:rsidRDefault="00AF2508">
            <w:pPr>
              <w:pStyle w:val="TableText"/>
              <w:rPr>
                <w:sz w:val="20"/>
              </w:rPr>
            </w:pPr>
            <w:r>
              <w:rPr>
                <w:sz w:val="20"/>
              </w:rPr>
              <w:t>9 to 12</w:t>
            </w:r>
          </w:p>
        </w:tc>
        <w:tc>
          <w:tcPr>
            <w:tcW w:w="912" w:type="dxa"/>
          </w:tcPr>
          <w:p w:rsidR="00AF2508" w:rsidRDefault="00AF2508">
            <w:pPr>
              <w:pStyle w:val="TableText"/>
              <w:rPr>
                <w:sz w:val="20"/>
              </w:rPr>
            </w:pPr>
            <w:r>
              <w:rPr>
                <w:sz w:val="20"/>
              </w:rPr>
              <w:t>3</w:t>
            </w:r>
            <w:r>
              <w:rPr>
                <w:position w:val="6"/>
                <w:sz w:val="20"/>
              </w:rPr>
              <w:t>1</w:t>
            </w:r>
            <w:r>
              <w:rPr>
                <w:sz w:val="20"/>
              </w:rPr>
              <w:t>/4 x 1</w:t>
            </w:r>
          </w:p>
        </w:tc>
        <w:tc>
          <w:tcPr>
            <w:tcW w:w="1116" w:type="dxa"/>
            <w:tcBorders>
              <w:left w:val="single" w:sz="6" w:space="0" w:color="auto"/>
              <w:right w:val="single" w:sz="6" w:space="0" w:color="auto"/>
            </w:tcBorders>
          </w:tcPr>
          <w:p w:rsidR="00AF2508" w:rsidRDefault="00AF2508">
            <w:pPr>
              <w:pStyle w:val="TableText"/>
              <w:rPr>
                <w:sz w:val="20"/>
              </w:rPr>
            </w:pPr>
            <w:r>
              <w:rPr>
                <w:sz w:val="20"/>
              </w:rPr>
              <w:t>3 × 1</w:t>
            </w:r>
          </w:p>
        </w:tc>
        <w:tc>
          <w:tcPr>
            <w:tcW w:w="1248" w:type="dxa"/>
            <w:tcBorders>
              <w:left w:val="single" w:sz="6" w:space="0" w:color="auto"/>
              <w:right w:val="single" w:sz="6" w:space="0" w:color="auto"/>
            </w:tcBorders>
          </w:tcPr>
          <w:p w:rsidR="00AF2508" w:rsidRDefault="00AF2508">
            <w:pPr>
              <w:pStyle w:val="TableText"/>
              <w:rPr>
                <w:sz w:val="20"/>
              </w:rPr>
            </w:pPr>
            <w:r>
              <w:rPr>
                <w:sz w:val="20"/>
              </w:rPr>
              <w:t>3</w:t>
            </w:r>
            <w:r>
              <w:rPr>
                <w:position w:val="4"/>
                <w:sz w:val="20"/>
              </w:rPr>
              <w:t>1</w:t>
            </w:r>
            <w:r>
              <w:rPr>
                <w:sz w:val="20"/>
              </w:rPr>
              <w:t xml:space="preserve">/2 x </w:t>
            </w:r>
            <w:r>
              <w:rPr>
                <w:position w:val="4"/>
                <w:sz w:val="20"/>
              </w:rPr>
              <w:t>13</w:t>
            </w:r>
            <w:r>
              <w:rPr>
                <w:sz w:val="20"/>
              </w:rPr>
              <w:t>/16</w:t>
            </w:r>
          </w:p>
        </w:tc>
        <w:tc>
          <w:tcPr>
            <w:tcW w:w="1080" w:type="dxa"/>
            <w:tcBorders>
              <w:left w:val="single" w:sz="6" w:space="0" w:color="auto"/>
              <w:right w:val="single" w:sz="6" w:space="0" w:color="auto"/>
            </w:tcBorders>
          </w:tcPr>
          <w:p w:rsidR="00AF2508" w:rsidRDefault="00AF2508">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Pr>
          <w:p w:rsidR="00AF2508" w:rsidRDefault="00AF2508">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Pr>
          <w:p w:rsidR="00AF2508" w:rsidRDefault="00AF2508">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left w:val="single" w:sz="6" w:space="0" w:color="auto"/>
            </w:tcBorders>
          </w:tcPr>
          <w:p w:rsidR="00AF2508" w:rsidRDefault="00AF2508">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r w:rsidR="00AF2508">
        <w:trPr>
          <w:cantSplit/>
        </w:trPr>
        <w:tc>
          <w:tcPr>
            <w:tcW w:w="900" w:type="dxa"/>
            <w:tcBorders>
              <w:bottom w:val="single" w:sz="6" w:space="0" w:color="auto"/>
              <w:right w:val="single" w:sz="6" w:space="0" w:color="auto"/>
            </w:tcBorders>
          </w:tcPr>
          <w:p w:rsidR="00AF2508" w:rsidRDefault="00AF2508">
            <w:pPr>
              <w:pStyle w:val="TableText"/>
              <w:rPr>
                <w:sz w:val="20"/>
              </w:rPr>
            </w:pPr>
            <w:r>
              <w:rPr>
                <w:sz w:val="20"/>
              </w:rPr>
              <w:t>13 to 18</w:t>
            </w:r>
          </w:p>
        </w:tc>
        <w:tc>
          <w:tcPr>
            <w:tcW w:w="912" w:type="dxa"/>
            <w:tcBorders>
              <w:bottom w:val="single" w:sz="6" w:space="0" w:color="auto"/>
            </w:tcBorders>
          </w:tcPr>
          <w:p w:rsidR="00AF2508" w:rsidRDefault="00AF2508">
            <w:pPr>
              <w:pStyle w:val="TableText"/>
              <w:rPr>
                <w:sz w:val="20"/>
              </w:rPr>
            </w:pPr>
            <w:r>
              <w:rPr>
                <w:sz w:val="20"/>
              </w:rPr>
              <w:t>3</w:t>
            </w:r>
            <w:r>
              <w:rPr>
                <w:position w:val="6"/>
                <w:sz w:val="20"/>
              </w:rPr>
              <w:t>3</w:t>
            </w:r>
            <w:r>
              <w:rPr>
                <w:sz w:val="20"/>
              </w:rPr>
              <w:t>/4 x 1</w:t>
            </w:r>
          </w:p>
        </w:tc>
        <w:tc>
          <w:tcPr>
            <w:tcW w:w="1116"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3</w:t>
            </w:r>
            <w:r>
              <w:rPr>
                <w:position w:val="4"/>
                <w:sz w:val="20"/>
              </w:rPr>
              <w:t>1</w:t>
            </w:r>
            <w:r>
              <w:rPr>
                <w:sz w:val="20"/>
              </w:rPr>
              <w:t>/4 x 1</w:t>
            </w:r>
          </w:p>
        </w:tc>
        <w:tc>
          <w:tcPr>
            <w:tcW w:w="1248"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3 x 1</w:t>
            </w:r>
          </w:p>
        </w:tc>
        <w:tc>
          <w:tcPr>
            <w:tcW w:w="108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Borders>
              <w:bottom w:val="single" w:sz="6" w:space="0" w:color="auto"/>
            </w:tcBorders>
          </w:tcPr>
          <w:p w:rsidR="00AF2508" w:rsidRDefault="00AF2508">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Borders>
              <w:bottom w:val="single" w:sz="6" w:space="0" w:color="auto"/>
            </w:tcBorders>
          </w:tcPr>
          <w:p w:rsidR="00AF2508" w:rsidRDefault="00AF2508">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left w:val="single" w:sz="6" w:space="0" w:color="auto"/>
              <w:bottom w:val="single" w:sz="6" w:space="0" w:color="auto"/>
            </w:tcBorders>
          </w:tcPr>
          <w:p w:rsidR="00AF2508" w:rsidRDefault="00AF2508">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bl>
    <w:p w:rsidR="00AF2508" w:rsidRDefault="00AF2508">
      <w:pPr>
        <w:pStyle w:val="Amain"/>
        <w:rPr>
          <w:color w:val="000000"/>
        </w:rPr>
      </w:pPr>
    </w:p>
    <w:p w:rsidR="00AF2508" w:rsidRDefault="00AF2508">
      <w:pPr>
        <w:pStyle w:val="Assectheading"/>
        <w:rPr>
          <w:i w:val="0"/>
        </w:rPr>
      </w:pPr>
      <w:r>
        <w:rPr>
          <w:rStyle w:val="charItals"/>
          <w:i/>
        </w:rPr>
        <w:t>Trestle ladders—trestle ladders not to exceed 16 feet in length</w:t>
      </w:r>
    </w:p>
    <w:p w:rsidR="00AF2508" w:rsidRDefault="00AF2508">
      <w:pPr>
        <w:pStyle w:val="Amain"/>
      </w:pPr>
      <w:r>
        <w:tab/>
        <w:t>(118)</w:t>
      </w:r>
      <w:r>
        <w:tab/>
        <w:t>A trestle ladder exceeding 16 feet in length shall not be used unless otherwise approved.</w:t>
      </w:r>
    </w:p>
    <w:p w:rsidR="00AF2508" w:rsidRDefault="00AF2508">
      <w:pPr>
        <w:pStyle w:val="Assectheading"/>
        <w:rPr>
          <w:i w:val="0"/>
        </w:rPr>
      </w:pPr>
      <w:r>
        <w:rPr>
          <w:rStyle w:val="charItals"/>
          <w:i/>
        </w:rPr>
        <w:t>Trestle ladders—side rails (stiles)—dimensions</w:t>
      </w:r>
    </w:p>
    <w:p w:rsidR="00AF2508" w:rsidRDefault="00AF2508">
      <w:pPr>
        <w:pStyle w:val="Amain"/>
      </w:pPr>
      <w:r>
        <w:tab/>
        <w:t>(119)</w:t>
      </w:r>
      <w:r>
        <w:tab/>
        <w:t>Side rails shall have dimensions not less than those provided in table 142.4.</w:t>
      </w:r>
    </w:p>
    <w:p w:rsidR="00AF2508" w:rsidRDefault="00AF2508">
      <w:pPr>
        <w:pStyle w:val="aNote"/>
      </w:pPr>
      <w:r>
        <w:rPr>
          <w:i/>
          <w:iCs/>
        </w:rPr>
        <w:t>Note</w:t>
      </w:r>
      <w:r>
        <w:tab/>
        <w:t>Table 142.4 is after s (150).</w:t>
      </w:r>
    </w:p>
    <w:p w:rsidR="00AF2508" w:rsidRDefault="00AF2508">
      <w:pPr>
        <w:pStyle w:val="Assectheading"/>
        <w:rPr>
          <w:i w:val="0"/>
        </w:rPr>
      </w:pPr>
      <w:r>
        <w:rPr>
          <w:rStyle w:val="charItals"/>
          <w:i/>
        </w:rPr>
        <w:t>Trestle ladders—side rails (stiles)—spacing and spread between adjacent side rails</w:t>
      </w:r>
    </w:p>
    <w:p w:rsidR="00AF2508" w:rsidRDefault="00AF2508">
      <w:pPr>
        <w:pStyle w:val="Amain"/>
        <w:keepLines/>
      </w:pPr>
      <w:r>
        <w:tab/>
        <w:t>(120)</w:t>
      </w:r>
      <w:r>
        <w:tab/>
        <w:t>The width between inside faces of side rails measured at the top rung shall be not less than 15 inches or more than 21 inches for trestle ladders up to and including 8</w:t>
      </w:r>
      <w:r>
        <w:rPr>
          <w:b/>
        </w:rPr>
        <w:t xml:space="preserve"> </w:t>
      </w:r>
      <w:r>
        <w:t>feet in length, and not less than 19 inches or more than 21 inches for trestle ladders over 8</w:t>
      </w:r>
      <w:r>
        <w:rPr>
          <w:b/>
        </w:rPr>
        <w:t xml:space="preserve"> </w:t>
      </w:r>
      <w:r>
        <w:t>feet in length.</w:t>
      </w:r>
    </w:p>
    <w:p w:rsidR="00AF2508" w:rsidRDefault="00AF2508">
      <w:pPr>
        <w:pStyle w:val="Amain"/>
      </w:pPr>
      <w:r>
        <w:tab/>
        <w:t>(121)</w:t>
      </w:r>
      <w:r>
        <w:tab/>
        <w:t>This dimension shall increase towards the lower rungs at the rate of not less than 1</w:t>
      </w:r>
      <w:r>
        <w:rPr>
          <w:position w:val="6"/>
          <w:sz w:val="18"/>
        </w:rPr>
        <w:t>1</w:t>
      </w:r>
      <w:r>
        <w:t>/</w:t>
      </w:r>
      <w:r>
        <w:rPr>
          <w:sz w:val="18"/>
        </w:rPr>
        <w:t>2</w:t>
      </w:r>
      <w:r>
        <w:t xml:space="preserve"> inches and not more than 1</w:t>
      </w:r>
      <w:r>
        <w:rPr>
          <w:position w:val="6"/>
          <w:sz w:val="18"/>
        </w:rPr>
        <w:t>3</w:t>
      </w:r>
      <w:r>
        <w:t>/</w:t>
      </w:r>
      <w:r>
        <w:rPr>
          <w:sz w:val="18"/>
        </w:rPr>
        <w:t>4</w:t>
      </w:r>
      <w:r>
        <w:t xml:space="preserve"> inches per foot length of side rails.</w:t>
      </w:r>
    </w:p>
    <w:p w:rsidR="00AF2508" w:rsidRDefault="00AF2508">
      <w:pPr>
        <w:pStyle w:val="Assectheading"/>
        <w:rPr>
          <w:i w:val="0"/>
        </w:rPr>
      </w:pPr>
      <w:r>
        <w:rPr>
          <w:rStyle w:val="charItals"/>
          <w:i/>
        </w:rPr>
        <w:t>Trestle ladders—side rails (stiles)—spread between the pairs of side rails in the fully opened position</w:t>
      </w:r>
    </w:p>
    <w:p w:rsidR="00AF2508" w:rsidRDefault="00AF2508">
      <w:pPr>
        <w:pStyle w:val="Amain"/>
      </w:pPr>
      <w:r>
        <w:tab/>
        <w:t>(122)</w:t>
      </w:r>
      <w:r>
        <w:tab/>
        <w:t>In the fully opened position the spread between the pairs of side rails shall be not less than 4</w:t>
      </w:r>
      <w:r>
        <w:rPr>
          <w:b/>
        </w:rPr>
        <w:t xml:space="preserve"> </w:t>
      </w:r>
      <w:r>
        <w:t>inches or more than 8</w:t>
      </w:r>
      <w:r>
        <w:rPr>
          <w:b/>
        </w:rPr>
        <w:t xml:space="preserve"> </w:t>
      </w:r>
      <w:r>
        <w:t>inches per foot length of side rails.</w:t>
      </w:r>
    </w:p>
    <w:p w:rsidR="00AF2508" w:rsidRDefault="00AF2508">
      <w:pPr>
        <w:pStyle w:val="Assectheading"/>
        <w:rPr>
          <w:i w:val="0"/>
        </w:rPr>
      </w:pPr>
      <w:r>
        <w:rPr>
          <w:rStyle w:val="charItals"/>
          <w:i/>
        </w:rPr>
        <w:t>Trestle ladders—side rails (stiles)—holes in side rails for rungs</w:t>
      </w:r>
    </w:p>
    <w:p w:rsidR="00AF2508" w:rsidRDefault="00AF2508">
      <w:pPr>
        <w:pStyle w:val="Amain"/>
      </w:pPr>
      <w:r>
        <w:tab/>
        <w:t>(123)</w:t>
      </w:r>
      <w:r>
        <w:tab/>
        <w:t>All holes for rungs shall be accurately machined so that all rungs pass through the centre-line of the wide faces of the side rail.</w:t>
      </w:r>
    </w:p>
    <w:p w:rsidR="00AF2508" w:rsidRDefault="00AF2508">
      <w:pPr>
        <w:pStyle w:val="Amain"/>
      </w:pPr>
      <w:r>
        <w:tab/>
        <w:t>(124)</w:t>
      </w:r>
      <w:r>
        <w:tab/>
        <w:t>If practicable rungs shall not fit through the full thickness of side rails.</w:t>
      </w:r>
    </w:p>
    <w:p w:rsidR="00AF2508" w:rsidRDefault="00AF2508">
      <w:pPr>
        <w:pStyle w:val="Amain"/>
      </w:pPr>
      <w:r>
        <w:tab/>
        <w:t>(125)</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AF2508" w:rsidRDefault="00AF2508">
      <w:pPr>
        <w:pStyle w:val="Assectheading"/>
        <w:rPr>
          <w:i w:val="0"/>
        </w:rPr>
      </w:pPr>
      <w:r>
        <w:rPr>
          <w:rStyle w:val="charItals"/>
          <w:i/>
        </w:rPr>
        <w:t>Trestle ladders—side rails (stiles)—spacing of rungs</w:t>
      </w:r>
    </w:p>
    <w:p w:rsidR="00AF2508" w:rsidRDefault="00AF2508">
      <w:pPr>
        <w:pStyle w:val="Amain"/>
      </w:pPr>
      <w:r>
        <w:tab/>
        <w:t>(126)</w:t>
      </w:r>
      <w:r>
        <w:tab/>
        <w:t>All rungs shall be equally spaced.</w:t>
      </w:r>
    </w:p>
    <w:p w:rsidR="00AF2508" w:rsidRDefault="00AF2508">
      <w:pPr>
        <w:pStyle w:val="Amain"/>
      </w:pPr>
      <w:r>
        <w:tab/>
        <w:t>(127)</w:t>
      </w:r>
      <w:r>
        <w:tab/>
        <w:t>The spacing shall be not less than 20 inches or more than 24 inches centre to centre.</w:t>
      </w:r>
    </w:p>
    <w:p w:rsidR="00AF2508" w:rsidRDefault="00AF2508">
      <w:pPr>
        <w:pStyle w:val="Amain"/>
      </w:pPr>
      <w:r>
        <w:tab/>
        <w:t>(128)</w:t>
      </w:r>
      <w:r>
        <w:tab/>
        <w:t xml:space="preserve">Rungs spacing in pairs of side rails shall be staggered so that when the trestle ladder is in the closed position the rungs will present an equal spacing of </w:t>
      </w:r>
      <w:r>
        <w:rPr>
          <w:position w:val="6"/>
          <w:sz w:val="18"/>
        </w:rPr>
        <w:t>1</w:t>
      </w:r>
      <w:r>
        <w:t>/</w:t>
      </w:r>
      <w:r>
        <w:rPr>
          <w:sz w:val="18"/>
        </w:rPr>
        <w:t>2</w:t>
      </w:r>
      <w:r>
        <w:t xml:space="preserve"> that on either pair of side rails.</w:t>
      </w:r>
    </w:p>
    <w:p w:rsidR="00AF2508" w:rsidRDefault="00AF2508">
      <w:pPr>
        <w:pStyle w:val="Amain"/>
      </w:pPr>
      <w:r>
        <w:tab/>
        <w:t>(129)</w:t>
      </w:r>
      <w:r>
        <w:tab/>
        <w:t>The top rung on either pair of side rails shall not be closer to the top than 6</w:t>
      </w:r>
      <w:r>
        <w:rPr>
          <w:b/>
        </w:rPr>
        <w:t xml:space="preserve"> </w:t>
      </w:r>
      <w:r>
        <w:t>inches.</w:t>
      </w:r>
    </w:p>
    <w:p w:rsidR="00AF2508" w:rsidRDefault="00AF2508">
      <w:pPr>
        <w:pStyle w:val="Assectheading"/>
        <w:rPr>
          <w:i w:val="0"/>
        </w:rPr>
      </w:pPr>
      <w:r>
        <w:rPr>
          <w:rStyle w:val="charItals"/>
          <w:i/>
        </w:rPr>
        <w:t>Trestle ladders—restraining rope</w:t>
      </w:r>
    </w:p>
    <w:p w:rsidR="00AF2508" w:rsidRDefault="00AF2508">
      <w:pPr>
        <w:pStyle w:val="Amain"/>
      </w:pPr>
      <w:r>
        <w:tab/>
        <w:t>(130)</w:t>
      </w:r>
      <w:r>
        <w:tab/>
        <w:t xml:space="preserve">The spread between the pairs of side rails shall be restrained by means of first quality fibre rope not less than </w:t>
      </w:r>
      <w:r>
        <w:rPr>
          <w:position w:val="6"/>
          <w:sz w:val="18"/>
        </w:rPr>
        <w:t>3</w:t>
      </w:r>
      <w:r>
        <w:t>/</w:t>
      </w:r>
      <w:r>
        <w:rPr>
          <w:sz w:val="18"/>
        </w:rPr>
        <w:t>4</w:t>
      </w:r>
      <w:r>
        <w:t xml:space="preserve"> of an inch in circumference.</w:t>
      </w:r>
    </w:p>
    <w:p w:rsidR="00AF2508" w:rsidRDefault="00AF2508">
      <w:pPr>
        <w:pStyle w:val="Amain"/>
      </w:pPr>
      <w:r>
        <w:tab/>
        <w:t>(131)</w:t>
      </w:r>
      <w:r>
        <w:tab/>
        <w:t>These ropes shall be effectively anchored at 1 end through the centre of the wide face of each side rail at the same level and at about the 2nd rung from the bottom.</w:t>
      </w:r>
    </w:p>
    <w:p w:rsidR="00AF2508" w:rsidRDefault="00AF2508">
      <w:pPr>
        <w:pStyle w:val="Amain"/>
      </w:pPr>
      <w:r>
        <w:tab/>
        <w:t>(132)</w:t>
      </w:r>
      <w:r>
        <w:tab/>
        <w:t>Alternatively, other approved means of restraining the side rails may be used.</w:t>
      </w:r>
    </w:p>
    <w:p w:rsidR="00AF2508" w:rsidRDefault="00AF2508">
      <w:pPr>
        <w:pStyle w:val="Assectheading"/>
        <w:rPr>
          <w:i w:val="0"/>
        </w:rPr>
      </w:pPr>
      <w:r>
        <w:rPr>
          <w:rStyle w:val="charItals"/>
          <w:i/>
        </w:rPr>
        <w:t>Trestle ladders—rungs—dimensions</w:t>
      </w:r>
    </w:p>
    <w:p w:rsidR="00AF2508" w:rsidRDefault="00AF2508">
      <w:pPr>
        <w:pStyle w:val="Amain"/>
      </w:pPr>
      <w:r>
        <w:tab/>
        <w:t>(133)</w:t>
      </w:r>
      <w:r>
        <w:tab/>
        <w:t>Rungs shall have dimensions not less than those set out in table 142.4.</w:t>
      </w:r>
    </w:p>
    <w:p w:rsidR="00AF2508" w:rsidRDefault="00AF2508">
      <w:pPr>
        <w:pStyle w:val="aNote"/>
      </w:pPr>
      <w:r>
        <w:rPr>
          <w:i/>
          <w:iCs/>
        </w:rPr>
        <w:t>Note</w:t>
      </w:r>
      <w:r>
        <w:tab/>
        <w:t>Table 142.4 is after s (150).</w:t>
      </w:r>
    </w:p>
    <w:p w:rsidR="00AF2508" w:rsidRDefault="00AF2508">
      <w:pPr>
        <w:pStyle w:val="Amain"/>
      </w:pPr>
      <w:r>
        <w:tab/>
        <w:t>(134)</w:t>
      </w:r>
      <w:r>
        <w:tab/>
        <w:t xml:space="preserve">In addition, the cross-section shall be reduced at each end to form a shoulder for tenons, whose cross-section shall be not less than </w:t>
      </w:r>
      <w:r>
        <w:rPr>
          <w:position w:val="6"/>
          <w:sz w:val="18"/>
        </w:rPr>
        <w:t>3</w:t>
      </w:r>
      <w:r>
        <w:t>/</w:t>
      </w:r>
      <w:r>
        <w:rPr>
          <w:sz w:val="18"/>
        </w:rPr>
        <w:t>4</w:t>
      </w:r>
      <w:r>
        <w:t xml:space="preserve"> of an inch wide and 1</w:t>
      </w:r>
      <w:r>
        <w:rPr>
          <w:position w:val="6"/>
          <w:sz w:val="18"/>
        </w:rPr>
        <w:t>1</w:t>
      </w:r>
      <w:r>
        <w:t>/</w:t>
      </w:r>
      <w:r>
        <w:rPr>
          <w:sz w:val="18"/>
        </w:rPr>
        <w:t>2</w:t>
      </w:r>
      <w:r>
        <w:t xml:space="preserve"> inches deep, and not more than </w:t>
      </w:r>
      <w:r>
        <w:rPr>
          <w:position w:val="6"/>
          <w:sz w:val="18"/>
        </w:rPr>
        <w:t>7</w:t>
      </w:r>
      <w:r>
        <w:t>/</w:t>
      </w:r>
      <w:r>
        <w:rPr>
          <w:sz w:val="18"/>
        </w:rPr>
        <w:t>8</w:t>
      </w:r>
      <w:r>
        <w:t xml:space="preserve"> of an inch wide and the depth of the rung.</w:t>
      </w:r>
    </w:p>
    <w:p w:rsidR="00AF2508" w:rsidRDefault="00AF2508">
      <w:pPr>
        <w:pStyle w:val="Amain"/>
      </w:pPr>
      <w:r>
        <w:tab/>
        <w:t>(135)</w:t>
      </w:r>
      <w:r>
        <w:tab/>
        <w:t xml:space="preserve">Tenons shall be not less than 1 inch long and if practicable shall finish at least </w:t>
      </w:r>
      <w:r>
        <w:rPr>
          <w:position w:val="6"/>
          <w:sz w:val="18"/>
        </w:rPr>
        <w:t>5</w:t>
      </w:r>
      <w:r>
        <w:t>/</w:t>
      </w:r>
      <w:r>
        <w:rPr>
          <w:sz w:val="18"/>
        </w:rPr>
        <w:t>16</w:t>
      </w:r>
      <w:r>
        <w:t xml:space="preserve"> of an inch from the outer face of side rails.</w:t>
      </w:r>
    </w:p>
    <w:p w:rsidR="00AF2508" w:rsidRDefault="00AF2508">
      <w:pPr>
        <w:pStyle w:val="Assectheading"/>
        <w:rPr>
          <w:i w:val="0"/>
        </w:rPr>
      </w:pPr>
      <w:r>
        <w:rPr>
          <w:rStyle w:val="charItals"/>
          <w:i/>
        </w:rPr>
        <w:t>Trestle ladders—rungs—attachment of rungs to side rails</w:t>
      </w:r>
    </w:p>
    <w:p w:rsidR="00AF2508" w:rsidRDefault="00AF2508">
      <w:pPr>
        <w:pStyle w:val="Amain"/>
      </w:pPr>
      <w:r>
        <w:tab/>
        <w:t>(136)</w:t>
      </w:r>
      <w:r>
        <w:tab/>
        <w:t>Rung tenons shall be a tight fit in the side rail and the shoulders shall fit accurately against them.</w:t>
      </w:r>
    </w:p>
    <w:p w:rsidR="00AF2508" w:rsidRDefault="00AF2508">
      <w:pPr>
        <w:pStyle w:val="Amain"/>
      </w:pPr>
      <w:r>
        <w:tab/>
        <w:t>(137)</w:t>
      </w:r>
      <w:r>
        <w:tab/>
        <w:t>Each tenon shall be secured by means of 2</w:t>
      </w:r>
      <w:r>
        <w:rPr>
          <w:b/>
        </w:rPr>
        <w:t xml:space="preserve"> </w:t>
      </w:r>
      <w:r>
        <w:t>nails at least 0.104 inches diameter (12</w:t>
      </w:r>
      <w:r>
        <w:rPr>
          <w:b/>
        </w:rPr>
        <w:t xml:space="preserve"> </w:t>
      </w:r>
      <w:r>
        <w:t>gauge) driven through the narrow edge of the side rail passing completely through the tenon.</w:t>
      </w:r>
    </w:p>
    <w:p w:rsidR="00AF2508" w:rsidRDefault="00AF2508">
      <w:pPr>
        <w:pStyle w:val="Assectheading"/>
        <w:rPr>
          <w:i w:val="0"/>
        </w:rPr>
      </w:pPr>
      <w:r>
        <w:rPr>
          <w:rStyle w:val="charItals"/>
          <w:i/>
        </w:rPr>
        <w:t>Trestle ladders—hinges</w:t>
      </w:r>
    </w:p>
    <w:p w:rsidR="00AF2508" w:rsidRDefault="00AF2508">
      <w:pPr>
        <w:pStyle w:val="Amain"/>
      </w:pPr>
      <w:r>
        <w:tab/>
        <w:t>(138)</w:t>
      </w:r>
      <w:r>
        <w:tab/>
        <w:t>Trestle ladders shall have their pairs of side rails hinged together at the top by means of hinges constructed of steel not less than 1</w:t>
      </w:r>
      <w:r>
        <w:rPr>
          <w:position w:val="6"/>
          <w:sz w:val="18"/>
        </w:rPr>
        <w:t>1</w:t>
      </w:r>
      <w:r>
        <w:t>/</w:t>
      </w:r>
      <w:r>
        <w:rPr>
          <w:sz w:val="18"/>
        </w:rPr>
        <w:t>4</w:t>
      </w:r>
      <w:r>
        <w:t xml:space="preserve"> inches wide and not less than </w:t>
      </w:r>
      <w:r>
        <w:rPr>
          <w:position w:val="6"/>
          <w:sz w:val="18"/>
        </w:rPr>
        <w:t>1</w:t>
      </w:r>
      <w:r>
        <w:t>/</w:t>
      </w:r>
      <w:r>
        <w:rPr>
          <w:sz w:val="18"/>
        </w:rPr>
        <w:t>4</w:t>
      </w:r>
      <w:r>
        <w:t xml:space="preserve"> of an inch thick.</w:t>
      </w:r>
    </w:p>
    <w:p w:rsidR="00AF2508" w:rsidRDefault="00AF2508">
      <w:pPr>
        <w:pStyle w:val="Amain"/>
      </w:pPr>
      <w:r>
        <w:tab/>
        <w:t>(139)</w:t>
      </w:r>
      <w:r>
        <w:tab/>
        <w:t xml:space="preserve">The securing bolts shall be </w:t>
      </w:r>
      <w:r>
        <w:rPr>
          <w:position w:val="6"/>
          <w:sz w:val="18"/>
        </w:rPr>
        <w:t>5</w:t>
      </w:r>
      <w:r>
        <w:t>/</w:t>
      </w:r>
      <w:r>
        <w:rPr>
          <w:sz w:val="18"/>
        </w:rPr>
        <w:t>16</w:t>
      </w:r>
      <w:r>
        <w:t xml:space="preserve"> of an inch diameter.</w:t>
      </w:r>
    </w:p>
    <w:p w:rsidR="00AF2508" w:rsidRDefault="00AF2508">
      <w:pPr>
        <w:pStyle w:val="Amain"/>
      </w:pPr>
      <w:r>
        <w:tab/>
        <w:t>(140)</w:t>
      </w:r>
      <w:r>
        <w:tab/>
        <w:t xml:space="preserve">The hinge pins shall be of steel not less than </w:t>
      </w:r>
      <w:r>
        <w:rPr>
          <w:position w:val="6"/>
          <w:sz w:val="18"/>
        </w:rPr>
        <w:t>5</w:t>
      </w:r>
      <w:r>
        <w:t>/</w:t>
      </w:r>
      <w:r>
        <w:rPr>
          <w:sz w:val="18"/>
        </w:rPr>
        <w:t>16</w:t>
      </w:r>
      <w:r>
        <w:t xml:space="preserve"> of an inch in diameter and shall be in line.</w:t>
      </w:r>
    </w:p>
    <w:p w:rsidR="00AF2508" w:rsidRDefault="00AF2508">
      <w:pPr>
        <w:pStyle w:val="Amain"/>
      </w:pPr>
      <w:r>
        <w:tab/>
        <w:t>(141)</w:t>
      </w:r>
      <w:r>
        <w:tab/>
        <w:t>Alternatively, other approved means of hinging may be used.</w:t>
      </w:r>
    </w:p>
    <w:p w:rsidR="00AF2508" w:rsidRDefault="00AF2508">
      <w:pPr>
        <w:pStyle w:val="Amain"/>
      </w:pPr>
      <w:r>
        <w:tab/>
        <w:t>(142)</w:t>
      </w:r>
      <w:r>
        <w:tab/>
        <w:t>Cast hinges shall not be used.</w:t>
      </w:r>
    </w:p>
    <w:p w:rsidR="00AF2508" w:rsidRDefault="00AF2508">
      <w:pPr>
        <w:pStyle w:val="Assectheading"/>
        <w:rPr>
          <w:i w:val="0"/>
        </w:rPr>
      </w:pPr>
      <w:r>
        <w:rPr>
          <w:rStyle w:val="charItals"/>
          <w:i/>
        </w:rPr>
        <w:t>Trestle ladders—hinges—trestles 12 feet or less</w:t>
      </w:r>
    </w:p>
    <w:p w:rsidR="00AF2508" w:rsidRDefault="00AF2508">
      <w:pPr>
        <w:pStyle w:val="Amain"/>
      </w:pPr>
      <w:r>
        <w:tab/>
        <w:t>(143)</w:t>
      </w:r>
      <w:r>
        <w:tab/>
        <w:t>Trestle ladders 12</w:t>
      </w:r>
      <w:r>
        <w:rPr>
          <w:b/>
        </w:rPr>
        <w:t xml:space="preserve"> </w:t>
      </w:r>
      <w:r>
        <w:t>feet or less in length shall have hinges not less than 10</w:t>
      </w:r>
      <w:r>
        <w:rPr>
          <w:b/>
        </w:rPr>
        <w:t xml:space="preserve"> </w:t>
      </w:r>
      <w:r>
        <w:t>inches long each side of the hinge pin, and each side secured to side rails with 2</w:t>
      </w:r>
      <w:r>
        <w:rPr>
          <w:b/>
        </w:rPr>
        <w:t xml:space="preserve"> </w:t>
      </w:r>
      <w:r>
        <w:t>bolts.</w:t>
      </w:r>
    </w:p>
    <w:p w:rsidR="00AF2508" w:rsidRDefault="00AF2508">
      <w:pPr>
        <w:pStyle w:val="Assectheading"/>
        <w:rPr>
          <w:i w:val="0"/>
        </w:rPr>
      </w:pPr>
      <w:r>
        <w:rPr>
          <w:rStyle w:val="charItals"/>
          <w:i/>
        </w:rPr>
        <w:t>Trestle ladders—hinges—trestle ladders more than 12</w:t>
      </w:r>
      <w:r>
        <w:rPr>
          <w:rStyle w:val="charBoldItals"/>
          <w:b w:val="0"/>
          <w:i/>
        </w:rPr>
        <w:t xml:space="preserve"> f</w:t>
      </w:r>
      <w:r>
        <w:rPr>
          <w:rStyle w:val="charItals"/>
          <w:i/>
        </w:rPr>
        <w:t>eet</w:t>
      </w:r>
    </w:p>
    <w:p w:rsidR="00AF2508" w:rsidRDefault="00AF2508">
      <w:pPr>
        <w:pStyle w:val="Amain"/>
      </w:pPr>
      <w:r>
        <w:tab/>
        <w:t>(144)</w:t>
      </w:r>
      <w:r>
        <w:tab/>
        <w:t>Trestle ladders more than 12</w:t>
      </w:r>
      <w:r>
        <w:rPr>
          <w:b/>
        </w:rPr>
        <w:t xml:space="preserve"> </w:t>
      </w:r>
      <w:r>
        <w:t>feet in length shall have hinges not less than 14 inches long each side of hinge pin, and each side secured to side rails with 3</w:t>
      </w:r>
      <w:r>
        <w:rPr>
          <w:b/>
        </w:rPr>
        <w:t xml:space="preserve"> </w:t>
      </w:r>
      <w:r>
        <w:t>bolts.</w:t>
      </w:r>
    </w:p>
    <w:p w:rsidR="00AF2508" w:rsidRDefault="00AF2508">
      <w:pPr>
        <w:pStyle w:val="Assectheading"/>
        <w:rPr>
          <w:i w:val="0"/>
        </w:rPr>
      </w:pPr>
      <w:r>
        <w:rPr>
          <w:rStyle w:val="charItals"/>
          <w:i/>
        </w:rPr>
        <w:t>Trestle ladders—ties—side rail to side rail—material</w:t>
      </w:r>
    </w:p>
    <w:p w:rsidR="00AF2508" w:rsidRDefault="00AF2508">
      <w:pPr>
        <w:pStyle w:val="Amain"/>
      </w:pPr>
      <w:r>
        <w:tab/>
        <w:t>(145)</w:t>
      </w:r>
      <w:r>
        <w:tab/>
        <w:t>Ties shall be of steel or other approved material.</w:t>
      </w:r>
    </w:p>
    <w:p w:rsidR="00AF2508" w:rsidRDefault="00AF2508">
      <w:pPr>
        <w:pStyle w:val="Assectheading"/>
        <w:rPr>
          <w:i w:val="0"/>
        </w:rPr>
      </w:pPr>
      <w:r>
        <w:rPr>
          <w:rStyle w:val="charItals"/>
          <w:i/>
        </w:rPr>
        <w:t>Trestle ladders—ties—side rail to side rail—dimensions</w:t>
      </w:r>
    </w:p>
    <w:p w:rsidR="00AF2508" w:rsidRDefault="00AF2508">
      <w:pPr>
        <w:pStyle w:val="Amain"/>
      </w:pPr>
      <w:r>
        <w:tab/>
        <w:t>(146)</w:t>
      </w:r>
      <w:r>
        <w:tab/>
        <w:t xml:space="preserve">Ties if of steel shall be not less than </w:t>
      </w:r>
      <w:r>
        <w:rPr>
          <w:position w:val="6"/>
          <w:sz w:val="18"/>
        </w:rPr>
        <w:t>3</w:t>
      </w:r>
      <w:r>
        <w:t>/</w:t>
      </w:r>
      <w:r>
        <w:rPr>
          <w:sz w:val="18"/>
        </w:rPr>
        <w:t>8</w:t>
      </w:r>
      <w:r>
        <w:t xml:space="preserve"> of an inch or more than </w:t>
      </w:r>
      <w:r>
        <w:rPr>
          <w:position w:val="6"/>
          <w:sz w:val="18"/>
        </w:rPr>
        <w:t>7</w:t>
      </w:r>
      <w:r>
        <w:t>/</w:t>
      </w:r>
      <w:r>
        <w:rPr>
          <w:sz w:val="18"/>
        </w:rPr>
        <w:t>16</w:t>
      </w:r>
      <w:r>
        <w:t> of an inch diameter and be fitted with washers of at least 0.062 inches thickness (16 gauge steel) twice the diameter of the tie rod hole in the side rail, and 1 end of each tie rod shall be screwed and fitted with a standard nut.</w:t>
      </w:r>
    </w:p>
    <w:p w:rsidR="00AF2508" w:rsidRDefault="00AF2508">
      <w:pPr>
        <w:pStyle w:val="Assectheading"/>
        <w:rPr>
          <w:i w:val="0"/>
        </w:rPr>
      </w:pPr>
      <w:r>
        <w:rPr>
          <w:rStyle w:val="charItals"/>
          <w:i/>
        </w:rPr>
        <w:t>Trestle ladders—ties—side rail to side rail—spacing and attachment of ties</w:t>
      </w:r>
    </w:p>
    <w:p w:rsidR="00AF2508" w:rsidRDefault="00AF2508">
      <w:pPr>
        <w:pStyle w:val="Amain"/>
      </w:pPr>
      <w:r>
        <w:tab/>
        <w:t>(147)</w:t>
      </w:r>
      <w:r>
        <w:tab/>
        <w:t>Ties shall be fitted to both pairs of side rails in all trestle ladders.</w:t>
      </w:r>
    </w:p>
    <w:p w:rsidR="00AF2508" w:rsidRDefault="00AF2508">
      <w:pPr>
        <w:pStyle w:val="Amain"/>
      </w:pPr>
      <w:r>
        <w:tab/>
        <w:t>(148)</w:t>
      </w:r>
      <w:r>
        <w:tab/>
        <w:t>One tie shall be fitted at the bottom rung and 1 at the top rung.</w:t>
      </w:r>
    </w:p>
    <w:p w:rsidR="00AF2508" w:rsidRDefault="00AF2508">
      <w:pPr>
        <w:pStyle w:val="Amain"/>
      </w:pPr>
      <w:r>
        <w:tab/>
        <w:t>(149)</w:t>
      </w:r>
      <w:r>
        <w:tab/>
        <w:t>The distance between ties shall not exceed 4</w:t>
      </w:r>
      <w:r>
        <w:rPr>
          <w:b/>
        </w:rPr>
        <w:t xml:space="preserve"> </w:t>
      </w:r>
      <w:r>
        <w:t>feet.</w:t>
      </w:r>
    </w:p>
    <w:p w:rsidR="00AF2508" w:rsidRDefault="00AF2508">
      <w:pPr>
        <w:pStyle w:val="Amain"/>
      </w:pPr>
      <w:r>
        <w:tab/>
        <w:t>(150)</w:t>
      </w:r>
      <w:r>
        <w:tab/>
        <w:t>Ties shall be fitted immediately below their adjacent rungs, pass through the centre-line of the wide face of each side rail, and be well riveted over at their ends to prevent spreading of side rails.</w:t>
      </w:r>
    </w:p>
    <w:p w:rsidR="00AF2508" w:rsidRDefault="00AF2508">
      <w:pPr>
        <w:pStyle w:val="TableHd"/>
        <w:ind w:left="1425" w:hanging="1425"/>
      </w:pPr>
      <w:r>
        <w:t>Table 142.4</w:t>
      </w:r>
      <w:r>
        <w:tab/>
        <w:t>Dimensions of timber trestle ladders</w:t>
      </w:r>
    </w:p>
    <w:tbl>
      <w:tblPr>
        <w:tblW w:w="0" w:type="auto"/>
        <w:tblLayout w:type="fixed"/>
        <w:tblCellMar>
          <w:left w:w="80" w:type="dxa"/>
          <w:right w:w="80" w:type="dxa"/>
        </w:tblCellMar>
        <w:tblLook w:val="0000" w:firstRow="0" w:lastRow="0" w:firstColumn="0" w:lastColumn="0" w:noHBand="0" w:noVBand="0"/>
      </w:tblPr>
      <w:tblGrid>
        <w:gridCol w:w="2820"/>
        <w:gridCol w:w="2120"/>
        <w:gridCol w:w="2406"/>
        <w:gridCol w:w="14"/>
      </w:tblGrid>
      <w:tr w:rsidR="00AF2508">
        <w:trPr>
          <w:cantSplit/>
        </w:trPr>
        <w:tc>
          <w:tcPr>
            <w:tcW w:w="2820" w:type="dxa"/>
          </w:tcPr>
          <w:p w:rsidR="00AF2508" w:rsidRDefault="00AF2508">
            <w:pPr>
              <w:pStyle w:val="TableColHd"/>
            </w:pPr>
          </w:p>
        </w:tc>
        <w:tc>
          <w:tcPr>
            <w:tcW w:w="4540" w:type="dxa"/>
            <w:gridSpan w:val="3"/>
            <w:tcBorders>
              <w:bottom w:val="single" w:sz="6" w:space="0" w:color="auto"/>
            </w:tcBorders>
          </w:tcPr>
          <w:p w:rsidR="00AF2508" w:rsidRDefault="00AF2508">
            <w:pPr>
              <w:pStyle w:val="TableColHd"/>
              <w:jc w:val="center"/>
            </w:pPr>
            <w:r>
              <w:t>least dimensions (in inches)</w:t>
            </w:r>
          </w:p>
        </w:tc>
      </w:tr>
      <w:tr w:rsidR="00AF2508">
        <w:trPr>
          <w:cantSplit/>
        </w:trPr>
        <w:tc>
          <w:tcPr>
            <w:tcW w:w="2820" w:type="dxa"/>
            <w:tcBorders>
              <w:bottom w:val="single" w:sz="6" w:space="0" w:color="auto"/>
            </w:tcBorders>
          </w:tcPr>
          <w:p w:rsidR="00AF2508" w:rsidRDefault="00AF2508">
            <w:pPr>
              <w:pStyle w:val="TableColHd"/>
            </w:pPr>
            <w:r>
              <w:t>ladder length (in feet)</w:t>
            </w:r>
          </w:p>
        </w:tc>
        <w:tc>
          <w:tcPr>
            <w:tcW w:w="2120" w:type="dxa"/>
            <w:tcBorders>
              <w:bottom w:val="single" w:sz="6" w:space="0" w:color="auto"/>
            </w:tcBorders>
          </w:tcPr>
          <w:p w:rsidR="00AF2508" w:rsidRDefault="00AF2508">
            <w:pPr>
              <w:pStyle w:val="TableColHd"/>
            </w:pPr>
            <w:r>
              <w:t>side rails (stiles)</w:t>
            </w:r>
          </w:p>
        </w:tc>
        <w:tc>
          <w:tcPr>
            <w:tcW w:w="2420" w:type="dxa"/>
            <w:gridSpan w:val="2"/>
            <w:tcBorders>
              <w:bottom w:val="single" w:sz="6" w:space="0" w:color="auto"/>
            </w:tcBorders>
          </w:tcPr>
          <w:p w:rsidR="00AF2508" w:rsidRDefault="00AF2508">
            <w:pPr>
              <w:pStyle w:val="TableColHd"/>
            </w:pPr>
            <w:r>
              <w:t>rungs</w:t>
            </w:r>
          </w:p>
        </w:tc>
      </w:tr>
      <w:tr w:rsidR="00AF2508">
        <w:trPr>
          <w:gridAfter w:val="1"/>
          <w:wAfter w:w="14" w:type="dxa"/>
          <w:cantSplit/>
        </w:trPr>
        <w:tc>
          <w:tcPr>
            <w:tcW w:w="2820" w:type="dxa"/>
            <w:tcBorders>
              <w:top w:val="single" w:sz="6" w:space="0" w:color="auto"/>
            </w:tcBorders>
          </w:tcPr>
          <w:p w:rsidR="00AF2508" w:rsidRDefault="00AF2508">
            <w:pPr>
              <w:pStyle w:val="TableText"/>
            </w:pPr>
            <w:r>
              <w:t xml:space="preserve">14 and under </w:t>
            </w:r>
            <w:r>
              <w:tab/>
            </w:r>
          </w:p>
        </w:tc>
        <w:tc>
          <w:tcPr>
            <w:tcW w:w="2120" w:type="dxa"/>
            <w:tcBorders>
              <w:top w:val="single" w:sz="6" w:space="0" w:color="auto"/>
            </w:tcBorders>
          </w:tcPr>
          <w:p w:rsidR="00AF2508" w:rsidRDefault="00AF2508">
            <w:pPr>
              <w:pStyle w:val="TableText"/>
            </w:pPr>
            <w:r>
              <w:t>2</w:t>
            </w:r>
            <w:r>
              <w:rPr>
                <w:position w:val="6"/>
                <w:sz w:val="18"/>
              </w:rPr>
              <w:t>1</w:t>
            </w:r>
            <w:r>
              <w:t>/</w:t>
            </w:r>
            <w:r>
              <w:rPr>
                <w:sz w:val="18"/>
              </w:rPr>
              <w:t>2</w:t>
            </w:r>
            <w:r>
              <w:t xml:space="preserve"> x 1</w:t>
            </w:r>
            <w:r>
              <w:rPr>
                <w:position w:val="6"/>
                <w:sz w:val="18"/>
              </w:rPr>
              <w:t>3</w:t>
            </w:r>
            <w:r>
              <w:t>/</w:t>
            </w:r>
            <w:r>
              <w:rPr>
                <w:sz w:val="18"/>
              </w:rPr>
              <w:t>8</w:t>
            </w:r>
          </w:p>
        </w:tc>
        <w:tc>
          <w:tcPr>
            <w:tcW w:w="2406" w:type="dxa"/>
            <w:tcBorders>
              <w:top w:val="single" w:sz="6" w:space="0" w:color="auto"/>
            </w:tcBorders>
          </w:tcPr>
          <w:p w:rsidR="00AF2508" w:rsidRDefault="00AF2508">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AF2508">
        <w:trPr>
          <w:gridAfter w:val="1"/>
          <w:wAfter w:w="14" w:type="dxa"/>
          <w:cantSplit/>
        </w:trPr>
        <w:tc>
          <w:tcPr>
            <w:tcW w:w="2820" w:type="dxa"/>
          </w:tcPr>
          <w:p w:rsidR="00AF2508" w:rsidRDefault="00AF2508">
            <w:pPr>
              <w:pStyle w:val="TableText"/>
            </w:pPr>
            <w:r>
              <w:t>14 to 16</w:t>
            </w:r>
            <w:r>
              <w:tab/>
            </w:r>
          </w:p>
        </w:tc>
        <w:tc>
          <w:tcPr>
            <w:tcW w:w="2120" w:type="dxa"/>
          </w:tcPr>
          <w:p w:rsidR="00AF2508" w:rsidRDefault="00AF2508">
            <w:pPr>
              <w:pStyle w:val="TableText"/>
            </w:pPr>
            <w:r>
              <w:t>2</w:t>
            </w:r>
            <w:r>
              <w:rPr>
                <w:position w:val="6"/>
                <w:sz w:val="18"/>
              </w:rPr>
              <w:t>3</w:t>
            </w:r>
            <w:r>
              <w:t>/</w:t>
            </w:r>
            <w:r>
              <w:rPr>
                <w:sz w:val="18"/>
              </w:rPr>
              <w:t>4</w:t>
            </w:r>
            <w:r>
              <w:t xml:space="preserve"> x 1</w:t>
            </w:r>
            <w:r>
              <w:rPr>
                <w:position w:val="6"/>
                <w:sz w:val="18"/>
              </w:rPr>
              <w:t>3</w:t>
            </w:r>
            <w:r>
              <w:t>/</w:t>
            </w:r>
            <w:r>
              <w:rPr>
                <w:sz w:val="18"/>
              </w:rPr>
              <w:t>4</w:t>
            </w:r>
          </w:p>
        </w:tc>
        <w:tc>
          <w:tcPr>
            <w:tcW w:w="2406" w:type="dxa"/>
          </w:tcPr>
          <w:p w:rsidR="00AF2508" w:rsidRDefault="00AF2508">
            <w:pPr>
              <w:pStyle w:val="TableText"/>
            </w:pPr>
            <w:r>
              <w:t>2</w:t>
            </w:r>
            <w:r>
              <w:rPr>
                <w:position w:val="6"/>
                <w:sz w:val="18"/>
              </w:rPr>
              <w:t>3</w:t>
            </w:r>
            <w:r>
              <w:t>/</w:t>
            </w:r>
            <w:r>
              <w:rPr>
                <w:sz w:val="18"/>
              </w:rPr>
              <w:t>4</w:t>
            </w:r>
            <w:r>
              <w:t xml:space="preserve"> x 1</w:t>
            </w:r>
            <w:r>
              <w:rPr>
                <w:position w:val="6"/>
                <w:sz w:val="18"/>
              </w:rPr>
              <w:t>3</w:t>
            </w:r>
            <w:r>
              <w:t>/</w:t>
            </w:r>
            <w:r>
              <w:rPr>
                <w:sz w:val="18"/>
              </w:rPr>
              <w:t>4</w:t>
            </w:r>
          </w:p>
        </w:tc>
      </w:tr>
    </w:tbl>
    <w:p w:rsidR="00AF2508" w:rsidRDefault="00AF2508">
      <w:pPr>
        <w:pStyle w:val="Apara"/>
        <w:rPr>
          <w:color w:val="000000"/>
        </w:rPr>
      </w:pPr>
    </w:p>
    <w:p w:rsidR="00AF2508" w:rsidRDefault="00AF2508">
      <w:pPr>
        <w:pStyle w:val="Assectheading"/>
        <w:rPr>
          <w:i w:val="0"/>
        </w:rPr>
      </w:pPr>
      <w:r>
        <w:rPr>
          <w:rStyle w:val="charItals"/>
          <w:i/>
        </w:rPr>
        <w:t>Trestle ladders—handrails</w:t>
      </w:r>
    </w:p>
    <w:p w:rsidR="00AF2508" w:rsidRDefault="00AF2508">
      <w:pPr>
        <w:pStyle w:val="Amain"/>
      </w:pPr>
      <w:r>
        <w:tab/>
        <w:t>(151)</w:t>
      </w:r>
      <w:r>
        <w:tab/>
        <w:t>Provision shall be made in the construction of all trestle ladders exceeding 10</w:t>
      </w:r>
      <w:r>
        <w:rPr>
          <w:b/>
        </w:rPr>
        <w:t xml:space="preserve"> </w:t>
      </w:r>
      <w:r>
        <w:t>feet in length for the attachment of approved uprights and handrails.</w:t>
      </w:r>
    </w:p>
    <w:p w:rsidR="00AF2508" w:rsidRDefault="00AF2508">
      <w:pPr>
        <w:pStyle w:val="Assectheading"/>
        <w:rPr>
          <w:i w:val="0"/>
        </w:rPr>
      </w:pPr>
      <w:r>
        <w:rPr>
          <w:rStyle w:val="charItals"/>
          <w:i/>
        </w:rPr>
        <w:t>Fixed Ladders</w:t>
      </w:r>
    </w:p>
    <w:p w:rsidR="00AF2508" w:rsidRDefault="00AF2508">
      <w:pPr>
        <w:pStyle w:val="Amain"/>
      </w:pPr>
      <w:r>
        <w:tab/>
        <w:t>(152)</w:t>
      </w:r>
      <w:r>
        <w:tab/>
        <w:t>Fixed ladders shall, unless indoor, be of steel.</w:t>
      </w:r>
    </w:p>
    <w:p w:rsidR="00AF2508" w:rsidRDefault="00AF2508">
      <w:pPr>
        <w:pStyle w:val="Amain"/>
      </w:pPr>
      <w:r>
        <w:tab/>
        <w:t>(153)</w:t>
      </w:r>
      <w:r>
        <w:tab/>
        <w:t>If of timber, the ladders shall conform with this section.</w:t>
      </w:r>
    </w:p>
    <w:p w:rsidR="00AF2508" w:rsidRDefault="00AF2508">
      <w:pPr>
        <w:pStyle w:val="Amain"/>
      </w:pPr>
      <w:r>
        <w:tab/>
        <w:t>(154)</w:t>
      </w:r>
      <w:r>
        <w:tab/>
        <w:t xml:space="preserve">If of steel, ladders shall have stiles not less in section than 2 inches deep by </w:t>
      </w:r>
      <w:r>
        <w:rPr>
          <w:position w:val="6"/>
          <w:sz w:val="18"/>
        </w:rPr>
        <w:t>1</w:t>
      </w:r>
      <w:r>
        <w:t>/</w:t>
      </w:r>
      <w:r>
        <w:rPr>
          <w:sz w:val="18"/>
        </w:rPr>
        <w:t>4</w:t>
      </w:r>
      <w:r>
        <w:t xml:space="preserve"> of an inch in thickness.</w:t>
      </w:r>
    </w:p>
    <w:p w:rsidR="00AF2508" w:rsidRDefault="00AF2508">
      <w:pPr>
        <w:pStyle w:val="Amain"/>
      </w:pPr>
      <w:r>
        <w:tab/>
        <w:t>(155)</w:t>
      </w:r>
      <w:r>
        <w:tab/>
        <w:t xml:space="preserve">The rungs of steel fixed ladders shall be not less than </w:t>
      </w:r>
      <w:r>
        <w:rPr>
          <w:position w:val="6"/>
          <w:sz w:val="18"/>
        </w:rPr>
        <w:t>3</w:t>
      </w:r>
      <w:r>
        <w:t>/</w:t>
      </w:r>
      <w:r>
        <w:rPr>
          <w:sz w:val="18"/>
        </w:rPr>
        <w:t>4</w:t>
      </w:r>
      <w:r>
        <w:t xml:space="preserve"> of an inch in diameter and shall not be spaced further apart than 10 inches, measured centre to centre.</w:t>
      </w:r>
    </w:p>
    <w:p w:rsidR="00AF2508" w:rsidRDefault="00AF2508">
      <w:pPr>
        <w:pStyle w:val="Amain"/>
      </w:pPr>
      <w:r>
        <w:tab/>
        <w:t>(156)</w:t>
      </w:r>
      <w:r>
        <w:tab/>
        <w:t>They shall be strongly fixed and prevented from rotating.</w:t>
      </w:r>
    </w:p>
    <w:p w:rsidR="00AF2508" w:rsidRDefault="00AF2508">
      <w:pPr>
        <w:pStyle w:val="Amain"/>
      </w:pPr>
      <w:r>
        <w:tab/>
        <w:t>(157)</w:t>
      </w:r>
      <w:r>
        <w:tab/>
        <w:t>Stiles of steel fixed ladders shall be not less than 15 inches apart.</w:t>
      </w:r>
    </w:p>
    <w:p w:rsidR="00AF2508" w:rsidRDefault="00AF2508">
      <w:pPr>
        <w:pStyle w:val="Amain"/>
      </w:pPr>
      <w:r>
        <w:tab/>
        <w:t>(158)</w:t>
      </w:r>
      <w:r>
        <w:tab/>
        <w:t>Ladders shall be set at an angle approximating 15° from the vertical.</w:t>
      </w:r>
    </w:p>
    <w:p w:rsidR="00AF2508" w:rsidRDefault="00AF2508">
      <w:pPr>
        <w:pStyle w:val="Amain"/>
      </w:pPr>
      <w:r>
        <w:tab/>
        <w:t>(159)</w:t>
      </w:r>
      <w:r>
        <w:tab/>
        <w:t>A ladder shall not lean over a person climbing.</w:t>
      </w:r>
    </w:p>
    <w:p w:rsidR="00AF2508" w:rsidRDefault="00AF2508">
      <w:pPr>
        <w:pStyle w:val="Amain"/>
      </w:pPr>
      <w:r>
        <w:tab/>
        <w:t>(160)</w:t>
      </w:r>
      <w:r>
        <w:tab/>
        <w:t>The clearance at the back of the rungs shall not be less than 6 inches, and no obstruction shall be within 30 inches of the face of the ladder.</w:t>
      </w:r>
    </w:p>
    <w:p w:rsidR="00AF2508" w:rsidRDefault="00AF2508">
      <w:pPr>
        <w:pStyle w:val="Amain"/>
      </w:pPr>
      <w:r>
        <w:tab/>
        <w:t>(161)</w:t>
      </w:r>
      <w:r>
        <w:tab/>
        <w:t>There shall be not less than 3 inches clearance between the outside of each stile and the nearest permanent object at the side.</w:t>
      </w:r>
    </w:p>
    <w:p w:rsidR="00AF2508" w:rsidRDefault="00AF2508">
      <w:pPr>
        <w:pStyle w:val="Amain"/>
      </w:pPr>
      <w:r>
        <w:tab/>
        <w:t>(162)</w:t>
      </w:r>
      <w:r>
        <w:tab/>
        <w:t>Ladders shall conform with section 127 (156) and (159) to (161).</w:t>
      </w:r>
    </w:p>
    <w:p w:rsidR="00AF2508" w:rsidRDefault="00AF2508">
      <w:pPr>
        <w:pStyle w:val="Amain"/>
      </w:pPr>
      <w:r>
        <w:tab/>
        <w:t>(163)</w:t>
      </w:r>
      <w:r>
        <w:tab/>
        <w:t>No ladder shall be of greater length than 20 feet.</w:t>
      </w:r>
    </w:p>
    <w:p w:rsidR="00AF2508" w:rsidRDefault="00AF2508">
      <w:pPr>
        <w:pStyle w:val="Amain"/>
        <w:keepLines/>
      </w:pPr>
      <w:r>
        <w:tab/>
        <w:t>(164)</w:t>
      </w:r>
      <w:r>
        <w:tab/>
        <w:t>Rest platforms shall be provided at the upper ends of each length, and the platforms shall be not less than 18 inches in width by 22 inches in length, and shall have handrails at outer ends and both sides.</w:t>
      </w:r>
    </w:p>
    <w:p w:rsidR="00AF2508" w:rsidRDefault="00AF2508">
      <w:pPr>
        <w:pStyle w:val="Amain"/>
      </w:pPr>
      <w:r>
        <w:tab/>
        <w:t>(165)</w:t>
      </w:r>
      <w:r>
        <w:tab/>
        <w:t>If it is necessary for a ladder to pass closely through a hole in a platform or floor surface, the edge of the hole that is parallel to the ladder rungs shall be padded on the underside with rubber or other resilient material to prevent injury to persons ascending.</w:t>
      </w:r>
    </w:p>
    <w:p w:rsidR="00AF2508" w:rsidRDefault="00AF2508">
      <w:pPr>
        <w:pStyle w:val="Amain"/>
      </w:pPr>
      <w:r>
        <w:tab/>
        <w:t>(166)</w:t>
      </w:r>
      <w:r>
        <w:tab/>
        <w:t>Ladders, or the stiles of the ladders, shall continue for a distance of at least 45 inches above the upper surface of the platform or landing served.</w:t>
      </w:r>
    </w:p>
    <w:p w:rsidR="00AF2508" w:rsidRDefault="00AF2508">
      <w:pPr>
        <w:pStyle w:val="Amain"/>
      </w:pPr>
      <w:r>
        <w:tab/>
        <w:t>(167)</w:t>
      </w:r>
      <w:r>
        <w:tab/>
        <w:t>They shall have adequate lateral support.</w:t>
      </w:r>
    </w:p>
    <w:p w:rsidR="00AF2508" w:rsidRDefault="00AF2508">
      <w:pPr>
        <w:pStyle w:val="Amain"/>
      </w:pPr>
      <w:r>
        <w:tab/>
        <w:t>(168)</w:t>
      </w:r>
      <w:r>
        <w:tab/>
        <w:t>If practicable the rungs of ladders shall, in plan view appear to be at an angle of 90° to the adjacent edge of the platform or surface served.</w:t>
      </w:r>
    </w:p>
    <w:p w:rsidR="00AF2508" w:rsidRDefault="00AF2508">
      <w:pPr>
        <w:pStyle w:val="Amain"/>
      </w:pPr>
      <w:r>
        <w:tab/>
        <w:t>(169)</w:t>
      </w:r>
      <w:r>
        <w:tab/>
        <w:t>Ladders shall be strongly bolted or welded in position.</w:t>
      </w:r>
    </w:p>
    <w:p w:rsidR="00AF2508" w:rsidRDefault="00AF2508">
      <w:pPr>
        <w:pStyle w:val="Amain"/>
      </w:pPr>
      <w:r>
        <w:tab/>
        <w:t>(170)</w:t>
      </w:r>
      <w:r>
        <w:tab/>
        <w:t>All ladders from which a person or object might otherwise fall a distance of 20 or more feet shall be enclosed in an approved way with heavy gauge steel meshing.</w:t>
      </w:r>
    </w:p>
    <w:p w:rsidR="00AF2508" w:rsidRDefault="00AF2508">
      <w:pPr>
        <w:pStyle w:val="Amain"/>
      </w:pPr>
      <w:r>
        <w:tab/>
        <w:t>(171)</w:t>
      </w:r>
      <w:r>
        <w:tab/>
        <w:t>The approximately vertical sides of the mesh opening shall not exceed 5 inches in depth.</w:t>
      </w:r>
    </w:p>
    <w:p w:rsidR="00AF2508" w:rsidRDefault="00AF2508">
      <w:pPr>
        <w:pStyle w:val="AH4SubDiv"/>
        <w:ind w:left="0" w:firstLine="0"/>
      </w:pPr>
      <w:bookmarkStart w:id="293" w:name="_Toc161636925"/>
      <w:r>
        <w:t>Chain for use in connection with cranes, lifts, hoists, scaffolding, plant, gear, or building work, excavation work, or compressed air work</w:t>
      </w:r>
      <w:bookmarkEnd w:id="293"/>
    </w:p>
    <w:p w:rsidR="00AF2508" w:rsidRDefault="00AF2508">
      <w:pPr>
        <w:pStyle w:val="AH5Sec"/>
      </w:pPr>
      <w:bookmarkStart w:id="294" w:name="_Toc161636926"/>
      <w:r>
        <w:rPr>
          <w:rStyle w:val="CharSectNo"/>
        </w:rPr>
        <w:t>143</w:t>
      </w:r>
      <w:bookmarkEnd w:id="294"/>
      <w:r>
        <w:tab/>
        <w:t xml:space="preserve">  </w:t>
      </w:r>
    </w:p>
    <w:p w:rsidR="00AF2508" w:rsidRDefault="00AF2508">
      <w:pPr>
        <w:pStyle w:val="Assectheading"/>
      </w:pPr>
      <w:r>
        <w:rPr>
          <w:rStyle w:val="charItals"/>
          <w:i/>
        </w:rPr>
        <w:t>Definitions</w:t>
      </w:r>
    </w:p>
    <w:p w:rsidR="00AF2508" w:rsidRDefault="00AF2508">
      <w:pPr>
        <w:pStyle w:val="Amain"/>
        <w:keepNext/>
      </w:pPr>
      <w:r>
        <w:tab/>
        <w:t>(1)</w:t>
      </w:r>
      <w:r>
        <w:tab/>
        <w:t>In this section:</w:t>
      </w:r>
    </w:p>
    <w:p w:rsidR="00AF2508" w:rsidRDefault="00AF2508">
      <w:pPr>
        <w:pStyle w:val="aDef"/>
      </w:pPr>
      <w:r>
        <w:rPr>
          <w:rStyle w:val="charBoldItals"/>
        </w:rPr>
        <w:t>material</w:t>
      </w:r>
      <w:r>
        <w:t xml:space="preserve">—unless otherwise stated all chain referred to in this section shall be of mild steel or wrought iron, and the </w:t>
      </w:r>
      <w:r>
        <w:rPr>
          <w:b/>
          <w:i/>
        </w:rPr>
        <w:t>material</w:t>
      </w:r>
      <w:r>
        <w:t xml:space="preserve"> shall conform with the requirements of the relevant specification referred to in subsections (15) to (19).</w:t>
      </w:r>
    </w:p>
    <w:p w:rsidR="00AF2508" w:rsidRDefault="00AF2508">
      <w:pPr>
        <w:pStyle w:val="aDef"/>
      </w:pPr>
      <w:r>
        <w:rPr>
          <w:rStyle w:val="charBoldItals"/>
        </w:rPr>
        <w:t>size of chain</w:t>
      </w:r>
      <w:r>
        <w:t xml:space="preserve"> means the diameter of the material of which the chain is made, measured after the chain has been fabricated.</w:t>
      </w:r>
    </w:p>
    <w:p w:rsidR="00AF2508" w:rsidRDefault="00AF2508">
      <w:pPr>
        <w:pStyle w:val="aDef"/>
      </w:pPr>
      <w:r>
        <w:rPr>
          <w:rStyle w:val="charBoldItals"/>
        </w:rPr>
        <w:t>normalising</w:t>
      </w:r>
      <w:r>
        <w:t xml:space="preserve"> means heat treatment carried out in a furnace so designed that the chain is heated through and brought up to the normalising temperature of 1 650° Fahrenheit, uniformly throughout its mass, the conditions of heating being such that a reducing atmosphere is maintained, and the chain afterwards being removed from the furnace and allowed to cool freely in still air.</w:t>
      </w:r>
    </w:p>
    <w:p w:rsidR="00AF2508" w:rsidRDefault="00AF2508">
      <w:pPr>
        <w:pStyle w:val="aDef"/>
      </w:pPr>
      <w:r>
        <w:rPr>
          <w:rStyle w:val="charBoldItals"/>
        </w:rPr>
        <w:t>annealing</w:t>
      </w:r>
      <w:r>
        <w:t xml:space="preserve"> means heat treatment carried out in a furnace so designed that the chain is heated through and brought up to the annealing temperature of 1 110° to 1 200° Fahrenheit, uniformly throughout its mass, the conditions of heating being that a reducing atmosphere is maintained, and the chain afterwards being removed from the furnace and allowed to cool freely in still air.</w:t>
      </w:r>
    </w:p>
    <w:p w:rsidR="00AF2508" w:rsidRDefault="00AF2508">
      <w:pPr>
        <w:pStyle w:val="Assectheading"/>
      </w:pPr>
      <w:r>
        <w:rPr>
          <w:rStyle w:val="charItals"/>
          <w:i/>
        </w:rPr>
        <w:t>General</w:t>
      </w:r>
    </w:p>
    <w:p w:rsidR="00AF2508" w:rsidRDefault="00AF2508">
      <w:pPr>
        <w:pStyle w:val="Amain"/>
      </w:pPr>
      <w:r>
        <w:tab/>
        <w:t>(2)</w:t>
      </w:r>
      <w:r>
        <w:tab/>
        <w:t>Chain with bent or otherwise deformed links shall not be used.</w:t>
      </w:r>
    </w:p>
    <w:p w:rsidR="00AF2508" w:rsidRDefault="00AF2508">
      <w:pPr>
        <w:pStyle w:val="Amain"/>
      </w:pPr>
      <w:r>
        <w:tab/>
        <w:t>(3)</w:t>
      </w:r>
      <w:r>
        <w:tab/>
        <w:t>Knotted chains shall not be used.</w:t>
      </w:r>
    </w:p>
    <w:p w:rsidR="00AF2508" w:rsidRDefault="00AF2508">
      <w:pPr>
        <w:pStyle w:val="Amain"/>
      </w:pPr>
      <w:r>
        <w:tab/>
        <w:t>(4)</w:t>
      </w:r>
      <w:r>
        <w:tab/>
        <w:t>Suitable packing shall be provided and used to prevent chain links coming into contact with sharp edges of loads of hard material.</w:t>
      </w:r>
    </w:p>
    <w:p w:rsidR="00AF2508" w:rsidRDefault="00AF2508">
      <w:pPr>
        <w:pStyle w:val="Amain"/>
      </w:pPr>
      <w:r>
        <w:tab/>
        <w:t>(5)</w:t>
      </w:r>
      <w:r>
        <w:tab/>
        <w:t>Chains shall not be exposed to temperatures in excess of 500° Fahrenheit.</w:t>
      </w:r>
    </w:p>
    <w:p w:rsidR="00AF2508" w:rsidRDefault="00AF2508">
      <w:pPr>
        <w:pStyle w:val="Amain"/>
      </w:pPr>
      <w:r>
        <w:tab/>
        <w:t>(6)</w:t>
      </w:r>
      <w:r>
        <w:tab/>
        <w:t xml:space="preserve">Chains constructed of material less than </w:t>
      </w:r>
      <w:r>
        <w:rPr>
          <w:position w:val="6"/>
          <w:sz w:val="18"/>
        </w:rPr>
        <w:t>5</w:t>
      </w:r>
      <w:r>
        <w:t>/</w:t>
      </w:r>
      <w:r>
        <w:rPr>
          <w:sz w:val="18"/>
        </w:rPr>
        <w:t>16</w:t>
      </w:r>
      <w:r>
        <w:t xml:space="preserve"> of an inch diameter shall not be used for load-carrying purposes unless otherwise approved.</w:t>
      </w:r>
    </w:p>
    <w:p w:rsidR="00AF2508" w:rsidRDefault="00AF2508">
      <w:pPr>
        <w:pStyle w:val="Amain"/>
      </w:pPr>
      <w:r>
        <w:tab/>
        <w:t>(7)</w:t>
      </w:r>
      <w:r>
        <w:tab/>
        <w:t>Chains that have been lengthened, altered or repaired, shall, before being reused, be subjected to a load equal to their safeworking load and closely examined as to suitability for further use.</w:t>
      </w:r>
    </w:p>
    <w:p w:rsidR="00AF2508" w:rsidRDefault="00AF2508">
      <w:pPr>
        <w:pStyle w:val="Amain"/>
      </w:pPr>
      <w:r>
        <w:tab/>
        <w:t>(8)</w:t>
      </w:r>
      <w:r>
        <w:tab/>
        <w:t>No chain shall be used that has been subjected to a severe shock.</w:t>
      </w:r>
    </w:p>
    <w:p w:rsidR="00AF2508" w:rsidRDefault="00AF2508">
      <w:pPr>
        <w:pStyle w:val="Amain"/>
      </w:pPr>
      <w:r>
        <w:tab/>
        <w:t>(9)</w:t>
      </w:r>
      <w:r>
        <w:tab/>
        <w:t>No chain shall be heat-treated after being placed into commission.</w:t>
      </w:r>
    </w:p>
    <w:p w:rsidR="00AF2508" w:rsidRDefault="00AF2508">
      <w:pPr>
        <w:pStyle w:val="Amain"/>
      </w:pPr>
      <w:r>
        <w:tab/>
        <w:t>(10)</w:t>
      </w:r>
      <w:r>
        <w:tab/>
        <w:t>No chain sling shall be used if the included angle measured between any 2 legs exceeds 150°, or if the angle formed between any sling leg and the line of action of the pull exceeds 75°.</w:t>
      </w:r>
    </w:p>
    <w:p w:rsidR="00AF2508" w:rsidRDefault="00AF2508">
      <w:pPr>
        <w:pStyle w:val="Amain"/>
      </w:pPr>
      <w:r>
        <w:tab/>
        <w:t>(11)</w:t>
      </w:r>
      <w:r>
        <w:tab/>
        <w:t>Screw threads used in conjunction with chains shall be prevented by positive means from unscrewing.</w:t>
      </w:r>
    </w:p>
    <w:p w:rsidR="00AF2508" w:rsidRDefault="00AF2508">
      <w:pPr>
        <w:pStyle w:val="Amain"/>
      </w:pPr>
      <w:r>
        <w:tab/>
        <w:t>(12)</w:t>
      </w:r>
      <w:r>
        <w:tab/>
        <w:t>No chain shall be used if any of its links are locked, or stretched, or are without free movement.</w:t>
      </w:r>
    </w:p>
    <w:p w:rsidR="00AF2508" w:rsidRDefault="00AF2508">
      <w:pPr>
        <w:pStyle w:val="Amain"/>
      </w:pPr>
      <w:r>
        <w:tab/>
        <w:t>(13)</w:t>
      </w:r>
      <w:r>
        <w:tab/>
        <w:t>When a load is supported on more than 1 fall, single or part of chain, the load shall be distributed equally by statically determinate automatic means between the falls, singles or parts.</w:t>
      </w:r>
    </w:p>
    <w:p w:rsidR="00AF2508" w:rsidRDefault="00AF2508">
      <w:pPr>
        <w:pStyle w:val="Amain"/>
      </w:pPr>
      <w:r>
        <w:tab/>
        <w:t>(14)</w:t>
      </w:r>
      <w:r>
        <w:tab/>
        <w:t>Every chain and every part of chain shall be of sound material, good construction, adequate strength, free from patent defects, and be suitable and safe for the purpose for which it is intended.</w:t>
      </w:r>
    </w:p>
    <w:p w:rsidR="00AF2508" w:rsidRDefault="00AF2508">
      <w:pPr>
        <w:pStyle w:val="Assectheading"/>
      </w:pPr>
      <w:r>
        <w:rPr>
          <w:rStyle w:val="charItals"/>
          <w:i/>
        </w:rPr>
        <w:t>Design, construction, use and safe working load</w:t>
      </w:r>
    </w:p>
    <w:p w:rsidR="00AF2508" w:rsidRDefault="00AF2508">
      <w:pPr>
        <w:pStyle w:val="Amain"/>
      </w:pPr>
      <w:r>
        <w:tab/>
        <w:t>(15)</w:t>
      </w:r>
      <w:r>
        <w:tab/>
        <w:t>Mild steel chains shall comply with the provisions of the British Standards Specification No 590, 1935, as revised in 1949, promulgated by the British Standards Institution, England.</w:t>
      </w:r>
    </w:p>
    <w:p w:rsidR="00AF2508" w:rsidRDefault="00AF2508">
      <w:pPr>
        <w:pStyle w:val="Amain"/>
      </w:pPr>
      <w:r>
        <w:tab/>
        <w:t>(16)</w:t>
      </w:r>
      <w:r>
        <w:tab/>
        <w:t>Wrought iron chain shall comply with the provisions of the British Standard Specification No 394, as amended in 1944, or British Standard Specification No 465, 1932, promulgated by the British Standards Institution, England.</w:t>
      </w:r>
    </w:p>
    <w:p w:rsidR="00AF2508" w:rsidRDefault="00AF2508">
      <w:pPr>
        <w:pStyle w:val="Amain"/>
      </w:pPr>
      <w:r>
        <w:tab/>
        <w:t>(17)</w:t>
      </w:r>
      <w:r>
        <w:tab/>
        <w:t>However—</w:t>
      </w:r>
    </w:p>
    <w:p w:rsidR="00AF2508" w:rsidRDefault="00AF2508">
      <w:pPr>
        <w:pStyle w:val="Apara"/>
      </w:pPr>
      <w:r>
        <w:rPr>
          <w:rStyle w:val="charItals"/>
          <w:i w:val="0"/>
        </w:rPr>
        <w:tab/>
        <w:t>(a)</w:t>
      </w:r>
      <w:r>
        <w:rPr>
          <w:rStyle w:val="charItals"/>
          <w:i w:val="0"/>
        </w:rPr>
        <w:tab/>
        <w:t>e</w:t>
      </w:r>
      <w:r>
        <w:t>very chain shall be classified numerically in conformity with the table entitled ‘Classification of Chain for Purposes of Design, Construction and Use’ after subsection (19); and</w:t>
      </w:r>
    </w:p>
    <w:p w:rsidR="00AF2508" w:rsidRDefault="00AF2508">
      <w:pPr>
        <w:pStyle w:val="Apara"/>
      </w:pPr>
      <w:r>
        <w:tab/>
        <w:t>(b)</w:t>
      </w:r>
      <w:r>
        <w:tab/>
        <w:t>in the event of uncertainty or dispute the classification may be determined by the chief inspector; and</w:t>
      </w:r>
    </w:p>
    <w:p w:rsidR="00AF2508" w:rsidRDefault="00AF2508">
      <w:pPr>
        <w:pStyle w:val="Apara"/>
      </w:pPr>
      <w:r>
        <w:tab/>
        <w:t>(c)</w:t>
      </w:r>
      <w:r>
        <w:tab/>
        <w:t>no chain shall be subjected to any greater load than that shown in table 143.1 as relevant and appropriate to its size and classification or way of use.</w:t>
      </w:r>
    </w:p>
    <w:p w:rsidR="00AF2508" w:rsidRDefault="00AF2508">
      <w:pPr>
        <w:pStyle w:val="Amain"/>
      </w:pPr>
      <w:r>
        <w:tab/>
        <w:t>(18)</w:t>
      </w:r>
      <w:r>
        <w:tab/>
        <w:t>No chain shall be used if of other design or other material than provided in the British Standard Specifications published by the British Standards Institution, England, stated in subsections (15) and (16), without first being approved.</w:t>
      </w:r>
    </w:p>
    <w:p w:rsidR="00AF2508" w:rsidRDefault="00AF2508">
      <w:pPr>
        <w:pStyle w:val="Amain"/>
      </w:pPr>
      <w:r>
        <w:tab/>
        <w:t>(19)</w:t>
      </w:r>
      <w:r>
        <w:tab/>
        <w:t>A chain shall not be subjected at any time to any greater load than is provided for that chain in this section, unless otherwise approved.</w:t>
      </w:r>
    </w:p>
    <w:p w:rsidR="00AF2508" w:rsidRDefault="00AF2508">
      <w:pPr>
        <w:pStyle w:val="TableHd"/>
        <w:ind w:left="1368" w:hanging="1368"/>
      </w:pPr>
      <w:r>
        <w:t>Table 143.1</w:t>
      </w:r>
      <w:r>
        <w:tab/>
        <w:t>Classification of chain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40"/>
        <w:gridCol w:w="3280"/>
        <w:gridCol w:w="2554"/>
      </w:tblGrid>
      <w:tr w:rsidR="00AF2508">
        <w:trPr>
          <w:cantSplit/>
        </w:trPr>
        <w:tc>
          <w:tcPr>
            <w:tcW w:w="1540" w:type="dxa"/>
            <w:tcBorders>
              <w:bottom w:val="single" w:sz="4" w:space="0" w:color="auto"/>
            </w:tcBorders>
          </w:tcPr>
          <w:p w:rsidR="00AF2508" w:rsidRDefault="00AF2508">
            <w:pPr>
              <w:pStyle w:val="TableColHd"/>
            </w:pPr>
            <w:r>
              <w:t xml:space="preserve">classification </w:t>
            </w:r>
            <w:r>
              <w:br/>
              <w:t>of chain</w:t>
            </w:r>
          </w:p>
        </w:tc>
        <w:tc>
          <w:tcPr>
            <w:tcW w:w="3280" w:type="dxa"/>
            <w:tcBorders>
              <w:bottom w:val="single" w:sz="4" w:space="0" w:color="auto"/>
            </w:tcBorders>
          </w:tcPr>
          <w:p w:rsidR="00AF2508" w:rsidRDefault="00AF2508">
            <w:pPr>
              <w:pStyle w:val="TableColHd"/>
            </w:pPr>
            <w:r>
              <w:t>classification of crane, hoist, lift, plant or scaffolding in connection with which the chain is used</w:t>
            </w:r>
          </w:p>
        </w:tc>
        <w:tc>
          <w:tcPr>
            <w:tcW w:w="2554" w:type="dxa"/>
            <w:tcBorders>
              <w:bottom w:val="single" w:sz="4" w:space="0" w:color="auto"/>
            </w:tcBorders>
          </w:tcPr>
          <w:p w:rsidR="00AF2508" w:rsidRDefault="00AF2508">
            <w:pPr>
              <w:pStyle w:val="TableColHd"/>
            </w:pPr>
            <w:r>
              <w:t xml:space="preserve">chain used for other </w:t>
            </w:r>
            <w:r>
              <w:br/>
              <w:t>purposes</w:t>
            </w:r>
          </w:p>
        </w:tc>
      </w:tr>
      <w:tr w:rsidR="00AF2508">
        <w:trPr>
          <w:cantSplit/>
        </w:trPr>
        <w:tc>
          <w:tcPr>
            <w:tcW w:w="1540" w:type="dxa"/>
            <w:tcBorders>
              <w:top w:val="single" w:sz="4" w:space="0" w:color="auto"/>
            </w:tcBorders>
          </w:tcPr>
          <w:p w:rsidR="00AF2508" w:rsidRDefault="00AF2508">
            <w:pPr>
              <w:pStyle w:val="TableText"/>
            </w:pPr>
            <w:r>
              <w:t>1</w:t>
            </w:r>
          </w:p>
        </w:tc>
        <w:tc>
          <w:tcPr>
            <w:tcW w:w="3280" w:type="dxa"/>
            <w:tcBorders>
              <w:top w:val="single" w:sz="4" w:space="0" w:color="auto"/>
            </w:tcBorders>
          </w:tcPr>
          <w:p w:rsidR="00AF2508" w:rsidRDefault="00AF2508">
            <w:pPr>
              <w:pStyle w:val="TableText"/>
            </w:pPr>
            <w:r>
              <w:t>classifications 1 and 2</w:t>
            </w:r>
          </w:p>
        </w:tc>
        <w:tc>
          <w:tcPr>
            <w:tcW w:w="2554" w:type="dxa"/>
            <w:tcBorders>
              <w:top w:val="single" w:sz="4" w:space="0" w:color="auto"/>
            </w:tcBorders>
          </w:tcPr>
          <w:p w:rsidR="00AF2508" w:rsidRDefault="00AF2508">
            <w:pPr>
              <w:pStyle w:val="TableText"/>
            </w:pPr>
            <w:r>
              <w:t>building, excavation or compressed air work</w:t>
            </w:r>
          </w:p>
        </w:tc>
      </w:tr>
      <w:tr w:rsidR="00AF2508">
        <w:trPr>
          <w:cantSplit/>
        </w:trPr>
        <w:tc>
          <w:tcPr>
            <w:tcW w:w="1540" w:type="dxa"/>
          </w:tcPr>
          <w:p w:rsidR="00AF2508" w:rsidRDefault="00AF2508">
            <w:pPr>
              <w:pStyle w:val="TableText"/>
            </w:pPr>
            <w:r>
              <w:t>2</w:t>
            </w:r>
          </w:p>
        </w:tc>
        <w:tc>
          <w:tcPr>
            <w:tcW w:w="3280" w:type="dxa"/>
          </w:tcPr>
          <w:p w:rsidR="00AF2508" w:rsidRDefault="00AF2508">
            <w:pPr>
              <w:pStyle w:val="TableText"/>
            </w:pPr>
            <w:r>
              <w:t>classifications 3 and 4</w:t>
            </w:r>
          </w:p>
        </w:tc>
        <w:tc>
          <w:tcPr>
            <w:tcW w:w="2554" w:type="dxa"/>
          </w:tcPr>
          <w:p w:rsidR="00AF2508" w:rsidRDefault="00AF2508">
            <w:pPr>
              <w:pStyle w:val="TableText"/>
            </w:pPr>
            <w:r>
              <w:tab/>
            </w:r>
          </w:p>
        </w:tc>
      </w:tr>
    </w:tbl>
    <w:p w:rsidR="00AF2508" w:rsidRDefault="00AF2508">
      <w:pPr>
        <w:pStyle w:val="02Text"/>
        <w:sectPr w:rsidR="00AF2508">
          <w:headerReference w:type="even" r:id="rId139"/>
          <w:headerReference w:type="default" r:id="rId140"/>
          <w:footerReference w:type="even" r:id="rId141"/>
          <w:footerReference w:type="default" r:id="rId142"/>
          <w:footerReference w:type="first" r:id="rId143"/>
          <w:pgSz w:w="11907" w:h="16839" w:code="9"/>
          <w:pgMar w:top="3000" w:right="1900" w:bottom="2500" w:left="2300" w:header="2480" w:footer="2100" w:gutter="0"/>
          <w:cols w:space="720"/>
          <w:docGrid w:linePitch="254"/>
        </w:sectPr>
      </w:pPr>
    </w:p>
    <w:p w:rsidR="00AF2508" w:rsidRDefault="00AF2508">
      <w:pPr>
        <w:pStyle w:val="TableHd"/>
      </w:pPr>
      <w:r>
        <w:t>Maximum safe working loads for chains—Classification 1</w:t>
      </w:r>
    </w:p>
    <w:tbl>
      <w:tblPr>
        <w:tblW w:w="0" w:type="auto"/>
        <w:tblLayout w:type="fixed"/>
        <w:tblCellMar>
          <w:left w:w="80" w:type="dxa"/>
          <w:right w:w="80" w:type="dxa"/>
        </w:tblCellMar>
        <w:tblLook w:val="0000" w:firstRow="0" w:lastRow="0" w:firstColumn="0" w:lastColumn="0" w:noHBand="0" w:noVBand="0"/>
      </w:tblPr>
      <w:tblGrid>
        <w:gridCol w:w="1280"/>
        <w:gridCol w:w="827"/>
        <w:gridCol w:w="827"/>
        <w:gridCol w:w="827"/>
        <w:gridCol w:w="827"/>
        <w:gridCol w:w="827"/>
        <w:gridCol w:w="827"/>
        <w:gridCol w:w="827"/>
        <w:gridCol w:w="827"/>
        <w:gridCol w:w="827"/>
        <w:gridCol w:w="827"/>
        <w:gridCol w:w="827"/>
        <w:gridCol w:w="827"/>
      </w:tblGrid>
      <w:tr w:rsidR="00AF2508">
        <w:trPr>
          <w:cantSplit/>
          <w:tblHeader/>
        </w:trPr>
        <w:tc>
          <w:tcPr>
            <w:tcW w:w="1280" w:type="dxa"/>
            <w:tcBorders>
              <w:top w:val="single" w:sz="6" w:space="0" w:color="auto"/>
              <w:right w:val="single" w:sz="6" w:space="0" w:color="auto"/>
            </w:tcBorders>
          </w:tcPr>
          <w:p w:rsidR="00AF2508" w:rsidRDefault="00AF2508">
            <w:pPr>
              <w:pStyle w:val="TableColHd"/>
            </w:pPr>
          </w:p>
        </w:tc>
        <w:tc>
          <w:tcPr>
            <w:tcW w:w="827" w:type="dxa"/>
            <w:tcBorders>
              <w:top w:val="single" w:sz="6" w:space="0" w:color="auto"/>
            </w:tcBorders>
          </w:tcPr>
          <w:p w:rsidR="00AF2508" w:rsidRDefault="00AF2508">
            <w:pPr>
              <w:pStyle w:val="TableColHd"/>
            </w:pPr>
          </w:p>
        </w:tc>
        <w:tc>
          <w:tcPr>
            <w:tcW w:w="827" w:type="dxa"/>
            <w:tcBorders>
              <w:top w:val="single" w:sz="6" w:space="0" w:color="auto"/>
            </w:tcBorders>
          </w:tcPr>
          <w:p w:rsidR="00AF2508" w:rsidRDefault="00AF2508">
            <w:pPr>
              <w:pStyle w:val="TableColHd"/>
            </w:pPr>
          </w:p>
        </w:tc>
        <w:tc>
          <w:tcPr>
            <w:tcW w:w="8270" w:type="dxa"/>
            <w:gridSpan w:val="10"/>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cantSplit/>
          <w:tblHeader/>
        </w:trPr>
        <w:tc>
          <w:tcPr>
            <w:tcW w:w="1280" w:type="dxa"/>
            <w:tcBorders>
              <w:right w:val="single" w:sz="6" w:space="0" w:color="auto"/>
            </w:tcBorders>
            <w:vAlign w:val="bottom"/>
          </w:tcPr>
          <w:p w:rsidR="00AF2508" w:rsidRDefault="00AF2508">
            <w:pPr>
              <w:pStyle w:val="TableColHd"/>
            </w:pPr>
            <w:r>
              <w:t xml:space="preserve">size of </w:t>
            </w:r>
            <w:r>
              <w:br/>
              <w:t>chain</w:t>
            </w:r>
          </w:p>
        </w:tc>
        <w:tc>
          <w:tcPr>
            <w:tcW w:w="1654" w:type="dxa"/>
            <w:gridSpan w:val="2"/>
            <w:vAlign w:val="bottom"/>
          </w:tcPr>
          <w:p w:rsidR="00AF2508" w:rsidRDefault="00AF2508">
            <w:pPr>
              <w:pStyle w:val="TableColHd"/>
            </w:pPr>
            <w:r>
              <w:t>safe load for 1 single fall (part)</w:t>
            </w:r>
            <w:r>
              <w:br/>
              <w:t>of chain</w:t>
            </w:r>
          </w:p>
        </w:tc>
        <w:tc>
          <w:tcPr>
            <w:tcW w:w="1654" w:type="dxa"/>
            <w:gridSpan w:val="2"/>
            <w:tcBorders>
              <w:left w:val="single" w:sz="6" w:space="0" w:color="auto"/>
            </w:tcBorders>
          </w:tcPr>
          <w:p w:rsidR="00AF2508" w:rsidRDefault="00136775">
            <w:pPr>
              <w:rPr>
                <w:color w:val="000000"/>
                <w:sz w:val="16"/>
              </w:rPr>
            </w:pPr>
            <w:r>
              <w:rPr>
                <w:noProof/>
                <w:color w:val="000000"/>
                <w:sz w:val="20"/>
                <w:lang w:eastAsia="en-AU"/>
              </w:rPr>
              <w:drawing>
                <wp:inline distT="0" distB="0" distL="0" distR="0">
                  <wp:extent cx="895350"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AF2508" w:rsidRDefault="00136775">
            <w:pPr>
              <w:rPr>
                <w:color w:val="000000"/>
                <w:sz w:val="16"/>
              </w:rPr>
            </w:pPr>
            <w:r>
              <w:rPr>
                <w:noProof/>
                <w:color w:val="000000"/>
                <w:sz w:val="20"/>
                <w:lang w:eastAsia="en-AU"/>
              </w:rPr>
              <w:drawing>
                <wp:inline distT="0" distB="0" distL="0" distR="0">
                  <wp:extent cx="847725" cy="504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AF2508" w:rsidRDefault="00136775">
            <w:pPr>
              <w:rPr>
                <w:color w:val="000000"/>
                <w:sz w:val="16"/>
              </w:rPr>
            </w:pPr>
            <w:r>
              <w:rPr>
                <w:noProof/>
                <w:color w:val="000000"/>
                <w:sz w:val="20"/>
                <w:lang w:eastAsia="en-AU"/>
              </w:rPr>
              <w:drawing>
                <wp:inline distT="0" distB="0" distL="0" distR="0">
                  <wp:extent cx="847725"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654" w:type="dxa"/>
            <w:gridSpan w:val="2"/>
            <w:tcBorders>
              <w:right w:val="single" w:sz="6" w:space="0" w:color="auto"/>
            </w:tcBorders>
          </w:tcPr>
          <w:p w:rsidR="00AF2508" w:rsidRDefault="00136775">
            <w:pPr>
              <w:rPr>
                <w:color w:val="000000"/>
                <w:sz w:val="16"/>
              </w:rPr>
            </w:pPr>
            <w:r>
              <w:rPr>
                <w:noProof/>
                <w:color w:val="000000"/>
                <w:sz w:val="20"/>
                <w:lang w:eastAsia="en-AU"/>
              </w:rPr>
              <w:drawing>
                <wp:inline distT="0" distB="0" distL="0" distR="0">
                  <wp:extent cx="876300" cy="533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654" w:type="dxa"/>
            <w:gridSpan w:val="2"/>
          </w:tcPr>
          <w:p w:rsidR="00AF2508" w:rsidRDefault="00136775">
            <w:pPr>
              <w:rPr>
                <w:color w:val="000000"/>
                <w:sz w:val="16"/>
              </w:rPr>
            </w:pPr>
            <w:r>
              <w:rPr>
                <w:noProof/>
                <w:color w:val="000000"/>
                <w:sz w:val="20"/>
                <w:lang w:eastAsia="en-AU"/>
              </w:rPr>
              <w:drawing>
                <wp:inline distT="0" distB="0" distL="0" distR="0">
                  <wp:extent cx="790575" cy="523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cantSplit/>
          <w:trHeight w:hRule="exact" w:val="240"/>
          <w:tblHeader/>
        </w:trPr>
        <w:tc>
          <w:tcPr>
            <w:tcW w:w="1280" w:type="dxa"/>
            <w:tcBorders>
              <w:top w:val="single" w:sz="6" w:space="0" w:color="auto"/>
              <w:bottom w:val="single" w:sz="6" w:space="0" w:color="auto"/>
              <w:right w:val="single" w:sz="6" w:space="0" w:color="auto"/>
            </w:tcBorders>
            <w:vAlign w:val="bottom"/>
          </w:tcPr>
          <w:p w:rsidR="00AF2508" w:rsidRDefault="00AF2508">
            <w:pPr>
              <w:pStyle w:val="TableColHd"/>
              <w:jc w:val="center"/>
            </w:pPr>
            <w:r>
              <w:t>inches</w:t>
            </w:r>
          </w:p>
        </w:tc>
        <w:tc>
          <w:tcPr>
            <w:tcW w:w="827" w:type="dxa"/>
            <w:tcBorders>
              <w:top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right w:val="single" w:sz="6" w:space="0" w:color="auto"/>
            </w:tcBorders>
            <w:vAlign w:val="bottom"/>
          </w:tcPr>
          <w:p w:rsidR="00AF2508" w:rsidRDefault="00AF2508">
            <w:pPr>
              <w:pStyle w:val="TableColHd"/>
              <w:jc w:val="center"/>
            </w:pPr>
            <w:r>
              <w:t>cwts</w:t>
            </w:r>
          </w:p>
        </w:tc>
        <w:tc>
          <w:tcPr>
            <w:tcW w:w="827" w:type="dxa"/>
            <w:tcBorders>
              <w:top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r>
      <w:tr w:rsidR="00AF2508">
        <w:trPr>
          <w:cantSplit/>
          <w:trHeight w:val="200"/>
        </w:trPr>
        <w:tc>
          <w:tcPr>
            <w:tcW w:w="1280" w:type="dxa"/>
            <w:tcBorders>
              <w:top w:val="single" w:sz="6" w:space="0" w:color="auto"/>
              <w:right w:val="single" w:sz="6" w:space="0" w:color="auto"/>
            </w:tcBorders>
          </w:tcPr>
          <w:p w:rsidR="00AF2508" w:rsidRDefault="00AF2508">
            <w:pPr>
              <w:pStyle w:val="TableText"/>
              <w:jc w:val="center"/>
              <w:rPr>
                <w:sz w:val="20"/>
              </w:rPr>
            </w:pPr>
            <w:r>
              <w:rPr>
                <w:position w:val="6"/>
                <w:sz w:val="20"/>
              </w:rPr>
              <w:t>5</w:t>
            </w:r>
            <w:r>
              <w:rPr>
                <w:sz w:val="20"/>
              </w:rPr>
              <w:t>/16</w:t>
            </w:r>
          </w:p>
        </w:tc>
        <w:tc>
          <w:tcPr>
            <w:tcW w:w="827" w:type="dxa"/>
            <w:tcBorders>
              <w:top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12</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1</w:t>
            </w:r>
          </w:p>
        </w:tc>
        <w:tc>
          <w:tcPr>
            <w:tcW w:w="827" w:type="dxa"/>
            <w:tcBorders>
              <w:top w:val="single" w:sz="6" w:space="0" w:color="auto"/>
            </w:tcBorders>
          </w:tcPr>
          <w:p w:rsidR="00AF2508" w:rsidRDefault="00AF2508">
            <w:pPr>
              <w:pStyle w:val="TableText"/>
              <w:jc w:val="center"/>
              <w:rPr>
                <w:sz w:val="20"/>
              </w:rPr>
            </w:pPr>
            <w:r>
              <w:rPr>
                <w:sz w:val="20"/>
              </w:rPr>
              <w:t>3</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1</w:t>
            </w:r>
          </w:p>
        </w:tc>
        <w:tc>
          <w:tcPr>
            <w:tcW w:w="827" w:type="dxa"/>
            <w:tcBorders>
              <w:top w:val="single" w:sz="6" w:space="0" w:color="auto"/>
            </w:tcBorders>
          </w:tcPr>
          <w:p w:rsidR="00AF2508" w:rsidRDefault="00AF2508">
            <w:pPr>
              <w:pStyle w:val="TableText"/>
              <w:jc w:val="center"/>
              <w:rPr>
                <w:sz w:val="20"/>
              </w:rPr>
            </w:pPr>
            <w:r>
              <w:rPr>
                <w:sz w:val="20"/>
              </w:rPr>
              <w:t>1</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17</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right w:val="single" w:sz="6" w:space="0" w:color="auto"/>
            </w:tcBorders>
          </w:tcPr>
          <w:p w:rsidR="00AF2508" w:rsidRDefault="00AF2508">
            <w:pPr>
              <w:pStyle w:val="TableText"/>
              <w:jc w:val="center"/>
              <w:rPr>
                <w:sz w:val="20"/>
              </w:rPr>
            </w:pPr>
            <w:r>
              <w:rPr>
                <w:sz w:val="20"/>
              </w:rPr>
              <w:t>12</w:t>
            </w:r>
          </w:p>
        </w:tc>
        <w:tc>
          <w:tcPr>
            <w:tcW w:w="827" w:type="dxa"/>
            <w:tcBorders>
              <w:top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6</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3</w:t>
            </w:r>
            <w:r>
              <w:rPr>
                <w:sz w:val="20"/>
              </w:rPr>
              <w:t>/8</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17</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9</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0</w:t>
            </w:r>
          </w:p>
        </w:tc>
        <w:tc>
          <w:tcPr>
            <w:tcW w:w="827" w:type="dxa"/>
            <w:tcBorders>
              <w:right w:val="single" w:sz="6" w:space="0" w:color="auto"/>
            </w:tcBorders>
          </w:tcPr>
          <w:p w:rsidR="00AF2508" w:rsidRDefault="00AF2508">
            <w:pPr>
              <w:pStyle w:val="TableText"/>
              <w:jc w:val="center"/>
              <w:rPr>
                <w:sz w:val="20"/>
              </w:rPr>
            </w:pPr>
            <w:r>
              <w:rPr>
                <w:sz w:val="20"/>
              </w:rPr>
              <w:t>17</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9</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7</w:t>
            </w:r>
            <w:r>
              <w:rPr>
                <w:sz w:val="20"/>
              </w:rPr>
              <w:t>/16</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3</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Borders>
              <w:righ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12</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1</w:t>
            </w:r>
            <w:r>
              <w:rPr>
                <w:sz w:val="20"/>
              </w:rPr>
              <w:t>/2</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12</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2</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Borders>
              <w:righ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16</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9</w:t>
            </w:r>
            <w:r>
              <w:rPr>
                <w:sz w:val="20"/>
              </w:rPr>
              <w:t>/16</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Borders>
              <w:right w:val="single" w:sz="6" w:space="0" w:color="auto"/>
            </w:tcBorders>
          </w:tcPr>
          <w:p w:rsidR="00AF2508" w:rsidRDefault="00AF2508">
            <w:pPr>
              <w:pStyle w:val="TableText"/>
              <w:jc w:val="center"/>
              <w:rPr>
                <w:sz w:val="20"/>
              </w:rPr>
            </w:pPr>
            <w:r>
              <w:rPr>
                <w:sz w:val="20"/>
              </w:rPr>
              <w:t>18</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0</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5</w:t>
            </w:r>
            <w:r>
              <w:rPr>
                <w:sz w:val="20"/>
              </w:rPr>
              <w:t>/8</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7</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11</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Borders>
              <w:righ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4</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11</w:t>
            </w:r>
            <w:r>
              <w:rPr>
                <w:sz w:val="20"/>
              </w:rPr>
              <w:t>/16</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17</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Borders>
              <w:right w:val="single" w:sz="6" w:space="0" w:color="auto"/>
            </w:tcBorders>
          </w:tcPr>
          <w:p w:rsidR="00AF2508" w:rsidRDefault="00AF2508">
            <w:pPr>
              <w:pStyle w:val="TableText"/>
              <w:jc w:val="center"/>
              <w:rPr>
                <w:sz w:val="20"/>
              </w:rPr>
            </w:pPr>
            <w:r>
              <w:rPr>
                <w:sz w:val="20"/>
              </w:rPr>
              <w:t>17</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10</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3</w:t>
            </w:r>
            <w:r>
              <w:rPr>
                <w:sz w:val="20"/>
              </w:rPr>
              <w:t>/4</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8</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11</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16</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Borders>
              <w:righ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15</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13</w:t>
            </w:r>
            <w:r>
              <w:rPr>
                <w:sz w:val="20"/>
              </w:rPr>
              <w:t>/16</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Borders>
              <w:right w:val="single" w:sz="6" w:space="0" w:color="auto"/>
            </w:tcBorders>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7</w:t>
            </w:r>
            <w:r>
              <w:rPr>
                <w:sz w:val="20"/>
              </w:rPr>
              <w:t>/8</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12</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Borders>
              <w:right w:val="single" w:sz="6" w:space="0" w:color="auto"/>
            </w:tcBorders>
          </w:tcPr>
          <w:p w:rsidR="00AF2508" w:rsidRDefault="00AF2508">
            <w:pPr>
              <w:pStyle w:val="TableText"/>
              <w:jc w:val="center"/>
              <w:rPr>
                <w:sz w:val="20"/>
              </w:rPr>
            </w:pPr>
            <w:r>
              <w:rPr>
                <w:sz w:val="20"/>
              </w:rPr>
              <w:t>12</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8</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6"/>
                <w:sz w:val="20"/>
              </w:rPr>
              <w:t>15</w:t>
            </w:r>
            <w:r>
              <w:rPr>
                <w:sz w:val="20"/>
              </w:rPr>
              <w:t>/16</w:t>
            </w:r>
          </w:p>
        </w:tc>
        <w:tc>
          <w:tcPr>
            <w:tcW w:w="827" w:type="dxa"/>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Borders>
              <w:righ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15</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11</w:t>
            </w:r>
          </w:p>
        </w:tc>
        <w:tc>
          <w:tcPr>
            <w:tcW w:w="827" w:type="dxa"/>
          </w:tcPr>
          <w:p w:rsidR="00AF2508" w:rsidRDefault="00AF2508">
            <w:pPr>
              <w:pStyle w:val="TableText"/>
              <w:jc w:val="center"/>
              <w:rPr>
                <w:sz w:val="20"/>
              </w:rPr>
            </w:pPr>
            <w:r>
              <w:rPr>
                <w:sz w:val="20"/>
              </w:rPr>
              <w:t>12</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8</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Borders>
              <w:right w:val="single" w:sz="6" w:space="0" w:color="auto"/>
            </w:tcBorders>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2</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/16</w:t>
            </w:r>
          </w:p>
        </w:tc>
        <w:tc>
          <w:tcPr>
            <w:tcW w:w="827" w:type="dxa"/>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16</w:t>
            </w:r>
          </w:p>
        </w:tc>
        <w:tc>
          <w:tcPr>
            <w:tcW w:w="827" w:type="dxa"/>
            <w:tcBorders>
              <w:lef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3</w:t>
            </w:r>
          </w:p>
        </w:tc>
        <w:tc>
          <w:tcPr>
            <w:tcW w:w="827" w:type="dxa"/>
            <w:tcBorders>
              <w:left w:val="single" w:sz="6" w:space="0" w:color="auto"/>
            </w:tcBorders>
          </w:tcPr>
          <w:p w:rsidR="00AF2508" w:rsidRDefault="00AF2508">
            <w:pPr>
              <w:pStyle w:val="TableText"/>
              <w:jc w:val="center"/>
              <w:rPr>
                <w:sz w:val="20"/>
              </w:rPr>
            </w:pPr>
            <w:r>
              <w:rPr>
                <w:sz w:val="20"/>
              </w:rPr>
              <w:t>11</w:t>
            </w:r>
          </w:p>
        </w:tc>
        <w:tc>
          <w:tcPr>
            <w:tcW w:w="827" w:type="dxa"/>
          </w:tcPr>
          <w:p w:rsidR="00AF2508" w:rsidRDefault="00AF2508">
            <w:pPr>
              <w:pStyle w:val="TableText"/>
              <w:jc w:val="center"/>
              <w:rPr>
                <w:sz w:val="20"/>
              </w:rPr>
            </w:pPr>
            <w:r>
              <w:rPr>
                <w:sz w:val="20"/>
              </w:rPr>
              <w:t>16</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12</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Borders>
              <w:right w:val="single" w:sz="6" w:space="0" w:color="auto"/>
            </w:tcBorders>
          </w:tcPr>
          <w:p w:rsidR="00AF2508" w:rsidRDefault="00AF2508">
            <w:pPr>
              <w:pStyle w:val="TableText"/>
              <w:jc w:val="center"/>
              <w:rPr>
                <w:sz w:val="20"/>
              </w:rPr>
            </w:pPr>
            <w:r>
              <w:rPr>
                <w:sz w:val="20"/>
              </w:rPr>
              <w:t>16</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10</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/8</w:t>
            </w:r>
          </w:p>
        </w:tc>
        <w:tc>
          <w:tcPr>
            <w:tcW w:w="827" w:type="dxa"/>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12</w:t>
            </w:r>
          </w:p>
        </w:tc>
        <w:tc>
          <w:tcPr>
            <w:tcW w:w="827" w:type="dxa"/>
            <w:tcBorders>
              <w:lef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Borders>
              <w:right w:val="single" w:sz="6" w:space="0" w:color="auto"/>
            </w:tcBorders>
          </w:tcPr>
          <w:p w:rsidR="00AF2508" w:rsidRDefault="00AF2508">
            <w:pPr>
              <w:pStyle w:val="TableText"/>
              <w:jc w:val="center"/>
              <w:rPr>
                <w:sz w:val="20"/>
              </w:rPr>
            </w:pPr>
            <w:r>
              <w:rPr>
                <w:sz w:val="20"/>
              </w:rPr>
              <w:t>12</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19</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/16</w:t>
            </w:r>
          </w:p>
        </w:tc>
        <w:tc>
          <w:tcPr>
            <w:tcW w:w="827" w:type="dxa"/>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16</w:t>
            </w:r>
          </w:p>
        </w:tc>
        <w:tc>
          <w:tcPr>
            <w:tcW w:w="827" w:type="dxa"/>
          </w:tcPr>
          <w:p w:rsidR="00AF2508" w:rsidRDefault="00AF2508">
            <w:pPr>
              <w:pStyle w:val="TableText"/>
              <w:jc w:val="center"/>
              <w:rPr>
                <w:sz w:val="20"/>
              </w:rPr>
            </w:pPr>
            <w:r>
              <w:rPr>
                <w:sz w:val="20"/>
              </w:rPr>
              <w:t>8</w:t>
            </w:r>
          </w:p>
        </w:tc>
        <w:tc>
          <w:tcPr>
            <w:tcW w:w="827" w:type="dxa"/>
            <w:tcBorders>
              <w:lef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12</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Borders>
              <w:righ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8</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827" w:type="dxa"/>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8</w:t>
            </w:r>
          </w:p>
        </w:tc>
        <w:tc>
          <w:tcPr>
            <w:tcW w:w="827" w:type="dxa"/>
            <w:tcBorders>
              <w:left w:val="single" w:sz="6" w:space="0" w:color="auto"/>
            </w:tcBorders>
          </w:tcPr>
          <w:p w:rsidR="00AF2508" w:rsidRDefault="00AF2508">
            <w:pPr>
              <w:pStyle w:val="TableText"/>
              <w:jc w:val="center"/>
              <w:rPr>
                <w:sz w:val="20"/>
              </w:rPr>
            </w:pPr>
            <w:r>
              <w:rPr>
                <w:sz w:val="20"/>
              </w:rPr>
              <w:t>18</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16</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Borders>
              <w:righ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17</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5</w:t>
            </w:r>
            <w:r>
              <w:rPr>
                <w:sz w:val="20"/>
              </w:rPr>
              <w:t>/16</w:t>
            </w:r>
          </w:p>
        </w:tc>
        <w:tc>
          <w:tcPr>
            <w:tcW w:w="827" w:type="dxa"/>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7</w:t>
            </w:r>
          </w:p>
        </w:tc>
        <w:tc>
          <w:tcPr>
            <w:tcW w:w="827" w:type="dxa"/>
            <w:tcBorders>
              <w:left w:val="single" w:sz="6" w:space="0" w:color="auto"/>
            </w:tcBorders>
          </w:tcPr>
          <w:p w:rsidR="00AF2508" w:rsidRDefault="00AF2508">
            <w:pPr>
              <w:pStyle w:val="TableText"/>
              <w:jc w:val="center"/>
              <w:rPr>
                <w:sz w:val="20"/>
              </w:rPr>
            </w:pPr>
            <w:r>
              <w:rPr>
                <w:sz w:val="20"/>
              </w:rPr>
              <w:t>20</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17</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Borders>
              <w:righ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7</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/8</w:t>
            </w:r>
          </w:p>
        </w:tc>
        <w:tc>
          <w:tcPr>
            <w:tcW w:w="827" w:type="dxa"/>
          </w:tcPr>
          <w:p w:rsidR="00AF2508" w:rsidRDefault="00AF2508">
            <w:pPr>
              <w:pStyle w:val="TableText"/>
              <w:jc w:val="center"/>
              <w:rPr>
                <w:sz w:val="20"/>
              </w:rPr>
            </w:pPr>
            <w:r>
              <w:rPr>
                <w:sz w:val="20"/>
              </w:rPr>
              <w:t>11</w:t>
            </w:r>
          </w:p>
        </w:tc>
        <w:tc>
          <w:tcPr>
            <w:tcW w:w="827" w:type="dxa"/>
          </w:tcPr>
          <w:p w:rsidR="00AF2508" w:rsidRDefault="00AF2508">
            <w:pPr>
              <w:pStyle w:val="TableText"/>
              <w:jc w:val="center"/>
              <w:rPr>
                <w:sz w:val="20"/>
              </w:rPr>
            </w:pPr>
            <w:r>
              <w:rPr>
                <w:sz w:val="20"/>
              </w:rPr>
              <w:t>7</w:t>
            </w:r>
          </w:p>
        </w:tc>
        <w:tc>
          <w:tcPr>
            <w:tcW w:w="827" w:type="dxa"/>
            <w:tcBorders>
              <w:left w:val="single" w:sz="6" w:space="0" w:color="auto"/>
            </w:tcBorders>
          </w:tcPr>
          <w:p w:rsidR="00AF2508" w:rsidRDefault="00AF2508">
            <w:pPr>
              <w:pStyle w:val="TableText"/>
              <w:jc w:val="center"/>
              <w:rPr>
                <w:sz w:val="20"/>
              </w:rPr>
            </w:pPr>
            <w:r>
              <w:rPr>
                <w:sz w:val="20"/>
              </w:rPr>
              <w:t>21</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19</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16</w:t>
            </w:r>
          </w:p>
        </w:tc>
        <w:tc>
          <w:tcPr>
            <w:tcW w:w="827" w:type="dxa"/>
          </w:tcPr>
          <w:p w:rsidR="00AF2508" w:rsidRDefault="00AF2508">
            <w:pPr>
              <w:pStyle w:val="TableText"/>
              <w:jc w:val="center"/>
              <w:rPr>
                <w:sz w:val="20"/>
              </w:rPr>
            </w:pPr>
            <w:r>
              <w:rPr>
                <w:sz w:val="20"/>
              </w:rPr>
              <w:t>1</w:t>
            </w:r>
          </w:p>
        </w:tc>
        <w:tc>
          <w:tcPr>
            <w:tcW w:w="827" w:type="dxa"/>
            <w:tcBorders>
              <w:left w:val="single" w:sz="6" w:space="0" w:color="auto"/>
            </w:tcBorders>
          </w:tcPr>
          <w:p w:rsidR="00AF2508" w:rsidRDefault="00AF2508">
            <w:pPr>
              <w:pStyle w:val="TableText"/>
              <w:jc w:val="center"/>
              <w:rPr>
                <w:sz w:val="20"/>
              </w:rPr>
            </w:pPr>
            <w:r>
              <w:rPr>
                <w:sz w:val="20"/>
              </w:rPr>
              <w:t>11</w:t>
            </w:r>
          </w:p>
        </w:tc>
        <w:tc>
          <w:tcPr>
            <w:tcW w:w="827" w:type="dxa"/>
            <w:tcBorders>
              <w:righ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18</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7</w:t>
            </w:r>
            <w:r>
              <w:rPr>
                <w:sz w:val="20"/>
              </w:rPr>
              <w:t>/16</w:t>
            </w:r>
          </w:p>
        </w:tc>
        <w:tc>
          <w:tcPr>
            <w:tcW w:w="827" w:type="dxa"/>
          </w:tcPr>
          <w:p w:rsidR="00AF2508" w:rsidRDefault="00AF2508">
            <w:pPr>
              <w:pStyle w:val="TableText"/>
              <w:jc w:val="center"/>
              <w:rPr>
                <w:sz w:val="20"/>
              </w:rPr>
            </w:pPr>
            <w:r>
              <w:rPr>
                <w:sz w:val="20"/>
              </w:rPr>
              <w:t>12</w:t>
            </w:r>
          </w:p>
        </w:tc>
        <w:tc>
          <w:tcPr>
            <w:tcW w:w="827" w:type="dxa"/>
          </w:tcPr>
          <w:p w:rsidR="00AF2508" w:rsidRDefault="00AF2508">
            <w:pPr>
              <w:pStyle w:val="TableText"/>
              <w:jc w:val="center"/>
              <w:rPr>
                <w:sz w:val="20"/>
              </w:rPr>
            </w:pPr>
            <w:r>
              <w:rPr>
                <w:sz w:val="20"/>
              </w:rPr>
              <w:t>8</w:t>
            </w:r>
          </w:p>
        </w:tc>
        <w:tc>
          <w:tcPr>
            <w:tcW w:w="827" w:type="dxa"/>
            <w:tcBorders>
              <w:left w:val="single" w:sz="6" w:space="0" w:color="auto"/>
            </w:tcBorders>
          </w:tcPr>
          <w:p w:rsidR="00AF2508" w:rsidRDefault="00AF2508">
            <w:pPr>
              <w:pStyle w:val="TableText"/>
              <w:jc w:val="center"/>
              <w:rPr>
                <w:sz w:val="20"/>
              </w:rPr>
            </w:pPr>
            <w:r>
              <w:rPr>
                <w:sz w:val="20"/>
              </w:rPr>
              <w:t>23</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21</w:t>
            </w:r>
          </w:p>
        </w:tc>
        <w:tc>
          <w:tcPr>
            <w:tcW w:w="827" w:type="dxa"/>
          </w:tcPr>
          <w:p w:rsidR="00AF2508" w:rsidRDefault="00AF2508">
            <w:pPr>
              <w:pStyle w:val="TableText"/>
              <w:jc w:val="center"/>
              <w:rPr>
                <w:sz w:val="20"/>
              </w:rPr>
            </w:pPr>
            <w:r>
              <w:rPr>
                <w:sz w:val="20"/>
              </w:rPr>
              <w:t>9</w:t>
            </w:r>
          </w:p>
        </w:tc>
        <w:tc>
          <w:tcPr>
            <w:tcW w:w="827" w:type="dxa"/>
            <w:tcBorders>
              <w:left w:val="single" w:sz="6" w:space="0" w:color="auto"/>
            </w:tcBorders>
          </w:tcPr>
          <w:p w:rsidR="00AF2508" w:rsidRDefault="00AF2508">
            <w:pPr>
              <w:pStyle w:val="TableText"/>
              <w:jc w:val="center"/>
              <w:rPr>
                <w:sz w:val="20"/>
              </w:rPr>
            </w:pPr>
            <w:r>
              <w:rPr>
                <w:sz w:val="20"/>
              </w:rPr>
              <w:t>17</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12</w:t>
            </w:r>
          </w:p>
        </w:tc>
        <w:tc>
          <w:tcPr>
            <w:tcW w:w="827" w:type="dxa"/>
            <w:tcBorders>
              <w:righ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8</w:t>
            </w:r>
          </w:p>
        </w:tc>
      </w:tr>
      <w:tr w:rsidR="00AF2508">
        <w:trPr>
          <w:cantSplit/>
          <w:trHeight w:val="200"/>
        </w:trPr>
        <w:tc>
          <w:tcPr>
            <w:tcW w:w="1280" w:type="dxa"/>
            <w:tcBorders>
              <w:bottom w:val="single" w:sz="6" w:space="0" w:color="auto"/>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827" w:type="dxa"/>
            <w:tcBorders>
              <w:bottom w:val="single" w:sz="6" w:space="0" w:color="auto"/>
            </w:tcBorders>
          </w:tcPr>
          <w:p w:rsidR="00AF2508" w:rsidRDefault="00AF2508">
            <w:pPr>
              <w:pStyle w:val="TableText"/>
              <w:jc w:val="center"/>
              <w:rPr>
                <w:sz w:val="20"/>
              </w:rPr>
            </w:pPr>
            <w:r>
              <w:rPr>
                <w:sz w:val="20"/>
              </w:rPr>
              <w:t>13</w:t>
            </w:r>
          </w:p>
        </w:tc>
        <w:tc>
          <w:tcPr>
            <w:tcW w:w="827" w:type="dxa"/>
            <w:tcBorders>
              <w:bottom w:val="single" w:sz="6" w:space="0" w:color="auto"/>
            </w:tcBorders>
          </w:tcPr>
          <w:p w:rsidR="00AF2508" w:rsidRDefault="00AF2508">
            <w:pPr>
              <w:pStyle w:val="TableText"/>
              <w:jc w:val="center"/>
              <w:rPr>
                <w:sz w:val="20"/>
              </w:rPr>
            </w:pPr>
            <w:r>
              <w:rPr>
                <w:sz w:val="20"/>
              </w:rPr>
              <w:t>10</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26</w:t>
            </w:r>
          </w:p>
        </w:tc>
        <w:tc>
          <w:tcPr>
            <w:tcW w:w="827" w:type="dxa"/>
            <w:tcBorders>
              <w:bottom w:val="single" w:sz="6" w:space="0" w:color="auto"/>
            </w:tcBorders>
          </w:tcPr>
          <w:p w:rsidR="00AF2508" w:rsidRDefault="00AF2508">
            <w:pPr>
              <w:pStyle w:val="TableText"/>
              <w:jc w:val="center"/>
              <w:rPr>
                <w:sz w:val="20"/>
              </w:rPr>
            </w:pPr>
            <w:r>
              <w:rPr>
                <w:sz w:val="20"/>
              </w:rPr>
              <w:t>1</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23</w:t>
            </w:r>
          </w:p>
        </w:tc>
        <w:tc>
          <w:tcPr>
            <w:tcW w:w="827" w:type="dxa"/>
            <w:tcBorders>
              <w:bottom w:val="single" w:sz="6" w:space="0" w:color="auto"/>
            </w:tcBorders>
          </w:tcPr>
          <w:p w:rsidR="00AF2508" w:rsidRDefault="00AF2508">
            <w:pPr>
              <w:pStyle w:val="TableText"/>
              <w:jc w:val="center"/>
              <w:rPr>
                <w:sz w:val="20"/>
              </w:rPr>
            </w:pPr>
            <w:r>
              <w:rPr>
                <w:sz w:val="20"/>
              </w:rPr>
              <w:t>8</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19</w:t>
            </w:r>
          </w:p>
        </w:tc>
        <w:tc>
          <w:tcPr>
            <w:tcW w:w="827" w:type="dxa"/>
            <w:tcBorders>
              <w:bottom w:val="single" w:sz="6" w:space="0" w:color="auto"/>
            </w:tcBorders>
          </w:tcPr>
          <w:p w:rsidR="00AF2508" w:rsidRDefault="00AF2508">
            <w:pPr>
              <w:pStyle w:val="TableText"/>
              <w:jc w:val="center"/>
              <w:rPr>
                <w:sz w:val="20"/>
              </w:rPr>
            </w:pPr>
            <w:r>
              <w:rPr>
                <w:sz w:val="20"/>
              </w:rPr>
              <w:t>2</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13</w:t>
            </w:r>
          </w:p>
        </w:tc>
        <w:tc>
          <w:tcPr>
            <w:tcW w:w="827" w:type="dxa"/>
            <w:tcBorders>
              <w:bottom w:val="single" w:sz="6" w:space="0" w:color="auto"/>
              <w:right w:val="single" w:sz="6" w:space="0" w:color="auto"/>
            </w:tcBorders>
          </w:tcPr>
          <w:p w:rsidR="00AF2508" w:rsidRDefault="00AF2508">
            <w:pPr>
              <w:pStyle w:val="TableText"/>
              <w:jc w:val="center"/>
              <w:rPr>
                <w:sz w:val="20"/>
              </w:rPr>
            </w:pPr>
            <w:r>
              <w:rPr>
                <w:sz w:val="20"/>
              </w:rPr>
              <w:t>10</w:t>
            </w:r>
          </w:p>
        </w:tc>
        <w:tc>
          <w:tcPr>
            <w:tcW w:w="827" w:type="dxa"/>
            <w:tcBorders>
              <w:bottom w:val="single" w:sz="6" w:space="0" w:color="auto"/>
            </w:tcBorders>
          </w:tcPr>
          <w:p w:rsidR="00AF2508" w:rsidRDefault="00AF2508">
            <w:pPr>
              <w:pStyle w:val="TableText"/>
              <w:jc w:val="center"/>
              <w:rPr>
                <w:sz w:val="20"/>
              </w:rPr>
            </w:pPr>
            <w:r>
              <w:rPr>
                <w:sz w:val="20"/>
              </w:rPr>
              <w:t>7</w:t>
            </w:r>
          </w:p>
        </w:tc>
        <w:tc>
          <w:tcPr>
            <w:tcW w:w="827" w:type="dxa"/>
            <w:tcBorders>
              <w:bottom w:val="single" w:sz="6" w:space="0" w:color="auto"/>
            </w:tcBorders>
          </w:tcPr>
          <w:p w:rsidR="00AF2508" w:rsidRDefault="00AF2508">
            <w:pPr>
              <w:pStyle w:val="TableText"/>
              <w:jc w:val="center"/>
              <w:rPr>
                <w:sz w:val="20"/>
              </w:rPr>
            </w:pPr>
            <w:r>
              <w:rPr>
                <w:sz w:val="20"/>
              </w:rPr>
              <w:t>0</w:t>
            </w:r>
          </w:p>
        </w:tc>
      </w:tr>
    </w:tbl>
    <w:p w:rsidR="00AF2508" w:rsidRDefault="00AF2508"/>
    <w:p w:rsidR="00AF2508" w:rsidRDefault="00AF2508">
      <w:pPr>
        <w:pStyle w:val="TableHd"/>
      </w:pPr>
      <w:r>
        <w:t>Maximum safe working loads for chains—Classification 2</w:t>
      </w:r>
    </w:p>
    <w:tbl>
      <w:tblPr>
        <w:tblW w:w="0" w:type="auto"/>
        <w:tblLayout w:type="fixed"/>
        <w:tblCellMar>
          <w:left w:w="80" w:type="dxa"/>
          <w:right w:w="80" w:type="dxa"/>
        </w:tblCellMar>
        <w:tblLook w:val="0000" w:firstRow="0" w:lastRow="0" w:firstColumn="0" w:lastColumn="0" w:noHBand="0" w:noVBand="0"/>
      </w:tblPr>
      <w:tblGrid>
        <w:gridCol w:w="1280"/>
        <w:gridCol w:w="827"/>
        <w:gridCol w:w="827"/>
        <w:gridCol w:w="827"/>
        <w:gridCol w:w="827"/>
        <w:gridCol w:w="827"/>
        <w:gridCol w:w="827"/>
        <w:gridCol w:w="827"/>
        <w:gridCol w:w="827"/>
        <w:gridCol w:w="827"/>
        <w:gridCol w:w="827"/>
        <w:gridCol w:w="827"/>
        <w:gridCol w:w="827"/>
      </w:tblGrid>
      <w:tr w:rsidR="00AF2508">
        <w:trPr>
          <w:cantSplit/>
          <w:tblHeader/>
        </w:trPr>
        <w:tc>
          <w:tcPr>
            <w:tcW w:w="1280" w:type="dxa"/>
            <w:tcBorders>
              <w:top w:val="single" w:sz="6" w:space="0" w:color="auto"/>
              <w:right w:val="single" w:sz="6" w:space="0" w:color="auto"/>
            </w:tcBorders>
          </w:tcPr>
          <w:p w:rsidR="00AF2508" w:rsidRDefault="00AF2508">
            <w:pPr>
              <w:pStyle w:val="TableColHd"/>
            </w:pPr>
          </w:p>
        </w:tc>
        <w:tc>
          <w:tcPr>
            <w:tcW w:w="827" w:type="dxa"/>
            <w:tcBorders>
              <w:top w:val="single" w:sz="6" w:space="0" w:color="auto"/>
            </w:tcBorders>
          </w:tcPr>
          <w:p w:rsidR="00AF2508" w:rsidRDefault="00AF2508">
            <w:pPr>
              <w:pStyle w:val="TableColHd"/>
            </w:pPr>
          </w:p>
        </w:tc>
        <w:tc>
          <w:tcPr>
            <w:tcW w:w="827" w:type="dxa"/>
            <w:tcBorders>
              <w:top w:val="single" w:sz="6" w:space="0" w:color="auto"/>
            </w:tcBorders>
          </w:tcPr>
          <w:p w:rsidR="00AF2508" w:rsidRDefault="00AF2508">
            <w:pPr>
              <w:pStyle w:val="TableColHd"/>
            </w:pPr>
          </w:p>
        </w:tc>
        <w:tc>
          <w:tcPr>
            <w:tcW w:w="8270" w:type="dxa"/>
            <w:gridSpan w:val="10"/>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cantSplit/>
          <w:tblHeader/>
        </w:trPr>
        <w:tc>
          <w:tcPr>
            <w:tcW w:w="1280" w:type="dxa"/>
            <w:tcBorders>
              <w:right w:val="single" w:sz="6" w:space="0" w:color="auto"/>
            </w:tcBorders>
            <w:vAlign w:val="bottom"/>
          </w:tcPr>
          <w:p w:rsidR="00AF2508" w:rsidRDefault="00AF2508">
            <w:pPr>
              <w:pStyle w:val="TableColHd"/>
            </w:pPr>
            <w:r>
              <w:t xml:space="preserve">size of </w:t>
            </w:r>
            <w:r>
              <w:br/>
              <w:t>chain</w:t>
            </w:r>
          </w:p>
        </w:tc>
        <w:tc>
          <w:tcPr>
            <w:tcW w:w="1654" w:type="dxa"/>
            <w:gridSpan w:val="2"/>
            <w:vAlign w:val="bottom"/>
          </w:tcPr>
          <w:p w:rsidR="00AF2508" w:rsidRDefault="00AF2508">
            <w:pPr>
              <w:pStyle w:val="TableColHd"/>
            </w:pPr>
            <w:r>
              <w:t>safe load for 1 single fall (part)</w:t>
            </w:r>
            <w:r>
              <w:br/>
              <w:t>of chain</w:t>
            </w:r>
          </w:p>
        </w:tc>
        <w:tc>
          <w:tcPr>
            <w:tcW w:w="1654" w:type="dxa"/>
            <w:gridSpan w:val="2"/>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95350"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654" w:type="dxa"/>
            <w:gridSpan w:val="2"/>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654" w:type="dxa"/>
            <w:gridSpan w:val="2"/>
          </w:tcPr>
          <w:p w:rsidR="00AF2508" w:rsidRDefault="00136775">
            <w:pPr>
              <w:rPr>
                <w:color w:val="000000"/>
                <w:sz w:val="18"/>
              </w:rPr>
            </w:pPr>
            <w:r>
              <w:rPr>
                <w:noProof/>
                <w:color w:val="000000"/>
                <w:sz w:val="20"/>
                <w:lang w:eastAsia="en-AU"/>
              </w:rPr>
              <w:drawing>
                <wp:inline distT="0" distB="0" distL="0" distR="0">
                  <wp:extent cx="790575" cy="523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cantSplit/>
          <w:trHeight w:hRule="exact" w:val="220"/>
          <w:tblHeader/>
        </w:trPr>
        <w:tc>
          <w:tcPr>
            <w:tcW w:w="1280" w:type="dxa"/>
            <w:tcBorders>
              <w:top w:val="single" w:sz="6" w:space="0" w:color="auto"/>
              <w:bottom w:val="single" w:sz="6" w:space="0" w:color="auto"/>
              <w:right w:val="single" w:sz="6" w:space="0" w:color="auto"/>
            </w:tcBorders>
            <w:vAlign w:val="bottom"/>
          </w:tcPr>
          <w:p w:rsidR="00AF2508" w:rsidRDefault="00AF2508">
            <w:pPr>
              <w:pStyle w:val="TableColHd"/>
              <w:jc w:val="center"/>
            </w:pPr>
            <w:r>
              <w:t>inches</w:t>
            </w:r>
          </w:p>
        </w:tc>
        <w:tc>
          <w:tcPr>
            <w:tcW w:w="827" w:type="dxa"/>
            <w:tcBorders>
              <w:top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right w:val="single" w:sz="6" w:space="0" w:color="auto"/>
            </w:tcBorders>
            <w:vAlign w:val="bottom"/>
          </w:tcPr>
          <w:p w:rsidR="00AF2508" w:rsidRDefault="00AF2508">
            <w:pPr>
              <w:pStyle w:val="TableColHd"/>
              <w:jc w:val="center"/>
            </w:pPr>
            <w:r>
              <w:t>cwts</w:t>
            </w:r>
          </w:p>
        </w:tc>
        <w:tc>
          <w:tcPr>
            <w:tcW w:w="827" w:type="dxa"/>
            <w:tcBorders>
              <w:top w:val="single" w:sz="6" w:space="0" w:color="auto"/>
              <w:bottom w:val="single" w:sz="6" w:space="0" w:color="auto"/>
            </w:tcBorders>
            <w:vAlign w:val="bottom"/>
          </w:tcPr>
          <w:p w:rsidR="00AF2508" w:rsidRDefault="00AF2508">
            <w:pPr>
              <w:pStyle w:val="TableColHd"/>
              <w:jc w:val="center"/>
            </w:pPr>
            <w:r>
              <w:t>tons</w:t>
            </w:r>
          </w:p>
        </w:tc>
        <w:tc>
          <w:tcPr>
            <w:tcW w:w="827" w:type="dxa"/>
            <w:tcBorders>
              <w:top w:val="single" w:sz="6" w:space="0" w:color="auto"/>
              <w:bottom w:val="single" w:sz="6" w:space="0" w:color="auto"/>
            </w:tcBorders>
            <w:vAlign w:val="bottom"/>
          </w:tcPr>
          <w:p w:rsidR="00AF2508" w:rsidRDefault="00AF2508">
            <w:pPr>
              <w:pStyle w:val="TableColHd"/>
              <w:jc w:val="center"/>
            </w:pPr>
            <w:r>
              <w:t>cwts</w:t>
            </w:r>
          </w:p>
        </w:tc>
      </w:tr>
      <w:tr w:rsidR="00AF2508">
        <w:trPr>
          <w:cantSplit/>
          <w:trHeight w:val="200"/>
        </w:trPr>
        <w:tc>
          <w:tcPr>
            <w:tcW w:w="1280" w:type="dxa"/>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/16</w:t>
            </w:r>
          </w:p>
        </w:tc>
        <w:tc>
          <w:tcPr>
            <w:tcW w:w="827" w:type="dxa"/>
            <w:tcBorders>
              <w:top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10</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19</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17</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14</w:t>
            </w:r>
          </w:p>
        </w:tc>
        <w:tc>
          <w:tcPr>
            <w:tcW w:w="827"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right w:val="single" w:sz="6" w:space="0" w:color="auto"/>
            </w:tcBorders>
          </w:tcPr>
          <w:p w:rsidR="00AF2508" w:rsidRDefault="00AF2508">
            <w:pPr>
              <w:pStyle w:val="TableText"/>
              <w:jc w:val="center"/>
              <w:rPr>
                <w:sz w:val="20"/>
              </w:rPr>
            </w:pPr>
            <w:r>
              <w:rPr>
                <w:sz w:val="20"/>
              </w:rPr>
              <w:t>10</w:t>
            </w:r>
          </w:p>
        </w:tc>
        <w:tc>
          <w:tcPr>
            <w:tcW w:w="827" w:type="dxa"/>
            <w:tcBorders>
              <w:top w:val="single" w:sz="6" w:space="0" w:color="auto"/>
            </w:tcBorders>
          </w:tcPr>
          <w:p w:rsidR="00AF2508" w:rsidRDefault="00AF2508">
            <w:pPr>
              <w:pStyle w:val="TableText"/>
              <w:jc w:val="center"/>
              <w:rPr>
                <w:sz w:val="20"/>
              </w:rPr>
            </w:pPr>
            <w:r>
              <w:rPr>
                <w:sz w:val="20"/>
              </w:rPr>
              <w:t>0</w:t>
            </w:r>
          </w:p>
        </w:tc>
        <w:tc>
          <w:tcPr>
            <w:tcW w:w="827" w:type="dxa"/>
            <w:tcBorders>
              <w:top w:val="single" w:sz="6" w:space="0" w:color="auto"/>
            </w:tcBorders>
          </w:tcPr>
          <w:p w:rsidR="00AF2508" w:rsidRDefault="00AF2508">
            <w:pPr>
              <w:pStyle w:val="TableText"/>
              <w:jc w:val="center"/>
              <w:rPr>
                <w:sz w:val="20"/>
              </w:rPr>
            </w:pPr>
            <w:r>
              <w:rPr>
                <w:sz w:val="20"/>
              </w:rPr>
              <w:t>5</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3</w:t>
            </w:r>
            <w:r>
              <w:rPr>
                <w:sz w:val="20"/>
              </w:rPr>
              <w:t>/8</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7</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0</w:t>
            </w:r>
          </w:p>
        </w:tc>
        <w:tc>
          <w:tcPr>
            <w:tcW w:w="827" w:type="dxa"/>
            <w:tcBorders>
              <w:righ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7</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7</w:t>
            </w:r>
            <w:r>
              <w:rPr>
                <w:sz w:val="20"/>
              </w:rPr>
              <w:t>/16</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17</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7</w:t>
            </w:r>
          </w:p>
        </w:tc>
        <w:tc>
          <w:tcPr>
            <w:tcW w:w="827" w:type="dxa"/>
            <w:tcBorders>
              <w:left w:val="single" w:sz="6" w:space="0" w:color="auto"/>
            </w:tcBorders>
          </w:tcPr>
          <w:p w:rsidR="00AF2508" w:rsidRDefault="00AF2508">
            <w:pPr>
              <w:pStyle w:val="TableText"/>
              <w:jc w:val="center"/>
              <w:rPr>
                <w:sz w:val="20"/>
              </w:rPr>
            </w:pPr>
            <w:r>
              <w:rPr>
                <w:sz w:val="20"/>
              </w:rPr>
              <w:t>0</w:t>
            </w:r>
          </w:p>
        </w:tc>
        <w:tc>
          <w:tcPr>
            <w:tcW w:w="827" w:type="dxa"/>
            <w:tcBorders>
              <w:right w:val="single" w:sz="6" w:space="0" w:color="auto"/>
            </w:tcBorders>
          </w:tcPr>
          <w:p w:rsidR="00AF2508" w:rsidRDefault="00AF2508">
            <w:pPr>
              <w:pStyle w:val="TableText"/>
              <w:jc w:val="center"/>
              <w:rPr>
                <w:sz w:val="20"/>
              </w:rPr>
            </w:pPr>
            <w:r>
              <w:rPr>
                <w:sz w:val="20"/>
              </w:rPr>
              <w:t>19</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10</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8</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3</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Borders>
              <w:righ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13</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9</w:t>
            </w:r>
            <w:r>
              <w:rPr>
                <w:sz w:val="20"/>
              </w:rPr>
              <w:t>/16</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11</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Borders>
              <w:right w:val="single" w:sz="6" w:space="0" w:color="auto"/>
            </w:tcBorders>
          </w:tcPr>
          <w:p w:rsidR="00AF2508" w:rsidRDefault="00AF2508">
            <w:pPr>
              <w:pStyle w:val="TableText"/>
              <w:jc w:val="center"/>
              <w:rPr>
                <w:sz w:val="20"/>
              </w:rPr>
            </w:pPr>
            <w:r>
              <w:rPr>
                <w:sz w:val="20"/>
              </w:rPr>
              <w:t>11</w:t>
            </w:r>
          </w:p>
        </w:tc>
        <w:tc>
          <w:tcPr>
            <w:tcW w:w="827" w:type="dxa"/>
          </w:tcPr>
          <w:p w:rsidR="00AF2508" w:rsidRDefault="00AF2508">
            <w:pPr>
              <w:pStyle w:val="TableText"/>
              <w:jc w:val="center"/>
              <w:rPr>
                <w:sz w:val="20"/>
              </w:rPr>
            </w:pPr>
            <w:r>
              <w:rPr>
                <w:sz w:val="20"/>
              </w:rPr>
              <w:t>0</w:t>
            </w:r>
          </w:p>
        </w:tc>
        <w:tc>
          <w:tcPr>
            <w:tcW w:w="827" w:type="dxa"/>
          </w:tcPr>
          <w:p w:rsidR="00AF2508" w:rsidRDefault="00AF2508">
            <w:pPr>
              <w:pStyle w:val="TableText"/>
              <w:jc w:val="center"/>
              <w:rPr>
                <w:sz w:val="20"/>
              </w:rPr>
            </w:pPr>
            <w:r>
              <w:rPr>
                <w:sz w:val="20"/>
              </w:rPr>
              <w:t>16</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5</w:t>
            </w:r>
            <w:r>
              <w:rPr>
                <w:sz w:val="20"/>
              </w:rPr>
              <w:t>/8</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1</w:t>
            </w:r>
          </w:p>
        </w:tc>
        <w:tc>
          <w:tcPr>
            <w:tcW w:w="827" w:type="dxa"/>
            <w:tcBorders>
              <w:right w:val="single" w:sz="6" w:space="0" w:color="auto"/>
            </w:tcBorders>
          </w:tcPr>
          <w:p w:rsidR="00AF2508" w:rsidRDefault="00AF2508">
            <w:pPr>
              <w:pStyle w:val="TableText"/>
              <w:jc w:val="center"/>
              <w:rPr>
                <w:sz w:val="20"/>
              </w:rPr>
            </w:pPr>
            <w:r>
              <w:rPr>
                <w:sz w:val="20"/>
              </w:rPr>
              <w:t>18</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0</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11</w:t>
            </w:r>
            <w:r>
              <w:rPr>
                <w:sz w:val="20"/>
              </w:rPr>
              <w:t>/16</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9</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Borders>
              <w:righ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4</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2</w:t>
            </w:r>
          </w:p>
        </w:tc>
        <w:tc>
          <w:tcPr>
            <w:tcW w:w="827" w:type="dxa"/>
            <w:tcBorders>
              <w:right w:val="single" w:sz="6" w:space="0" w:color="auto"/>
            </w:tcBorders>
          </w:tcPr>
          <w:p w:rsidR="00AF2508" w:rsidRDefault="00AF2508">
            <w:pPr>
              <w:pStyle w:val="TableText"/>
              <w:jc w:val="center"/>
              <w:rPr>
                <w:sz w:val="20"/>
              </w:rPr>
            </w:pPr>
            <w:r>
              <w:rPr>
                <w:sz w:val="20"/>
              </w:rPr>
              <w:t>15</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8</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13</w:t>
            </w:r>
            <w:r>
              <w:rPr>
                <w:sz w:val="20"/>
              </w:rPr>
              <w:t>/16</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12</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Borders>
              <w:righ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14</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7</w:t>
            </w:r>
            <w:r>
              <w:rPr>
                <w:sz w:val="20"/>
              </w:rPr>
              <w:t>/8</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3</w:t>
            </w:r>
          </w:p>
        </w:tc>
        <w:tc>
          <w:tcPr>
            <w:tcW w:w="827" w:type="dxa"/>
            <w:tcBorders>
              <w:right w:val="single" w:sz="6" w:space="0" w:color="auto"/>
            </w:tcBorders>
          </w:tcPr>
          <w:p w:rsidR="00AF2508" w:rsidRDefault="00AF2508">
            <w:pPr>
              <w:pStyle w:val="TableText"/>
              <w:jc w:val="center"/>
              <w:rPr>
                <w:sz w:val="20"/>
              </w:rPr>
            </w:pPr>
            <w:r>
              <w:rPr>
                <w:sz w:val="20"/>
              </w:rPr>
              <w:t>15</w:t>
            </w:r>
          </w:p>
        </w:tc>
        <w:tc>
          <w:tcPr>
            <w:tcW w:w="827" w:type="dxa"/>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19</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position w:val="4"/>
                <w:sz w:val="20"/>
              </w:rPr>
              <w:t>15</w:t>
            </w:r>
            <w:r>
              <w:rPr>
                <w:sz w:val="20"/>
              </w:rPr>
              <w:t>/16</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9</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2</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Borders>
              <w:righ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4</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18</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9</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4</w:t>
            </w:r>
          </w:p>
        </w:tc>
        <w:tc>
          <w:tcPr>
            <w:tcW w:w="827" w:type="dxa"/>
            <w:tcBorders>
              <w:right w:val="single" w:sz="6" w:space="0" w:color="auto"/>
            </w:tcBorders>
          </w:tcPr>
          <w:p w:rsidR="00AF2508" w:rsidRDefault="00AF2508">
            <w:pPr>
              <w:pStyle w:val="TableText"/>
              <w:jc w:val="center"/>
              <w:rPr>
                <w:sz w:val="20"/>
              </w:rPr>
            </w:pPr>
            <w:r>
              <w:rPr>
                <w:sz w:val="20"/>
              </w:rPr>
              <w:t>18</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11</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/16</w:t>
            </w:r>
          </w:p>
        </w:tc>
        <w:tc>
          <w:tcPr>
            <w:tcW w:w="827" w:type="dxa"/>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11</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16</w:t>
            </w:r>
          </w:p>
        </w:tc>
        <w:tc>
          <w:tcPr>
            <w:tcW w:w="827" w:type="dxa"/>
            <w:tcBorders>
              <w:left w:val="single" w:sz="6" w:space="0" w:color="auto"/>
            </w:tcBorders>
          </w:tcPr>
          <w:p w:rsidR="00AF2508" w:rsidRDefault="00AF2508">
            <w:pPr>
              <w:pStyle w:val="TableText"/>
              <w:jc w:val="center"/>
              <w:rPr>
                <w:sz w:val="20"/>
              </w:rPr>
            </w:pPr>
            <w:r>
              <w:rPr>
                <w:sz w:val="20"/>
              </w:rPr>
              <w:t>5</w:t>
            </w:r>
          </w:p>
        </w:tc>
        <w:tc>
          <w:tcPr>
            <w:tcW w:w="827" w:type="dxa"/>
            <w:tcBorders>
              <w:righ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17</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/8</w:t>
            </w:r>
          </w:p>
        </w:tc>
        <w:tc>
          <w:tcPr>
            <w:tcW w:w="827" w:type="dxa"/>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4</w:t>
            </w:r>
          </w:p>
        </w:tc>
        <w:tc>
          <w:tcPr>
            <w:tcW w:w="827" w:type="dxa"/>
            <w:tcBorders>
              <w:left w:val="single" w:sz="6" w:space="0" w:color="auto"/>
            </w:tcBorders>
          </w:tcPr>
          <w:p w:rsidR="00AF2508" w:rsidRDefault="00AF2508">
            <w:pPr>
              <w:pStyle w:val="TableText"/>
              <w:jc w:val="center"/>
              <w:rPr>
                <w:sz w:val="20"/>
              </w:rPr>
            </w:pPr>
            <w:r>
              <w:rPr>
                <w:sz w:val="20"/>
              </w:rPr>
              <w:t>12</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Borders>
              <w:right w:val="single" w:sz="6" w:space="0" w:color="auto"/>
            </w:tcBorders>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4</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/16</w:t>
            </w:r>
          </w:p>
        </w:tc>
        <w:tc>
          <w:tcPr>
            <w:tcW w:w="827" w:type="dxa"/>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11</w:t>
            </w:r>
          </w:p>
        </w:tc>
        <w:tc>
          <w:tcPr>
            <w:tcW w:w="827" w:type="dxa"/>
          </w:tcPr>
          <w:p w:rsidR="00AF2508" w:rsidRDefault="00AF2508">
            <w:pPr>
              <w:pStyle w:val="TableText"/>
              <w:jc w:val="center"/>
              <w:rPr>
                <w:sz w:val="20"/>
              </w:rPr>
            </w:pPr>
            <w:r>
              <w:rPr>
                <w:sz w:val="20"/>
              </w:rPr>
              <w:t>14</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11</w:t>
            </w:r>
          </w:p>
        </w:tc>
        <w:tc>
          <w:tcPr>
            <w:tcW w:w="827" w:type="dxa"/>
            <w:tcBorders>
              <w:left w:val="single" w:sz="6" w:space="0" w:color="auto"/>
            </w:tcBorders>
          </w:tcPr>
          <w:p w:rsidR="00AF2508" w:rsidRDefault="00AF2508">
            <w:pPr>
              <w:pStyle w:val="TableText"/>
              <w:jc w:val="center"/>
              <w:rPr>
                <w:sz w:val="20"/>
              </w:rPr>
            </w:pPr>
            <w:r>
              <w:rPr>
                <w:sz w:val="20"/>
              </w:rPr>
              <w:t>6</w:t>
            </w:r>
          </w:p>
        </w:tc>
        <w:tc>
          <w:tcPr>
            <w:tcW w:w="827" w:type="dxa"/>
            <w:tcBorders>
              <w:right w:val="single" w:sz="6" w:space="0" w:color="auto"/>
            </w:tcBorders>
          </w:tcPr>
          <w:p w:rsidR="00AF2508" w:rsidRDefault="00AF2508">
            <w:pPr>
              <w:pStyle w:val="TableText"/>
              <w:jc w:val="center"/>
              <w:rPr>
                <w:sz w:val="20"/>
              </w:rPr>
            </w:pPr>
            <w:r>
              <w:rPr>
                <w:sz w:val="20"/>
              </w:rPr>
              <w:t>15</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10</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827" w:type="dxa"/>
          </w:tcPr>
          <w:p w:rsidR="00AF2508" w:rsidRDefault="00AF2508">
            <w:pPr>
              <w:pStyle w:val="TableText"/>
              <w:jc w:val="center"/>
              <w:rPr>
                <w:sz w:val="20"/>
              </w:rPr>
            </w:pPr>
            <w:r>
              <w:rPr>
                <w:sz w:val="20"/>
              </w:rPr>
              <w:t>7</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15</w:t>
            </w:r>
          </w:p>
        </w:tc>
        <w:tc>
          <w:tcPr>
            <w:tcW w:w="827" w:type="dxa"/>
            <w:tcBorders>
              <w:lef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5</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16</w:t>
            </w:r>
          </w:p>
        </w:tc>
        <w:tc>
          <w:tcPr>
            <w:tcW w:w="827" w:type="dxa"/>
            <w:tcBorders>
              <w:left w:val="single" w:sz="6" w:space="0" w:color="auto"/>
            </w:tcBorders>
          </w:tcPr>
          <w:p w:rsidR="00AF2508" w:rsidRDefault="00AF2508">
            <w:pPr>
              <w:pStyle w:val="TableText"/>
              <w:jc w:val="center"/>
              <w:rPr>
                <w:sz w:val="20"/>
              </w:rPr>
            </w:pPr>
            <w:r>
              <w:rPr>
                <w:sz w:val="20"/>
              </w:rPr>
              <w:t>7</w:t>
            </w:r>
          </w:p>
        </w:tc>
        <w:tc>
          <w:tcPr>
            <w:tcW w:w="827" w:type="dxa"/>
            <w:tcBorders>
              <w:righ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3</w:t>
            </w:r>
          </w:p>
        </w:tc>
        <w:tc>
          <w:tcPr>
            <w:tcW w:w="827" w:type="dxa"/>
          </w:tcPr>
          <w:p w:rsidR="00AF2508" w:rsidRDefault="00AF2508">
            <w:pPr>
              <w:pStyle w:val="TableText"/>
              <w:jc w:val="center"/>
              <w:rPr>
                <w:sz w:val="20"/>
              </w:rPr>
            </w:pPr>
            <w:r>
              <w:rPr>
                <w:sz w:val="20"/>
              </w:rPr>
              <w:t>19</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5</w:t>
            </w:r>
            <w:r>
              <w:rPr>
                <w:sz w:val="20"/>
              </w:rPr>
              <w:t>/16</w:t>
            </w:r>
          </w:p>
        </w:tc>
        <w:tc>
          <w:tcPr>
            <w:tcW w:w="827" w:type="dxa"/>
          </w:tcPr>
          <w:p w:rsidR="00AF2508" w:rsidRDefault="00AF2508">
            <w:pPr>
              <w:pStyle w:val="TableText"/>
              <w:jc w:val="center"/>
              <w:rPr>
                <w:sz w:val="20"/>
              </w:rPr>
            </w:pPr>
            <w:r>
              <w:rPr>
                <w:sz w:val="20"/>
              </w:rPr>
              <w:t>8</w:t>
            </w:r>
          </w:p>
        </w:tc>
        <w:tc>
          <w:tcPr>
            <w:tcW w:w="827" w:type="dxa"/>
          </w:tcPr>
          <w:p w:rsidR="00AF2508" w:rsidRDefault="00AF2508">
            <w:pPr>
              <w:pStyle w:val="TableText"/>
              <w:jc w:val="center"/>
              <w:rPr>
                <w:sz w:val="20"/>
              </w:rPr>
            </w:pPr>
            <w:r>
              <w:rPr>
                <w:sz w:val="20"/>
              </w:rPr>
              <w:t>9</w:t>
            </w:r>
          </w:p>
        </w:tc>
        <w:tc>
          <w:tcPr>
            <w:tcW w:w="827" w:type="dxa"/>
            <w:tcBorders>
              <w:left w:val="single" w:sz="6" w:space="0" w:color="auto"/>
            </w:tcBorders>
          </w:tcPr>
          <w:p w:rsidR="00AF2508" w:rsidRDefault="00AF2508">
            <w:pPr>
              <w:pStyle w:val="TableText"/>
              <w:jc w:val="center"/>
              <w:rPr>
                <w:sz w:val="20"/>
              </w:rPr>
            </w:pPr>
            <w:r>
              <w:rPr>
                <w:sz w:val="20"/>
              </w:rPr>
              <w:t>16</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13</w:t>
            </w:r>
          </w:p>
        </w:tc>
        <w:tc>
          <w:tcPr>
            <w:tcW w:w="827" w:type="dxa"/>
            <w:tcBorders>
              <w:left w:val="single" w:sz="6" w:space="0" w:color="auto"/>
            </w:tcBorders>
          </w:tcPr>
          <w:p w:rsidR="00AF2508" w:rsidRDefault="00AF2508">
            <w:pPr>
              <w:pStyle w:val="TableText"/>
              <w:jc w:val="center"/>
              <w:rPr>
                <w:sz w:val="20"/>
              </w:rPr>
            </w:pPr>
            <w:r>
              <w:rPr>
                <w:sz w:val="20"/>
              </w:rPr>
              <w:t>11</w:t>
            </w:r>
          </w:p>
        </w:tc>
        <w:tc>
          <w:tcPr>
            <w:tcW w:w="827" w:type="dxa"/>
          </w:tcPr>
          <w:p w:rsidR="00AF2508" w:rsidRDefault="00AF2508">
            <w:pPr>
              <w:pStyle w:val="TableText"/>
              <w:jc w:val="center"/>
              <w:rPr>
                <w:sz w:val="20"/>
              </w:rPr>
            </w:pPr>
            <w:r>
              <w:rPr>
                <w:sz w:val="20"/>
              </w:rPr>
              <w:t>19</w:t>
            </w:r>
          </w:p>
        </w:tc>
        <w:tc>
          <w:tcPr>
            <w:tcW w:w="827" w:type="dxa"/>
            <w:tcBorders>
              <w:left w:val="single" w:sz="6" w:space="0" w:color="auto"/>
            </w:tcBorders>
          </w:tcPr>
          <w:p w:rsidR="00AF2508" w:rsidRDefault="00AF2508">
            <w:pPr>
              <w:pStyle w:val="TableText"/>
              <w:jc w:val="center"/>
              <w:rPr>
                <w:sz w:val="20"/>
              </w:rPr>
            </w:pPr>
            <w:r>
              <w:rPr>
                <w:sz w:val="20"/>
              </w:rPr>
              <w:t>8</w:t>
            </w:r>
          </w:p>
        </w:tc>
        <w:tc>
          <w:tcPr>
            <w:tcW w:w="827" w:type="dxa"/>
            <w:tcBorders>
              <w:right w:val="single" w:sz="6" w:space="0" w:color="auto"/>
            </w:tcBorders>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7</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/8</w:t>
            </w:r>
          </w:p>
        </w:tc>
        <w:tc>
          <w:tcPr>
            <w:tcW w:w="827" w:type="dxa"/>
          </w:tcPr>
          <w:p w:rsidR="00AF2508" w:rsidRDefault="00AF2508">
            <w:pPr>
              <w:pStyle w:val="TableText"/>
              <w:jc w:val="center"/>
              <w:rPr>
                <w:sz w:val="20"/>
              </w:rPr>
            </w:pPr>
            <w:r>
              <w:rPr>
                <w:sz w:val="20"/>
              </w:rPr>
              <w:t>9</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18</w:t>
            </w:r>
          </w:p>
        </w:tc>
        <w:tc>
          <w:tcPr>
            <w:tcW w:w="827" w:type="dxa"/>
          </w:tcPr>
          <w:p w:rsidR="00AF2508" w:rsidRDefault="00AF2508">
            <w:pPr>
              <w:pStyle w:val="TableText"/>
              <w:jc w:val="center"/>
              <w:rPr>
                <w:sz w:val="20"/>
              </w:rPr>
            </w:pPr>
            <w:r>
              <w:rPr>
                <w:sz w:val="20"/>
              </w:rPr>
              <w:t>0</w:t>
            </w:r>
          </w:p>
        </w:tc>
        <w:tc>
          <w:tcPr>
            <w:tcW w:w="827" w:type="dxa"/>
            <w:tcBorders>
              <w:left w:val="single" w:sz="6" w:space="0" w:color="auto"/>
            </w:tcBorders>
          </w:tcPr>
          <w:p w:rsidR="00AF2508" w:rsidRDefault="00AF2508">
            <w:pPr>
              <w:pStyle w:val="TableText"/>
              <w:jc w:val="center"/>
              <w:rPr>
                <w:sz w:val="20"/>
              </w:rPr>
            </w:pPr>
            <w:r>
              <w:rPr>
                <w:sz w:val="20"/>
              </w:rPr>
              <w:t>16</w:t>
            </w:r>
          </w:p>
        </w:tc>
        <w:tc>
          <w:tcPr>
            <w:tcW w:w="827" w:type="dxa"/>
          </w:tcPr>
          <w:p w:rsidR="00AF2508" w:rsidRDefault="00AF2508">
            <w:pPr>
              <w:pStyle w:val="TableText"/>
              <w:jc w:val="center"/>
              <w:rPr>
                <w:sz w:val="20"/>
              </w:rPr>
            </w:pPr>
            <w:r>
              <w:rPr>
                <w:sz w:val="20"/>
              </w:rPr>
              <w:t>2</w:t>
            </w:r>
          </w:p>
        </w:tc>
        <w:tc>
          <w:tcPr>
            <w:tcW w:w="827" w:type="dxa"/>
            <w:tcBorders>
              <w:left w:val="single" w:sz="6" w:space="0" w:color="auto"/>
            </w:tcBorders>
          </w:tcPr>
          <w:p w:rsidR="00AF2508" w:rsidRDefault="00AF2508">
            <w:pPr>
              <w:pStyle w:val="TableText"/>
              <w:jc w:val="center"/>
              <w:rPr>
                <w:sz w:val="20"/>
              </w:rPr>
            </w:pPr>
            <w:r>
              <w:rPr>
                <w:sz w:val="20"/>
              </w:rPr>
              <w:t>13</w:t>
            </w:r>
          </w:p>
        </w:tc>
        <w:tc>
          <w:tcPr>
            <w:tcW w:w="827" w:type="dxa"/>
          </w:tcPr>
          <w:p w:rsidR="00AF2508" w:rsidRDefault="00AF2508">
            <w:pPr>
              <w:pStyle w:val="TableText"/>
              <w:jc w:val="center"/>
              <w:rPr>
                <w:sz w:val="20"/>
              </w:rPr>
            </w:pPr>
            <w:r>
              <w:rPr>
                <w:sz w:val="20"/>
              </w:rPr>
              <w:t>3</w:t>
            </w:r>
          </w:p>
        </w:tc>
        <w:tc>
          <w:tcPr>
            <w:tcW w:w="827" w:type="dxa"/>
            <w:tcBorders>
              <w:left w:val="single" w:sz="6" w:space="0" w:color="auto"/>
            </w:tcBorders>
          </w:tcPr>
          <w:p w:rsidR="00AF2508" w:rsidRDefault="00AF2508">
            <w:pPr>
              <w:pStyle w:val="TableText"/>
              <w:jc w:val="center"/>
              <w:rPr>
                <w:sz w:val="20"/>
              </w:rPr>
            </w:pPr>
            <w:r>
              <w:rPr>
                <w:sz w:val="20"/>
              </w:rPr>
              <w:t>9</w:t>
            </w:r>
          </w:p>
        </w:tc>
        <w:tc>
          <w:tcPr>
            <w:tcW w:w="827" w:type="dxa"/>
            <w:tcBorders>
              <w:right w:val="single" w:sz="6" w:space="0" w:color="auto"/>
            </w:tcBorders>
          </w:tcPr>
          <w:p w:rsidR="00AF2508" w:rsidRDefault="00AF2508">
            <w:pPr>
              <w:pStyle w:val="TableText"/>
              <w:jc w:val="center"/>
              <w:rPr>
                <w:sz w:val="20"/>
              </w:rPr>
            </w:pPr>
            <w:r>
              <w:rPr>
                <w:sz w:val="20"/>
              </w:rPr>
              <w:t>6</w:t>
            </w:r>
          </w:p>
        </w:tc>
        <w:tc>
          <w:tcPr>
            <w:tcW w:w="827" w:type="dxa"/>
          </w:tcPr>
          <w:p w:rsidR="00AF2508" w:rsidRDefault="00AF2508">
            <w:pPr>
              <w:pStyle w:val="TableText"/>
              <w:jc w:val="center"/>
              <w:rPr>
                <w:sz w:val="20"/>
              </w:rPr>
            </w:pPr>
            <w:r>
              <w:rPr>
                <w:sz w:val="20"/>
              </w:rPr>
              <w:t>4</w:t>
            </w:r>
          </w:p>
        </w:tc>
        <w:tc>
          <w:tcPr>
            <w:tcW w:w="827" w:type="dxa"/>
          </w:tcPr>
          <w:p w:rsidR="00AF2508" w:rsidRDefault="00AF2508">
            <w:pPr>
              <w:pStyle w:val="TableText"/>
              <w:jc w:val="center"/>
              <w:rPr>
                <w:sz w:val="20"/>
              </w:rPr>
            </w:pPr>
            <w:r>
              <w:rPr>
                <w:sz w:val="20"/>
              </w:rPr>
              <w:t>16</w:t>
            </w:r>
          </w:p>
        </w:tc>
      </w:tr>
      <w:tr w:rsidR="00AF2508">
        <w:trPr>
          <w:cantSplit/>
          <w:trHeight w:val="200"/>
        </w:trPr>
        <w:tc>
          <w:tcPr>
            <w:tcW w:w="1280" w:type="dxa"/>
            <w:tcBorders>
              <w:right w:val="single" w:sz="6" w:space="0" w:color="auto"/>
            </w:tcBorders>
          </w:tcPr>
          <w:p w:rsidR="00AF2508" w:rsidRDefault="00AF2508">
            <w:pPr>
              <w:pStyle w:val="TableText"/>
              <w:jc w:val="center"/>
              <w:rPr>
                <w:sz w:val="20"/>
              </w:rPr>
            </w:pPr>
            <w:r>
              <w:rPr>
                <w:sz w:val="20"/>
              </w:rPr>
              <w:t>1</w:t>
            </w:r>
            <w:r>
              <w:rPr>
                <w:position w:val="4"/>
                <w:sz w:val="20"/>
              </w:rPr>
              <w:t>7</w:t>
            </w:r>
            <w:r>
              <w:rPr>
                <w:sz w:val="20"/>
              </w:rPr>
              <w:t>/16</w:t>
            </w:r>
          </w:p>
        </w:tc>
        <w:tc>
          <w:tcPr>
            <w:tcW w:w="827" w:type="dxa"/>
          </w:tcPr>
          <w:p w:rsidR="00AF2508" w:rsidRDefault="00AF2508">
            <w:pPr>
              <w:pStyle w:val="TableText"/>
              <w:jc w:val="center"/>
              <w:rPr>
                <w:sz w:val="20"/>
              </w:rPr>
            </w:pPr>
            <w:r>
              <w:rPr>
                <w:sz w:val="20"/>
              </w:rPr>
              <w:t>10</w:t>
            </w:r>
          </w:p>
        </w:tc>
        <w:tc>
          <w:tcPr>
            <w:tcW w:w="827" w:type="dxa"/>
          </w:tcPr>
          <w:p w:rsidR="00AF2508" w:rsidRDefault="00AF2508">
            <w:pPr>
              <w:pStyle w:val="TableText"/>
              <w:jc w:val="center"/>
              <w:rPr>
                <w:sz w:val="20"/>
              </w:rPr>
            </w:pPr>
            <w:r>
              <w:rPr>
                <w:sz w:val="20"/>
              </w:rPr>
              <w:t>2</w:t>
            </w:r>
          </w:p>
        </w:tc>
        <w:tc>
          <w:tcPr>
            <w:tcW w:w="827" w:type="dxa"/>
            <w:tcBorders>
              <w:left w:val="single" w:sz="6" w:space="0" w:color="auto"/>
            </w:tcBorders>
          </w:tcPr>
          <w:p w:rsidR="00AF2508" w:rsidRDefault="00AF2508">
            <w:pPr>
              <w:pStyle w:val="TableText"/>
              <w:jc w:val="center"/>
              <w:rPr>
                <w:sz w:val="20"/>
              </w:rPr>
            </w:pPr>
            <w:r>
              <w:rPr>
                <w:sz w:val="20"/>
              </w:rPr>
              <w:t>19</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17</w:t>
            </w:r>
          </w:p>
        </w:tc>
        <w:tc>
          <w:tcPr>
            <w:tcW w:w="827" w:type="dxa"/>
          </w:tcPr>
          <w:p w:rsidR="00AF2508" w:rsidRDefault="00AF2508">
            <w:pPr>
              <w:pStyle w:val="TableText"/>
              <w:jc w:val="center"/>
              <w:rPr>
                <w:sz w:val="20"/>
              </w:rPr>
            </w:pPr>
            <w:r>
              <w:rPr>
                <w:sz w:val="20"/>
              </w:rPr>
              <w:t>10</w:t>
            </w:r>
          </w:p>
        </w:tc>
        <w:tc>
          <w:tcPr>
            <w:tcW w:w="827" w:type="dxa"/>
            <w:tcBorders>
              <w:left w:val="single" w:sz="6" w:space="0" w:color="auto"/>
            </w:tcBorders>
          </w:tcPr>
          <w:p w:rsidR="00AF2508" w:rsidRDefault="00AF2508">
            <w:pPr>
              <w:pStyle w:val="TableText"/>
              <w:jc w:val="center"/>
              <w:rPr>
                <w:sz w:val="20"/>
              </w:rPr>
            </w:pPr>
            <w:r>
              <w:rPr>
                <w:sz w:val="20"/>
              </w:rPr>
              <w:t>14</w:t>
            </w:r>
          </w:p>
        </w:tc>
        <w:tc>
          <w:tcPr>
            <w:tcW w:w="827" w:type="dxa"/>
          </w:tcPr>
          <w:p w:rsidR="00AF2508" w:rsidRDefault="00AF2508">
            <w:pPr>
              <w:pStyle w:val="TableText"/>
              <w:jc w:val="center"/>
              <w:rPr>
                <w:sz w:val="20"/>
              </w:rPr>
            </w:pPr>
            <w:r>
              <w:rPr>
                <w:sz w:val="20"/>
              </w:rPr>
              <w:t>6</w:t>
            </w:r>
          </w:p>
        </w:tc>
        <w:tc>
          <w:tcPr>
            <w:tcW w:w="827" w:type="dxa"/>
            <w:tcBorders>
              <w:left w:val="single" w:sz="6" w:space="0" w:color="auto"/>
            </w:tcBorders>
          </w:tcPr>
          <w:p w:rsidR="00AF2508" w:rsidRDefault="00AF2508">
            <w:pPr>
              <w:pStyle w:val="TableText"/>
              <w:jc w:val="center"/>
              <w:rPr>
                <w:sz w:val="20"/>
              </w:rPr>
            </w:pPr>
            <w:r>
              <w:rPr>
                <w:sz w:val="20"/>
              </w:rPr>
              <w:t>10</w:t>
            </w:r>
          </w:p>
        </w:tc>
        <w:tc>
          <w:tcPr>
            <w:tcW w:w="827" w:type="dxa"/>
            <w:tcBorders>
              <w:right w:val="single" w:sz="6" w:space="0" w:color="auto"/>
            </w:tcBorders>
          </w:tcPr>
          <w:p w:rsidR="00AF2508" w:rsidRDefault="00AF2508">
            <w:pPr>
              <w:pStyle w:val="TableText"/>
              <w:jc w:val="center"/>
              <w:rPr>
                <w:sz w:val="20"/>
              </w:rPr>
            </w:pPr>
            <w:r>
              <w:rPr>
                <w:sz w:val="20"/>
              </w:rPr>
              <w:t>2</w:t>
            </w:r>
          </w:p>
        </w:tc>
        <w:tc>
          <w:tcPr>
            <w:tcW w:w="827" w:type="dxa"/>
          </w:tcPr>
          <w:p w:rsidR="00AF2508" w:rsidRDefault="00AF2508">
            <w:pPr>
              <w:pStyle w:val="TableText"/>
              <w:jc w:val="center"/>
              <w:rPr>
                <w:sz w:val="20"/>
              </w:rPr>
            </w:pPr>
            <w:r>
              <w:rPr>
                <w:sz w:val="20"/>
              </w:rPr>
              <w:t>5</w:t>
            </w:r>
          </w:p>
        </w:tc>
        <w:tc>
          <w:tcPr>
            <w:tcW w:w="827" w:type="dxa"/>
          </w:tcPr>
          <w:p w:rsidR="00AF2508" w:rsidRDefault="00AF2508">
            <w:pPr>
              <w:pStyle w:val="TableText"/>
              <w:jc w:val="center"/>
              <w:rPr>
                <w:sz w:val="20"/>
              </w:rPr>
            </w:pPr>
            <w:r>
              <w:rPr>
                <w:sz w:val="20"/>
              </w:rPr>
              <w:t>5</w:t>
            </w:r>
          </w:p>
        </w:tc>
      </w:tr>
      <w:tr w:rsidR="00AF2508">
        <w:trPr>
          <w:cantSplit/>
          <w:trHeight w:val="200"/>
        </w:trPr>
        <w:tc>
          <w:tcPr>
            <w:tcW w:w="1280" w:type="dxa"/>
            <w:tcBorders>
              <w:bottom w:val="single" w:sz="6" w:space="0" w:color="auto"/>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827" w:type="dxa"/>
            <w:tcBorders>
              <w:bottom w:val="single" w:sz="6" w:space="0" w:color="auto"/>
            </w:tcBorders>
          </w:tcPr>
          <w:p w:rsidR="00AF2508" w:rsidRDefault="00AF2508">
            <w:pPr>
              <w:pStyle w:val="TableText"/>
              <w:jc w:val="center"/>
              <w:rPr>
                <w:sz w:val="20"/>
              </w:rPr>
            </w:pPr>
            <w:r>
              <w:rPr>
                <w:sz w:val="20"/>
              </w:rPr>
              <w:t>11</w:t>
            </w:r>
          </w:p>
        </w:tc>
        <w:tc>
          <w:tcPr>
            <w:tcW w:w="827" w:type="dxa"/>
            <w:tcBorders>
              <w:bottom w:val="single" w:sz="6" w:space="0" w:color="auto"/>
            </w:tcBorders>
          </w:tcPr>
          <w:p w:rsidR="00AF2508" w:rsidRDefault="00AF2508">
            <w:pPr>
              <w:pStyle w:val="TableText"/>
              <w:jc w:val="center"/>
              <w:rPr>
                <w:sz w:val="20"/>
              </w:rPr>
            </w:pPr>
            <w:r>
              <w:rPr>
                <w:sz w:val="20"/>
              </w:rPr>
              <w:t>0</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21</w:t>
            </w:r>
          </w:p>
        </w:tc>
        <w:tc>
          <w:tcPr>
            <w:tcW w:w="827" w:type="dxa"/>
            <w:tcBorders>
              <w:bottom w:val="single" w:sz="6" w:space="0" w:color="auto"/>
            </w:tcBorders>
          </w:tcPr>
          <w:p w:rsidR="00AF2508" w:rsidRDefault="00AF2508">
            <w:pPr>
              <w:pStyle w:val="TableText"/>
              <w:jc w:val="center"/>
              <w:rPr>
                <w:sz w:val="20"/>
              </w:rPr>
            </w:pPr>
            <w:r>
              <w:rPr>
                <w:sz w:val="20"/>
              </w:rPr>
              <w:t>5</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19</w:t>
            </w:r>
          </w:p>
        </w:tc>
        <w:tc>
          <w:tcPr>
            <w:tcW w:w="827" w:type="dxa"/>
            <w:tcBorders>
              <w:bottom w:val="single" w:sz="6" w:space="0" w:color="auto"/>
            </w:tcBorders>
          </w:tcPr>
          <w:p w:rsidR="00AF2508" w:rsidRDefault="00AF2508">
            <w:pPr>
              <w:pStyle w:val="TableText"/>
              <w:jc w:val="center"/>
              <w:rPr>
                <w:sz w:val="20"/>
              </w:rPr>
            </w:pPr>
            <w:r>
              <w:rPr>
                <w:sz w:val="20"/>
              </w:rPr>
              <w:t>2</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15</w:t>
            </w:r>
          </w:p>
        </w:tc>
        <w:tc>
          <w:tcPr>
            <w:tcW w:w="827" w:type="dxa"/>
            <w:tcBorders>
              <w:bottom w:val="single" w:sz="6" w:space="0" w:color="auto"/>
            </w:tcBorders>
          </w:tcPr>
          <w:p w:rsidR="00AF2508" w:rsidRDefault="00AF2508">
            <w:pPr>
              <w:pStyle w:val="TableText"/>
              <w:jc w:val="center"/>
              <w:rPr>
                <w:sz w:val="20"/>
              </w:rPr>
            </w:pPr>
            <w:r>
              <w:rPr>
                <w:sz w:val="20"/>
              </w:rPr>
              <w:t>11</w:t>
            </w:r>
          </w:p>
        </w:tc>
        <w:tc>
          <w:tcPr>
            <w:tcW w:w="827" w:type="dxa"/>
            <w:tcBorders>
              <w:left w:val="single" w:sz="6" w:space="0" w:color="auto"/>
              <w:bottom w:val="single" w:sz="6" w:space="0" w:color="auto"/>
            </w:tcBorders>
          </w:tcPr>
          <w:p w:rsidR="00AF2508" w:rsidRDefault="00AF2508">
            <w:pPr>
              <w:pStyle w:val="TableText"/>
              <w:jc w:val="center"/>
              <w:rPr>
                <w:sz w:val="20"/>
              </w:rPr>
            </w:pPr>
            <w:r>
              <w:rPr>
                <w:sz w:val="20"/>
              </w:rPr>
              <w:t>11</w:t>
            </w:r>
          </w:p>
        </w:tc>
        <w:tc>
          <w:tcPr>
            <w:tcW w:w="827" w:type="dxa"/>
            <w:tcBorders>
              <w:bottom w:val="single" w:sz="6" w:space="0" w:color="auto"/>
              <w:right w:val="single" w:sz="6" w:space="0" w:color="auto"/>
            </w:tcBorders>
          </w:tcPr>
          <w:p w:rsidR="00AF2508" w:rsidRDefault="00AF2508">
            <w:pPr>
              <w:pStyle w:val="TableText"/>
              <w:jc w:val="center"/>
              <w:rPr>
                <w:sz w:val="20"/>
              </w:rPr>
            </w:pPr>
            <w:r>
              <w:rPr>
                <w:sz w:val="20"/>
              </w:rPr>
              <w:t>0</w:t>
            </w:r>
          </w:p>
        </w:tc>
        <w:tc>
          <w:tcPr>
            <w:tcW w:w="827" w:type="dxa"/>
            <w:tcBorders>
              <w:bottom w:val="single" w:sz="6" w:space="0" w:color="auto"/>
            </w:tcBorders>
          </w:tcPr>
          <w:p w:rsidR="00AF2508" w:rsidRDefault="00AF2508">
            <w:pPr>
              <w:pStyle w:val="TableText"/>
              <w:jc w:val="center"/>
              <w:rPr>
                <w:sz w:val="20"/>
              </w:rPr>
            </w:pPr>
            <w:r>
              <w:rPr>
                <w:sz w:val="20"/>
              </w:rPr>
              <w:t>5</w:t>
            </w:r>
          </w:p>
        </w:tc>
        <w:tc>
          <w:tcPr>
            <w:tcW w:w="827" w:type="dxa"/>
            <w:tcBorders>
              <w:bottom w:val="single" w:sz="6" w:space="0" w:color="auto"/>
            </w:tcBorders>
          </w:tcPr>
          <w:p w:rsidR="00AF2508" w:rsidRDefault="00AF2508">
            <w:pPr>
              <w:pStyle w:val="TableText"/>
              <w:jc w:val="center"/>
              <w:rPr>
                <w:sz w:val="20"/>
              </w:rPr>
            </w:pPr>
            <w:r>
              <w:rPr>
                <w:sz w:val="20"/>
              </w:rPr>
              <w:t>14</w:t>
            </w:r>
          </w:p>
        </w:tc>
      </w:tr>
    </w:tbl>
    <w:p w:rsidR="00AF2508" w:rsidRDefault="00AF2508">
      <w:pPr>
        <w:pStyle w:val="02TextLandscape"/>
        <w:sectPr w:rsidR="00AF2508">
          <w:headerReference w:type="even" r:id="rId149"/>
          <w:headerReference w:type="default" r:id="rId150"/>
          <w:footerReference w:type="even" r:id="rId151"/>
          <w:footerReference w:type="default" r:id="rId152"/>
          <w:pgSz w:w="16839" w:h="11907" w:orient="landscape" w:code="9"/>
          <w:pgMar w:top="2300" w:right="3000" w:bottom="1900" w:left="2500" w:header="2480" w:footer="2100" w:gutter="0"/>
          <w:cols w:space="720"/>
          <w:docGrid w:linePitch="254"/>
        </w:sectPr>
      </w:pPr>
    </w:p>
    <w:p w:rsidR="00AF2508" w:rsidRDefault="00AF2508">
      <w:pPr>
        <w:pStyle w:val="TableHd"/>
        <w:ind w:right="-133"/>
      </w:pPr>
      <w:r>
        <w:t>Maximum safe working load for chain used in chain blocks*—Classification 1</w:t>
      </w:r>
    </w:p>
    <w:tbl>
      <w:tblPr>
        <w:tblW w:w="0" w:type="auto"/>
        <w:tblLayout w:type="fixed"/>
        <w:tblCellMar>
          <w:left w:w="80" w:type="dxa"/>
          <w:right w:w="80" w:type="dxa"/>
        </w:tblCellMar>
        <w:tblLook w:val="0000" w:firstRow="0" w:lastRow="0" w:firstColumn="0" w:lastColumn="0" w:noHBand="0" w:noVBand="0"/>
      </w:tblPr>
      <w:tblGrid>
        <w:gridCol w:w="2380"/>
        <w:gridCol w:w="2980"/>
        <w:gridCol w:w="1920"/>
      </w:tblGrid>
      <w:tr w:rsidR="00AF2508">
        <w:trPr>
          <w:cantSplit/>
        </w:trPr>
        <w:tc>
          <w:tcPr>
            <w:tcW w:w="2380" w:type="dxa"/>
          </w:tcPr>
          <w:p w:rsidR="00AF2508" w:rsidRDefault="00AF2508">
            <w:pPr>
              <w:pStyle w:val="TableColHd"/>
              <w:jc w:val="center"/>
            </w:pPr>
            <w:r>
              <w:t>size of chain</w:t>
            </w:r>
          </w:p>
        </w:tc>
        <w:tc>
          <w:tcPr>
            <w:tcW w:w="4900" w:type="dxa"/>
            <w:gridSpan w:val="2"/>
            <w:tcBorders>
              <w:bottom w:val="single" w:sz="6" w:space="0" w:color="auto"/>
            </w:tcBorders>
          </w:tcPr>
          <w:p w:rsidR="00AF2508" w:rsidRDefault="00AF2508">
            <w:pPr>
              <w:pStyle w:val="TableColHd"/>
              <w:jc w:val="center"/>
            </w:pPr>
            <w:r>
              <w:t>safe working load per fall (part) of chain</w:t>
            </w:r>
          </w:p>
        </w:tc>
      </w:tr>
      <w:tr w:rsidR="00AF2508">
        <w:trPr>
          <w:cantSplit/>
        </w:trPr>
        <w:tc>
          <w:tcPr>
            <w:tcW w:w="2380" w:type="dxa"/>
            <w:tcBorders>
              <w:bottom w:val="single" w:sz="6" w:space="0" w:color="auto"/>
            </w:tcBorders>
          </w:tcPr>
          <w:p w:rsidR="00AF2508" w:rsidRDefault="00AF2508">
            <w:pPr>
              <w:pStyle w:val="TableColHd"/>
              <w:jc w:val="center"/>
            </w:pPr>
            <w:r>
              <w:t>(inches)</w:t>
            </w:r>
          </w:p>
        </w:tc>
        <w:tc>
          <w:tcPr>
            <w:tcW w:w="2980" w:type="dxa"/>
            <w:tcBorders>
              <w:bottom w:val="single" w:sz="6" w:space="0" w:color="auto"/>
            </w:tcBorders>
          </w:tcPr>
          <w:p w:rsidR="00AF2508" w:rsidRDefault="00AF2508">
            <w:pPr>
              <w:pStyle w:val="TableColHd"/>
              <w:jc w:val="center"/>
            </w:pPr>
            <w:r>
              <w:t>tons</w:t>
            </w:r>
          </w:p>
        </w:tc>
        <w:tc>
          <w:tcPr>
            <w:tcW w:w="1920" w:type="dxa"/>
            <w:tcBorders>
              <w:bottom w:val="single" w:sz="6" w:space="0" w:color="auto"/>
            </w:tcBorders>
          </w:tcPr>
          <w:p w:rsidR="00AF2508" w:rsidRDefault="00AF2508">
            <w:pPr>
              <w:pStyle w:val="TableColHd"/>
              <w:jc w:val="center"/>
            </w:pPr>
            <w:r>
              <w:t>cwts</w:t>
            </w:r>
          </w:p>
        </w:tc>
      </w:tr>
      <w:tr w:rsidR="00AF2508">
        <w:trPr>
          <w:cantSplit/>
        </w:trPr>
        <w:tc>
          <w:tcPr>
            <w:tcW w:w="2380" w:type="dxa"/>
            <w:tcBorders>
              <w:top w:val="single" w:sz="6" w:space="0" w:color="auto"/>
            </w:tcBorders>
          </w:tcPr>
          <w:p w:rsidR="00AF2508" w:rsidRDefault="00AF2508">
            <w:pPr>
              <w:pStyle w:val="TableText"/>
              <w:jc w:val="center"/>
              <w:rPr>
                <w:sz w:val="20"/>
              </w:rPr>
            </w:pPr>
            <w:r>
              <w:rPr>
                <w:position w:val="6"/>
                <w:sz w:val="20"/>
              </w:rPr>
              <w:t>5</w:t>
            </w:r>
            <w:r>
              <w:rPr>
                <w:sz w:val="20"/>
              </w:rPr>
              <w:t>/16</w:t>
            </w:r>
          </w:p>
        </w:tc>
        <w:tc>
          <w:tcPr>
            <w:tcW w:w="2980" w:type="dxa"/>
            <w:tcBorders>
              <w:top w:val="single" w:sz="6" w:space="0" w:color="auto"/>
            </w:tcBorders>
          </w:tcPr>
          <w:p w:rsidR="00AF2508" w:rsidRDefault="00AF2508">
            <w:pPr>
              <w:pStyle w:val="TableText"/>
              <w:jc w:val="center"/>
              <w:rPr>
                <w:sz w:val="20"/>
              </w:rPr>
            </w:pPr>
            <w:r>
              <w:rPr>
                <w:sz w:val="20"/>
              </w:rPr>
              <w:t>0</w:t>
            </w:r>
          </w:p>
        </w:tc>
        <w:tc>
          <w:tcPr>
            <w:tcW w:w="1920" w:type="dxa"/>
            <w:tcBorders>
              <w:top w:val="single" w:sz="6" w:space="0" w:color="auto"/>
            </w:tcBorders>
          </w:tcPr>
          <w:p w:rsidR="00AF2508" w:rsidRDefault="00AF2508">
            <w:pPr>
              <w:pStyle w:val="TableText"/>
              <w:jc w:val="center"/>
              <w:rPr>
                <w:sz w:val="20"/>
              </w:rPr>
            </w:pPr>
            <w:r>
              <w:rPr>
                <w:sz w:val="20"/>
              </w:rPr>
              <w:t>13</w:t>
            </w:r>
          </w:p>
        </w:tc>
      </w:tr>
      <w:tr w:rsidR="00AF2508">
        <w:trPr>
          <w:cantSplit/>
        </w:trPr>
        <w:tc>
          <w:tcPr>
            <w:tcW w:w="2380" w:type="dxa"/>
          </w:tcPr>
          <w:p w:rsidR="00AF2508" w:rsidRDefault="00AF2508">
            <w:pPr>
              <w:pStyle w:val="TableText"/>
              <w:jc w:val="center"/>
              <w:rPr>
                <w:sz w:val="20"/>
              </w:rPr>
            </w:pPr>
            <w:r>
              <w:rPr>
                <w:position w:val="6"/>
                <w:sz w:val="20"/>
              </w:rPr>
              <w:t>3</w:t>
            </w:r>
            <w:r>
              <w:rPr>
                <w:sz w:val="20"/>
              </w:rPr>
              <w:t>/8</w:t>
            </w:r>
          </w:p>
        </w:tc>
        <w:tc>
          <w:tcPr>
            <w:tcW w:w="2980" w:type="dxa"/>
          </w:tcPr>
          <w:p w:rsidR="00AF2508" w:rsidRDefault="00AF2508">
            <w:pPr>
              <w:pStyle w:val="TableText"/>
              <w:jc w:val="center"/>
              <w:rPr>
                <w:sz w:val="20"/>
              </w:rPr>
            </w:pPr>
            <w:r>
              <w:rPr>
                <w:sz w:val="20"/>
              </w:rPr>
              <w:t>0</w:t>
            </w:r>
          </w:p>
        </w:tc>
        <w:tc>
          <w:tcPr>
            <w:tcW w:w="1920" w:type="dxa"/>
          </w:tcPr>
          <w:p w:rsidR="00AF2508" w:rsidRDefault="00AF2508">
            <w:pPr>
              <w:pStyle w:val="TableText"/>
              <w:jc w:val="center"/>
              <w:rPr>
                <w:sz w:val="20"/>
              </w:rPr>
            </w:pPr>
            <w:r>
              <w:rPr>
                <w:sz w:val="20"/>
              </w:rPr>
              <w:t>19</w:t>
            </w:r>
          </w:p>
        </w:tc>
      </w:tr>
      <w:tr w:rsidR="00AF2508">
        <w:trPr>
          <w:cantSplit/>
        </w:trPr>
        <w:tc>
          <w:tcPr>
            <w:tcW w:w="2380" w:type="dxa"/>
          </w:tcPr>
          <w:p w:rsidR="00AF2508" w:rsidRDefault="00AF2508">
            <w:pPr>
              <w:pStyle w:val="TableText"/>
              <w:jc w:val="center"/>
              <w:rPr>
                <w:sz w:val="20"/>
              </w:rPr>
            </w:pPr>
            <w:r>
              <w:rPr>
                <w:position w:val="6"/>
                <w:sz w:val="20"/>
              </w:rPr>
              <w:t>7</w:t>
            </w:r>
            <w:r>
              <w:rPr>
                <w:sz w:val="20"/>
              </w:rPr>
              <w:t>/16</w:t>
            </w:r>
          </w:p>
        </w:tc>
        <w:tc>
          <w:tcPr>
            <w:tcW w:w="2980" w:type="dxa"/>
          </w:tcPr>
          <w:p w:rsidR="00AF2508" w:rsidRDefault="00AF2508">
            <w:pPr>
              <w:pStyle w:val="TableText"/>
              <w:jc w:val="center"/>
              <w:rPr>
                <w:sz w:val="20"/>
              </w:rPr>
            </w:pPr>
            <w:r>
              <w:rPr>
                <w:sz w:val="20"/>
              </w:rPr>
              <w:t>1</w:t>
            </w:r>
          </w:p>
        </w:tc>
        <w:tc>
          <w:tcPr>
            <w:tcW w:w="1920" w:type="dxa"/>
          </w:tcPr>
          <w:p w:rsidR="00AF2508" w:rsidRDefault="00AF2508">
            <w:pPr>
              <w:pStyle w:val="TableText"/>
              <w:jc w:val="center"/>
              <w:rPr>
                <w:sz w:val="20"/>
              </w:rPr>
            </w:pPr>
            <w:r>
              <w:rPr>
                <w:sz w:val="20"/>
              </w:rPr>
              <w:t>6</w:t>
            </w:r>
          </w:p>
        </w:tc>
      </w:tr>
      <w:tr w:rsidR="00AF2508">
        <w:trPr>
          <w:cantSplit/>
        </w:trPr>
        <w:tc>
          <w:tcPr>
            <w:tcW w:w="2380" w:type="dxa"/>
          </w:tcPr>
          <w:p w:rsidR="00AF2508" w:rsidRDefault="00AF2508">
            <w:pPr>
              <w:pStyle w:val="TableText"/>
              <w:jc w:val="center"/>
              <w:rPr>
                <w:sz w:val="20"/>
              </w:rPr>
            </w:pPr>
            <w:r>
              <w:rPr>
                <w:position w:val="6"/>
                <w:sz w:val="20"/>
              </w:rPr>
              <w:t>1</w:t>
            </w:r>
            <w:r>
              <w:rPr>
                <w:sz w:val="20"/>
              </w:rPr>
              <w:t>/2</w:t>
            </w:r>
          </w:p>
        </w:tc>
        <w:tc>
          <w:tcPr>
            <w:tcW w:w="2980" w:type="dxa"/>
          </w:tcPr>
          <w:p w:rsidR="00AF2508" w:rsidRDefault="00AF2508">
            <w:pPr>
              <w:pStyle w:val="TableText"/>
              <w:jc w:val="center"/>
              <w:rPr>
                <w:sz w:val="20"/>
              </w:rPr>
            </w:pPr>
            <w:r>
              <w:rPr>
                <w:sz w:val="20"/>
              </w:rPr>
              <w:t>1</w:t>
            </w:r>
          </w:p>
        </w:tc>
        <w:tc>
          <w:tcPr>
            <w:tcW w:w="1920" w:type="dxa"/>
          </w:tcPr>
          <w:p w:rsidR="00AF2508" w:rsidRDefault="00AF2508">
            <w:pPr>
              <w:pStyle w:val="TableText"/>
              <w:jc w:val="center"/>
              <w:rPr>
                <w:sz w:val="20"/>
              </w:rPr>
            </w:pPr>
            <w:r>
              <w:rPr>
                <w:sz w:val="20"/>
              </w:rPr>
              <w:t>13</w:t>
            </w:r>
          </w:p>
        </w:tc>
      </w:tr>
      <w:tr w:rsidR="00AF2508">
        <w:trPr>
          <w:cantSplit/>
        </w:trPr>
        <w:tc>
          <w:tcPr>
            <w:tcW w:w="2380" w:type="dxa"/>
          </w:tcPr>
          <w:p w:rsidR="00AF2508" w:rsidRDefault="00AF2508">
            <w:pPr>
              <w:pStyle w:val="TableText"/>
              <w:jc w:val="center"/>
              <w:rPr>
                <w:sz w:val="20"/>
              </w:rPr>
            </w:pPr>
            <w:r>
              <w:rPr>
                <w:position w:val="6"/>
                <w:sz w:val="20"/>
              </w:rPr>
              <w:t>9</w:t>
            </w:r>
            <w:r>
              <w:rPr>
                <w:sz w:val="20"/>
              </w:rPr>
              <w:t>/16</w:t>
            </w:r>
          </w:p>
        </w:tc>
        <w:tc>
          <w:tcPr>
            <w:tcW w:w="2980" w:type="dxa"/>
          </w:tcPr>
          <w:p w:rsidR="00AF2508" w:rsidRDefault="00AF2508">
            <w:pPr>
              <w:pStyle w:val="TableText"/>
              <w:jc w:val="center"/>
              <w:rPr>
                <w:sz w:val="20"/>
              </w:rPr>
            </w:pPr>
            <w:r>
              <w:rPr>
                <w:sz w:val="20"/>
              </w:rPr>
              <w:t>2</w:t>
            </w:r>
          </w:p>
        </w:tc>
        <w:tc>
          <w:tcPr>
            <w:tcW w:w="1920" w:type="dxa"/>
          </w:tcPr>
          <w:p w:rsidR="00AF2508" w:rsidRDefault="00AF2508">
            <w:pPr>
              <w:pStyle w:val="TableText"/>
              <w:jc w:val="center"/>
              <w:rPr>
                <w:sz w:val="20"/>
              </w:rPr>
            </w:pPr>
            <w:r>
              <w:rPr>
                <w:sz w:val="20"/>
              </w:rPr>
              <w:t>2</w:t>
            </w:r>
          </w:p>
        </w:tc>
      </w:tr>
    </w:tbl>
    <w:p w:rsidR="00AF2508" w:rsidRDefault="00AF2508">
      <w:pPr>
        <w:spacing w:before="120"/>
        <w:ind w:left="285" w:hanging="285"/>
        <w:rPr>
          <w:sz w:val="20"/>
        </w:rPr>
      </w:pPr>
      <w:r>
        <w:rPr>
          <w:sz w:val="20"/>
        </w:rPr>
        <w:t>*</w:t>
      </w:r>
      <w:r>
        <w:rPr>
          <w:sz w:val="20"/>
        </w:rPr>
        <w:tab/>
        <w:t>The overall width of the links of this chain must not exceed 3</w:t>
      </w:r>
      <w:r>
        <w:rPr>
          <w:position w:val="6"/>
          <w:sz w:val="20"/>
        </w:rPr>
        <w:t>1</w:t>
      </w:r>
      <w:r>
        <w:rPr>
          <w:sz w:val="20"/>
        </w:rPr>
        <w:t>/4 times the size of the chain.</w:t>
      </w:r>
    </w:p>
    <w:p w:rsidR="00AF2508" w:rsidRDefault="00AF2508"/>
    <w:p w:rsidR="00AF2508" w:rsidRDefault="00AF2508">
      <w:pPr>
        <w:pStyle w:val="TableHd"/>
        <w:ind w:right="-133"/>
      </w:pPr>
      <w:r>
        <w:t>Maximum safe working load for chain used in chain blocks*—Classification 2</w:t>
      </w:r>
    </w:p>
    <w:tbl>
      <w:tblPr>
        <w:tblW w:w="0" w:type="auto"/>
        <w:tblLayout w:type="fixed"/>
        <w:tblCellMar>
          <w:left w:w="80" w:type="dxa"/>
          <w:right w:w="80" w:type="dxa"/>
        </w:tblCellMar>
        <w:tblLook w:val="0000" w:firstRow="0" w:lastRow="0" w:firstColumn="0" w:lastColumn="0" w:noHBand="0" w:noVBand="0"/>
      </w:tblPr>
      <w:tblGrid>
        <w:gridCol w:w="2380"/>
        <w:gridCol w:w="2980"/>
        <w:gridCol w:w="1920"/>
      </w:tblGrid>
      <w:tr w:rsidR="00AF2508">
        <w:trPr>
          <w:cantSplit/>
        </w:trPr>
        <w:tc>
          <w:tcPr>
            <w:tcW w:w="2380" w:type="dxa"/>
          </w:tcPr>
          <w:p w:rsidR="00AF2508" w:rsidRDefault="00AF2508">
            <w:pPr>
              <w:pStyle w:val="TableColHd"/>
              <w:jc w:val="center"/>
            </w:pPr>
            <w:r>
              <w:t>size of chain</w:t>
            </w:r>
          </w:p>
        </w:tc>
        <w:tc>
          <w:tcPr>
            <w:tcW w:w="4900" w:type="dxa"/>
            <w:gridSpan w:val="2"/>
            <w:tcBorders>
              <w:bottom w:val="single" w:sz="6" w:space="0" w:color="auto"/>
            </w:tcBorders>
          </w:tcPr>
          <w:p w:rsidR="00AF2508" w:rsidRDefault="00AF2508">
            <w:pPr>
              <w:pStyle w:val="TableColHd"/>
              <w:jc w:val="center"/>
            </w:pPr>
            <w:r>
              <w:t>safe working load per fall (part) of chain</w:t>
            </w:r>
          </w:p>
        </w:tc>
      </w:tr>
      <w:tr w:rsidR="00AF2508">
        <w:trPr>
          <w:cantSplit/>
        </w:trPr>
        <w:tc>
          <w:tcPr>
            <w:tcW w:w="2380" w:type="dxa"/>
            <w:tcBorders>
              <w:bottom w:val="single" w:sz="6" w:space="0" w:color="auto"/>
            </w:tcBorders>
          </w:tcPr>
          <w:p w:rsidR="00AF2508" w:rsidRDefault="00AF2508">
            <w:pPr>
              <w:pStyle w:val="TableColHd"/>
              <w:jc w:val="center"/>
            </w:pPr>
            <w:r>
              <w:t>(inches)</w:t>
            </w:r>
          </w:p>
        </w:tc>
        <w:tc>
          <w:tcPr>
            <w:tcW w:w="2980" w:type="dxa"/>
            <w:tcBorders>
              <w:bottom w:val="single" w:sz="6" w:space="0" w:color="auto"/>
            </w:tcBorders>
          </w:tcPr>
          <w:p w:rsidR="00AF2508" w:rsidRDefault="00AF2508">
            <w:pPr>
              <w:pStyle w:val="TableColHd"/>
              <w:jc w:val="center"/>
            </w:pPr>
            <w:r>
              <w:t>tons</w:t>
            </w:r>
          </w:p>
        </w:tc>
        <w:tc>
          <w:tcPr>
            <w:tcW w:w="1920" w:type="dxa"/>
            <w:tcBorders>
              <w:bottom w:val="single" w:sz="6" w:space="0" w:color="auto"/>
            </w:tcBorders>
          </w:tcPr>
          <w:p w:rsidR="00AF2508" w:rsidRDefault="00AF2508">
            <w:pPr>
              <w:pStyle w:val="TableColHd"/>
              <w:jc w:val="center"/>
            </w:pPr>
            <w:r>
              <w:t>cwts</w:t>
            </w:r>
          </w:p>
        </w:tc>
      </w:tr>
      <w:tr w:rsidR="00AF2508">
        <w:trPr>
          <w:cantSplit/>
        </w:trPr>
        <w:tc>
          <w:tcPr>
            <w:tcW w:w="2380" w:type="dxa"/>
            <w:tcBorders>
              <w:top w:val="single" w:sz="6" w:space="0" w:color="auto"/>
            </w:tcBorders>
          </w:tcPr>
          <w:p w:rsidR="00AF2508" w:rsidRDefault="00AF2508">
            <w:pPr>
              <w:pStyle w:val="TableText"/>
              <w:jc w:val="center"/>
              <w:rPr>
                <w:sz w:val="20"/>
              </w:rPr>
            </w:pPr>
            <w:r>
              <w:rPr>
                <w:position w:val="6"/>
                <w:sz w:val="20"/>
              </w:rPr>
              <w:t>5</w:t>
            </w:r>
            <w:r>
              <w:rPr>
                <w:sz w:val="20"/>
              </w:rPr>
              <w:t>/16</w:t>
            </w:r>
          </w:p>
        </w:tc>
        <w:tc>
          <w:tcPr>
            <w:tcW w:w="2980" w:type="dxa"/>
            <w:tcBorders>
              <w:top w:val="single" w:sz="6" w:space="0" w:color="auto"/>
            </w:tcBorders>
          </w:tcPr>
          <w:p w:rsidR="00AF2508" w:rsidRDefault="00AF2508">
            <w:pPr>
              <w:pStyle w:val="TableText"/>
              <w:jc w:val="center"/>
              <w:rPr>
                <w:sz w:val="20"/>
              </w:rPr>
            </w:pPr>
            <w:r>
              <w:rPr>
                <w:sz w:val="20"/>
              </w:rPr>
              <w:t>0</w:t>
            </w:r>
          </w:p>
        </w:tc>
        <w:tc>
          <w:tcPr>
            <w:tcW w:w="1920" w:type="dxa"/>
            <w:tcBorders>
              <w:top w:val="single" w:sz="6" w:space="0" w:color="auto"/>
            </w:tcBorders>
          </w:tcPr>
          <w:p w:rsidR="00AF2508" w:rsidRDefault="00AF2508">
            <w:pPr>
              <w:pStyle w:val="TableText"/>
              <w:jc w:val="center"/>
              <w:rPr>
                <w:sz w:val="20"/>
              </w:rPr>
            </w:pPr>
            <w:r>
              <w:rPr>
                <w:sz w:val="20"/>
              </w:rPr>
              <w:t>11</w:t>
            </w:r>
          </w:p>
        </w:tc>
      </w:tr>
      <w:tr w:rsidR="00AF2508">
        <w:trPr>
          <w:cantSplit/>
        </w:trPr>
        <w:tc>
          <w:tcPr>
            <w:tcW w:w="2380" w:type="dxa"/>
          </w:tcPr>
          <w:p w:rsidR="00AF2508" w:rsidRDefault="00AF2508">
            <w:pPr>
              <w:pStyle w:val="TableText"/>
              <w:jc w:val="center"/>
              <w:rPr>
                <w:sz w:val="20"/>
              </w:rPr>
            </w:pPr>
            <w:r>
              <w:rPr>
                <w:position w:val="6"/>
                <w:sz w:val="20"/>
              </w:rPr>
              <w:t>3</w:t>
            </w:r>
            <w:r>
              <w:rPr>
                <w:sz w:val="20"/>
              </w:rPr>
              <w:t>/8</w:t>
            </w:r>
          </w:p>
        </w:tc>
        <w:tc>
          <w:tcPr>
            <w:tcW w:w="2980" w:type="dxa"/>
          </w:tcPr>
          <w:p w:rsidR="00AF2508" w:rsidRDefault="00AF2508">
            <w:pPr>
              <w:pStyle w:val="TableText"/>
              <w:jc w:val="center"/>
              <w:rPr>
                <w:sz w:val="20"/>
              </w:rPr>
            </w:pPr>
            <w:r>
              <w:rPr>
                <w:sz w:val="20"/>
              </w:rPr>
              <w:t>0</w:t>
            </w:r>
          </w:p>
        </w:tc>
        <w:tc>
          <w:tcPr>
            <w:tcW w:w="1920" w:type="dxa"/>
          </w:tcPr>
          <w:p w:rsidR="00AF2508" w:rsidRDefault="00AF2508">
            <w:pPr>
              <w:pStyle w:val="TableText"/>
              <w:jc w:val="center"/>
              <w:rPr>
                <w:sz w:val="20"/>
              </w:rPr>
            </w:pPr>
            <w:r>
              <w:rPr>
                <w:sz w:val="20"/>
              </w:rPr>
              <w:t>16</w:t>
            </w:r>
          </w:p>
        </w:tc>
      </w:tr>
      <w:tr w:rsidR="00AF2508">
        <w:trPr>
          <w:cantSplit/>
        </w:trPr>
        <w:tc>
          <w:tcPr>
            <w:tcW w:w="2380" w:type="dxa"/>
          </w:tcPr>
          <w:p w:rsidR="00AF2508" w:rsidRDefault="00AF2508">
            <w:pPr>
              <w:pStyle w:val="TableText"/>
              <w:jc w:val="center"/>
              <w:rPr>
                <w:sz w:val="20"/>
              </w:rPr>
            </w:pPr>
            <w:r>
              <w:rPr>
                <w:position w:val="6"/>
                <w:sz w:val="20"/>
              </w:rPr>
              <w:t>7</w:t>
            </w:r>
            <w:r>
              <w:rPr>
                <w:sz w:val="20"/>
              </w:rPr>
              <w:t>/16</w:t>
            </w:r>
          </w:p>
        </w:tc>
        <w:tc>
          <w:tcPr>
            <w:tcW w:w="2980" w:type="dxa"/>
          </w:tcPr>
          <w:p w:rsidR="00AF2508" w:rsidRDefault="00AF2508">
            <w:pPr>
              <w:pStyle w:val="TableText"/>
              <w:jc w:val="center"/>
              <w:rPr>
                <w:sz w:val="20"/>
              </w:rPr>
            </w:pPr>
            <w:r>
              <w:rPr>
                <w:sz w:val="20"/>
              </w:rPr>
              <w:t>1</w:t>
            </w:r>
          </w:p>
        </w:tc>
        <w:tc>
          <w:tcPr>
            <w:tcW w:w="1920" w:type="dxa"/>
          </w:tcPr>
          <w:p w:rsidR="00AF2508" w:rsidRDefault="00AF2508">
            <w:pPr>
              <w:pStyle w:val="TableText"/>
              <w:jc w:val="center"/>
              <w:rPr>
                <w:sz w:val="20"/>
              </w:rPr>
            </w:pPr>
            <w:r>
              <w:rPr>
                <w:sz w:val="20"/>
              </w:rPr>
              <w:t>1</w:t>
            </w:r>
          </w:p>
        </w:tc>
      </w:tr>
      <w:tr w:rsidR="00AF2508">
        <w:trPr>
          <w:cantSplit/>
        </w:trPr>
        <w:tc>
          <w:tcPr>
            <w:tcW w:w="2380" w:type="dxa"/>
          </w:tcPr>
          <w:p w:rsidR="00AF2508" w:rsidRDefault="00AF2508">
            <w:pPr>
              <w:pStyle w:val="TableText"/>
              <w:jc w:val="center"/>
              <w:rPr>
                <w:sz w:val="20"/>
              </w:rPr>
            </w:pPr>
            <w:r>
              <w:rPr>
                <w:position w:val="6"/>
                <w:sz w:val="20"/>
              </w:rPr>
              <w:t>1</w:t>
            </w:r>
            <w:r>
              <w:rPr>
                <w:sz w:val="20"/>
              </w:rPr>
              <w:t>/2</w:t>
            </w:r>
          </w:p>
        </w:tc>
        <w:tc>
          <w:tcPr>
            <w:tcW w:w="2980" w:type="dxa"/>
          </w:tcPr>
          <w:p w:rsidR="00AF2508" w:rsidRDefault="00AF2508">
            <w:pPr>
              <w:pStyle w:val="TableText"/>
              <w:jc w:val="center"/>
              <w:rPr>
                <w:sz w:val="20"/>
              </w:rPr>
            </w:pPr>
            <w:r>
              <w:rPr>
                <w:sz w:val="20"/>
              </w:rPr>
              <w:t>1</w:t>
            </w:r>
          </w:p>
        </w:tc>
        <w:tc>
          <w:tcPr>
            <w:tcW w:w="1920" w:type="dxa"/>
          </w:tcPr>
          <w:p w:rsidR="00AF2508" w:rsidRDefault="00AF2508">
            <w:pPr>
              <w:pStyle w:val="TableText"/>
              <w:jc w:val="center"/>
              <w:rPr>
                <w:sz w:val="20"/>
              </w:rPr>
            </w:pPr>
            <w:r>
              <w:rPr>
                <w:sz w:val="20"/>
              </w:rPr>
              <w:t>10</w:t>
            </w:r>
          </w:p>
        </w:tc>
      </w:tr>
      <w:tr w:rsidR="00AF2508">
        <w:trPr>
          <w:cantSplit/>
        </w:trPr>
        <w:tc>
          <w:tcPr>
            <w:tcW w:w="2380" w:type="dxa"/>
          </w:tcPr>
          <w:p w:rsidR="00AF2508" w:rsidRDefault="00AF2508">
            <w:pPr>
              <w:pStyle w:val="TableText"/>
              <w:jc w:val="center"/>
              <w:rPr>
                <w:sz w:val="20"/>
              </w:rPr>
            </w:pPr>
            <w:r>
              <w:rPr>
                <w:position w:val="6"/>
                <w:sz w:val="20"/>
              </w:rPr>
              <w:t>9</w:t>
            </w:r>
            <w:r>
              <w:rPr>
                <w:sz w:val="20"/>
              </w:rPr>
              <w:t>/16</w:t>
            </w:r>
          </w:p>
        </w:tc>
        <w:tc>
          <w:tcPr>
            <w:tcW w:w="2980" w:type="dxa"/>
          </w:tcPr>
          <w:p w:rsidR="00AF2508" w:rsidRDefault="00AF2508">
            <w:pPr>
              <w:pStyle w:val="TableText"/>
              <w:jc w:val="center"/>
              <w:rPr>
                <w:sz w:val="20"/>
              </w:rPr>
            </w:pPr>
            <w:r>
              <w:rPr>
                <w:sz w:val="20"/>
              </w:rPr>
              <w:t>2</w:t>
            </w:r>
          </w:p>
        </w:tc>
        <w:tc>
          <w:tcPr>
            <w:tcW w:w="1920" w:type="dxa"/>
          </w:tcPr>
          <w:p w:rsidR="00AF2508" w:rsidRDefault="00AF2508">
            <w:pPr>
              <w:pStyle w:val="TableText"/>
              <w:jc w:val="center"/>
              <w:rPr>
                <w:sz w:val="20"/>
              </w:rPr>
            </w:pPr>
            <w:r>
              <w:rPr>
                <w:sz w:val="20"/>
              </w:rPr>
              <w:t>0</w:t>
            </w:r>
          </w:p>
        </w:tc>
      </w:tr>
    </w:tbl>
    <w:p w:rsidR="00AF2508" w:rsidRDefault="00AF2508">
      <w:pPr>
        <w:spacing w:before="120"/>
        <w:ind w:left="285" w:hanging="285"/>
        <w:rPr>
          <w:sz w:val="20"/>
        </w:rPr>
      </w:pPr>
      <w:r>
        <w:rPr>
          <w:sz w:val="20"/>
        </w:rPr>
        <w:t>*</w:t>
      </w:r>
      <w:r>
        <w:rPr>
          <w:sz w:val="20"/>
        </w:rPr>
        <w:tab/>
        <w:t>The overall width of the links of this chain must not exceed 31/4 times the size of the chain.</w:t>
      </w:r>
    </w:p>
    <w:p w:rsidR="00AF2508" w:rsidRDefault="00AF2508"/>
    <w:p w:rsidR="00AF2508" w:rsidRDefault="00AF2508">
      <w:pPr>
        <w:pStyle w:val="Assectheading"/>
        <w:rPr>
          <w:rStyle w:val="charItals"/>
          <w:i/>
        </w:rPr>
      </w:pPr>
      <w:r>
        <w:rPr>
          <w:rStyle w:val="charItals"/>
          <w:i/>
        </w:rPr>
        <w:t>Drums, sheaves and quadrants for chain</w:t>
      </w:r>
    </w:p>
    <w:p w:rsidR="00AF2508" w:rsidRDefault="00AF2508">
      <w:pPr>
        <w:pStyle w:val="Amain"/>
      </w:pPr>
      <w:r>
        <w:tab/>
        <w:t>(20)</w:t>
      </w:r>
      <w:r>
        <w:tab/>
        <w:t>If chain is wound over or on drums, or over or on sheaves or quadrants that are not correctly pocketed, the drums, sheaves, and quadrants shall be grooved in an approved way and shall be not less in diameter than 24 times the size of the chain concerned.</w:t>
      </w:r>
    </w:p>
    <w:p w:rsidR="00AF2508" w:rsidRDefault="00AF2508">
      <w:pPr>
        <w:pStyle w:val="Assectheading"/>
      </w:pPr>
      <w:r>
        <w:rPr>
          <w:rStyle w:val="charItals"/>
          <w:i/>
        </w:rPr>
        <w:t>Swivel hooks for chain</w:t>
      </w:r>
    </w:p>
    <w:p w:rsidR="00AF2508" w:rsidRDefault="00AF2508">
      <w:pPr>
        <w:pStyle w:val="Amain"/>
      </w:pPr>
      <w:r>
        <w:tab/>
        <w:t>(21)</w:t>
      </w:r>
      <w:r>
        <w:tab/>
        <w:t>Lifting hooks, lifting eyes, attached to single falls (parts) of chain other than chain slings, shall be freely rotable under all conditions of loading, and if the load exceeds 2 tons shall be of the ball or roller thrust-bearing type.</w:t>
      </w:r>
    </w:p>
    <w:p w:rsidR="00AF2508" w:rsidRDefault="00AF2508">
      <w:pPr>
        <w:pStyle w:val="Amain"/>
      </w:pPr>
      <w:r>
        <w:tab/>
        <w:t>(22)</w:t>
      </w:r>
      <w:r>
        <w:tab/>
        <w:t>Provision shall be made to exclude dust and other foreign matter from thrust bearings.</w:t>
      </w:r>
    </w:p>
    <w:p w:rsidR="00AF2508" w:rsidRDefault="00AF2508">
      <w:pPr>
        <w:pStyle w:val="Assectheading"/>
      </w:pPr>
      <w:r>
        <w:rPr>
          <w:rStyle w:val="charItals"/>
          <w:i/>
        </w:rPr>
        <w:t>Guards for chain</w:t>
      </w:r>
    </w:p>
    <w:p w:rsidR="00AF2508" w:rsidRDefault="00AF2508">
      <w:pPr>
        <w:pStyle w:val="Amain"/>
      </w:pPr>
      <w:r>
        <w:tab/>
        <w:t>(23)</w:t>
      </w:r>
      <w:r>
        <w:tab/>
        <w:t>Guards shall be provided to prevent persons’ hands or other parts of their body being injured by the chains and sheaves or gypsies of hook blocks or bottom blocks of power cranes or power hoists.</w:t>
      </w:r>
    </w:p>
    <w:p w:rsidR="00AF2508" w:rsidRDefault="00AF2508">
      <w:pPr>
        <w:pStyle w:val="Assectheading"/>
      </w:pPr>
      <w:r>
        <w:rPr>
          <w:rStyle w:val="charItals"/>
          <w:i/>
        </w:rPr>
        <w:t>Heat treatment</w:t>
      </w:r>
    </w:p>
    <w:p w:rsidR="00AF2508" w:rsidRDefault="00AF2508">
      <w:pPr>
        <w:pStyle w:val="Amain"/>
      </w:pPr>
      <w:r>
        <w:tab/>
        <w:t>(24)</w:t>
      </w:r>
      <w:r>
        <w:tab/>
        <w:t>Chains shall be heat-treated after manufacture before being used.</w:t>
      </w:r>
    </w:p>
    <w:p w:rsidR="00AF2508" w:rsidRDefault="00AF2508">
      <w:pPr>
        <w:pStyle w:val="Amain"/>
      </w:pPr>
      <w:r>
        <w:tab/>
        <w:t>(25)</w:t>
      </w:r>
      <w:r>
        <w:tab/>
        <w:t>Mild steel chain shall be ‘normalised’, wrought iron chain shall be ‘annealed’.</w:t>
      </w:r>
    </w:p>
    <w:p w:rsidR="00AF2508" w:rsidRDefault="00AF2508">
      <w:pPr>
        <w:pStyle w:val="Amain"/>
      </w:pPr>
      <w:r>
        <w:tab/>
        <w:t>(26)</w:t>
      </w:r>
      <w:r>
        <w:tab/>
        <w:t>No chain shall be normalised or annealed after use except as provided in subsection (27).</w:t>
      </w:r>
    </w:p>
    <w:p w:rsidR="00AF2508" w:rsidRDefault="00AF2508">
      <w:pPr>
        <w:pStyle w:val="Amain"/>
      </w:pPr>
      <w:r>
        <w:tab/>
        <w:t>(27)</w:t>
      </w:r>
      <w:r>
        <w:tab/>
        <w:t>When chain is required, the affected parts shall be normalised or annealed as aforesaid before reuse.</w:t>
      </w:r>
    </w:p>
    <w:p w:rsidR="00AF2508" w:rsidRDefault="00AF2508">
      <w:pPr>
        <w:pStyle w:val="Assectheading"/>
      </w:pPr>
      <w:r>
        <w:rPr>
          <w:rStyle w:val="charItals"/>
          <w:i/>
        </w:rPr>
        <w:t>Periodic inspection</w:t>
      </w:r>
    </w:p>
    <w:p w:rsidR="00AF2508" w:rsidRDefault="00AF2508">
      <w:pPr>
        <w:pStyle w:val="Amain"/>
      </w:pPr>
      <w:r>
        <w:tab/>
        <w:t>(28)</w:t>
      </w:r>
      <w:r>
        <w:tab/>
        <w:t>No person shall use any chain or any attachment of it unless every link and the attachments of it have been thoroughly cleaned and subjected to close, detailed examination at the intervals that are necessary or advisable to ascertain whether flaws, cracks, or other defects exist and to ensure that defective chains or attachments are not used.</w:t>
      </w:r>
    </w:p>
    <w:p w:rsidR="00AF2508" w:rsidRDefault="00AF2508">
      <w:pPr>
        <w:pStyle w:val="Amain"/>
      </w:pPr>
      <w:r>
        <w:tab/>
        <w:t>(29)</w:t>
      </w:r>
      <w:r>
        <w:tab/>
        <w:t>A chain shall not be used if its links or attachments have flaws, cracks, or other defects liable to affect its safe use, or if the wear on any link or attachment exceeds 10% of the dimension measured.</w:t>
      </w:r>
    </w:p>
    <w:p w:rsidR="00AF2508" w:rsidRDefault="00AF2508">
      <w:pPr>
        <w:pStyle w:val="Assectheading"/>
      </w:pPr>
      <w:r>
        <w:rPr>
          <w:rStyle w:val="charItals"/>
          <w:i/>
        </w:rPr>
        <w:t>Testing of chain</w:t>
      </w:r>
    </w:p>
    <w:p w:rsidR="00AF2508" w:rsidRDefault="00AF2508">
      <w:pPr>
        <w:pStyle w:val="Amain"/>
      </w:pPr>
      <w:r>
        <w:tab/>
        <w:t>(30)</w:t>
      </w:r>
      <w:r>
        <w:tab/>
        <w:t>No person shall use any chain a part of which has not been tested in accordance with this section, or in relation to which the provisions of this section about the submitting of a test certificate or copy of the certificate have not been complied with.</w:t>
      </w:r>
    </w:p>
    <w:p w:rsidR="00AF2508" w:rsidRDefault="00AF2508">
      <w:pPr>
        <w:pStyle w:val="Amain"/>
      </w:pPr>
      <w:r>
        <w:tab/>
        <w:t>(31)</w:t>
      </w:r>
      <w:r>
        <w:tab/>
        <w:t>Every person acquiring a chain for use shall within 24 hours of acquiring the chain, submit to the chief inspector a test certificate, correct in all particulars for a part of the chain, and the certificate shall be in accordance with schedule 2, form 14, and shall be signed by the manufacturer or vendor of the chain.</w:t>
      </w:r>
    </w:p>
    <w:p w:rsidR="00AF2508" w:rsidRDefault="00AF2508">
      <w:pPr>
        <w:pStyle w:val="Amain"/>
      </w:pPr>
      <w:r>
        <w:tab/>
        <w:t>(32)</w:t>
      </w:r>
      <w:r>
        <w:tab/>
        <w:t>The manufacturer or vendor of a chain shall test at least 1 part of each 1 000 feet of chain made, or disposed of, by the manufacturer or vendor.</w:t>
      </w:r>
    </w:p>
    <w:p w:rsidR="00AF2508" w:rsidRDefault="00AF2508">
      <w:pPr>
        <w:pStyle w:val="Amain"/>
      </w:pPr>
      <w:r>
        <w:tab/>
        <w:t>(33)</w:t>
      </w:r>
      <w:r>
        <w:tab/>
        <w:t>If the chain is electrically welded mild steel chain, the test shall comprise a breaking test of a 36 inch gauge length of chain and shall be carried out as prescribed by British Standard Specification No 590-1949 for electrically welded mild steel chain, promulgated by Standards Australia.</w:t>
      </w:r>
    </w:p>
    <w:p w:rsidR="00AF2508" w:rsidRDefault="00AF2508">
      <w:pPr>
        <w:pStyle w:val="Amain"/>
      </w:pPr>
      <w:r>
        <w:tab/>
        <w:t>(34)</w:t>
      </w:r>
      <w:r>
        <w:tab/>
        <w:t>The test shall include determination of the energy absorption factor.</w:t>
      </w:r>
    </w:p>
    <w:p w:rsidR="00AF2508" w:rsidRDefault="00AF2508">
      <w:pPr>
        <w:pStyle w:val="Amain"/>
      </w:pPr>
      <w:r>
        <w:tab/>
        <w:t>(35)</w:t>
      </w:r>
      <w:r>
        <w:tab/>
        <w:t>If the chain is of wrought iron, all of the tests prescribed by British Standard Specifications Nos. 465-1932 and 394-1944 shall be carried out.</w:t>
      </w:r>
    </w:p>
    <w:p w:rsidR="00AF2508" w:rsidRDefault="00AF2508">
      <w:pPr>
        <w:pStyle w:val="Amain"/>
      </w:pPr>
      <w:r>
        <w:tab/>
        <w:t>(36)</w:t>
      </w:r>
      <w:r>
        <w:tab/>
        <w:t>Chains shown by the tests mentioned in subsection (35) to be deficient shall not be used.</w:t>
      </w:r>
    </w:p>
    <w:p w:rsidR="00AF2508" w:rsidRDefault="00AF2508">
      <w:pPr>
        <w:pStyle w:val="Amain"/>
      </w:pPr>
      <w:r>
        <w:tab/>
        <w:t>(37)</w:t>
      </w:r>
      <w:r>
        <w:tab/>
        <w:t>No chain that is to be used shall be subjected to any proof or test load that exceeds by more than 25% the safe working load for the chain prescribed by this regulation.</w:t>
      </w:r>
    </w:p>
    <w:p w:rsidR="00AF2508" w:rsidRDefault="00AF2508">
      <w:pPr>
        <w:pStyle w:val="Amain"/>
      </w:pPr>
      <w:r>
        <w:tab/>
        <w:t>(38)</w:t>
      </w:r>
      <w:r>
        <w:tab/>
        <w:t>If a chain has been made into shorter lengths than 1 000 feet and any person acquires for use any shorter length, the person shall, within 24 hours of acquiring the shorter length of chain, submit to the chief inspector a document that is a true copy of the test certificate correct in all particulars issued for the 1 000 feet length of chain mentioned in subsection (32) and signed by the manufacturer or vendor.</w:t>
      </w:r>
    </w:p>
    <w:p w:rsidR="00AF2508" w:rsidRDefault="00AF2508">
      <w:pPr>
        <w:pStyle w:val="Amain"/>
      </w:pPr>
      <w:r>
        <w:tab/>
        <w:t>(39)</w:t>
      </w:r>
      <w:r>
        <w:tab/>
        <w:t>The document shall be accompanied by a statutory declaration of the manufacturer or vendor that it is a true copy of the original test certificate issued for the 1 000 feet length of chain.</w:t>
      </w:r>
    </w:p>
    <w:p w:rsidR="00AF2508" w:rsidRDefault="00AF2508">
      <w:pPr>
        <w:pStyle w:val="Amain"/>
      </w:pPr>
      <w:r>
        <w:tab/>
        <w:t>(40)</w:t>
      </w:r>
      <w:r>
        <w:tab/>
        <w:t>The original test certificate must be signed by the person witnessing the test and the person must be the responsible testing officer of a licensed proving house, the testing officer of a government department or of a university or other approved engineering school, or the testing officer of a manufacturer of chain who has a testing machine on the manufacturer’s premises approved for testing samples of the completed chain.</w:t>
      </w:r>
    </w:p>
    <w:p w:rsidR="00AF2508" w:rsidRDefault="00AF2508">
      <w:pPr>
        <w:pStyle w:val="AH4SubDiv"/>
        <w:ind w:left="0" w:firstLine="0"/>
      </w:pPr>
      <w:bookmarkStart w:id="295" w:name="_Toc161636927"/>
      <w:r>
        <w:t>Steel wire ropes for use in connection with cranes, lifts, hoists, scaffolding, plant, gear, or building work, excavation work, or compressed air work</w:t>
      </w:r>
      <w:bookmarkEnd w:id="295"/>
    </w:p>
    <w:p w:rsidR="00AF2508" w:rsidRDefault="00AF2508">
      <w:pPr>
        <w:pStyle w:val="AH5Sec"/>
      </w:pPr>
      <w:bookmarkStart w:id="296" w:name="_Toc161636928"/>
      <w:r>
        <w:rPr>
          <w:rStyle w:val="CharSectNo"/>
        </w:rPr>
        <w:t>144</w:t>
      </w:r>
      <w:bookmarkEnd w:id="296"/>
      <w:r>
        <w:tab/>
        <w:t xml:space="preserve">  </w:t>
      </w:r>
    </w:p>
    <w:p w:rsidR="00AF2508" w:rsidRDefault="00AF2508">
      <w:pPr>
        <w:pStyle w:val="Assectheading"/>
      </w:pPr>
      <w:r>
        <w:t>General</w:t>
      </w:r>
    </w:p>
    <w:p w:rsidR="00AF2508" w:rsidRDefault="00AF2508">
      <w:pPr>
        <w:pStyle w:val="Amain"/>
      </w:pPr>
      <w:r>
        <w:tab/>
        <w:t>(1)</w:t>
      </w:r>
      <w:r>
        <w:tab/>
        <w:t>Reverse bends that are detrimental to the life of a running rope shall be avoided if practicable.</w:t>
      </w:r>
    </w:p>
    <w:p w:rsidR="00AF2508" w:rsidRDefault="00AF2508">
      <w:pPr>
        <w:pStyle w:val="Amain"/>
      </w:pPr>
      <w:r>
        <w:tab/>
        <w:t>(2)</w:t>
      </w:r>
      <w:r>
        <w:tab/>
        <w:t>Suitable packing shall be provided and used to prevent wire rope coming in contact with sharp edges of loads or hard material.</w:t>
      </w:r>
    </w:p>
    <w:p w:rsidR="00AF2508" w:rsidRDefault="00AF2508">
      <w:pPr>
        <w:pStyle w:val="Amain"/>
      </w:pPr>
      <w:r>
        <w:tab/>
        <w:t>(3)</w:t>
      </w:r>
      <w:r>
        <w:tab/>
        <w:t>Steel wire rope shall not be exposed to temperatures exceeding 200° Fahrenheit.</w:t>
      </w:r>
    </w:p>
    <w:p w:rsidR="00AF2508" w:rsidRDefault="00AF2508">
      <w:pPr>
        <w:pStyle w:val="Amain"/>
      </w:pPr>
      <w:r>
        <w:tab/>
        <w:t>(4)</w:t>
      </w:r>
      <w:r>
        <w:tab/>
        <w:t xml:space="preserve">Steel wire rope of circumference less than </w:t>
      </w:r>
      <w:r>
        <w:rPr>
          <w:position w:val="6"/>
          <w:sz w:val="18"/>
        </w:rPr>
        <w:t>5</w:t>
      </w:r>
      <w:r>
        <w:t>/</w:t>
      </w:r>
      <w:r>
        <w:rPr>
          <w:sz w:val="18"/>
        </w:rPr>
        <w:t>8</w:t>
      </w:r>
      <w:r>
        <w:t xml:space="preserve"> of an inch shall not be used for load carrying purposes unless otherwise approved.</w:t>
      </w:r>
    </w:p>
    <w:p w:rsidR="00AF2508" w:rsidRDefault="00AF2508">
      <w:pPr>
        <w:pStyle w:val="Amain"/>
      </w:pPr>
      <w:r>
        <w:tab/>
        <w:t>(5)</w:t>
      </w:r>
      <w:r>
        <w:tab/>
        <w:t>Kinked ropes shall not be used.</w:t>
      </w:r>
    </w:p>
    <w:p w:rsidR="00AF2508" w:rsidRDefault="00AF2508">
      <w:pPr>
        <w:pStyle w:val="Amain"/>
      </w:pPr>
      <w:r>
        <w:tab/>
        <w:t>(6)</w:t>
      </w:r>
      <w:r>
        <w:tab/>
        <w:t>Ropes shall be stored under cover in a clean, dry place and be raised clear of the ground.</w:t>
      </w:r>
    </w:p>
    <w:p w:rsidR="00AF2508" w:rsidRDefault="00AF2508">
      <w:pPr>
        <w:pStyle w:val="Amain"/>
      </w:pPr>
      <w:r>
        <w:tab/>
        <w:t>(7)</w:t>
      </w:r>
      <w:r>
        <w:tab/>
        <w:t>In no case shall the rope be in contact with ashes, clinker or coke.</w:t>
      </w:r>
    </w:p>
    <w:p w:rsidR="00AF2508" w:rsidRDefault="00AF2508">
      <w:pPr>
        <w:pStyle w:val="Amain"/>
      </w:pPr>
      <w:r>
        <w:tab/>
        <w:t>(8)</w:t>
      </w:r>
      <w:r>
        <w:tab/>
        <w:t>The ropes in store shall be examined periodically and the protective coating renewed when required.</w:t>
      </w:r>
    </w:p>
    <w:p w:rsidR="00AF2508" w:rsidRDefault="00AF2508">
      <w:pPr>
        <w:pStyle w:val="Amain"/>
      </w:pPr>
      <w:r>
        <w:tab/>
        <w:t>(9)</w:t>
      </w:r>
      <w:r>
        <w:tab/>
        <w:t>When a load is supported on more than 1 fall, single or part of rope, the load shall be distributed equally by statically determinate automatic means between the various falls, singles or parts.</w:t>
      </w:r>
    </w:p>
    <w:p w:rsidR="00AF2508" w:rsidRDefault="00AF2508">
      <w:pPr>
        <w:pStyle w:val="Amain"/>
      </w:pPr>
      <w:r>
        <w:tab/>
        <w:t>(10)</w:t>
      </w:r>
      <w:r>
        <w:tab/>
        <w:t>No rope shall be used for load carrying purposes that has been subjected to a severe shock or that has been unduly stretched.</w:t>
      </w:r>
    </w:p>
    <w:p w:rsidR="00AF2508" w:rsidRDefault="00AF2508">
      <w:pPr>
        <w:pStyle w:val="Amain"/>
      </w:pPr>
      <w:r>
        <w:tab/>
        <w:t>(11)</w:t>
      </w:r>
      <w:r>
        <w:tab/>
        <w:t>No rope sling shall be used if the included angle measured between any 2 legs exceeds 150° or if the angle formed between any sling leg and the line of action of the pull exceeds 75°.</w:t>
      </w:r>
    </w:p>
    <w:p w:rsidR="00AF2508" w:rsidRDefault="00AF2508">
      <w:pPr>
        <w:pStyle w:val="Amain"/>
      </w:pPr>
      <w:r>
        <w:tab/>
        <w:t>(12)</w:t>
      </w:r>
      <w:r>
        <w:tab/>
        <w:t>Rope slings before being used, and if repaired or altered before being reused, shall be subjected to a load equal to their safe working load and closely examined about suitability for use or reuse as the case may be.</w:t>
      </w:r>
    </w:p>
    <w:p w:rsidR="00AF2508" w:rsidRDefault="00AF2508">
      <w:pPr>
        <w:pStyle w:val="Amain"/>
      </w:pPr>
      <w:r>
        <w:tab/>
        <w:t>(13)</w:t>
      </w:r>
      <w:r>
        <w:tab/>
        <w:t>Ropes having less than 6 strands, or having any strand containing less than 19 wires shall not be wound on drums or over or on sheaves, rollers, or quadrants, or used in any way as running ropes.</w:t>
      </w:r>
    </w:p>
    <w:p w:rsidR="00AF2508" w:rsidRDefault="00AF2508">
      <w:pPr>
        <w:pStyle w:val="Amain"/>
      </w:pPr>
      <w:r>
        <w:tab/>
        <w:t>(14)</w:t>
      </w:r>
      <w:r>
        <w:tab/>
        <w:t>Screw threads used in conjunction with wire ropes shall be prevented by positive means from unscrewing.</w:t>
      </w:r>
    </w:p>
    <w:p w:rsidR="00AF2508" w:rsidRDefault="00AF2508">
      <w:pPr>
        <w:pStyle w:val="Amain"/>
      </w:pPr>
      <w:r>
        <w:tab/>
        <w:t>(15)</w:t>
      </w:r>
      <w:r>
        <w:tab/>
        <w:t>If rope is used to support workers, it shall not be less than 1</w:t>
      </w:r>
      <w:r>
        <w:rPr>
          <w:position w:val="6"/>
          <w:sz w:val="18"/>
        </w:rPr>
        <w:t>1</w:t>
      </w:r>
      <w:r>
        <w:t>/</w:t>
      </w:r>
      <w:r>
        <w:rPr>
          <w:sz w:val="18"/>
        </w:rPr>
        <w:t>8</w:t>
      </w:r>
      <w:r>
        <w:t xml:space="preserve"> inches circumference and </w:t>
      </w:r>
      <w:r>
        <w:rPr>
          <w:position w:val="6"/>
          <w:sz w:val="18"/>
        </w:rPr>
        <w:t>3</w:t>
      </w:r>
      <w:r>
        <w:t>/</w:t>
      </w:r>
      <w:r>
        <w:rPr>
          <w:sz w:val="18"/>
        </w:rPr>
        <w:t>8</w:t>
      </w:r>
      <w:r>
        <w:t xml:space="preserve"> of an inch diameter—if hand operated, or 1</w:t>
      </w:r>
      <w:r>
        <w:rPr>
          <w:position w:val="6"/>
          <w:sz w:val="18"/>
        </w:rPr>
        <w:t>5</w:t>
      </w:r>
      <w:r>
        <w:t>/</w:t>
      </w:r>
      <w:r>
        <w:rPr>
          <w:sz w:val="18"/>
        </w:rPr>
        <w:t>8</w:t>
      </w:r>
      <w:r>
        <w:t xml:space="preserve"> inches circumference and </w:t>
      </w:r>
      <w:r>
        <w:rPr>
          <w:position w:val="6"/>
          <w:sz w:val="18"/>
        </w:rPr>
        <w:t>1</w:t>
      </w:r>
      <w:r>
        <w:t>/</w:t>
      </w:r>
      <w:r>
        <w:rPr>
          <w:sz w:val="18"/>
        </w:rPr>
        <w:t>2</w:t>
      </w:r>
      <w:r>
        <w:t xml:space="preserve"> an inch diameter—if power operated.</w:t>
      </w:r>
    </w:p>
    <w:p w:rsidR="00AF2508" w:rsidRDefault="00AF2508">
      <w:pPr>
        <w:pStyle w:val="Amain"/>
      </w:pPr>
      <w:r>
        <w:tab/>
        <w:t>(16)</w:t>
      </w:r>
      <w:r>
        <w:tab/>
        <w:t>Every steel wire rope and every part of it shall be of sound material, good construction, adequate strength, free from patent defects, and be suitable and safe for the purpose for which it is intended.</w:t>
      </w:r>
    </w:p>
    <w:p w:rsidR="00AF2508" w:rsidRDefault="00AF2508">
      <w:pPr>
        <w:pStyle w:val="Amain"/>
      </w:pPr>
      <w:r>
        <w:tab/>
        <w:t>(17)</w:t>
      </w:r>
      <w:r>
        <w:tab/>
        <w:t>Rope of lang lay shall not be used unless the ends are fixed to prevent unlaying of the rope.</w:t>
      </w:r>
    </w:p>
    <w:p w:rsidR="00AF2508" w:rsidRDefault="00AF2508">
      <w:pPr>
        <w:pStyle w:val="Assectheading"/>
      </w:pPr>
      <w:r>
        <w:t>Design, construction, use and safe working load</w:t>
      </w:r>
    </w:p>
    <w:p w:rsidR="00AF2508" w:rsidRDefault="00AF2508">
      <w:pPr>
        <w:pStyle w:val="Amain"/>
      </w:pPr>
      <w:r>
        <w:tab/>
        <w:t>(18)</w:t>
      </w:r>
      <w:r>
        <w:tab/>
        <w:t>All steel wire rope shall comply with the provisions of Australian Standard Specification No B.9-1938, promulgated by Standards Australia.</w:t>
      </w:r>
    </w:p>
    <w:p w:rsidR="00AF2508" w:rsidRDefault="00AF2508">
      <w:pPr>
        <w:pStyle w:val="Amain"/>
      </w:pPr>
      <w:r>
        <w:tab/>
        <w:t>(19)</w:t>
      </w:r>
      <w:r>
        <w:tab/>
        <w:t>However—</w:t>
      </w:r>
    </w:p>
    <w:p w:rsidR="00AF2508" w:rsidRDefault="00AF2508">
      <w:pPr>
        <w:pStyle w:val="Apara"/>
      </w:pPr>
      <w:r>
        <w:tab/>
        <w:t>(a)</w:t>
      </w:r>
      <w:r>
        <w:tab/>
        <w:t>every steel wire ropes shall be classified numerically in conformity with table 144.1; and</w:t>
      </w:r>
    </w:p>
    <w:p w:rsidR="00AF2508" w:rsidRDefault="00AF2508">
      <w:pPr>
        <w:pStyle w:val="Apara"/>
      </w:pPr>
      <w:r>
        <w:tab/>
        <w:t>(b)</w:t>
      </w:r>
      <w:r>
        <w:tab/>
        <w:t>in the event of uncertainty or dispute the classification may be determined by the chief inspector; and</w:t>
      </w:r>
    </w:p>
    <w:p w:rsidR="00AF2508" w:rsidRDefault="00AF2508">
      <w:pPr>
        <w:pStyle w:val="Apara"/>
      </w:pPr>
      <w:r>
        <w:tab/>
        <w:t>(c)</w:t>
      </w:r>
      <w:r>
        <w:tab/>
        <w:t>no wire rope shall be subjected to any greater load than that shown in table 144.1 as relevant and appropriate to its circumference, construction, and classification, or way of use, provided that—</w:t>
      </w:r>
    </w:p>
    <w:p w:rsidR="00AF2508" w:rsidRDefault="00AF2508">
      <w:pPr>
        <w:pStyle w:val="Asubpara"/>
      </w:pPr>
      <w:r>
        <w:tab/>
        <w:t>(i)</w:t>
      </w:r>
      <w:r>
        <w:tab/>
        <w:t>if it is of a grade of steel of greater or lesser minimum ultimate tensile value than 80 tons per square inch—the tabulated load shall be increased or decreased in the ratio:</w:t>
      </w:r>
    </w:p>
    <w:p w:rsidR="00AF2508" w:rsidRDefault="00AF2508">
      <w:pPr>
        <w:pStyle w:val="Formula"/>
        <w:ind w:right="-133" w:hanging="240"/>
      </w:pPr>
      <w:r>
        <w:rPr>
          <w:position w:val="-24"/>
        </w:rPr>
        <w:object w:dxaOrig="7060" w:dyaOrig="620">
          <v:shape id="_x0000_i1053" type="#_x0000_t75" style="width:353.25pt;height:30.75pt" o:ole="" fillcolor="window">
            <v:imagedata r:id="rId153" o:title=""/>
          </v:shape>
          <o:OLEObject Type="Embed" ProgID="Equation.3" ShapeID="_x0000_i1053" DrawAspect="Content" ObjectID="_1595940278" r:id="rId154"/>
        </w:object>
      </w:r>
      <w:r>
        <w:t>; and</w:t>
      </w:r>
    </w:p>
    <w:p w:rsidR="00AF2508" w:rsidRDefault="00AF2508">
      <w:pPr>
        <w:pStyle w:val="Asubpara"/>
      </w:pPr>
      <w:r>
        <w:tab/>
        <w:t>(ii)</w:t>
      </w:r>
      <w:r>
        <w:tab/>
        <w:t>if the rope is used solely as a static guy rope—the tabulated load may be increased by 50%; and</w:t>
      </w:r>
    </w:p>
    <w:p w:rsidR="00AF2508" w:rsidRDefault="00AF2508">
      <w:pPr>
        <w:pStyle w:val="Asubpara"/>
      </w:pPr>
      <w:r>
        <w:tab/>
        <w:t>(iii)</w:t>
      </w:r>
      <w:r>
        <w:tab/>
        <w:t>if the rope comprises the main cable of a cableway—a further increase in load may be approved by the chief inspector; and</w:t>
      </w:r>
    </w:p>
    <w:p w:rsidR="00AF2508" w:rsidRDefault="00AF2508">
      <w:pPr>
        <w:pStyle w:val="Apara"/>
        <w:keepLines/>
      </w:pPr>
      <w:r>
        <w:tab/>
        <w:t>(d)</w:t>
      </w:r>
      <w:r>
        <w:tab/>
        <w:t>no steel wire rope shall be used if of other design or other material than provided in the British Standard Specifications promulgated by the British Standards Institution, England, or Australian Standard Specification No B9—1938 promulgated by Standards Australia, without first being approved.</w:t>
      </w:r>
    </w:p>
    <w:p w:rsidR="00AF2508" w:rsidRDefault="00AF2508">
      <w:pPr>
        <w:pStyle w:val="TableHd"/>
        <w:ind w:left="1425" w:hanging="1425"/>
      </w:pPr>
      <w:r>
        <w:t>Table 144.1</w:t>
      </w:r>
      <w:r>
        <w:tab/>
        <w:t>Classification of steel wire rope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60"/>
        <w:gridCol w:w="3520"/>
        <w:gridCol w:w="2246"/>
      </w:tblGrid>
      <w:tr w:rsidR="00AF2508">
        <w:trPr>
          <w:cantSplit/>
        </w:trPr>
        <w:tc>
          <w:tcPr>
            <w:tcW w:w="1560" w:type="dxa"/>
            <w:tcBorders>
              <w:bottom w:val="single" w:sz="4" w:space="0" w:color="auto"/>
            </w:tcBorders>
            <w:vAlign w:val="bottom"/>
          </w:tcPr>
          <w:p w:rsidR="00AF2508" w:rsidRDefault="00AF2508">
            <w:pPr>
              <w:pStyle w:val="TableColHd"/>
            </w:pPr>
            <w:r>
              <w:t xml:space="preserve">classification </w:t>
            </w:r>
            <w:r>
              <w:br/>
              <w:t>of rope</w:t>
            </w:r>
          </w:p>
        </w:tc>
        <w:tc>
          <w:tcPr>
            <w:tcW w:w="3520" w:type="dxa"/>
            <w:tcBorders>
              <w:bottom w:val="single" w:sz="4" w:space="0" w:color="auto"/>
            </w:tcBorders>
            <w:vAlign w:val="bottom"/>
          </w:tcPr>
          <w:p w:rsidR="00AF2508" w:rsidRDefault="00AF2508">
            <w:pPr>
              <w:pStyle w:val="TableColHd"/>
            </w:pPr>
            <w:r>
              <w:t>classification of crane, hoist, lift, plant, or scaffolding in connection with which the steel wire rope is used</w:t>
            </w:r>
          </w:p>
        </w:tc>
        <w:tc>
          <w:tcPr>
            <w:tcW w:w="2246" w:type="dxa"/>
            <w:tcBorders>
              <w:bottom w:val="single" w:sz="4" w:space="0" w:color="auto"/>
            </w:tcBorders>
            <w:vAlign w:val="bottom"/>
          </w:tcPr>
          <w:p w:rsidR="00AF2508" w:rsidRDefault="00AF2508">
            <w:pPr>
              <w:pStyle w:val="TableColHd"/>
            </w:pPr>
            <w:r>
              <w:t>ropes used for other purposes</w:t>
            </w:r>
          </w:p>
        </w:tc>
      </w:tr>
      <w:tr w:rsidR="00AF2508">
        <w:trPr>
          <w:cantSplit/>
        </w:trPr>
        <w:tc>
          <w:tcPr>
            <w:tcW w:w="1560" w:type="dxa"/>
            <w:tcBorders>
              <w:top w:val="single" w:sz="4" w:space="0" w:color="auto"/>
            </w:tcBorders>
          </w:tcPr>
          <w:p w:rsidR="00AF2508" w:rsidRDefault="00AF2508">
            <w:pPr>
              <w:pStyle w:val="TableText"/>
            </w:pPr>
            <w:r>
              <w:t>1</w:t>
            </w:r>
          </w:p>
        </w:tc>
        <w:tc>
          <w:tcPr>
            <w:tcW w:w="3520" w:type="dxa"/>
            <w:tcBorders>
              <w:top w:val="single" w:sz="4" w:space="0" w:color="auto"/>
            </w:tcBorders>
          </w:tcPr>
          <w:p w:rsidR="00AF2508" w:rsidRDefault="00AF2508">
            <w:pPr>
              <w:pStyle w:val="TableText"/>
            </w:pPr>
            <w:r>
              <w:t>classifications Nos 1, 2 and 3</w:t>
            </w:r>
          </w:p>
        </w:tc>
        <w:tc>
          <w:tcPr>
            <w:tcW w:w="2246" w:type="dxa"/>
            <w:tcBorders>
              <w:top w:val="single" w:sz="4" w:space="0" w:color="auto"/>
            </w:tcBorders>
          </w:tcPr>
          <w:p w:rsidR="00AF2508" w:rsidRDefault="00AF2508">
            <w:pPr>
              <w:pStyle w:val="TableText"/>
            </w:pPr>
            <w:r>
              <w:t>building, excavation or compressed air work</w:t>
            </w:r>
          </w:p>
        </w:tc>
      </w:tr>
      <w:tr w:rsidR="00AF2508">
        <w:trPr>
          <w:cantSplit/>
        </w:trPr>
        <w:tc>
          <w:tcPr>
            <w:tcW w:w="1560" w:type="dxa"/>
          </w:tcPr>
          <w:p w:rsidR="00AF2508" w:rsidRDefault="00AF2508">
            <w:pPr>
              <w:pStyle w:val="TableText"/>
            </w:pPr>
            <w:r>
              <w:t>2</w:t>
            </w:r>
          </w:p>
        </w:tc>
        <w:tc>
          <w:tcPr>
            <w:tcW w:w="3520" w:type="dxa"/>
          </w:tcPr>
          <w:p w:rsidR="00AF2508" w:rsidRDefault="00AF2508">
            <w:pPr>
              <w:pStyle w:val="TableText"/>
            </w:pPr>
            <w:r>
              <w:t>classification No 4</w:t>
            </w:r>
          </w:p>
        </w:tc>
        <w:tc>
          <w:tcPr>
            <w:tcW w:w="2246" w:type="dxa"/>
          </w:tcPr>
          <w:p w:rsidR="00AF2508" w:rsidRDefault="00AF2508">
            <w:pPr>
              <w:pStyle w:val="TableText"/>
            </w:pPr>
            <w:r>
              <w:tab/>
            </w:r>
          </w:p>
        </w:tc>
      </w:tr>
    </w:tbl>
    <w:p w:rsidR="00AF2508" w:rsidRDefault="00AF2508">
      <w:pPr>
        <w:pStyle w:val="02Text"/>
        <w:sectPr w:rsidR="00AF2508">
          <w:headerReference w:type="even" r:id="rId155"/>
          <w:headerReference w:type="default" r:id="rId156"/>
          <w:footerReference w:type="even" r:id="rId157"/>
          <w:footerReference w:type="default" r:id="rId158"/>
          <w:footerReference w:type="first" r:id="rId159"/>
          <w:pgSz w:w="11907" w:h="16839" w:code="9"/>
          <w:pgMar w:top="3000" w:right="1900" w:bottom="2500" w:left="2300" w:header="2480" w:footer="2100" w:gutter="0"/>
          <w:cols w:space="720"/>
          <w:docGrid w:linePitch="254"/>
        </w:sectPr>
      </w:pPr>
    </w:p>
    <w:p w:rsidR="00AF2508" w:rsidRDefault="00AF2508">
      <w:pPr>
        <w:pStyle w:val="TableHd"/>
      </w:pPr>
      <w:r>
        <w:t>Maximum safe working load for steel wire rope—Classification 1</w:t>
      </w:r>
    </w:p>
    <w:p w:rsidR="00AF2508" w:rsidRDefault="00AF2508">
      <w:pPr>
        <w:pStyle w:val="TableHd"/>
        <w:ind w:left="0" w:firstLine="0"/>
      </w:pPr>
      <w:r>
        <w:t>Minimum ultimate tensile value of steel of which rope is constructed = 80 tons per square inch</w:t>
      </w:r>
      <w:r>
        <w:br/>
        <w:t>construction:  6 strands each containing 12 wires</w:t>
      </w:r>
    </w:p>
    <w:tbl>
      <w:tblPr>
        <w:tblW w:w="0" w:type="auto"/>
        <w:tblLayout w:type="fixed"/>
        <w:tblCellMar>
          <w:left w:w="80" w:type="dxa"/>
          <w:right w:w="80" w:type="dxa"/>
        </w:tblCellMar>
        <w:tblLook w:val="0000" w:firstRow="0" w:lastRow="0" w:firstColumn="0" w:lastColumn="0" w:noHBand="0" w:noVBand="0"/>
      </w:tblPr>
      <w:tblGrid>
        <w:gridCol w:w="984"/>
        <w:gridCol w:w="924"/>
        <w:gridCol w:w="579"/>
        <w:gridCol w:w="93"/>
        <w:gridCol w:w="840"/>
        <w:gridCol w:w="600"/>
        <w:gridCol w:w="720"/>
        <w:gridCol w:w="764"/>
        <w:gridCol w:w="844"/>
        <w:gridCol w:w="756"/>
        <w:gridCol w:w="804"/>
        <w:gridCol w:w="742"/>
        <w:gridCol w:w="778"/>
        <w:gridCol w:w="790"/>
        <w:gridCol w:w="650"/>
        <w:gridCol w:w="24"/>
      </w:tblGrid>
      <w:tr w:rsidR="00AF2508">
        <w:trPr>
          <w:gridAfter w:val="1"/>
          <w:wAfter w:w="12" w:type="dxa"/>
          <w:cantSplit/>
          <w:tblHeader/>
        </w:trPr>
        <w:tc>
          <w:tcPr>
            <w:tcW w:w="984" w:type="dxa"/>
            <w:tcBorders>
              <w:top w:val="single" w:sz="6" w:space="0" w:color="auto"/>
              <w:right w:val="single" w:sz="6" w:space="0" w:color="auto"/>
            </w:tcBorders>
          </w:tcPr>
          <w:p w:rsidR="00AF2508" w:rsidRDefault="00AF2508">
            <w:pPr>
              <w:pStyle w:val="TableColHd"/>
              <w:jc w:val="center"/>
            </w:pPr>
          </w:p>
        </w:tc>
        <w:tc>
          <w:tcPr>
            <w:tcW w:w="924" w:type="dxa"/>
            <w:tcBorders>
              <w:top w:val="single" w:sz="6" w:space="0" w:color="auto"/>
              <w:right w:val="single" w:sz="6" w:space="0" w:color="auto"/>
            </w:tcBorders>
          </w:tcPr>
          <w:p w:rsidR="00AF2508" w:rsidRDefault="00AF2508">
            <w:pPr>
              <w:pStyle w:val="TableColHd"/>
              <w:jc w:val="center"/>
            </w:pPr>
          </w:p>
        </w:tc>
        <w:tc>
          <w:tcPr>
            <w:tcW w:w="579" w:type="dxa"/>
            <w:tcBorders>
              <w:top w:val="single" w:sz="6" w:space="0" w:color="auto"/>
            </w:tcBorders>
          </w:tcPr>
          <w:p w:rsidR="00AF2508" w:rsidRDefault="00AF2508">
            <w:pPr>
              <w:pStyle w:val="TableColHd"/>
              <w:jc w:val="center"/>
            </w:pPr>
          </w:p>
        </w:tc>
        <w:tc>
          <w:tcPr>
            <w:tcW w:w="933" w:type="dxa"/>
            <w:gridSpan w:val="2"/>
            <w:tcBorders>
              <w:top w:val="single" w:sz="6" w:space="0" w:color="auto"/>
            </w:tcBorders>
          </w:tcPr>
          <w:p w:rsidR="00AF2508" w:rsidRDefault="00AF2508">
            <w:pPr>
              <w:pStyle w:val="TableColHd"/>
              <w:jc w:val="center"/>
            </w:pPr>
          </w:p>
        </w:tc>
        <w:tc>
          <w:tcPr>
            <w:tcW w:w="7448" w:type="dxa"/>
            <w:gridSpan w:val="10"/>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cantSplit/>
          <w:tblHeader/>
        </w:trPr>
        <w:tc>
          <w:tcPr>
            <w:tcW w:w="984" w:type="dxa"/>
            <w:tcBorders>
              <w:right w:val="single" w:sz="6" w:space="0" w:color="auto"/>
            </w:tcBorders>
            <w:vAlign w:val="bottom"/>
          </w:tcPr>
          <w:p w:rsidR="00AF2508" w:rsidRDefault="00AF2508">
            <w:pPr>
              <w:pStyle w:val="TableColHd"/>
            </w:pPr>
            <w:r>
              <w:t>circum-</w:t>
            </w:r>
            <w:r>
              <w:br/>
              <w:t>ference</w:t>
            </w:r>
            <w:r>
              <w:br/>
              <w:t>of rope</w:t>
            </w:r>
          </w:p>
        </w:tc>
        <w:tc>
          <w:tcPr>
            <w:tcW w:w="924" w:type="dxa"/>
            <w:tcBorders>
              <w:right w:val="single" w:sz="6" w:space="0" w:color="auto"/>
            </w:tcBorders>
            <w:vAlign w:val="bottom"/>
          </w:tcPr>
          <w:p w:rsidR="00AF2508" w:rsidRDefault="00AF2508">
            <w:pPr>
              <w:pStyle w:val="TableColHd"/>
            </w:pPr>
            <w:r>
              <w:t>approx.</w:t>
            </w:r>
            <w:r>
              <w:br/>
              <w:t>diameter</w:t>
            </w:r>
            <w:r>
              <w:br/>
              <w:t>of rope</w:t>
            </w:r>
          </w:p>
        </w:tc>
        <w:tc>
          <w:tcPr>
            <w:tcW w:w="1512" w:type="dxa"/>
            <w:gridSpan w:val="3"/>
            <w:vAlign w:val="bottom"/>
          </w:tcPr>
          <w:p w:rsidR="00AF2508" w:rsidRDefault="00AF2508">
            <w:pPr>
              <w:pStyle w:val="TableColHd"/>
            </w:pPr>
            <w:r>
              <w:t>safe load for 1 single fall (part) of rope</w:t>
            </w:r>
          </w:p>
        </w:tc>
        <w:tc>
          <w:tcPr>
            <w:tcW w:w="1320" w:type="dxa"/>
            <w:gridSpan w:val="2"/>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00"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60"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20" w:type="dxa"/>
            <w:gridSpan w:val="2"/>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60" w:type="dxa"/>
            <w:gridSpan w:val="3"/>
          </w:tcPr>
          <w:p w:rsidR="00AF2508" w:rsidRDefault="00136775">
            <w:pPr>
              <w:rPr>
                <w:color w:val="000000"/>
                <w:sz w:val="18"/>
              </w:rPr>
            </w:pPr>
            <w:r>
              <w:rPr>
                <w:noProof/>
                <w:color w:val="000000"/>
                <w:sz w:val="20"/>
                <w:lang w:eastAsia="en-AU"/>
              </w:rPr>
              <w:drawing>
                <wp:inline distT="0" distB="0" distL="0" distR="0">
                  <wp:extent cx="790575" cy="523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cantSplit/>
          <w:trHeight w:val="220"/>
          <w:tblHeader/>
        </w:trPr>
        <w:tc>
          <w:tcPr>
            <w:tcW w:w="98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2"/>
            <w:tcBorders>
              <w:top w:val="single" w:sz="6" w:space="0" w:color="auto"/>
              <w:bottom w:val="single" w:sz="6" w:space="0" w:color="auto"/>
            </w:tcBorders>
            <w:vAlign w:val="bottom"/>
          </w:tcPr>
          <w:p w:rsidR="00AF2508" w:rsidRDefault="00AF2508">
            <w:pPr>
              <w:pStyle w:val="TableColHd"/>
              <w:spacing w:after="0"/>
              <w:jc w:val="center"/>
            </w:pPr>
            <w:r>
              <w:t>tons</w:t>
            </w:r>
          </w:p>
        </w:tc>
        <w:tc>
          <w:tcPr>
            <w:tcW w:w="84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16"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44"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56"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04"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42"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70"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790"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74"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84" w:type="dxa"/>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/8</w:t>
            </w:r>
          </w:p>
        </w:tc>
        <w:tc>
          <w:tcPr>
            <w:tcW w:w="924" w:type="dxa"/>
            <w:tcBorders>
              <w:top w:val="single" w:sz="6" w:space="0" w:color="auto"/>
              <w:right w:val="single" w:sz="6" w:space="0" w:color="auto"/>
            </w:tcBorders>
          </w:tcPr>
          <w:p w:rsidR="00AF2508" w:rsidRDefault="00AF2508">
            <w:pPr>
              <w:pStyle w:val="TableText"/>
              <w:jc w:val="center"/>
              <w:rPr>
                <w:sz w:val="20"/>
              </w:rPr>
            </w:pPr>
            <w:r>
              <w:rPr>
                <w:position w:val="4"/>
                <w:sz w:val="20"/>
              </w:rPr>
              <w:t>3</w:t>
            </w:r>
            <w:r>
              <w:rPr>
                <w:sz w:val="20"/>
              </w:rPr>
              <w:t>/16</w:t>
            </w:r>
          </w:p>
        </w:tc>
        <w:tc>
          <w:tcPr>
            <w:tcW w:w="672" w:type="dxa"/>
            <w:gridSpan w:val="2"/>
            <w:tcBorders>
              <w:top w:val="single" w:sz="6" w:space="0" w:color="auto"/>
            </w:tcBorders>
          </w:tcPr>
          <w:p w:rsidR="00AF2508" w:rsidRDefault="00AF2508">
            <w:pPr>
              <w:pStyle w:val="TableText"/>
              <w:jc w:val="center"/>
              <w:rPr>
                <w:sz w:val="20"/>
              </w:rPr>
            </w:pPr>
            <w:r>
              <w:rPr>
                <w:sz w:val="20"/>
              </w:rPr>
              <w:t>0</w:t>
            </w:r>
          </w:p>
        </w:tc>
        <w:tc>
          <w:tcPr>
            <w:tcW w:w="840" w:type="dxa"/>
            <w:tcBorders>
              <w:top w:val="single" w:sz="6" w:space="0" w:color="auto"/>
            </w:tcBorders>
          </w:tcPr>
          <w:p w:rsidR="00AF2508" w:rsidRDefault="00AF2508">
            <w:pPr>
              <w:pStyle w:val="TableText"/>
              <w:jc w:val="center"/>
              <w:rPr>
                <w:sz w:val="20"/>
              </w:rPr>
            </w:pPr>
            <w:r>
              <w:rPr>
                <w:sz w:val="20"/>
              </w:rPr>
              <w:t>2</w:t>
            </w:r>
            <w:r>
              <w:rPr>
                <w:position w:val="4"/>
                <w:sz w:val="20"/>
              </w:rPr>
              <w:t>1</w:t>
            </w:r>
            <w:r>
              <w:rPr>
                <w:sz w:val="20"/>
              </w:rPr>
              <w:t>/2</w:t>
            </w:r>
          </w:p>
        </w:tc>
        <w:tc>
          <w:tcPr>
            <w:tcW w:w="60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16" w:type="dxa"/>
            <w:tcBorders>
              <w:top w:val="single" w:sz="6" w:space="0" w:color="auto"/>
            </w:tcBorders>
          </w:tcPr>
          <w:p w:rsidR="00AF2508" w:rsidRDefault="00AF2508">
            <w:pPr>
              <w:pStyle w:val="TableText"/>
              <w:jc w:val="center"/>
              <w:rPr>
                <w:sz w:val="20"/>
              </w:rPr>
            </w:pPr>
            <w:r>
              <w:rPr>
                <w:sz w:val="20"/>
              </w:rPr>
              <w:t>5</w:t>
            </w:r>
          </w:p>
        </w:tc>
        <w:tc>
          <w:tcPr>
            <w:tcW w:w="764"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44" w:type="dxa"/>
            <w:tcBorders>
              <w:top w:val="single" w:sz="6" w:space="0" w:color="auto"/>
            </w:tcBorders>
          </w:tcPr>
          <w:p w:rsidR="00AF2508" w:rsidRDefault="00AF2508">
            <w:pPr>
              <w:pStyle w:val="TableText"/>
              <w:jc w:val="center"/>
              <w:rPr>
                <w:sz w:val="20"/>
              </w:rPr>
            </w:pPr>
            <w:r>
              <w:rPr>
                <w:sz w:val="20"/>
              </w:rPr>
              <w:t>4</w:t>
            </w:r>
          </w:p>
        </w:tc>
        <w:tc>
          <w:tcPr>
            <w:tcW w:w="756"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04" w:type="dxa"/>
            <w:tcBorders>
              <w:top w:val="single" w:sz="6" w:space="0" w:color="auto"/>
            </w:tcBorders>
          </w:tcPr>
          <w:p w:rsidR="00AF2508" w:rsidRDefault="00AF2508">
            <w:pPr>
              <w:pStyle w:val="TableText"/>
              <w:jc w:val="center"/>
              <w:rPr>
                <w:sz w:val="20"/>
              </w:rPr>
            </w:pPr>
            <w:r>
              <w:rPr>
                <w:sz w:val="20"/>
              </w:rPr>
              <w:t>3</w:t>
            </w:r>
            <w:r>
              <w:rPr>
                <w:position w:val="4"/>
                <w:sz w:val="20"/>
              </w:rPr>
              <w:t>1</w:t>
            </w:r>
            <w:r>
              <w:rPr>
                <w:sz w:val="20"/>
              </w:rPr>
              <w:t>/2</w:t>
            </w:r>
          </w:p>
        </w:tc>
        <w:tc>
          <w:tcPr>
            <w:tcW w:w="742"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70" w:type="dxa"/>
            <w:tcBorders>
              <w:top w:val="single" w:sz="6" w:space="0" w:color="auto"/>
              <w:right w:val="single" w:sz="6" w:space="0" w:color="auto"/>
            </w:tcBorders>
          </w:tcPr>
          <w:p w:rsidR="00AF2508" w:rsidRDefault="00AF2508">
            <w:pPr>
              <w:pStyle w:val="TableText"/>
              <w:jc w:val="center"/>
              <w:rPr>
                <w:sz w:val="20"/>
              </w:rPr>
            </w:pPr>
            <w:r>
              <w:rPr>
                <w:sz w:val="20"/>
              </w:rPr>
              <w:t>2</w:t>
            </w:r>
            <w:r>
              <w:rPr>
                <w:position w:val="4"/>
                <w:sz w:val="20"/>
              </w:rPr>
              <w:t>1</w:t>
            </w:r>
            <w:r>
              <w:rPr>
                <w:sz w:val="20"/>
              </w:rPr>
              <w:t>/2</w:t>
            </w:r>
          </w:p>
        </w:tc>
        <w:tc>
          <w:tcPr>
            <w:tcW w:w="790" w:type="dxa"/>
            <w:tcBorders>
              <w:top w:val="single" w:sz="6" w:space="0" w:color="auto"/>
            </w:tcBorders>
          </w:tcPr>
          <w:p w:rsidR="00AF2508" w:rsidRDefault="00AF2508">
            <w:pPr>
              <w:pStyle w:val="TableText"/>
              <w:jc w:val="center"/>
              <w:rPr>
                <w:sz w:val="20"/>
              </w:rPr>
            </w:pPr>
            <w:r>
              <w:rPr>
                <w:sz w:val="20"/>
              </w:rPr>
              <w:t>0</w:t>
            </w:r>
          </w:p>
        </w:tc>
        <w:tc>
          <w:tcPr>
            <w:tcW w:w="674" w:type="dxa"/>
            <w:gridSpan w:val="2"/>
            <w:tcBorders>
              <w:top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924" w:type="dxa"/>
            <w:tcBorders>
              <w:right w:val="single" w:sz="6" w:space="0" w:color="auto"/>
            </w:tcBorders>
          </w:tcPr>
          <w:p w:rsidR="00AF2508" w:rsidRDefault="00AF2508">
            <w:pPr>
              <w:pStyle w:val="TableText"/>
              <w:jc w:val="center"/>
              <w:rPr>
                <w:sz w:val="20"/>
              </w:rPr>
            </w:pPr>
            <w:r>
              <w:rPr>
                <w:position w:val="4"/>
                <w:sz w:val="20"/>
              </w:rPr>
              <w:t>1</w:t>
            </w:r>
            <w:r>
              <w:rPr>
                <w:sz w:val="20"/>
              </w:rPr>
              <w:t>/4</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3</w:t>
            </w:r>
            <w:r>
              <w:rPr>
                <w:position w:val="4"/>
                <w:sz w:val="20"/>
              </w:rPr>
              <w:t>1</w:t>
            </w:r>
            <w:r>
              <w:rPr>
                <w:sz w:val="20"/>
              </w:rPr>
              <w:t>/2</w:t>
            </w:r>
          </w:p>
        </w:tc>
        <w:tc>
          <w:tcPr>
            <w:tcW w:w="600" w:type="dxa"/>
            <w:tcBorders>
              <w:left w:val="single" w:sz="6" w:space="0" w:color="auto"/>
            </w:tcBorders>
          </w:tcPr>
          <w:p w:rsidR="00AF2508" w:rsidRDefault="00AF2508">
            <w:pPr>
              <w:pStyle w:val="TableText"/>
              <w:jc w:val="center"/>
              <w:rPr>
                <w:sz w:val="20"/>
              </w:rPr>
            </w:pPr>
            <w:r>
              <w:rPr>
                <w:sz w:val="20"/>
              </w:rPr>
              <w:t>0</w:t>
            </w:r>
          </w:p>
        </w:tc>
        <w:tc>
          <w:tcPr>
            <w:tcW w:w="716" w:type="dxa"/>
          </w:tcPr>
          <w:p w:rsidR="00AF2508" w:rsidRDefault="00AF2508">
            <w:pPr>
              <w:pStyle w:val="TableText"/>
              <w:jc w:val="center"/>
              <w:rPr>
                <w:sz w:val="20"/>
              </w:rPr>
            </w:pPr>
            <w:r>
              <w:rPr>
                <w:sz w:val="20"/>
              </w:rPr>
              <w:t>7</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6</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5</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3</w:t>
            </w:r>
            <w:r>
              <w:rPr>
                <w:position w:val="4"/>
                <w:sz w:val="20"/>
              </w:rPr>
              <w:t>1</w:t>
            </w:r>
            <w:r>
              <w:rPr>
                <w:sz w:val="20"/>
              </w:rPr>
              <w:t>/2</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2</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position w:val="4"/>
                <w:sz w:val="20"/>
              </w:rPr>
              <w:t>7</w:t>
            </w:r>
            <w:r>
              <w:rPr>
                <w:sz w:val="20"/>
              </w:rPr>
              <w:t>/8</w:t>
            </w:r>
          </w:p>
        </w:tc>
        <w:tc>
          <w:tcPr>
            <w:tcW w:w="924" w:type="dxa"/>
            <w:tcBorders>
              <w:right w:val="single" w:sz="6" w:space="0" w:color="auto"/>
            </w:tcBorders>
          </w:tcPr>
          <w:p w:rsidR="00AF2508" w:rsidRDefault="00AF2508">
            <w:pPr>
              <w:pStyle w:val="TableText"/>
              <w:jc w:val="center"/>
              <w:rPr>
                <w:sz w:val="20"/>
              </w:rPr>
            </w:pPr>
            <w:r>
              <w:rPr>
                <w:position w:val="4"/>
                <w:sz w:val="20"/>
              </w:rPr>
              <w:t>9</w:t>
            </w:r>
            <w:r>
              <w:rPr>
                <w:sz w:val="20"/>
              </w:rPr>
              <w:t>/32</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4</w:t>
            </w:r>
            <w:r>
              <w:rPr>
                <w:position w:val="4"/>
                <w:sz w:val="20"/>
              </w:rPr>
              <w:t>1</w:t>
            </w:r>
            <w:r>
              <w:rPr>
                <w:sz w:val="20"/>
              </w:rPr>
              <w:t>/2</w:t>
            </w:r>
          </w:p>
        </w:tc>
        <w:tc>
          <w:tcPr>
            <w:tcW w:w="600" w:type="dxa"/>
            <w:tcBorders>
              <w:left w:val="single" w:sz="6" w:space="0" w:color="auto"/>
            </w:tcBorders>
          </w:tcPr>
          <w:p w:rsidR="00AF2508" w:rsidRDefault="00AF2508">
            <w:pPr>
              <w:pStyle w:val="TableText"/>
              <w:jc w:val="center"/>
              <w:rPr>
                <w:sz w:val="20"/>
              </w:rPr>
            </w:pPr>
            <w:r>
              <w:rPr>
                <w:sz w:val="20"/>
              </w:rPr>
              <w:t>0</w:t>
            </w:r>
          </w:p>
        </w:tc>
        <w:tc>
          <w:tcPr>
            <w:tcW w:w="716" w:type="dxa"/>
          </w:tcPr>
          <w:p w:rsidR="00AF2508" w:rsidRDefault="00AF2508">
            <w:pPr>
              <w:pStyle w:val="TableText"/>
              <w:jc w:val="center"/>
              <w:rPr>
                <w:sz w:val="20"/>
              </w:rPr>
            </w:pPr>
            <w:r>
              <w:rPr>
                <w:sz w:val="20"/>
              </w:rPr>
              <w:t>9</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8</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6</w:t>
            </w:r>
            <w:r>
              <w:rPr>
                <w:position w:val="4"/>
                <w:sz w:val="20"/>
              </w:rPr>
              <w:t>1</w:t>
            </w:r>
            <w:r>
              <w:rPr>
                <w:sz w:val="20"/>
              </w:rPr>
              <w:t>/2</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4</w:t>
            </w:r>
            <w:r>
              <w:rPr>
                <w:position w:val="4"/>
                <w:sz w:val="20"/>
              </w:rPr>
              <w:t>1</w:t>
            </w:r>
            <w:r>
              <w:rPr>
                <w:sz w:val="20"/>
              </w:rPr>
              <w:t>/2</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2</w:t>
            </w:r>
            <w:r>
              <w:rPr>
                <w:position w:val="4"/>
                <w:sz w:val="20"/>
              </w:rPr>
              <w:t>1</w:t>
            </w:r>
            <w:r>
              <w:rPr>
                <w:sz w:val="20"/>
              </w:rPr>
              <w:t>/2</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p>
        </w:tc>
        <w:tc>
          <w:tcPr>
            <w:tcW w:w="924" w:type="dxa"/>
            <w:tcBorders>
              <w:right w:val="single" w:sz="6" w:space="0" w:color="auto"/>
            </w:tcBorders>
          </w:tcPr>
          <w:p w:rsidR="00AF2508" w:rsidRDefault="00AF2508">
            <w:pPr>
              <w:pStyle w:val="TableText"/>
              <w:jc w:val="center"/>
              <w:rPr>
                <w:sz w:val="20"/>
              </w:rPr>
            </w:pPr>
            <w:r>
              <w:rPr>
                <w:position w:val="4"/>
                <w:sz w:val="20"/>
              </w:rPr>
              <w:t>5</w:t>
            </w:r>
            <w:r>
              <w:rPr>
                <w:sz w:val="20"/>
              </w:rPr>
              <w:t>/16</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6</w:t>
            </w:r>
          </w:p>
        </w:tc>
        <w:tc>
          <w:tcPr>
            <w:tcW w:w="600" w:type="dxa"/>
            <w:tcBorders>
              <w:left w:val="single" w:sz="6" w:space="0" w:color="auto"/>
            </w:tcBorders>
          </w:tcPr>
          <w:p w:rsidR="00AF2508" w:rsidRDefault="00AF2508">
            <w:pPr>
              <w:pStyle w:val="TableText"/>
              <w:jc w:val="center"/>
              <w:rPr>
                <w:sz w:val="20"/>
              </w:rPr>
            </w:pPr>
            <w:r>
              <w:rPr>
                <w:sz w:val="20"/>
              </w:rPr>
              <w:t>0</w:t>
            </w:r>
          </w:p>
        </w:tc>
        <w:tc>
          <w:tcPr>
            <w:tcW w:w="716" w:type="dxa"/>
          </w:tcPr>
          <w:p w:rsidR="00AF2508" w:rsidRDefault="00AF2508">
            <w:pPr>
              <w:pStyle w:val="TableText"/>
              <w:jc w:val="center"/>
              <w:rPr>
                <w:sz w:val="20"/>
              </w:rPr>
            </w:pPr>
            <w:r>
              <w:rPr>
                <w:sz w:val="20"/>
              </w:rPr>
              <w:t>12</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10</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8</w:t>
            </w:r>
            <w:r>
              <w:rPr>
                <w:position w:val="4"/>
                <w:sz w:val="20"/>
              </w:rPr>
              <w:t>1</w:t>
            </w:r>
            <w:r>
              <w:rPr>
                <w:sz w:val="20"/>
              </w:rPr>
              <w:t>/2</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6</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3</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/8</w:t>
            </w:r>
          </w:p>
        </w:tc>
        <w:tc>
          <w:tcPr>
            <w:tcW w:w="924" w:type="dxa"/>
            <w:tcBorders>
              <w:right w:val="single" w:sz="6" w:space="0" w:color="auto"/>
            </w:tcBorders>
          </w:tcPr>
          <w:p w:rsidR="00AF2508" w:rsidRDefault="00AF2508">
            <w:pPr>
              <w:pStyle w:val="TableText"/>
              <w:jc w:val="center"/>
              <w:rPr>
                <w:sz w:val="20"/>
              </w:rPr>
            </w:pPr>
            <w:r>
              <w:rPr>
                <w:position w:val="4"/>
                <w:sz w:val="20"/>
              </w:rPr>
              <w:t>3</w:t>
            </w:r>
            <w:r>
              <w:rPr>
                <w:sz w:val="20"/>
              </w:rPr>
              <w:t>/8</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8</w:t>
            </w:r>
          </w:p>
        </w:tc>
        <w:tc>
          <w:tcPr>
            <w:tcW w:w="600" w:type="dxa"/>
            <w:tcBorders>
              <w:left w:val="single" w:sz="6" w:space="0" w:color="auto"/>
            </w:tcBorders>
          </w:tcPr>
          <w:p w:rsidR="00AF2508" w:rsidRDefault="00AF2508">
            <w:pPr>
              <w:pStyle w:val="TableText"/>
              <w:jc w:val="center"/>
              <w:rPr>
                <w:sz w:val="20"/>
              </w:rPr>
            </w:pPr>
            <w:r>
              <w:rPr>
                <w:sz w:val="20"/>
              </w:rPr>
              <w:t>0</w:t>
            </w:r>
          </w:p>
        </w:tc>
        <w:tc>
          <w:tcPr>
            <w:tcW w:w="716" w:type="dxa"/>
          </w:tcPr>
          <w:p w:rsidR="00AF2508" w:rsidRDefault="00AF2508">
            <w:pPr>
              <w:pStyle w:val="TableText"/>
              <w:jc w:val="center"/>
              <w:rPr>
                <w:sz w:val="20"/>
              </w:rPr>
            </w:pPr>
            <w:r>
              <w:rPr>
                <w:sz w:val="20"/>
              </w:rPr>
              <w:t>15</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13</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11</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8</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4</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924" w:type="dxa"/>
            <w:tcBorders>
              <w:right w:val="single" w:sz="6" w:space="0" w:color="auto"/>
            </w:tcBorders>
          </w:tcPr>
          <w:p w:rsidR="00AF2508" w:rsidRDefault="00AF2508">
            <w:pPr>
              <w:pStyle w:val="TableText"/>
              <w:jc w:val="center"/>
              <w:rPr>
                <w:sz w:val="20"/>
              </w:rPr>
            </w:pPr>
            <w:r>
              <w:rPr>
                <w:position w:val="4"/>
                <w:sz w:val="16"/>
              </w:rPr>
              <w:t>13</w:t>
            </w:r>
            <w:r>
              <w:rPr>
                <w:sz w:val="20"/>
              </w:rPr>
              <w:t>/</w:t>
            </w:r>
            <w:r>
              <w:rPr>
                <w:sz w:val="16"/>
              </w:rPr>
              <w:t>32</w:t>
            </w:r>
            <w:r>
              <w:rPr>
                <w:sz w:val="20"/>
              </w:rPr>
              <w:t xml:space="preserve"> </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10</w:t>
            </w:r>
          </w:p>
        </w:tc>
        <w:tc>
          <w:tcPr>
            <w:tcW w:w="600" w:type="dxa"/>
            <w:tcBorders>
              <w:left w:val="single" w:sz="6" w:space="0" w:color="auto"/>
            </w:tcBorders>
          </w:tcPr>
          <w:p w:rsidR="00AF2508" w:rsidRDefault="00AF2508">
            <w:pPr>
              <w:pStyle w:val="TableText"/>
              <w:jc w:val="center"/>
              <w:rPr>
                <w:sz w:val="20"/>
              </w:rPr>
            </w:pPr>
            <w:r>
              <w:rPr>
                <w:sz w:val="20"/>
              </w:rPr>
              <w:t>0</w:t>
            </w:r>
          </w:p>
        </w:tc>
        <w:tc>
          <w:tcPr>
            <w:tcW w:w="716" w:type="dxa"/>
          </w:tcPr>
          <w:p w:rsidR="00AF2508" w:rsidRDefault="00AF2508">
            <w:pPr>
              <w:pStyle w:val="TableText"/>
              <w:jc w:val="center"/>
              <w:rPr>
                <w:sz w:val="20"/>
              </w:rPr>
            </w:pPr>
            <w:r>
              <w:rPr>
                <w:sz w:val="20"/>
              </w:rPr>
              <w:t>19</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17</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14</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10</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5</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924" w:type="dxa"/>
            <w:tcBorders>
              <w:right w:val="single" w:sz="6" w:space="0" w:color="auto"/>
            </w:tcBorders>
          </w:tcPr>
          <w:p w:rsidR="00AF2508" w:rsidRDefault="00AF2508">
            <w:pPr>
              <w:pStyle w:val="TableText"/>
              <w:jc w:val="center"/>
              <w:rPr>
                <w:sz w:val="20"/>
              </w:rPr>
            </w:pPr>
            <w:r>
              <w:rPr>
                <w:position w:val="4"/>
                <w:sz w:val="16"/>
              </w:rPr>
              <w:t>7</w:t>
            </w:r>
            <w:r>
              <w:rPr>
                <w:sz w:val="20"/>
              </w:rPr>
              <w:t>/</w:t>
            </w:r>
            <w:r>
              <w:rPr>
                <w:sz w:val="16"/>
              </w:rPr>
              <w:t>16</w:t>
            </w:r>
            <w:r>
              <w:rPr>
                <w:sz w:val="20"/>
              </w:rPr>
              <w:t xml:space="preserve"> </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11</w:t>
            </w:r>
          </w:p>
        </w:tc>
        <w:tc>
          <w:tcPr>
            <w:tcW w:w="600" w:type="dxa"/>
            <w:tcBorders>
              <w:left w:val="single" w:sz="6" w:space="0" w:color="auto"/>
            </w:tcBorders>
          </w:tcPr>
          <w:p w:rsidR="00AF2508" w:rsidRDefault="00AF2508">
            <w:pPr>
              <w:pStyle w:val="TableText"/>
              <w:jc w:val="center"/>
              <w:rPr>
                <w:sz w:val="20"/>
              </w:rPr>
            </w:pPr>
            <w:r>
              <w:rPr>
                <w:sz w:val="20"/>
              </w:rPr>
              <w:t>1</w:t>
            </w:r>
          </w:p>
        </w:tc>
        <w:tc>
          <w:tcPr>
            <w:tcW w:w="716" w:type="dxa"/>
          </w:tcPr>
          <w:p w:rsidR="00AF2508" w:rsidRDefault="00AF2508">
            <w:pPr>
              <w:pStyle w:val="TableText"/>
              <w:jc w:val="center"/>
              <w:rPr>
                <w:sz w:val="20"/>
              </w:rPr>
            </w:pPr>
            <w:r>
              <w:rPr>
                <w:sz w:val="20"/>
              </w:rPr>
              <w:t>1</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19</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16</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11</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6</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924" w:type="dxa"/>
            <w:tcBorders>
              <w:right w:val="single" w:sz="6" w:space="0" w:color="auto"/>
            </w:tcBorders>
          </w:tcPr>
          <w:p w:rsidR="00AF2508" w:rsidRDefault="00AF2508">
            <w:pPr>
              <w:pStyle w:val="TableText"/>
              <w:jc w:val="center"/>
              <w:rPr>
                <w:sz w:val="20"/>
              </w:rPr>
            </w:pPr>
            <w:r>
              <w:rPr>
                <w:position w:val="4"/>
                <w:sz w:val="16"/>
              </w:rPr>
              <w:t>15</w:t>
            </w:r>
            <w:r>
              <w:rPr>
                <w:sz w:val="20"/>
              </w:rPr>
              <w:t>/</w:t>
            </w:r>
            <w:r>
              <w:rPr>
                <w:sz w:val="16"/>
              </w:rPr>
              <w:t>32</w:t>
            </w:r>
            <w:r>
              <w:rPr>
                <w:sz w:val="20"/>
              </w:rPr>
              <w:t xml:space="preserve"> </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14</w:t>
            </w:r>
          </w:p>
        </w:tc>
        <w:tc>
          <w:tcPr>
            <w:tcW w:w="600" w:type="dxa"/>
            <w:tcBorders>
              <w:left w:val="single" w:sz="6" w:space="0" w:color="auto"/>
            </w:tcBorders>
          </w:tcPr>
          <w:p w:rsidR="00AF2508" w:rsidRDefault="00AF2508">
            <w:pPr>
              <w:pStyle w:val="TableText"/>
              <w:jc w:val="center"/>
              <w:rPr>
                <w:sz w:val="20"/>
              </w:rPr>
            </w:pPr>
            <w:r>
              <w:rPr>
                <w:sz w:val="20"/>
              </w:rPr>
              <w:t>1</w:t>
            </w:r>
          </w:p>
        </w:tc>
        <w:tc>
          <w:tcPr>
            <w:tcW w:w="716" w:type="dxa"/>
          </w:tcPr>
          <w:p w:rsidR="00AF2508" w:rsidRDefault="00AF2508">
            <w:pPr>
              <w:pStyle w:val="TableText"/>
              <w:jc w:val="center"/>
              <w:rPr>
                <w:sz w:val="20"/>
              </w:rPr>
            </w:pPr>
            <w:r>
              <w:rPr>
                <w:sz w:val="20"/>
              </w:rPr>
              <w:t>7</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4</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0</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14</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7</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924" w:type="dxa"/>
            <w:tcBorders>
              <w:right w:val="single" w:sz="6" w:space="0" w:color="auto"/>
            </w:tcBorders>
          </w:tcPr>
          <w:p w:rsidR="00AF2508" w:rsidRDefault="00AF2508">
            <w:pPr>
              <w:pStyle w:val="TableText"/>
              <w:jc w:val="center"/>
              <w:rPr>
                <w:sz w:val="20"/>
              </w:rPr>
            </w:pPr>
            <w:r>
              <w:rPr>
                <w:position w:val="4"/>
                <w:sz w:val="16"/>
              </w:rPr>
              <w:t>1</w:t>
            </w:r>
            <w:r>
              <w:rPr>
                <w:sz w:val="20"/>
              </w:rPr>
              <w:t>/</w:t>
            </w:r>
            <w:r>
              <w:rPr>
                <w:sz w:val="16"/>
              </w:rPr>
              <w:t>2</w:t>
            </w:r>
            <w:r>
              <w:rPr>
                <w:sz w:val="20"/>
              </w:rPr>
              <w:t xml:space="preserve"> </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17</w:t>
            </w:r>
          </w:p>
        </w:tc>
        <w:tc>
          <w:tcPr>
            <w:tcW w:w="600" w:type="dxa"/>
            <w:tcBorders>
              <w:left w:val="single" w:sz="6" w:space="0" w:color="auto"/>
            </w:tcBorders>
          </w:tcPr>
          <w:p w:rsidR="00AF2508" w:rsidRDefault="00AF2508">
            <w:pPr>
              <w:pStyle w:val="TableText"/>
              <w:jc w:val="center"/>
              <w:rPr>
                <w:sz w:val="20"/>
              </w:rPr>
            </w:pPr>
            <w:r>
              <w:rPr>
                <w:sz w:val="20"/>
              </w:rPr>
              <w:t>1</w:t>
            </w:r>
          </w:p>
        </w:tc>
        <w:tc>
          <w:tcPr>
            <w:tcW w:w="716" w:type="dxa"/>
          </w:tcPr>
          <w:p w:rsidR="00AF2508" w:rsidRDefault="00AF2508">
            <w:pPr>
              <w:pStyle w:val="TableText"/>
              <w:jc w:val="center"/>
              <w:rPr>
                <w:sz w:val="20"/>
              </w:rPr>
            </w:pPr>
            <w:r>
              <w:rPr>
                <w:sz w:val="20"/>
              </w:rPr>
              <w:t>13</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9</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4</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17</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9</w:t>
            </w:r>
          </w:p>
        </w:tc>
      </w:tr>
      <w:tr w:rsidR="00AF2508">
        <w:trPr>
          <w:cantSplit/>
          <w:trHeight w:val="200"/>
        </w:trPr>
        <w:tc>
          <w:tcPr>
            <w:tcW w:w="984" w:type="dxa"/>
            <w:tcBorders>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924" w:type="dxa"/>
            <w:tcBorders>
              <w:right w:val="single" w:sz="6" w:space="0" w:color="auto"/>
            </w:tcBorders>
          </w:tcPr>
          <w:p w:rsidR="00AF2508" w:rsidRDefault="00AF2508">
            <w:pPr>
              <w:pStyle w:val="TableText"/>
              <w:jc w:val="center"/>
              <w:rPr>
                <w:sz w:val="20"/>
              </w:rPr>
            </w:pPr>
            <w:r>
              <w:rPr>
                <w:position w:val="4"/>
                <w:sz w:val="16"/>
              </w:rPr>
              <w:t>9</w:t>
            </w:r>
            <w:r>
              <w:rPr>
                <w:sz w:val="20"/>
              </w:rPr>
              <w:t>/</w:t>
            </w:r>
            <w:r>
              <w:rPr>
                <w:sz w:val="16"/>
              </w:rPr>
              <w:t>16</w:t>
            </w:r>
            <w:r>
              <w:rPr>
                <w:sz w:val="20"/>
              </w:rPr>
              <w:t xml:space="preserve"> </w:t>
            </w:r>
          </w:p>
        </w:tc>
        <w:tc>
          <w:tcPr>
            <w:tcW w:w="672"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19</w:t>
            </w:r>
          </w:p>
        </w:tc>
        <w:tc>
          <w:tcPr>
            <w:tcW w:w="600" w:type="dxa"/>
            <w:tcBorders>
              <w:left w:val="single" w:sz="6" w:space="0" w:color="auto"/>
            </w:tcBorders>
          </w:tcPr>
          <w:p w:rsidR="00AF2508" w:rsidRDefault="00AF2508">
            <w:pPr>
              <w:pStyle w:val="TableText"/>
              <w:jc w:val="center"/>
              <w:rPr>
                <w:sz w:val="20"/>
              </w:rPr>
            </w:pPr>
            <w:r>
              <w:rPr>
                <w:sz w:val="20"/>
              </w:rPr>
              <w:t>1</w:t>
            </w:r>
          </w:p>
        </w:tc>
        <w:tc>
          <w:tcPr>
            <w:tcW w:w="716" w:type="dxa"/>
          </w:tcPr>
          <w:p w:rsidR="00AF2508" w:rsidRDefault="00AF2508">
            <w:pPr>
              <w:pStyle w:val="TableText"/>
              <w:jc w:val="center"/>
              <w:rPr>
                <w:sz w:val="20"/>
              </w:rPr>
            </w:pPr>
            <w:r>
              <w:rPr>
                <w:sz w:val="20"/>
              </w:rPr>
              <w:t>17</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13</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7</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19</w:t>
            </w:r>
          </w:p>
        </w:tc>
        <w:tc>
          <w:tcPr>
            <w:tcW w:w="790" w:type="dxa"/>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10</w:t>
            </w:r>
          </w:p>
        </w:tc>
      </w:tr>
      <w:tr w:rsidR="00AF2508">
        <w:trPr>
          <w:cantSplit/>
          <w:trHeight w:val="200"/>
        </w:trPr>
        <w:tc>
          <w:tcPr>
            <w:tcW w:w="984" w:type="dxa"/>
            <w:tcBorders>
              <w:right w:val="single" w:sz="6" w:space="0" w:color="auto"/>
            </w:tcBorders>
          </w:tcPr>
          <w:p w:rsidR="00AF2508" w:rsidRDefault="00AF2508">
            <w:pPr>
              <w:spacing w:before="20" w:after="20"/>
              <w:ind w:left="20"/>
              <w:jc w:val="center"/>
              <w:rPr>
                <w:color w:val="000000"/>
                <w:sz w:val="20"/>
              </w:rPr>
            </w:pPr>
            <w:r>
              <w:rPr>
                <w:color w:val="000000"/>
                <w:sz w:val="20"/>
              </w:rPr>
              <w:t>1</w:t>
            </w:r>
            <w:r>
              <w:rPr>
                <w:color w:val="000000"/>
                <w:position w:val="4"/>
                <w:sz w:val="16"/>
              </w:rPr>
              <w:t>7</w:t>
            </w:r>
            <w:r>
              <w:rPr>
                <w:color w:val="000000"/>
                <w:sz w:val="20"/>
              </w:rPr>
              <w:t>/</w:t>
            </w:r>
            <w:r>
              <w:rPr>
                <w:color w:val="000000"/>
                <w:sz w:val="16"/>
              </w:rPr>
              <w:t>8</w:t>
            </w:r>
          </w:p>
        </w:tc>
        <w:tc>
          <w:tcPr>
            <w:tcW w:w="924" w:type="dxa"/>
            <w:tcBorders>
              <w:right w:val="single" w:sz="6" w:space="0" w:color="auto"/>
            </w:tcBorders>
          </w:tcPr>
          <w:p w:rsidR="00AF2508" w:rsidRDefault="00AF2508">
            <w:pPr>
              <w:ind w:right="200"/>
              <w:jc w:val="center"/>
              <w:rPr>
                <w:color w:val="000000"/>
                <w:sz w:val="20"/>
              </w:rPr>
            </w:pPr>
            <w:r>
              <w:rPr>
                <w:color w:val="000000"/>
                <w:position w:val="4"/>
                <w:sz w:val="16"/>
              </w:rPr>
              <w:t>19</w:t>
            </w:r>
            <w:r>
              <w:rPr>
                <w:color w:val="000000"/>
                <w:sz w:val="20"/>
              </w:rPr>
              <w:t>/</w:t>
            </w:r>
            <w:r>
              <w:rPr>
                <w:color w:val="000000"/>
                <w:sz w:val="16"/>
              </w:rPr>
              <w:t>32</w:t>
            </w:r>
            <w:r>
              <w:rPr>
                <w:color w:val="000000"/>
                <w:sz w:val="20"/>
              </w:rPr>
              <w:t xml:space="preserve"> </w:t>
            </w:r>
          </w:p>
        </w:tc>
        <w:tc>
          <w:tcPr>
            <w:tcW w:w="672" w:type="dxa"/>
            <w:gridSpan w:val="2"/>
          </w:tcPr>
          <w:p w:rsidR="00AF2508" w:rsidRDefault="00AF2508">
            <w:pPr>
              <w:ind w:right="67"/>
              <w:jc w:val="center"/>
              <w:rPr>
                <w:color w:val="000000"/>
                <w:sz w:val="20"/>
              </w:rPr>
            </w:pPr>
            <w:r>
              <w:rPr>
                <w:color w:val="000000"/>
                <w:sz w:val="20"/>
              </w:rPr>
              <w:t>1</w:t>
            </w:r>
          </w:p>
        </w:tc>
        <w:tc>
          <w:tcPr>
            <w:tcW w:w="840" w:type="dxa"/>
          </w:tcPr>
          <w:p w:rsidR="00AF2508" w:rsidRDefault="00AF2508">
            <w:pPr>
              <w:ind w:right="160"/>
              <w:jc w:val="center"/>
              <w:rPr>
                <w:color w:val="000000"/>
                <w:sz w:val="20"/>
              </w:rPr>
            </w:pPr>
            <w:r>
              <w:rPr>
                <w:color w:val="000000"/>
                <w:sz w:val="20"/>
              </w:rPr>
              <w:t>2</w:t>
            </w:r>
          </w:p>
        </w:tc>
        <w:tc>
          <w:tcPr>
            <w:tcW w:w="600" w:type="dxa"/>
            <w:tcBorders>
              <w:left w:val="single" w:sz="6" w:space="0" w:color="auto"/>
            </w:tcBorders>
          </w:tcPr>
          <w:p w:rsidR="00AF2508" w:rsidRDefault="00AF2508">
            <w:pPr>
              <w:ind w:right="67"/>
              <w:jc w:val="center"/>
              <w:rPr>
                <w:color w:val="000000"/>
                <w:sz w:val="20"/>
              </w:rPr>
            </w:pPr>
            <w:r>
              <w:rPr>
                <w:color w:val="000000"/>
                <w:sz w:val="20"/>
              </w:rPr>
              <w:t>2</w:t>
            </w:r>
          </w:p>
        </w:tc>
        <w:tc>
          <w:tcPr>
            <w:tcW w:w="716" w:type="dxa"/>
          </w:tcPr>
          <w:p w:rsidR="00AF2508" w:rsidRDefault="00AF2508">
            <w:pPr>
              <w:ind w:right="67"/>
              <w:jc w:val="center"/>
              <w:rPr>
                <w:color w:val="000000"/>
                <w:sz w:val="20"/>
              </w:rPr>
            </w:pPr>
            <w:r>
              <w:rPr>
                <w:color w:val="000000"/>
                <w:sz w:val="20"/>
              </w:rPr>
              <w:t>2</w:t>
            </w:r>
          </w:p>
        </w:tc>
        <w:tc>
          <w:tcPr>
            <w:tcW w:w="764" w:type="dxa"/>
            <w:tcBorders>
              <w:left w:val="single" w:sz="6" w:space="0" w:color="auto"/>
            </w:tcBorders>
          </w:tcPr>
          <w:p w:rsidR="00AF2508" w:rsidRDefault="00AF2508">
            <w:pPr>
              <w:ind w:right="67"/>
              <w:jc w:val="center"/>
              <w:rPr>
                <w:color w:val="000000"/>
                <w:sz w:val="20"/>
              </w:rPr>
            </w:pPr>
            <w:r>
              <w:rPr>
                <w:color w:val="000000"/>
                <w:sz w:val="20"/>
              </w:rPr>
              <w:t>1</w:t>
            </w:r>
          </w:p>
        </w:tc>
        <w:tc>
          <w:tcPr>
            <w:tcW w:w="844" w:type="dxa"/>
          </w:tcPr>
          <w:p w:rsidR="00AF2508" w:rsidRDefault="00AF2508">
            <w:pPr>
              <w:ind w:right="67"/>
              <w:jc w:val="center"/>
              <w:rPr>
                <w:color w:val="000000"/>
                <w:sz w:val="20"/>
              </w:rPr>
            </w:pPr>
            <w:r>
              <w:rPr>
                <w:color w:val="000000"/>
                <w:sz w:val="20"/>
              </w:rPr>
              <w:t>18</w:t>
            </w:r>
          </w:p>
        </w:tc>
        <w:tc>
          <w:tcPr>
            <w:tcW w:w="756" w:type="dxa"/>
            <w:tcBorders>
              <w:left w:val="single" w:sz="6" w:space="0" w:color="auto"/>
            </w:tcBorders>
          </w:tcPr>
          <w:p w:rsidR="00AF2508" w:rsidRDefault="00AF2508">
            <w:pPr>
              <w:ind w:right="67"/>
              <w:jc w:val="center"/>
              <w:rPr>
                <w:color w:val="000000"/>
                <w:sz w:val="20"/>
              </w:rPr>
            </w:pPr>
            <w:r>
              <w:rPr>
                <w:color w:val="000000"/>
                <w:sz w:val="20"/>
              </w:rPr>
              <w:t>1</w:t>
            </w:r>
          </w:p>
        </w:tc>
        <w:tc>
          <w:tcPr>
            <w:tcW w:w="804" w:type="dxa"/>
          </w:tcPr>
          <w:p w:rsidR="00AF2508" w:rsidRDefault="00AF2508">
            <w:pPr>
              <w:ind w:right="146"/>
              <w:jc w:val="center"/>
              <w:rPr>
                <w:color w:val="000000"/>
                <w:sz w:val="20"/>
              </w:rPr>
            </w:pPr>
            <w:r>
              <w:rPr>
                <w:color w:val="000000"/>
                <w:sz w:val="20"/>
              </w:rPr>
              <w:t>11</w:t>
            </w:r>
          </w:p>
        </w:tc>
        <w:tc>
          <w:tcPr>
            <w:tcW w:w="742" w:type="dxa"/>
            <w:tcBorders>
              <w:left w:val="single" w:sz="6" w:space="0" w:color="auto"/>
            </w:tcBorders>
          </w:tcPr>
          <w:p w:rsidR="00AF2508" w:rsidRDefault="00AF2508">
            <w:pPr>
              <w:ind w:right="67"/>
              <w:jc w:val="center"/>
              <w:rPr>
                <w:color w:val="000000"/>
                <w:sz w:val="20"/>
              </w:rPr>
            </w:pPr>
            <w:r>
              <w:rPr>
                <w:color w:val="000000"/>
                <w:sz w:val="20"/>
              </w:rPr>
              <w:t>1</w:t>
            </w:r>
          </w:p>
        </w:tc>
        <w:tc>
          <w:tcPr>
            <w:tcW w:w="770" w:type="dxa"/>
            <w:tcBorders>
              <w:right w:val="single" w:sz="6" w:space="0" w:color="auto"/>
            </w:tcBorders>
          </w:tcPr>
          <w:p w:rsidR="00AF2508" w:rsidRDefault="00AF2508">
            <w:pPr>
              <w:ind w:right="180"/>
              <w:jc w:val="center"/>
              <w:rPr>
                <w:color w:val="000000"/>
                <w:sz w:val="20"/>
              </w:rPr>
            </w:pPr>
            <w:r>
              <w:rPr>
                <w:color w:val="000000"/>
                <w:sz w:val="20"/>
              </w:rPr>
              <w:t>2</w:t>
            </w:r>
          </w:p>
        </w:tc>
        <w:tc>
          <w:tcPr>
            <w:tcW w:w="790" w:type="dxa"/>
          </w:tcPr>
          <w:p w:rsidR="00AF2508" w:rsidRDefault="00AF2508">
            <w:pPr>
              <w:ind w:right="67"/>
              <w:jc w:val="center"/>
              <w:rPr>
                <w:color w:val="000000"/>
                <w:sz w:val="20"/>
              </w:rPr>
            </w:pPr>
            <w:r>
              <w:rPr>
                <w:color w:val="000000"/>
                <w:sz w:val="20"/>
              </w:rPr>
              <w:t>0</w:t>
            </w:r>
          </w:p>
        </w:tc>
        <w:tc>
          <w:tcPr>
            <w:tcW w:w="674" w:type="dxa"/>
            <w:gridSpan w:val="2"/>
          </w:tcPr>
          <w:p w:rsidR="00AF2508" w:rsidRDefault="00AF2508">
            <w:pPr>
              <w:ind w:right="160"/>
              <w:jc w:val="center"/>
              <w:rPr>
                <w:color w:val="000000"/>
                <w:sz w:val="20"/>
              </w:rPr>
            </w:pPr>
            <w:r>
              <w:rPr>
                <w:color w:val="000000"/>
                <w:sz w:val="20"/>
              </w:rPr>
              <w:t>11</w:t>
            </w:r>
          </w:p>
        </w:tc>
      </w:tr>
      <w:tr w:rsidR="00AF2508">
        <w:trPr>
          <w:cantSplit/>
          <w:trHeight w:val="200"/>
        </w:trPr>
        <w:tc>
          <w:tcPr>
            <w:tcW w:w="984" w:type="dxa"/>
            <w:tcBorders>
              <w:right w:val="single" w:sz="6" w:space="0" w:color="auto"/>
            </w:tcBorders>
          </w:tcPr>
          <w:p w:rsidR="00AF2508" w:rsidRDefault="00AF2508">
            <w:pPr>
              <w:spacing w:before="40" w:after="20"/>
              <w:ind w:left="20"/>
              <w:jc w:val="center"/>
              <w:rPr>
                <w:color w:val="000000"/>
                <w:sz w:val="20"/>
              </w:rPr>
            </w:pPr>
            <w:r>
              <w:rPr>
                <w:color w:val="000000"/>
                <w:sz w:val="20"/>
              </w:rPr>
              <w:t>2</w:t>
            </w:r>
          </w:p>
        </w:tc>
        <w:tc>
          <w:tcPr>
            <w:tcW w:w="924" w:type="dxa"/>
            <w:tcBorders>
              <w:right w:val="single" w:sz="6" w:space="0" w:color="auto"/>
            </w:tcBorders>
          </w:tcPr>
          <w:p w:rsidR="00AF2508" w:rsidRDefault="00AF2508">
            <w:pPr>
              <w:ind w:right="200"/>
              <w:jc w:val="center"/>
              <w:rPr>
                <w:color w:val="000000"/>
                <w:sz w:val="20"/>
              </w:rPr>
            </w:pPr>
            <w:r>
              <w:rPr>
                <w:color w:val="000000"/>
                <w:position w:val="4"/>
                <w:sz w:val="16"/>
              </w:rPr>
              <w:t>5</w:t>
            </w:r>
            <w:r>
              <w:rPr>
                <w:color w:val="000000"/>
                <w:sz w:val="20"/>
              </w:rPr>
              <w:t>/</w:t>
            </w:r>
            <w:r>
              <w:rPr>
                <w:color w:val="000000"/>
                <w:sz w:val="16"/>
              </w:rPr>
              <w:t>8</w:t>
            </w:r>
            <w:r>
              <w:rPr>
                <w:color w:val="000000"/>
                <w:sz w:val="20"/>
              </w:rPr>
              <w:t xml:space="preserve"> </w:t>
            </w:r>
          </w:p>
        </w:tc>
        <w:tc>
          <w:tcPr>
            <w:tcW w:w="672" w:type="dxa"/>
            <w:gridSpan w:val="2"/>
          </w:tcPr>
          <w:p w:rsidR="00AF2508" w:rsidRDefault="00AF2508">
            <w:pPr>
              <w:ind w:right="67"/>
              <w:jc w:val="center"/>
              <w:rPr>
                <w:color w:val="000000"/>
                <w:sz w:val="20"/>
              </w:rPr>
            </w:pPr>
            <w:r>
              <w:rPr>
                <w:color w:val="000000"/>
                <w:sz w:val="20"/>
              </w:rPr>
              <w:t>1</w:t>
            </w:r>
          </w:p>
        </w:tc>
        <w:tc>
          <w:tcPr>
            <w:tcW w:w="840" w:type="dxa"/>
          </w:tcPr>
          <w:p w:rsidR="00AF2508" w:rsidRDefault="00AF2508">
            <w:pPr>
              <w:ind w:right="160"/>
              <w:jc w:val="center"/>
              <w:rPr>
                <w:color w:val="000000"/>
                <w:sz w:val="20"/>
              </w:rPr>
            </w:pPr>
            <w:r>
              <w:rPr>
                <w:color w:val="000000"/>
                <w:sz w:val="20"/>
              </w:rPr>
              <w:t>5</w:t>
            </w:r>
          </w:p>
        </w:tc>
        <w:tc>
          <w:tcPr>
            <w:tcW w:w="600" w:type="dxa"/>
            <w:tcBorders>
              <w:left w:val="single" w:sz="6" w:space="0" w:color="auto"/>
            </w:tcBorders>
          </w:tcPr>
          <w:p w:rsidR="00AF2508" w:rsidRDefault="00AF2508">
            <w:pPr>
              <w:ind w:right="67"/>
              <w:jc w:val="center"/>
              <w:rPr>
                <w:color w:val="000000"/>
                <w:sz w:val="20"/>
              </w:rPr>
            </w:pPr>
            <w:r>
              <w:rPr>
                <w:color w:val="000000"/>
                <w:sz w:val="20"/>
              </w:rPr>
              <w:t>2</w:t>
            </w:r>
          </w:p>
        </w:tc>
        <w:tc>
          <w:tcPr>
            <w:tcW w:w="716" w:type="dxa"/>
          </w:tcPr>
          <w:p w:rsidR="00AF2508" w:rsidRDefault="00AF2508">
            <w:pPr>
              <w:ind w:right="67"/>
              <w:jc w:val="center"/>
              <w:rPr>
                <w:color w:val="000000"/>
                <w:sz w:val="20"/>
              </w:rPr>
            </w:pPr>
            <w:r>
              <w:rPr>
                <w:color w:val="000000"/>
                <w:sz w:val="20"/>
              </w:rPr>
              <w:t>8</w:t>
            </w:r>
          </w:p>
        </w:tc>
        <w:tc>
          <w:tcPr>
            <w:tcW w:w="764" w:type="dxa"/>
            <w:tcBorders>
              <w:left w:val="single" w:sz="6" w:space="0" w:color="auto"/>
            </w:tcBorders>
          </w:tcPr>
          <w:p w:rsidR="00AF2508" w:rsidRDefault="00AF2508">
            <w:pPr>
              <w:ind w:right="67"/>
              <w:jc w:val="center"/>
              <w:rPr>
                <w:color w:val="000000"/>
                <w:sz w:val="20"/>
              </w:rPr>
            </w:pPr>
            <w:r>
              <w:rPr>
                <w:color w:val="000000"/>
                <w:sz w:val="20"/>
              </w:rPr>
              <w:t>2</w:t>
            </w:r>
          </w:p>
        </w:tc>
        <w:tc>
          <w:tcPr>
            <w:tcW w:w="844" w:type="dxa"/>
          </w:tcPr>
          <w:p w:rsidR="00AF2508" w:rsidRDefault="00AF2508">
            <w:pPr>
              <w:ind w:right="67"/>
              <w:jc w:val="center"/>
              <w:rPr>
                <w:color w:val="000000"/>
                <w:sz w:val="20"/>
              </w:rPr>
            </w:pPr>
            <w:r>
              <w:rPr>
                <w:color w:val="000000"/>
                <w:sz w:val="20"/>
              </w:rPr>
              <w:t>3</w:t>
            </w:r>
          </w:p>
        </w:tc>
        <w:tc>
          <w:tcPr>
            <w:tcW w:w="756" w:type="dxa"/>
            <w:tcBorders>
              <w:left w:val="single" w:sz="6" w:space="0" w:color="auto"/>
            </w:tcBorders>
          </w:tcPr>
          <w:p w:rsidR="00AF2508" w:rsidRDefault="00AF2508">
            <w:pPr>
              <w:ind w:right="67"/>
              <w:jc w:val="center"/>
              <w:rPr>
                <w:color w:val="000000"/>
                <w:sz w:val="20"/>
              </w:rPr>
            </w:pPr>
            <w:r>
              <w:rPr>
                <w:color w:val="000000"/>
                <w:sz w:val="20"/>
              </w:rPr>
              <w:t>1</w:t>
            </w:r>
          </w:p>
        </w:tc>
        <w:tc>
          <w:tcPr>
            <w:tcW w:w="804" w:type="dxa"/>
          </w:tcPr>
          <w:p w:rsidR="00AF2508" w:rsidRDefault="00AF2508">
            <w:pPr>
              <w:ind w:right="146"/>
              <w:jc w:val="center"/>
              <w:rPr>
                <w:color w:val="000000"/>
                <w:sz w:val="20"/>
              </w:rPr>
            </w:pPr>
            <w:r>
              <w:rPr>
                <w:color w:val="000000"/>
                <w:sz w:val="20"/>
              </w:rPr>
              <w:t>15</w:t>
            </w:r>
          </w:p>
        </w:tc>
        <w:tc>
          <w:tcPr>
            <w:tcW w:w="742" w:type="dxa"/>
            <w:tcBorders>
              <w:left w:val="single" w:sz="6" w:space="0" w:color="auto"/>
            </w:tcBorders>
          </w:tcPr>
          <w:p w:rsidR="00AF2508" w:rsidRDefault="00AF2508">
            <w:pPr>
              <w:ind w:right="67"/>
              <w:jc w:val="center"/>
              <w:rPr>
                <w:color w:val="000000"/>
                <w:sz w:val="20"/>
              </w:rPr>
            </w:pPr>
            <w:r>
              <w:rPr>
                <w:color w:val="000000"/>
                <w:sz w:val="20"/>
              </w:rPr>
              <w:t>1</w:t>
            </w:r>
          </w:p>
        </w:tc>
        <w:tc>
          <w:tcPr>
            <w:tcW w:w="770" w:type="dxa"/>
            <w:tcBorders>
              <w:right w:val="single" w:sz="6" w:space="0" w:color="auto"/>
            </w:tcBorders>
          </w:tcPr>
          <w:p w:rsidR="00AF2508" w:rsidRDefault="00AF2508">
            <w:pPr>
              <w:ind w:right="180"/>
              <w:jc w:val="center"/>
              <w:rPr>
                <w:color w:val="000000"/>
                <w:sz w:val="20"/>
              </w:rPr>
            </w:pPr>
            <w:r>
              <w:rPr>
                <w:color w:val="000000"/>
                <w:sz w:val="20"/>
              </w:rPr>
              <w:t>5</w:t>
            </w:r>
          </w:p>
        </w:tc>
        <w:tc>
          <w:tcPr>
            <w:tcW w:w="790" w:type="dxa"/>
          </w:tcPr>
          <w:p w:rsidR="00AF2508" w:rsidRDefault="00AF2508">
            <w:pPr>
              <w:ind w:right="67"/>
              <w:jc w:val="center"/>
              <w:rPr>
                <w:color w:val="000000"/>
                <w:sz w:val="20"/>
              </w:rPr>
            </w:pPr>
            <w:r>
              <w:rPr>
                <w:color w:val="000000"/>
                <w:sz w:val="20"/>
              </w:rPr>
              <w:t>0</w:t>
            </w:r>
          </w:p>
        </w:tc>
        <w:tc>
          <w:tcPr>
            <w:tcW w:w="674" w:type="dxa"/>
            <w:gridSpan w:val="2"/>
          </w:tcPr>
          <w:p w:rsidR="00AF2508" w:rsidRDefault="00AF2508">
            <w:pPr>
              <w:ind w:right="160"/>
              <w:jc w:val="center"/>
              <w:rPr>
                <w:color w:val="000000"/>
                <w:sz w:val="20"/>
              </w:rPr>
            </w:pPr>
            <w:r>
              <w:rPr>
                <w:color w:val="000000"/>
                <w:sz w:val="20"/>
              </w:rPr>
              <w:t>13</w:t>
            </w:r>
          </w:p>
        </w:tc>
      </w:tr>
      <w:tr w:rsidR="00AF2508">
        <w:trPr>
          <w:cantSplit/>
          <w:trHeight w:val="200"/>
        </w:trPr>
        <w:tc>
          <w:tcPr>
            <w:tcW w:w="984" w:type="dxa"/>
            <w:tcBorders>
              <w:right w:val="single" w:sz="6" w:space="0" w:color="auto"/>
            </w:tcBorders>
          </w:tcPr>
          <w:p w:rsidR="00AF2508" w:rsidRDefault="00AF2508">
            <w:pPr>
              <w:spacing w:before="2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8</w:t>
            </w:r>
          </w:p>
        </w:tc>
        <w:tc>
          <w:tcPr>
            <w:tcW w:w="924" w:type="dxa"/>
            <w:tcBorders>
              <w:right w:val="single" w:sz="6" w:space="0" w:color="auto"/>
            </w:tcBorders>
          </w:tcPr>
          <w:p w:rsidR="00AF2508" w:rsidRDefault="00AF2508">
            <w:pPr>
              <w:ind w:right="200"/>
              <w:jc w:val="center"/>
              <w:rPr>
                <w:color w:val="000000"/>
                <w:sz w:val="20"/>
              </w:rPr>
            </w:pPr>
            <w:r>
              <w:rPr>
                <w:color w:val="000000"/>
                <w:position w:val="4"/>
                <w:sz w:val="16"/>
              </w:rPr>
              <w:t>11</w:t>
            </w:r>
            <w:r>
              <w:rPr>
                <w:color w:val="000000"/>
                <w:sz w:val="20"/>
              </w:rPr>
              <w:t>/</w:t>
            </w:r>
            <w:r>
              <w:rPr>
                <w:color w:val="000000"/>
                <w:sz w:val="16"/>
              </w:rPr>
              <w:t>16</w:t>
            </w:r>
            <w:r>
              <w:rPr>
                <w:color w:val="000000"/>
                <w:sz w:val="20"/>
              </w:rPr>
              <w:t xml:space="preserve"> </w:t>
            </w:r>
          </w:p>
        </w:tc>
        <w:tc>
          <w:tcPr>
            <w:tcW w:w="672" w:type="dxa"/>
            <w:gridSpan w:val="2"/>
          </w:tcPr>
          <w:p w:rsidR="00AF2508" w:rsidRDefault="00AF2508">
            <w:pPr>
              <w:ind w:right="67"/>
              <w:jc w:val="center"/>
              <w:rPr>
                <w:color w:val="000000"/>
                <w:sz w:val="20"/>
              </w:rPr>
            </w:pPr>
            <w:r>
              <w:rPr>
                <w:color w:val="000000"/>
                <w:sz w:val="20"/>
              </w:rPr>
              <w:t>1</w:t>
            </w:r>
          </w:p>
        </w:tc>
        <w:tc>
          <w:tcPr>
            <w:tcW w:w="840" w:type="dxa"/>
          </w:tcPr>
          <w:p w:rsidR="00AF2508" w:rsidRDefault="00AF2508">
            <w:pPr>
              <w:ind w:right="160"/>
              <w:jc w:val="center"/>
              <w:rPr>
                <w:color w:val="000000"/>
                <w:sz w:val="20"/>
              </w:rPr>
            </w:pPr>
            <w:r>
              <w:rPr>
                <w:color w:val="000000"/>
                <w:sz w:val="20"/>
              </w:rPr>
              <w:t>8</w:t>
            </w:r>
          </w:p>
        </w:tc>
        <w:tc>
          <w:tcPr>
            <w:tcW w:w="600" w:type="dxa"/>
            <w:tcBorders>
              <w:left w:val="single" w:sz="6" w:space="0" w:color="auto"/>
            </w:tcBorders>
          </w:tcPr>
          <w:p w:rsidR="00AF2508" w:rsidRDefault="00AF2508">
            <w:pPr>
              <w:ind w:right="67"/>
              <w:jc w:val="center"/>
              <w:rPr>
                <w:color w:val="000000"/>
                <w:sz w:val="20"/>
              </w:rPr>
            </w:pPr>
            <w:r>
              <w:rPr>
                <w:color w:val="000000"/>
                <w:sz w:val="20"/>
              </w:rPr>
              <w:t>2</w:t>
            </w:r>
          </w:p>
        </w:tc>
        <w:tc>
          <w:tcPr>
            <w:tcW w:w="716" w:type="dxa"/>
          </w:tcPr>
          <w:p w:rsidR="00AF2508" w:rsidRDefault="00AF2508">
            <w:pPr>
              <w:ind w:right="67"/>
              <w:jc w:val="center"/>
              <w:rPr>
                <w:color w:val="000000"/>
                <w:sz w:val="20"/>
              </w:rPr>
            </w:pPr>
            <w:r>
              <w:rPr>
                <w:color w:val="000000"/>
                <w:sz w:val="20"/>
              </w:rPr>
              <w:t>14</w:t>
            </w:r>
          </w:p>
        </w:tc>
        <w:tc>
          <w:tcPr>
            <w:tcW w:w="764" w:type="dxa"/>
            <w:tcBorders>
              <w:left w:val="single" w:sz="6" w:space="0" w:color="auto"/>
            </w:tcBorders>
          </w:tcPr>
          <w:p w:rsidR="00AF2508" w:rsidRDefault="00AF2508">
            <w:pPr>
              <w:ind w:right="67"/>
              <w:jc w:val="center"/>
              <w:rPr>
                <w:color w:val="000000"/>
                <w:sz w:val="20"/>
              </w:rPr>
            </w:pPr>
            <w:r>
              <w:rPr>
                <w:color w:val="000000"/>
                <w:sz w:val="20"/>
              </w:rPr>
              <w:t>2</w:t>
            </w:r>
          </w:p>
        </w:tc>
        <w:tc>
          <w:tcPr>
            <w:tcW w:w="844" w:type="dxa"/>
          </w:tcPr>
          <w:p w:rsidR="00AF2508" w:rsidRDefault="00AF2508">
            <w:pPr>
              <w:ind w:right="67"/>
              <w:jc w:val="center"/>
              <w:rPr>
                <w:color w:val="000000"/>
                <w:sz w:val="20"/>
              </w:rPr>
            </w:pPr>
            <w:r>
              <w:rPr>
                <w:color w:val="000000"/>
                <w:sz w:val="20"/>
              </w:rPr>
              <w:t>8</w:t>
            </w:r>
          </w:p>
        </w:tc>
        <w:tc>
          <w:tcPr>
            <w:tcW w:w="756" w:type="dxa"/>
            <w:tcBorders>
              <w:left w:val="single" w:sz="6" w:space="0" w:color="auto"/>
            </w:tcBorders>
          </w:tcPr>
          <w:p w:rsidR="00AF2508" w:rsidRDefault="00AF2508">
            <w:pPr>
              <w:ind w:right="67"/>
              <w:jc w:val="center"/>
              <w:rPr>
                <w:color w:val="000000"/>
                <w:sz w:val="20"/>
              </w:rPr>
            </w:pPr>
            <w:r>
              <w:rPr>
                <w:color w:val="000000"/>
                <w:sz w:val="20"/>
              </w:rPr>
              <w:t>2</w:t>
            </w:r>
          </w:p>
        </w:tc>
        <w:tc>
          <w:tcPr>
            <w:tcW w:w="804" w:type="dxa"/>
          </w:tcPr>
          <w:p w:rsidR="00AF2508" w:rsidRDefault="00AF2508">
            <w:pPr>
              <w:ind w:right="146"/>
              <w:jc w:val="center"/>
              <w:rPr>
                <w:color w:val="000000"/>
                <w:sz w:val="20"/>
              </w:rPr>
            </w:pPr>
            <w:r>
              <w:rPr>
                <w:color w:val="000000"/>
                <w:sz w:val="20"/>
              </w:rPr>
              <w:t>0</w:t>
            </w:r>
          </w:p>
        </w:tc>
        <w:tc>
          <w:tcPr>
            <w:tcW w:w="742" w:type="dxa"/>
            <w:tcBorders>
              <w:left w:val="single" w:sz="6" w:space="0" w:color="auto"/>
            </w:tcBorders>
          </w:tcPr>
          <w:p w:rsidR="00AF2508" w:rsidRDefault="00AF2508">
            <w:pPr>
              <w:ind w:right="67"/>
              <w:jc w:val="center"/>
              <w:rPr>
                <w:color w:val="000000"/>
                <w:sz w:val="20"/>
              </w:rPr>
            </w:pPr>
            <w:r>
              <w:rPr>
                <w:color w:val="000000"/>
                <w:sz w:val="20"/>
              </w:rPr>
              <w:t>1</w:t>
            </w:r>
          </w:p>
        </w:tc>
        <w:tc>
          <w:tcPr>
            <w:tcW w:w="770" w:type="dxa"/>
            <w:tcBorders>
              <w:right w:val="single" w:sz="6" w:space="0" w:color="auto"/>
            </w:tcBorders>
          </w:tcPr>
          <w:p w:rsidR="00AF2508" w:rsidRDefault="00AF2508">
            <w:pPr>
              <w:ind w:right="180"/>
              <w:jc w:val="center"/>
              <w:rPr>
                <w:color w:val="000000"/>
                <w:sz w:val="20"/>
              </w:rPr>
            </w:pPr>
            <w:r>
              <w:rPr>
                <w:color w:val="000000"/>
                <w:sz w:val="20"/>
              </w:rPr>
              <w:t>8</w:t>
            </w:r>
          </w:p>
        </w:tc>
        <w:tc>
          <w:tcPr>
            <w:tcW w:w="790" w:type="dxa"/>
          </w:tcPr>
          <w:p w:rsidR="00AF2508" w:rsidRDefault="00AF2508">
            <w:pPr>
              <w:ind w:right="67"/>
              <w:jc w:val="center"/>
              <w:rPr>
                <w:color w:val="000000"/>
                <w:sz w:val="20"/>
              </w:rPr>
            </w:pPr>
            <w:r>
              <w:rPr>
                <w:color w:val="000000"/>
                <w:sz w:val="20"/>
              </w:rPr>
              <w:t>0</w:t>
            </w:r>
          </w:p>
        </w:tc>
        <w:tc>
          <w:tcPr>
            <w:tcW w:w="674" w:type="dxa"/>
            <w:gridSpan w:val="2"/>
          </w:tcPr>
          <w:p w:rsidR="00AF2508" w:rsidRDefault="00AF2508">
            <w:pPr>
              <w:ind w:right="160"/>
              <w:jc w:val="center"/>
              <w:rPr>
                <w:color w:val="000000"/>
                <w:sz w:val="20"/>
              </w:rPr>
            </w:pPr>
            <w:r>
              <w:rPr>
                <w:color w:val="000000"/>
                <w:sz w:val="20"/>
              </w:rPr>
              <w:t>15</w:t>
            </w:r>
          </w:p>
        </w:tc>
      </w:tr>
      <w:tr w:rsidR="00AF2508">
        <w:trPr>
          <w:cantSplit/>
          <w:trHeight w:val="200"/>
        </w:trPr>
        <w:tc>
          <w:tcPr>
            <w:tcW w:w="984" w:type="dxa"/>
            <w:tcBorders>
              <w:right w:val="single" w:sz="6" w:space="0" w:color="auto"/>
            </w:tcBorders>
          </w:tcPr>
          <w:p w:rsidR="00AF2508" w:rsidRDefault="00AF2508">
            <w:pPr>
              <w:spacing w:before="2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4</w:t>
            </w:r>
          </w:p>
        </w:tc>
        <w:tc>
          <w:tcPr>
            <w:tcW w:w="924" w:type="dxa"/>
            <w:tcBorders>
              <w:right w:val="single" w:sz="6" w:space="0" w:color="auto"/>
            </w:tcBorders>
          </w:tcPr>
          <w:p w:rsidR="00AF2508" w:rsidRDefault="00AF2508">
            <w:pPr>
              <w:ind w:right="200"/>
              <w:jc w:val="center"/>
              <w:rPr>
                <w:color w:val="000000"/>
                <w:sz w:val="20"/>
              </w:rPr>
            </w:pPr>
            <w:r>
              <w:rPr>
                <w:color w:val="000000"/>
                <w:position w:val="4"/>
                <w:sz w:val="16"/>
              </w:rPr>
              <w:t>23</w:t>
            </w:r>
            <w:r>
              <w:rPr>
                <w:color w:val="000000"/>
                <w:sz w:val="20"/>
              </w:rPr>
              <w:t>/</w:t>
            </w:r>
            <w:r>
              <w:rPr>
                <w:color w:val="000000"/>
                <w:sz w:val="16"/>
              </w:rPr>
              <w:t>32</w:t>
            </w:r>
            <w:r>
              <w:rPr>
                <w:color w:val="000000"/>
                <w:sz w:val="20"/>
              </w:rPr>
              <w:t xml:space="preserve"> </w:t>
            </w:r>
          </w:p>
        </w:tc>
        <w:tc>
          <w:tcPr>
            <w:tcW w:w="672" w:type="dxa"/>
            <w:gridSpan w:val="2"/>
          </w:tcPr>
          <w:p w:rsidR="00AF2508" w:rsidRDefault="00AF2508">
            <w:pPr>
              <w:ind w:right="67"/>
              <w:jc w:val="center"/>
              <w:rPr>
                <w:color w:val="000000"/>
                <w:sz w:val="20"/>
              </w:rPr>
            </w:pPr>
            <w:r>
              <w:rPr>
                <w:color w:val="000000"/>
                <w:sz w:val="20"/>
              </w:rPr>
              <w:t>1</w:t>
            </w:r>
          </w:p>
        </w:tc>
        <w:tc>
          <w:tcPr>
            <w:tcW w:w="840" w:type="dxa"/>
          </w:tcPr>
          <w:p w:rsidR="00AF2508" w:rsidRDefault="00AF2508">
            <w:pPr>
              <w:ind w:right="160"/>
              <w:jc w:val="center"/>
              <w:rPr>
                <w:color w:val="000000"/>
                <w:sz w:val="20"/>
              </w:rPr>
            </w:pPr>
            <w:r>
              <w:rPr>
                <w:color w:val="000000"/>
                <w:sz w:val="20"/>
              </w:rPr>
              <w:t>12</w:t>
            </w:r>
          </w:p>
        </w:tc>
        <w:tc>
          <w:tcPr>
            <w:tcW w:w="600" w:type="dxa"/>
            <w:tcBorders>
              <w:left w:val="single" w:sz="6" w:space="0" w:color="auto"/>
            </w:tcBorders>
          </w:tcPr>
          <w:p w:rsidR="00AF2508" w:rsidRDefault="00AF2508">
            <w:pPr>
              <w:ind w:right="67"/>
              <w:jc w:val="center"/>
              <w:rPr>
                <w:color w:val="000000"/>
                <w:sz w:val="20"/>
              </w:rPr>
            </w:pPr>
            <w:r>
              <w:rPr>
                <w:color w:val="000000"/>
                <w:sz w:val="20"/>
              </w:rPr>
              <w:t>3</w:t>
            </w:r>
          </w:p>
        </w:tc>
        <w:tc>
          <w:tcPr>
            <w:tcW w:w="716" w:type="dxa"/>
          </w:tcPr>
          <w:p w:rsidR="00AF2508" w:rsidRDefault="00AF2508">
            <w:pPr>
              <w:ind w:right="67"/>
              <w:jc w:val="center"/>
              <w:rPr>
                <w:color w:val="000000"/>
                <w:sz w:val="20"/>
              </w:rPr>
            </w:pPr>
            <w:r>
              <w:rPr>
                <w:color w:val="000000"/>
                <w:sz w:val="20"/>
              </w:rPr>
              <w:t>2</w:t>
            </w:r>
          </w:p>
        </w:tc>
        <w:tc>
          <w:tcPr>
            <w:tcW w:w="764" w:type="dxa"/>
            <w:tcBorders>
              <w:left w:val="single" w:sz="6" w:space="0" w:color="auto"/>
            </w:tcBorders>
          </w:tcPr>
          <w:p w:rsidR="00AF2508" w:rsidRDefault="00AF2508">
            <w:pPr>
              <w:ind w:right="67"/>
              <w:jc w:val="center"/>
              <w:rPr>
                <w:color w:val="000000"/>
                <w:sz w:val="20"/>
              </w:rPr>
            </w:pPr>
            <w:r>
              <w:rPr>
                <w:color w:val="000000"/>
                <w:sz w:val="20"/>
              </w:rPr>
              <w:t>2</w:t>
            </w:r>
          </w:p>
        </w:tc>
        <w:tc>
          <w:tcPr>
            <w:tcW w:w="844" w:type="dxa"/>
          </w:tcPr>
          <w:p w:rsidR="00AF2508" w:rsidRDefault="00AF2508">
            <w:pPr>
              <w:ind w:right="67"/>
              <w:jc w:val="center"/>
              <w:rPr>
                <w:color w:val="000000"/>
                <w:sz w:val="20"/>
              </w:rPr>
            </w:pPr>
            <w:r>
              <w:rPr>
                <w:color w:val="000000"/>
                <w:sz w:val="20"/>
              </w:rPr>
              <w:t>15</w:t>
            </w:r>
          </w:p>
        </w:tc>
        <w:tc>
          <w:tcPr>
            <w:tcW w:w="756" w:type="dxa"/>
            <w:tcBorders>
              <w:left w:val="single" w:sz="6" w:space="0" w:color="auto"/>
            </w:tcBorders>
          </w:tcPr>
          <w:p w:rsidR="00AF2508" w:rsidRDefault="00AF2508">
            <w:pPr>
              <w:ind w:right="67"/>
              <w:jc w:val="center"/>
              <w:rPr>
                <w:color w:val="000000"/>
                <w:sz w:val="20"/>
              </w:rPr>
            </w:pPr>
            <w:r>
              <w:rPr>
                <w:color w:val="000000"/>
                <w:sz w:val="20"/>
              </w:rPr>
              <w:t>2</w:t>
            </w:r>
          </w:p>
        </w:tc>
        <w:tc>
          <w:tcPr>
            <w:tcW w:w="804" w:type="dxa"/>
          </w:tcPr>
          <w:p w:rsidR="00AF2508" w:rsidRDefault="00AF2508">
            <w:pPr>
              <w:ind w:right="146"/>
              <w:jc w:val="center"/>
              <w:rPr>
                <w:color w:val="000000"/>
                <w:sz w:val="20"/>
              </w:rPr>
            </w:pPr>
            <w:r>
              <w:rPr>
                <w:color w:val="000000"/>
                <w:sz w:val="20"/>
              </w:rPr>
              <w:t>5</w:t>
            </w:r>
          </w:p>
        </w:tc>
        <w:tc>
          <w:tcPr>
            <w:tcW w:w="742" w:type="dxa"/>
            <w:tcBorders>
              <w:left w:val="single" w:sz="6" w:space="0" w:color="auto"/>
            </w:tcBorders>
          </w:tcPr>
          <w:p w:rsidR="00AF2508" w:rsidRDefault="00AF2508">
            <w:pPr>
              <w:ind w:right="67"/>
              <w:jc w:val="center"/>
              <w:rPr>
                <w:color w:val="000000"/>
                <w:sz w:val="20"/>
              </w:rPr>
            </w:pPr>
            <w:r>
              <w:rPr>
                <w:color w:val="000000"/>
                <w:sz w:val="20"/>
              </w:rPr>
              <w:t>1</w:t>
            </w:r>
          </w:p>
        </w:tc>
        <w:tc>
          <w:tcPr>
            <w:tcW w:w="770" w:type="dxa"/>
            <w:tcBorders>
              <w:right w:val="single" w:sz="6" w:space="0" w:color="auto"/>
            </w:tcBorders>
          </w:tcPr>
          <w:p w:rsidR="00AF2508" w:rsidRDefault="00AF2508">
            <w:pPr>
              <w:ind w:right="180"/>
              <w:jc w:val="center"/>
              <w:rPr>
                <w:color w:val="000000"/>
                <w:sz w:val="20"/>
              </w:rPr>
            </w:pPr>
            <w:r>
              <w:rPr>
                <w:color w:val="000000"/>
                <w:sz w:val="20"/>
              </w:rPr>
              <w:t>12</w:t>
            </w:r>
          </w:p>
        </w:tc>
        <w:tc>
          <w:tcPr>
            <w:tcW w:w="790" w:type="dxa"/>
          </w:tcPr>
          <w:p w:rsidR="00AF2508" w:rsidRDefault="00AF2508">
            <w:pPr>
              <w:ind w:right="67"/>
              <w:jc w:val="center"/>
              <w:rPr>
                <w:color w:val="000000"/>
                <w:sz w:val="20"/>
              </w:rPr>
            </w:pPr>
            <w:r>
              <w:rPr>
                <w:color w:val="000000"/>
                <w:sz w:val="20"/>
              </w:rPr>
              <w:t>0</w:t>
            </w:r>
          </w:p>
        </w:tc>
        <w:tc>
          <w:tcPr>
            <w:tcW w:w="674" w:type="dxa"/>
            <w:gridSpan w:val="2"/>
          </w:tcPr>
          <w:p w:rsidR="00AF2508" w:rsidRDefault="00AF2508">
            <w:pPr>
              <w:ind w:right="160"/>
              <w:jc w:val="center"/>
              <w:rPr>
                <w:color w:val="000000"/>
                <w:sz w:val="20"/>
              </w:rPr>
            </w:pPr>
            <w:r>
              <w:rPr>
                <w:color w:val="000000"/>
                <w:sz w:val="20"/>
              </w:rPr>
              <w:t>17</w:t>
            </w:r>
          </w:p>
        </w:tc>
      </w:tr>
      <w:tr w:rsidR="00AF2508">
        <w:trPr>
          <w:cantSplit/>
          <w:trHeight w:val="200"/>
        </w:trPr>
        <w:tc>
          <w:tcPr>
            <w:tcW w:w="984" w:type="dxa"/>
            <w:tcBorders>
              <w:right w:val="single" w:sz="6" w:space="0" w:color="auto"/>
            </w:tcBorders>
          </w:tcPr>
          <w:p w:rsidR="00AF2508" w:rsidRDefault="00AF2508">
            <w:pPr>
              <w:spacing w:before="20" w:after="20"/>
              <w:ind w:left="20"/>
              <w:jc w:val="center"/>
              <w:rPr>
                <w:color w:val="000000"/>
                <w:sz w:val="20"/>
              </w:rPr>
            </w:pPr>
            <w:r>
              <w:rPr>
                <w:color w:val="000000"/>
                <w:sz w:val="20"/>
              </w:rPr>
              <w:t>2</w:t>
            </w:r>
            <w:r>
              <w:rPr>
                <w:color w:val="000000"/>
                <w:position w:val="4"/>
                <w:sz w:val="16"/>
              </w:rPr>
              <w:t>3</w:t>
            </w:r>
            <w:r>
              <w:rPr>
                <w:color w:val="000000"/>
                <w:sz w:val="20"/>
              </w:rPr>
              <w:t>/</w:t>
            </w:r>
            <w:r>
              <w:rPr>
                <w:color w:val="000000"/>
                <w:sz w:val="16"/>
              </w:rPr>
              <w:t>8</w:t>
            </w:r>
          </w:p>
        </w:tc>
        <w:tc>
          <w:tcPr>
            <w:tcW w:w="924" w:type="dxa"/>
            <w:tcBorders>
              <w:right w:val="single" w:sz="6" w:space="0" w:color="auto"/>
            </w:tcBorders>
          </w:tcPr>
          <w:p w:rsidR="00AF2508" w:rsidRDefault="00AF2508">
            <w:pPr>
              <w:ind w:right="200"/>
              <w:jc w:val="center"/>
              <w:rPr>
                <w:color w:val="000000"/>
                <w:sz w:val="20"/>
              </w:rPr>
            </w:pPr>
            <w:r>
              <w:rPr>
                <w:color w:val="000000"/>
                <w:position w:val="4"/>
                <w:sz w:val="16"/>
              </w:rPr>
              <w:t>3</w:t>
            </w:r>
            <w:r>
              <w:rPr>
                <w:color w:val="000000"/>
                <w:sz w:val="20"/>
              </w:rPr>
              <w:t>/</w:t>
            </w:r>
            <w:r>
              <w:rPr>
                <w:color w:val="000000"/>
                <w:sz w:val="16"/>
              </w:rPr>
              <w:t>4</w:t>
            </w:r>
            <w:r>
              <w:rPr>
                <w:color w:val="000000"/>
                <w:sz w:val="20"/>
              </w:rPr>
              <w:t xml:space="preserve"> </w:t>
            </w:r>
          </w:p>
        </w:tc>
        <w:tc>
          <w:tcPr>
            <w:tcW w:w="672" w:type="dxa"/>
            <w:gridSpan w:val="2"/>
          </w:tcPr>
          <w:p w:rsidR="00AF2508" w:rsidRDefault="00AF2508">
            <w:pPr>
              <w:ind w:right="67"/>
              <w:jc w:val="center"/>
              <w:rPr>
                <w:color w:val="000000"/>
                <w:sz w:val="20"/>
              </w:rPr>
            </w:pPr>
            <w:r>
              <w:rPr>
                <w:color w:val="000000"/>
                <w:sz w:val="20"/>
              </w:rPr>
              <w:t>1</w:t>
            </w:r>
          </w:p>
        </w:tc>
        <w:tc>
          <w:tcPr>
            <w:tcW w:w="840" w:type="dxa"/>
          </w:tcPr>
          <w:p w:rsidR="00AF2508" w:rsidRDefault="00AF2508">
            <w:pPr>
              <w:ind w:right="160"/>
              <w:jc w:val="center"/>
              <w:rPr>
                <w:color w:val="000000"/>
                <w:sz w:val="20"/>
              </w:rPr>
            </w:pPr>
            <w:r>
              <w:rPr>
                <w:color w:val="000000"/>
                <w:sz w:val="20"/>
              </w:rPr>
              <w:t>16</w:t>
            </w:r>
          </w:p>
        </w:tc>
        <w:tc>
          <w:tcPr>
            <w:tcW w:w="600" w:type="dxa"/>
            <w:tcBorders>
              <w:left w:val="single" w:sz="6" w:space="0" w:color="auto"/>
            </w:tcBorders>
          </w:tcPr>
          <w:p w:rsidR="00AF2508" w:rsidRDefault="00AF2508">
            <w:pPr>
              <w:ind w:right="67"/>
              <w:jc w:val="center"/>
              <w:rPr>
                <w:color w:val="000000"/>
                <w:sz w:val="20"/>
              </w:rPr>
            </w:pPr>
            <w:r>
              <w:rPr>
                <w:color w:val="000000"/>
                <w:sz w:val="20"/>
              </w:rPr>
              <w:t>3</w:t>
            </w:r>
          </w:p>
        </w:tc>
        <w:tc>
          <w:tcPr>
            <w:tcW w:w="716" w:type="dxa"/>
          </w:tcPr>
          <w:p w:rsidR="00AF2508" w:rsidRDefault="00AF2508">
            <w:pPr>
              <w:ind w:right="67"/>
              <w:jc w:val="center"/>
              <w:rPr>
                <w:color w:val="000000"/>
                <w:sz w:val="20"/>
              </w:rPr>
            </w:pPr>
            <w:r>
              <w:rPr>
                <w:color w:val="000000"/>
                <w:sz w:val="20"/>
              </w:rPr>
              <w:t>10</w:t>
            </w:r>
          </w:p>
        </w:tc>
        <w:tc>
          <w:tcPr>
            <w:tcW w:w="764" w:type="dxa"/>
            <w:tcBorders>
              <w:left w:val="single" w:sz="6" w:space="0" w:color="auto"/>
            </w:tcBorders>
          </w:tcPr>
          <w:p w:rsidR="00AF2508" w:rsidRDefault="00AF2508">
            <w:pPr>
              <w:ind w:right="67"/>
              <w:jc w:val="center"/>
              <w:rPr>
                <w:color w:val="000000"/>
                <w:sz w:val="20"/>
              </w:rPr>
            </w:pPr>
            <w:r>
              <w:rPr>
                <w:color w:val="000000"/>
                <w:sz w:val="20"/>
              </w:rPr>
              <w:t>3</w:t>
            </w:r>
          </w:p>
        </w:tc>
        <w:tc>
          <w:tcPr>
            <w:tcW w:w="844" w:type="dxa"/>
          </w:tcPr>
          <w:p w:rsidR="00AF2508" w:rsidRDefault="00AF2508">
            <w:pPr>
              <w:ind w:right="67"/>
              <w:jc w:val="center"/>
              <w:rPr>
                <w:color w:val="000000"/>
                <w:sz w:val="20"/>
              </w:rPr>
            </w:pPr>
            <w:r>
              <w:rPr>
                <w:color w:val="000000"/>
                <w:sz w:val="20"/>
              </w:rPr>
              <w:t>2</w:t>
            </w:r>
          </w:p>
        </w:tc>
        <w:tc>
          <w:tcPr>
            <w:tcW w:w="756" w:type="dxa"/>
            <w:tcBorders>
              <w:left w:val="single" w:sz="6" w:space="0" w:color="auto"/>
            </w:tcBorders>
          </w:tcPr>
          <w:p w:rsidR="00AF2508" w:rsidRDefault="00AF2508">
            <w:pPr>
              <w:ind w:right="67"/>
              <w:jc w:val="center"/>
              <w:rPr>
                <w:color w:val="000000"/>
                <w:sz w:val="20"/>
              </w:rPr>
            </w:pPr>
            <w:r>
              <w:rPr>
                <w:color w:val="000000"/>
                <w:sz w:val="20"/>
              </w:rPr>
              <w:t>2</w:t>
            </w:r>
          </w:p>
        </w:tc>
        <w:tc>
          <w:tcPr>
            <w:tcW w:w="804" w:type="dxa"/>
          </w:tcPr>
          <w:p w:rsidR="00AF2508" w:rsidRDefault="00AF2508">
            <w:pPr>
              <w:ind w:right="146"/>
              <w:jc w:val="center"/>
              <w:rPr>
                <w:color w:val="000000"/>
                <w:sz w:val="20"/>
              </w:rPr>
            </w:pPr>
            <w:r>
              <w:rPr>
                <w:color w:val="000000"/>
                <w:sz w:val="20"/>
              </w:rPr>
              <w:t>11</w:t>
            </w:r>
          </w:p>
        </w:tc>
        <w:tc>
          <w:tcPr>
            <w:tcW w:w="742" w:type="dxa"/>
            <w:tcBorders>
              <w:left w:val="single" w:sz="6" w:space="0" w:color="auto"/>
            </w:tcBorders>
          </w:tcPr>
          <w:p w:rsidR="00AF2508" w:rsidRDefault="00AF2508">
            <w:pPr>
              <w:ind w:right="67"/>
              <w:jc w:val="center"/>
              <w:rPr>
                <w:color w:val="000000"/>
                <w:sz w:val="20"/>
              </w:rPr>
            </w:pPr>
            <w:r>
              <w:rPr>
                <w:color w:val="000000"/>
                <w:sz w:val="20"/>
              </w:rPr>
              <w:t>1</w:t>
            </w:r>
          </w:p>
        </w:tc>
        <w:tc>
          <w:tcPr>
            <w:tcW w:w="770" w:type="dxa"/>
            <w:tcBorders>
              <w:right w:val="single" w:sz="6" w:space="0" w:color="auto"/>
            </w:tcBorders>
          </w:tcPr>
          <w:p w:rsidR="00AF2508" w:rsidRDefault="00AF2508">
            <w:pPr>
              <w:ind w:right="180"/>
              <w:jc w:val="center"/>
              <w:rPr>
                <w:color w:val="000000"/>
                <w:sz w:val="20"/>
              </w:rPr>
            </w:pPr>
            <w:r>
              <w:rPr>
                <w:color w:val="000000"/>
                <w:sz w:val="20"/>
              </w:rPr>
              <w:t>16</w:t>
            </w:r>
          </w:p>
        </w:tc>
        <w:tc>
          <w:tcPr>
            <w:tcW w:w="790" w:type="dxa"/>
          </w:tcPr>
          <w:p w:rsidR="00AF2508" w:rsidRDefault="00AF2508">
            <w:pPr>
              <w:ind w:right="67"/>
              <w:jc w:val="center"/>
              <w:rPr>
                <w:color w:val="000000"/>
                <w:sz w:val="20"/>
              </w:rPr>
            </w:pPr>
            <w:r>
              <w:rPr>
                <w:color w:val="000000"/>
                <w:sz w:val="20"/>
              </w:rPr>
              <w:t>0</w:t>
            </w:r>
          </w:p>
        </w:tc>
        <w:tc>
          <w:tcPr>
            <w:tcW w:w="674" w:type="dxa"/>
            <w:gridSpan w:val="2"/>
          </w:tcPr>
          <w:p w:rsidR="00AF2508" w:rsidRDefault="00AF2508">
            <w:pPr>
              <w:ind w:right="160"/>
              <w:jc w:val="center"/>
              <w:rPr>
                <w:color w:val="000000"/>
                <w:sz w:val="20"/>
              </w:rPr>
            </w:pPr>
            <w:r>
              <w:rPr>
                <w:color w:val="000000"/>
                <w:sz w:val="20"/>
              </w:rPr>
              <w:t>19</w:t>
            </w:r>
          </w:p>
        </w:tc>
      </w:tr>
      <w:tr w:rsidR="00AF2508">
        <w:trPr>
          <w:cantSplit/>
          <w:trHeight w:val="200"/>
        </w:trPr>
        <w:tc>
          <w:tcPr>
            <w:tcW w:w="984" w:type="dxa"/>
            <w:tcBorders>
              <w:bottom w:val="single" w:sz="6" w:space="0" w:color="auto"/>
              <w:right w:val="single" w:sz="6" w:space="0" w:color="auto"/>
            </w:tcBorders>
          </w:tcPr>
          <w:p w:rsidR="00AF2508" w:rsidRDefault="00AF2508">
            <w:pPr>
              <w:spacing w:before="4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2</w:t>
            </w:r>
          </w:p>
        </w:tc>
        <w:tc>
          <w:tcPr>
            <w:tcW w:w="924" w:type="dxa"/>
            <w:tcBorders>
              <w:bottom w:val="single" w:sz="6" w:space="0" w:color="auto"/>
              <w:right w:val="single" w:sz="6" w:space="0" w:color="auto"/>
            </w:tcBorders>
          </w:tcPr>
          <w:p w:rsidR="00AF2508" w:rsidRDefault="00AF2508">
            <w:pPr>
              <w:spacing w:before="40" w:after="20"/>
              <w:ind w:right="200"/>
              <w:jc w:val="center"/>
              <w:rPr>
                <w:color w:val="000000"/>
                <w:sz w:val="20"/>
              </w:rPr>
            </w:pPr>
            <w:r>
              <w:rPr>
                <w:color w:val="000000"/>
                <w:position w:val="4"/>
                <w:sz w:val="16"/>
              </w:rPr>
              <w:t>13</w:t>
            </w:r>
            <w:r>
              <w:rPr>
                <w:color w:val="000000"/>
                <w:sz w:val="20"/>
              </w:rPr>
              <w:t>/</w:t>
            </w:r>
            <w:r>
              <w:rPr>
                <w:color w:val="000000"/>
                <w:sz w:val="16"/>
              </w:rPr>
              <w:t>16</w:t>
            </w:r>
            <w:r>
              <w:rPr>
                <w:color w:val="000000"/>
                <w:sz w:val="20"/>
              </w:rPr>
              <w:t xml:space="preserve"> </w:t>
            </w:r>
          </w:p>
        </w:tc>
        <w:tc>
          <w:tcPr>
            <w:tcW w:w="672" w:type="dxa"/>
            <w:gridSpan w:val="2"/>
            <w:tcBorders>
              <w:bottom w:val="single" w:sz="6" w:space="0" w:color="auto"/>
            </w:tcBorders>
          </w:tcPr>
          <w:p w:rsidR="00AF2508" w:rsidRDefault="00AF2508">
            <w:pPr>
              <w:spacing w:before="40" w:after="20"/>
              <w:ind w:right="67"/>
              <w:jc w:val="center"/>
              <w:rPr>
                <w:color w:val="000000"/>
                <w:sz w:val="20"/>
              </w:rPr>
            </w:pPr>
            <w:r>
              <w:rPr>
                <w:color w:val="000000"/>
                <w:sz w:val="20"/>
              </w:rPr>
              <w:t>1</w:t>
            </w:r>
          </w:p>
        </w:tc>
        <w:tc>
          <w:tcPr>
            <w:tcW w:w="840" w:type="dxa"/>
            <w:tcBorders>
              <w:bottom w:val="single" w:sz="6" w:space="0" w:color="auto"/>
            </w:tcBorders>
          </w:tcPr>
          <w:p w:rsidR="00AF2508" w:rsidRDefault="00AF2508">
            <w:pPr>
              <w:spacing w:before="40" w:after="20"/>
              <w:ind w:right="160"/>
              <w:jc w:val="center"/>
              <w:rPr>
                <w:color w:val="000000"/>
                <w:sz w:val="20"/>
              </w:rPr>
            </w:pPr>
            <w:r>
              <w:rPr>
                <w:color w:val="000000"/>
                <w:sz w:val="20"/>
              </w:rPr>
              <w:t>19</w:t>
            </w:r>
          </w:p>
        </w:tc>
        <w:tc>
          <w:tcPr>
            <w:tcW w:w="600" w:type="dxa"/>
            <w:tcBorders>
              <w:left w:val="single" w:sz="6" w:space="0" w:color="auto"/>
              <w:bottom w:val="single" w:sz="6" w:space="0" w:color="auto"/>
            </w:tcBorders>
          </w:tcPr>
          <w:p w:rsidR="00AF2508" w:rsidRDefault="00AF2508">
            <w:pPr>
              <w:spacing w:before="40" w:after="20"/>
              <w:ind w:right="67"/>
              <w:jc w:val="center"/>
              <w:rPr>
                <w:color w:val="000000"/>
                <w:sz w:val="20"/>
              </w:rPr>
            </w:pPr>
            <w:r>
              <w:rPr>
                <w:color w:val="000000"/>
                <w:sz w:val="20"/>
              </w:rPr>
              <w:t>3</w:t>
            </w:r>
          </w:p>
        </w:tc>
        <w:tc>
          <w:tcPr>
            <w:tcW w:w="716" w:type="dxa"/>
            <w:tcBorders>
              <w:bottom w:val="single" w:sz="6" w:space="0" w:color="auto"/>
            </w:tcBorders>
          </w:tcPr>
          <w:p w:rsidR="00AF2508" w:rsidRDefault="00AF2508">
            <w:pPr>
              <w:spacing w:before="40" w:after="20"/>
              <w:ind w:right="67"/>
              <w:jc w:val="center"/>
              <w:rPr>
                <w:color w:val="000000"/>
                <w:sz w:val="20"/>
              </w:rPr>
            </w:pPr>
            <w:r>
              <w:rPr>
                <w:color w:val="000000"/>
                <w:sz w:val="20"/>
              </w:rPr>
              <w:t>15</w:t>
            </w:r>
          </w:p>
        </w:tc>
        <w:tc>
          <w:tcPr>
            <w:tcW w:w="764" w:type="dxa"/>
            <w:tcBorders>
              <w:left w:val="single" w:sz="6" w:space="0" w:color="auto"/>
              <w:bottom w:val="single" w:sz="6" w:space="0" w:color="auto"/>
            </w:tcBorders>
          </w:tcPr>
          <w:p w:rsidR="00AF2508" w:rsidRDefault="00AF2508">
            <w:pPr>
              <w:spacing w:before="40" w:after="20"/>
              <w:ind w:right="67"/>
              <w:jc w:val="center"/>
              <w:rPr>
                <w:color w:val="000000"/>
                <w:sz w:val="20"/>
              </w:rPr>
            </w:pPr>
            <w:r>
              <w:rPr>
                <w:color w:val="000000"/>
                <w:sz w:val="20"/>
              </w:rPr>
              <w:t>3</w:t>
            </w:r>
          </w:p>
        </w:tc>
        <w:tc>
          <w:tcPr>
            <w:tcW w:w="844" w:type="dxa"/>
            <w:tcBorders>
              <w:bottom w:val="single" w:sz="6" w:space="0" w:color="auto"/>
            </w:tcBorders>
          </w:tcPr>
          <w:p w:rsidR="00AF2508" w:rsidRDefault="00AF2508">
            <w:pPr>
              <w:spacing w:before="40" w:after="20"/>
              <w:ind w:right="67"/>
              <w:jc w:val="center"/>
              <w:rPr>
                <w:color w:val="000000"/>
                <w:sz w:val="20"/>
              </w:rPr>
            </w:pPr>
            <w:r>
              <w:rPr>
                <w:color w:val="000000"/>
                <w:sz w:val="20"/>
              </w:rPr>
              <w:t>8</w:t>
            </w:r>
          </w:p>
        </w:tc>
        <w:tc>
          <w:tcPr>
            <w:tcW w:w="756" w:type="dxa"/>
            <w:tcBorders>
              <w:left w:val="single" w:sz="6" w:space="0" w:color="auto"/>
              <w:bottom w:val="single" w:sz="6" w:space="0" w:color="auto"/>
            </w:tcBorders>
          </w:tcPr>
          <w:p w:rsidR="00AF2508" w:rsidRDefault="00AF2508">
            <w:pPr>
              <w:spacing w:before="40" w:after="20"/>
              <w:ind w:right="67"/>
              <w:jc w:val="center"/>
              <w:rPr>
                <w:color w:val="000000"/>
                <w:sz w:val="20"/>
              </w:rPr>
            </w:pPr>
            <w:r>
              <w:rPr>
                <w:color w:val="000000"/>
                <w:sz w:val="20"/>
              </w:rPr>
              <w:t>2</w:t>
            </w:r>
          </w:p>
        </w:tc>
        <w:tc>
          <w:tcPr>
            <w:tcW w:w="804" w:type="dxa"/>
            <w:tcBorders>
              <w:bottom w:val="single" w:sz="6" w:space="0" w:color="auto"/>
            </w:tcBorders>
          </w:tcPr>
          <w:p w:rsidR="00AF2508" w:rsidRDefault="00AF2508">
            <w:pPr>
              <w:spacing w:before="40" w:after="20"/>
              <w:ind w:right="146"/>
              <w:jc w:val="center"/>
              <w:rPr>
                <w:color w:val="000000"/>
                <w:sz w:val="20"/>
              </w:rPr>
            </w:pPr>
            <w:r>
              <w:rPr>
                <w:color w:val="000000"/>
                <w:sz w:val="20"/>
              </w:rPr>
              <w:t>15</w:t>
            </w:r>
          </w:p>
        </w:tc>
        <w:tc>
          <w:tcPr>
            <w:tcW w:w="742" w:type="dxa"/>
            <w:tcBorders>
              <w:left w:val="single" w:sz="6" w:space="0" w:color="auto"/>
              <w:bottom w:val="single" w:sz="6" w:space="0" w:color="auto"/>
            </w:tcBorders>
          </w:tcPr>
          <w:p w:rsidR="00AF2508" w:rsidRDefault="00AF2508">
            <w:pPr>
              <w:spacing w:before="40" w:after="20"/>
              <w:ind w:right="67"/>
              <w:jc w:val="center"/>
              <w:rPr>
                <w:color w:val="000000"/>
                <w:sz w:val="20"/>
              </w:rPr>
            </w:pPr>
            <w:r>
              <w:rPr>
                <w:color w:val="000000"/>
                <w:sz w:val="20"/>
              </w:rPr>
              <w:t>1</w:t>
            </w:r>
          </w:p>
        </w:tc>
        <w:tc>
          <w:tcPr>
            <w:tcW w:w="770" w:type="dxa"/>
            <w:tcBorders>
              <w:bottom w:val="single" w:sz="6" w:space="0" w:color="auto"/>
              <w:right w:val="single" w:sz="6" w:space="0" w:color="auto"/>
            </w:tcBorders>
          </w:tcPr>
          <w:p w:rsidR="00AF2508" w:rsidRDefault="00AF2508">
            <w:pPr>
              <w:spacing w:before="40" w:after="20"/>
              <w:ind w:right="180"/>
              <w:jc w:val="center"/>
              <w:rPr>
                <w:color w:val="000000"/>
                <w:sz w:val="20"/>
              </w:rPr>
            </w:pPr>
            <w:r>
              <w:rPr>
                <w:color w:val="000000"/>
                <w:sz w:val="20"/>
              </w:rPr>
              <w:t>19</w:t>
            </w:r>
          </w:p>
        </w:tc>
        <w:tc>
          <w:tcPr>
            <w:tcW w:w="790" w:type="dxa"/>
            <w:tcBorders>
              <w:bottom w:val="single" w:sz="6" w:space="0" w:color="auto"/>
            </w:tcBorders>
          </w:tcPr>
          <w:p w:rsidR="00AF2508" w:rsidRDefault="00AF2508">
            <w:pPr>
              <w:spacing w:before="40" w:after="20"/>
              <w:ind w:right="67"/>
              <w:jc w:val="center"/>
              <w:rPr>
                <w:color w:val="000000"/>
                <w:sz w:val="20"/>
              </w:rPr>
            </w:pPr>
            <w:r>
              <w:rPr>
                <w:color w:val="000000"/>
                <w:sz w:val="20"/>
              </w:rPr>
              <w:t>1</w:t>
            </w:r>
          </w:p>
        </w:tc>
        <w:tc>
          <w:tcPr>
            <w:tcW w:w="674" w:type="dxa"/>
            <w:gridSpan w:val="2"/>
            <w:tcBorders>
              <w:bottom w:val="single" w:sz="6" w:space="0" w:color="auto"/>
            </w:tcBorders>
          </w:tcPr>
          <w:p w:rsidR="00AF2508" w:rsidRDefault="00AF2508">
            <w:pPr>
              <w:spacing w:before="40" w:after="20"/>
              <w:ind w:right="160"/>
              <w:jc w:val="center"/>
              <w:rPr>
                <w:color w:val="000000"/>
                <w:sz w:val="20"/>
              </w:rPr>
            </w:pPr>
            <w:r>
              <w:rPr>
                <w:color w:val="000000"/>
                <w:sz w:val="20"/>
              </w:rPr>
              <w:t>0</w:t>
            </w:r>
          </w:p>
        </w:tc>
      </w:tr>
    </w:tbl>
    <w:p w:rsidR="00AF2508" w:rsidRDefault="00AF2508"/>
    <w:p w:rsidR="00AF2508" w:rsidRDefault="00AF2508">
      <w:pPr>
        <w:pStyle w:val="TableHd"/>
      </w:pPr>
      <w:r>
        <w:t>Maximum safe working load for steel wire rope—Classification 2</w:t>
      </w:r>
    </w:p>
    <w:p w:rsidR="00AF2508" w:rsidRDefault="00AF2508">
      <w:pPr>
        <w:pStyle w:val="TableHd"/>
        <w:ind w:left="0" w:firstLine="0"/>
      </w:pPr>
      <w:r>
        <w:t>Minimum ultimate tensile value of steel of which rope is constructed = 80 tons per square inch</w:t>
      </w:r>
      <w:r>
        <w:br/>
        <w:t>construction:  6 strands each containing 12 wires</w:t>
      </w:r>
    </w:p>
    <w:tbl>
      <w:tblPr>
        <w:tblW w:w="0" w:type="auto"/>
        <w:tblLayout w:type="fixed"/>
        <w:tblCellMar>
          <w:left w:w="80" w:type="dxa"/>
          <w:right w:w="80" w:type="dxa"/>
        </w:tblCellMar>
        <w:tblLook w:val="0000" w:firstRow="0" w:lastRow="0" w:firstColumn="0" w:lastColumn="0" w:noHBand="0" w:noVBand="0"/>
      </w:tblPr>
      <w:tblGrid>
        <w:gridCol w:w="984"/>
        <w:gridCol w:w="8"/>
        <w:gridCol w:w="916"/>
        <w:gridCol w:w="8"/>
        <w:gridCol w:w="571"/>
        <w:gridCol w:w="93"/>
        <w:gridCol w:w="840"/>
        <w:gridCol w:w="600"/>
        <w:gridCol w:w="720"/>
        <w:gridCol w:w="764"/>
        <w:gridCol w:w="844"/>
        <w:gridCol w:w="756"/>
        <w:gridCol w:w="804"/>
        <w:gridCol w:w="742"/>
        <w:gridCol w:w="778"/>
        <w:gridCol w:w="790"/>
        <w:gridCol w:w="654"/>
        <w:gridCol w:w="8"/>
        <w:gridCol w:w="16"/>
      </w:tblGrid>
      <w:tr w:rsidR="00AF2508">
        <w:trPr>
          <w:gridAfter w:val="2"/>
          <w:wAfter w:w="24" w:type="dxa"/>
          <w:cantSplit/>
          <w:tblHeader/>
        </w:trPr>
        <w:tc>
          <w:tcPr>
            <w:tcW w:w="984" w:type="dxa"/>
            <w:tcBorders>
              <w:top w:val="single" w:sz="6" w:space="0" w:color="auto"/>
              <w:right w:val="single" w:sz="6" w:space="0" w:color="auto"/>
            </w:tcBorders>
          </w:tcPr>
          <w:p w:rsidR="00AF2508" w:rsidRDefault="00AF2508">
            <w:pPr>
              <w:pStyle w:val="TableColHd"/>
              <w:jc w:val="center"/>
            </w:pPr>
          </w:p>
        </w:tc>
        <w:tc>
          <w:tcPr>
            <w:tcW w:w="924" w:type="dxa"/>
            <w:gridSpan w:val="2"/>
            <w:tcBorders>
              <w:top w:val="single" w:sz="6" w:space="0" w:color="auto"/>
              <w:right w:val="single" w:sz="6" w:space="0" w:color="auto"/>
            </w:tcBorders>
          </w:tcPr>
          <w:p w:rsidR="00AF2508" w:rsidRDefault="00AF2508">
            <w:pPr>
              <w:pStyle w:val="TableColHd"/>
              <w:jc w:val="center"/>
            </w:pPr>
          </w:p>
        </w:tc>
        <w:tc>
          <w:tcPr>
            <w:tcW w:w="579" w:type="dxa"/>
            <w:gridSpan w:val="2"/>
            <w:tcBorders>
              <w:top w:val="single" w:sz="6" w:space="0" w:color="auto"/>
            </w:tcBorders>
          </w:tcPr>
          <w:p w:rsidR="00AF2508" w:rsidRDefault="00AF2508">
            <w:pPr>
              <w:pStyle w:val="TableColHd"/>
              <w:jc w:val="center"/>
            </w:pPr>
          </w:p>
        </w:tc>
        <w:tc>
          <w:tcPr>
            <w:tcW w:w="933" w:type="dxa"/>
            <w:gridSpan w:val="2"/>
            <w:tcBorders>
              <w:top w:val="single" w:sz="6" w:space="0" w:color="auto"/>
            </w:tcBorders>
          </w:tcPr>
          <w:p w:rsidR="00AF2508" w:rsidRDefault="00AF2508">
            <w:pPr>
              <w:pStyle w:val="TableColHd"/>
              <w:jc w:val="center"/>
            </w:pPr>
          </w:p>
        </w:tc>
        <w:tc>
          <w:tcPr>
            <w:tcW w:w="7436" w:type="dxa"/>
            <w:gridSpan w:val="10"/>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cantSplit/>
          <w:tblHeader/>
        </w:trPr>
        <w:tc>
          <w:tcPr>
            <w:tcW w:w="984" w:type="dxa"/>
            <w:tcBorders>
              <w:right w:val="single" w:sz="6" w:space="0" w:color="auto"/>
            </w:tcBorders>
            <w:vAlign w:val="bottom"/>
          </w:tcPr>
          <w:p w:rsidR="00AF2508" w:rsidRDefault="00AF2508">
            <w:pPr>
              <w:pStyle w:val="TableColHd"/>
            </w:pPr>
            <w:r>
              <w:t>circum-</w:t>
            </w:r>
            <w:r>
              <w:br/>
              <w:t>ference</w:t>
            </w:r>
            <w:r>
              <w:br/>
              <w:t>of rope</w:t>
            </w:r>
          </w:p>
        </w:tc>
        <w:tc>
          <w:tcPr>
            <w:tcW w:w="924" w:type="dxa"/>
            <w:gridSpan w:val="2"/>
            <w:tcBorders>
              <w:right w:val="single" w:sz="6" w:space="0" w:color="auto"/>
            </w:tcBorders>
            <w:vAlign w:val="bottom"/>
          </w:tcPr>
          <w:p w:rsidR="00AF2508" w:rsidRDefault="00AF2508">
            <w:pPr>
              <w:pStyle w:val="TableColHd"/>
            </w:pPr>
            <w:r>
              <w:t>approx.</w:t>
            </w:r>
            <w:r>
              <w:br/>
              <w:t>diameter</w:t>
            </w:r>
            <w:r>
              <w:br/>
              <w:t>of rope</w:t>
            </w:r>
          </w:p>
        </w:tc>
        <w:tc>
          <w:tcPr>
            <w:tcW w:w="1512" w:type="dxa"/>
            <w:gridSpan w:val="4"/>
            <w:vAlign w:val="bottom"/>
          </w:tcPr>
          <w:p w:rsidR="00AF2508" w:rsidRDefault="00AF2508">
            <w:pPr>
              <w:pStyle w:val="TableColHd"/>
            </w:pPr>
            <w:r>
              <w:t>safe load for 1 single fall (part) of rope</w:t>
            </w:r>
          </w:p>
        </w:tc>
        <w:tc>
          <w:tcPr>
            <w:tcW w:w="1320" w:type="dxa"/>
            <w:gridSpan w:val="2"/>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00"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60"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20" w:type="dxa"/>
            <w:gridSpan w:val="2"/>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60" w:type="dxa"/>
            <w:gridSpan w:val="4"/>
          </w:tcPr>
          <w:p w:rsidR="00AF2508" w:rsidRDefault="00136775">
            <w:pPr>
              <w:rPr>
                <w:color w:val="000000"/>
                <w:sz w:val="18"/>
              </w:rPr>
            </w:pPr>
            <w:r>
              <w:rPr>
                <w:noProof/>
                <w:color w:val="000000"/>
                <w:sz w:val="20"/>
                <w:lang w:eastAsia="en-AU"/>
              </w:rPr>
              <w:drawing>
                <wp:inline distT="0" distB="0" distL="0" distR="0">
                  <wp:extent cx="790575" cy="523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gridAfter w:val="2"/>
          <w:wAfter w:w="20" w:type="dxa"/>
          <w:cantSplit/>
          <w:trHeight w:val="220"/>
          <w:tblHeader/>
        </w:trPr>
        <w:tc>
          <w:tcPr>
            <w:tcW w:w="98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3"/>
            <w:tcBorders>
              <w:top w:val="single" w:sz="6" w:space="0" w:color="auto"/>
              <w:bottom w:val="single" w:sz="6" w:space="0" w:color="auto"/>
            </w:tcBorders>
            <w:vAlign w:val="bottom"/>
          </w:tcPr>
          <w:p w:rsidR="00AF2508" w:rsidRDefault="00AF2508">
            <w:pPr>
              <w:pStyle w:val="TableColHd"/>
              <w:spacing w:after="0"/>
              <w:jc w:val="center"/>
            </w:pPr>
            <w:r>
              <w:t>tons</w:t>
            </w:r>
          </w:p>
        </w:tc>
        <w:tc>
          <w:tcPr>
            <w:tcW w:w="84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16"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44"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56"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04"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42"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70"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790"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gridAfter w:val="1"/>
          <w:wAfter w:w="12" w:type="dxa"/>
          <w:cantSplit/>
          <w:trHeight w:val="200"/>
        </w:trPr>
        <w:tc>
          <w:tcPr>
            <w:tcW w:w="992" w:type="dxa"/>
            <w:gridSpan w:val="2"/>
            <w:tcBorders>
              <w:top w:val="single" w:sz="6" w:space="0" w:color="auto"/>
              <w:right w:val="single" w:sz="6" w:space="0" w:color="auto"/>
            </w:tcBorders>
          </w:tcPr>
          <w:p w:rsidR="00AF2508" w:rsidRDefault="00AF2508">
            <w:pPr>
              <w:pStyle w:val="TableText"/>
              <w:jc w:val="center"/>
              <w:rPr>
                <w:sz w:val="20"/>
              </w:rPr>
            </w:pPr>
            <w:r>
              <w:rPr>
                <w:position w:val="4"/>
                <w:sz w:val="16"/>
              </w:rPr>
              <w:t>5</w:t>
            </w:r>
            <w:r>
              <w:rPr>
                <w:sz w:val="20"/>
              </w:rPr>
              <w:t>/</w:t>
            </w:r>
            <w:r>
              <w:rPr>
                <w:sz w:val="16"/>
              </w:rPr>
              <w:t>8</w:t>
            </w:r>
            <w:r>
              <w:rPr>
                <w:sz w:val="20"/>
              </w:rPr>
              <w:t xml:space="preserve"> </w:t>
            </w:r>
          </w:p>
        </w:tc>
        <w:tc>
          <w:tcPr>
            <w:tcW w:w="924" w:type="dxa"/>
            <w:gridSpan w:val="2"/>
            <w:tcBorders>
              <w:top w:val="single" w:sz="6" w:space="0" w:color="auto"/>
              <w:right w:val="single" w:sz="6" w:space="0" w:color="auto"/>
            </w:tcBorders>
          </w:tcPr>
          <w:p w:rsidR="00AF2508" w:rsidRDefault="00AF2508">
            <w:pPr>
              <w:pStyle w:val="TableText"/>
              <w:jc w:val="center"/>
              <w:rPr>
                <w:sz w:val="20"/>
              </w:rPr>
            </w:pPr>
            <w:r>
              <w:rPr>
                <w:position w:val="4"/>
                <w:sz w:val="16"/>
              </w:rPr>
              <w:t>3</w:t>
            </w:r>
            <w:r>
              <w:rPr>
                <w:sz w:val="20"/>
              </w:rPr>
              <w:t>/</w:t>
            </w:r>
            <w:r>
              <w:rPr>
                <w:sz w:val="16"/>
              </w:rPr>
              <w:t>16</w:t>
            </w:r>
            <w:r>
              <w:rPr>
                <w:sz w:val="20"/>
              </w:rPr>
              <w:t xml:space="preserve"> </w:t>
            </w:r>
          </w:p>
        </w:tc>
        <w:tc>
          <w:tcPr>
            <w:tcW w:w="660" w:type="dxa"/>
            <w:gridSpan w:val="2"/>
            <w:tcBorders>
              <w:top w:val="single" w:sz="6" w:space="0" w:color="auto"/>
            </w:tcBorders>
          </w:tcPr>
          <w:p w:rsidR="00AF2508" w:rsidRDefault="00AF2508">
            <w:pPr>
              <w:pStyle w:val="TableText"/>
              <w:jc w:val="center"/>
              <w:rPr>
                <w:sz w:val="20"/>
              </w:rPr>
            </w:pPr>
            <w:r>
              <w:rPr>
                <w:sz w:val="20"/>
              </w:rPr>
              <w:t>0</w:t>
            </w:r>
          </w:p>
        </w:tc>
        <w:tc>
          <w:tcPr>
            <w:tcW w:w="840" w:type="dxa"/>
            <w:tcBorders>
              <w:top w:val="single" w:sz="6" w:space="0" w:color="auto"/>
            </w:tcBorders>
          </w:tcPr>
          <w:p w:rsidR="00AF2508" w:rsidRDefault="00AF2508">
            <w:pPr>
              <w:pStyle w:val="TableText"/>
              <w:jc w:val="center"/>
              <w:rPr>
                <w:sz w:val="20"/>
              </w:rPr>
            </w:pPr>
            <w:r>
              <w:rPr>
                <w:sz w:val="20"/>
              </w:rPr>
              <w:t>2</w:t>
            </w:r>
          </w:p>
        </w:tc>
        <w:tc>
          <w:tcPr>
            <w:tcW w:w="60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0" w:type="dxa"/>
            <w:tcBorders>
              <w:top w:val="single" w:sz="6" w:space="0" w:color="auto"/>
            </w:tcBorders>
          </w:tcPr>
          <w:p w:rsidR="00AF2508" w:rsidRDefault="00AF2508">
            <w:pPr>
              <w:pStyle w:val="TableText"/>
              <w:jc w:val="center"/>
              <w:rPr>
                <w:sz w:val="20"/>
              </w:rPr>
            </w:pPr>
            <w:r>
              <w:rPr>
                <w:sz w:val="20"/>
              </w:rPr>
              <w:t>4</w:t>
            </w:r>
          </w:p>
        </w:tc>
        <w:tc>
          <w:tcPr>
            <w:tcW w:w="764"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44" w:type="dxa"/>
            <w:tcBorders>
              <w:top w:val="single" w:sz="6" w:space="0" w:color="auto"/>
            </w:tcBorders>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756"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04" w:type="dxa"/>
            <w:tcBorders>
              <w:top w:val="single" w:sz="6" w:space="0" w:color="auto"/>
            </w:tcBorders>
          </w:tcPr>
          <w:p w:rsidR="00AF2508" w:rsidRDefault="00AF2508">
            <w:pPr>
              <w:pStyle w:val="TableText"/>
              <w:jc w:val="center"/>
              <w:rPr>
                <w:sz w:val="20"/>
              </w:rPr>
            </w:pPr>
            <w:r>
              <w:rPr>
                <w:sz w:val="20"/>
              </w:rPr>
              <w:t>3</w:t>
            </w:r>
          </w:p>
        </w:tc>
        <w:tc>
          <w:tcPr>
            <w:tcW w:w="742"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70" w:type="dxa"/>
            <w:tcBorders>
              <w:top w:val="single" w:sz="6" w:space="0" w:color="auto"/>
              <w:right w:val="single" w:sz="6" w:space="0" w:color="auto"/>
            </w:tcBorders>
          </w:tcPr>
          <w:p w:rsidR="00AF2508" w:rsidRDefault="00AF2508">
            <w:pPr>
              <w:pStyle w:val="TableText"/>
              <w:jc w:val="center"/>
              <w:rPr>
                <w:sz w:val="20"/>
              </w:rPr>
            </w:pPr>
            <w:r>
              <w:rPr>
                <w:sz w:val="20"/>
              </w:rPr>
              <w:t>2</w:t>
            </w:r>
          </w:p>
        </w:tc>
        <w:tc>
          <w:tcPr>
            <w:tcW w:w="790" w:type="dxa"/>
            <w:tcBorders>
              <w:top w:val="single" w:sz="6" w:space="0" w:color="auto"/>
            </w:tcBorders>
          </w:tcPr>
          <w:p w:rsidR="00AF2508" w:rsidRDefault="00AF2508">
            <w:pPr>
              <w:pStyle w:val="TableText"/>
              <w:jc w:val="center"/>
              <w:rPr>
                <w:sz w:val="20"/>
              </w:rPr>
            </w:pPr>
            <w:r>
              <w:rPr>
                <w:sz w:val="20"/>
              </w:rPr>
              <w:t>0</w:t>
            </w:r>
          </w:p>
        </w:tc>
        <w:tc>
          <w:tcPr>
            <w:tcW w:w="662" w:type="dxa"/>
            <w:gridSpan w:val="2"/>
            <w:tcBorders>
              <w:top w:val="single" w:sz="6" w:space="0" w:color="auto"/>
            </w:tcBorders>
          </w:tcPr>
          <w:p w:rsidR="00AF2508" w:rsidRDefault="00AF2508">
            <w:pPr>
              <w:pStyle w:val="TableText"/>
              <w:jc w:val="center"/>
              <w:rPr>
                <w:sz w:val="20"/>
              </w:rPr>
            </w:pPr>
            <w:r>
              <w:rPr>
                <w:sz w:val="20"/>
              </w:rPr>
              <w:t>1</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position w:val="4"/>
                <w:sz w:val="16"/>
              </w:rPr>
              <w:t>3</w:t>
            </w:r>
            <w:r>
              <w:rPr>
                <w:sz w:val="20"/>
              </w:rPr>
              <w:t>/</w:t>
            </w:r>
            <w:r>
              <w:rPr>
                <w:sz w:val="16"/>
              </w:rPr>
              <w:t>4</w:t>
            </w:r>
            <w:r>
              <w:rPr>
                <w:sz w:val="20"/>
              </w:rPr>
              <w:t xml:space="preserve"> </w:t>
            </w:r>
          </w:p>
        </w:tc>
        <w:tc>
          <w:tcPr>
            <w:tcW w:w="924" w:type="dxa"/>
            <w:gridSpan w:val="2"/>
            <w:tcBorders>
              <w:right w:val="single" w:sz="6" w:space="0" w:color="auto"/>
            </w:tcBorders>
          </w:tcPr>
          <w:p w:rsidR="00AF2508" w:rsidRDefault="00AF2508">
            <w:pPr>
              <w:pStyle w:val="TableText"/>
              <w:jc w:val="center"/>
              <w:rPr>
                <w:sz w:val="20"/>
              </w:rPr>
            </w:pPr>
            <w:r>
              <w:rPr>
                <w:position w:val="4"/>
                <w:sz w:val="16"/>
              </w:rPr>
              <w:t>1</w:t>
            </w:r>
            <w:r>
              <w:rPr>
                <w:sz w:val="20"/>
              </w:rPr>
              <w:t>/</w:t>
            </w:r>
            <w:r>
              <w:rPr>
                <w:sz w:val="16"/>
              </w:rPr>
              <w:t>4</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3</w:t>
            </w:r>
          </w:p>
        </w:tc>
        <w:tc>
          <w:tcPr>
            <w:tcW w:w="600" w:type="dxa"/>
            <w:tcBorders>
              <w:left w:val="single" w:sz="6" w:space="0" w:color="auto"/>
            </w:tcBorders>
          </w:tcPr>
          <w:p w:rsidR="00AF2508" w:rsidRDefault="00AF2508">
            <w:pPr>
              <w:pStyle w:val="TableText"/>
              <w:jc w:val="center"/>
              <w:rPr>
                <w:sz w:val="20"/>
              </w:rPr>
            </w:pPr>
            <w:r>
              <w:rPr>
                <w:sz w:val="20"/>
              </w:rPr>
              <w:t>0</w:t>
            </w:r>
          </w:p>
        </w:tc>
        <w:tc>
          <w:tcPr>
            <w:tcW w:w="720" w:type="dxa"/>
          </w:tcPr>
          <w:p w:rsidR="00AF2508" w:rsidRDefault="00AF2508">
            <w:pPr>
              <w:pStyle w:val="TableText"/>
              <w:jc w:val="center"/>
              <w:rPr>
                <w:sz w:val="20"/>
              </w:rPr>
            </w:pPr>
            <w:r>
              <w:rPr>
                <w:sz w:val="20"/>
              </w:rPr>
              <w:t>6</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5</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4</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3</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position w:val="4"/>
                <w:sz w:val="16"/>
              </w:rPr>
              <w:t>7</w:t>
            </w:r>
            <w:r>
              <w:rPr>
                <w:sz w:val="20"/>
              </w:rPr>
              <w:t>/</w:t>
            </w:r>
            <w:r>
              <w:rPr>
                <w:sz w:val="16"/>
              </w:rPr>
              <w:t>8</w:t>
            </w:r>
            <w:r>
              <w:rPr>
                <w:sz w:val="20"/>
              </w:rPr>
              <w:t xml:space="preserve"> </w:t>
            </w:r>
          </w:p>
        </w:tc>
        <w:tc>
          <w:tcPr>
            <w:tcW w:w="924" w:type="dxa"/>
            <w:gridSpan w:val="2"/>
            <w:tcBorders>
              <w:right w:val="single" w:sz="6" w:space="0" w:color="auto"/>
            </w:tcBorders>
          </w:tcPr>
          <w:p w:rsidR="00AF2508" w:rsidRDefault="00AF2508">
            <w:pPr>
              <w:pStyle w:val="TableText"/>
              <w:jc w:val="center"/>
              <w:rPr>
                <w:sz w:val="20"/>
              </w:rPr>
            </w:pPr>
            <w:r>
              <w:rPr>
                <w:position w:val="4"/>
                <w:sz w:val="16"/>
              </w:rPr>
              <w:t>9</w:t>
            </w:r>
            <w:r>
              <w:rPr>
                <w:sz w:val="20"/>
              </w:rPr>
              <w:t>/</w:t>
            </w:r>
            <w:r>
              <w:rPr>
                <w:sz w:val="16"/>
              </w:rPr>
              <w:t>32</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4</w:t>
            </w:r>
          </w:p>
        </w:tc>
        <w:tc>
          <w:tcPr>
            <w:tcW w:w="600" w:type="dxa"/>
            <w:tcBorders>
              <w:left w:val="single" w:sz="6" w:space="0" w:color="auto"/>
            </w:tcBorders>
          </w:tcPr>
          <w:p w:rsidR="00AF2508" w:rsidRDefault="00AF2508">
            <w:pPr>
              <w:pStyle w:val="TableText"/>
              <w:jc w:val="center"/>
              <w:rPr>
                <w:sz w:val="20"/>
              </w:rPr>
            </w:pPr>
            <w:r>
              <w:rPr>
                <w:sz w:val="20"/>
              </w:rPr>
              <w:t>0</w:t>
            </w:r>
          </w:p>
        </w:tc>
        <w:tc>
          <w:tcPr>
            <w:tcW w:w="720" w:type="dxa"/>
          </w:tcPr>
          <w:p w:rsidR="00AF2508" w:rsidRDefault="00AF2508">
            <w:pPr>
              <w:pStyle w:val="TableText"/>
              <w:jc w:val="center"/>
              <w:rPr>
                <w:sz w:val="20"/>
              </w:rPr>
            </w:pPr>
            <w:r>
              <w:rPr>
                <w:sz w:val="20"/>
              </w:rPr>
              <w:t>7</w:t>
            </w:r>
            <w:r>
              <w:rPr>
                <w:position w:val="4"/>
                <w:sz w:val="16"/>
              </w:rPr>
              <w:t>1</w:t>
            </w:r>
            <w:r>
              <w:rPr>
                <w:sz w:val="20"/>
              </w:rPr>
              <w:t>/</w:t>
            </w:r>
            <w:r>
              <w:rPr>
                <w:sz w:val="16"/>
              </w:rPr>
              <w:t>2</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7</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4</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p>
        </w:tc>
        <w:tc>
          <w:tcPr>
            <w:tcW w:w="924" w:type="dxa"/>
            <w:gridSpan w:val="2"/>
            <w:tcBorders>
              <w:right w:val="single" w:sz="6" w:space="0" w:color="auto"/>
            </w:tcBorders>
          </w:tcPr>
          <w:p w:rsidR="00AF2508" w:rsidRDefault="00AF2508">
            <w:pPr>
              <w:pStyle w:val="TableText"/>
              <w:jc w:val="center"/>
              <w:rPr>
                <w:sz w:val="20"/>
              </w:rPr>
            </w:pPr>
            <w:r>
              <w:rPr>
                <w:position w:val="4"/>
                <w:sz w:val="16"/>
              </w:rPr>
              <w:t>5</w:t>
            </w:r>
            <w:r>
              <w:rPr>
                <w:sz w:val="20"/>
              </w:rPr>
              <w:t>/</w:t>
            </w:r>
            <w:r>
              <w:rPr>
                <w:sz w:val="16"/>
              </w:rPr>
              <w:t>16</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5</w:t>
            </w:r>
          </w:p>
        </w:tc>
        <w:tc>
          <w:tcPr>
            <w:tcW w:w="600" w:type="dxa"/>
            <w:tcBorders>
              <w:left w:val="single" w:sz="6" w:space="0" w:color="auto"/>
            </w:tcBorders>
          </w:tcPr>
          <w:p w:rsidR="00AF2508" w:rsidRDefault="00AF2508">
            <w:pPr>
              <w:pStyle w:val="TableText"/>
              <w:jc w:val="center"/>
              <w:rPr>
                <w:sz w:val="20"/>
              </w:rPr>
            </w:pPr>
            <w:r>
              <w:rPr>
                <w:sz w:val="20"/>
              </w:rPr>
              <w:t>0</w:t>
            </w:r>
          </w:p>
        </w:tc>
        <w:tc>
          <w:tcPr>
            <w:tcW w:w="720" w:type="dxa"/>
          </w:tcPr>
          <w:p w:rsidR="00AF2508" w:rsidRDefault="00AF2508">
            <w:pPr>
              <w:pStyle w:val="TableText"/>
              <w:jc w:val="center"/>
              <w:rPr>
                <w:sz w:val="20"/>
              </w:rPr>
            </w:pPr>
            <w:r>
              <w:rPr>
                <w:sz w:val="20"/>
              </w:rPr>
              <w:t>10</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8</w:t>
            </w:r>
            <w:r>
              <w:rPr>
                <w:position w:val="4"/>
                <w:sz w:val="16"/>
              </w:rPr>
              <w:t>1</w:t>
            </w:r>
            <w:r>
              <w:rPr>
                <w:sz w:val="20"/>
              </w:rPr>
              <w:t>/</w:t>
            </w:r>
            <w:r>
              <w:rPr>
                <w:sz w:val="16"/>
              </w:rPr>
              <w:t>2</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7</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5</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2</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924" w:type="dxa"/>
            <w:gridSpan w:val="2"/>
            <w:tcBorders>
              <w:right w:val="single" w:sz="6" w:space="0" w:color="auto"/>
            </w:tcBorders>
          </w:tcPr>
          <w:p w:rsidR="00AF2508" w:rsidRDefault="00AF2508">
            <w:pPr>
              <w:pStyle w:val="TableText"/>
              <w:jc w:val="center"/>
              <w:rPr>
                <w:sz w:val="20"/>
              </w:rPr>
            </w:pPr>
            <w:r>
              <w:rPr>
                <w:position w:val="4"/>
                <w:sz w:val="16"/>
              </w:rPr>
              <w:t>3</w:t>
            </w:r>
            <w:r>
              <w:rPr>
                <w:sz w:val="20"/>
              </w:rPr>
              <w:t>/</w:t>
            </w:r>
            <w:r>
              <w:rPr>
                <w:sz w:val="16"/>
              </w:rPr>
              <w:t>8</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6</w:t>
            </w:r>
            <w:r>
              <w:rPr>
                <w:position w:val="4"/>
                <w:sz w:val="16"/>
              </w:rPr>
              <w:t>1</w:t>
            </w:r>
            <w:r>
              <w:rPr>
                <w:sz w:val="20"/>
              </w:rPr>
              <w:t>/</w:t>
            </w:r>
            <w:r>
              <w:rPr>
                <w:sz w:val="16"/>
              </w:rPr>
              <w:t>2</w:t>
            </w:r>
          </w:p>
        </w:tc>
        <w:tc>
          <w:tcPr>
            <w:tcW w:w="600" w:type="dxa"/>
            <w:tcBorders>
              <w:left w:val="single" w:sz="6" w:space="0" w:color="auto"/>
            </w:tcBorders>
          </w:tcPr>
          <w:p w:rsidR="00AF2508" w:rsidRDefault="00AF2508">
            <w:pPr>
              <w:pStyle w:val="TableText"/>
              <w:jc w:val="center"/>
              <w:rPr>
                <w:sz w:val="20"/>
              </w:rPr>
            </w:pPr>
            <w:r>
              <w:rPr>
                <w:sz w:val="20"/>
              </w:rPr>
              <w:t>0</w:t>
            </w:r>
          </w:p>
        </w:tc>
        <w:tc>
          <w:tcPr>
            <w:tcW w:w="720" w:type="dxa"/>
          </w:tcPr>
          <w:p w:rsidR="00AF2508" w:rsidRDefault="00AF2508">
            <w:pPr>
              <w:pStyle w:val="TableText"/>
              <w:jc w:val="center"/>
              <w:rPr>
                <w:sz w:val="20"/>
              </w:rPr>
            </w:pPr>
            <w:r>
              <w:rPr>
                <w:sz w:val="20"/>
              </w:rPr>
              <w:t>12</w:t>
            </w:r>
            <w:r>
              <w:rPr>
                <w:position w:val="4"/>
                <w:sz w:val="16"/>
              </w:rPr>
              <w:t>1</w:t>
            </w:r>
            <w:r>
              <w:rPr>
                <w:sz w:val="20"/>
              </w:rPr>
              <w:t>/</w:t>
            </w:r>
            <w:r>
              <w:rPr>
                <w:sz w:val="16"/>
              </w:rPr>
              <w:t>2</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11</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9</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6</w:t>
            </w:r>
            <w:r>
              <w:rPr>
                <w:position w:val="4"/>
                <w:sz w:val="16"/>
              </w:rPr>
              <w:t>1</w:t>
            </w:r>
            <w:r>
              <w:rPr>
                <w:sz w:val="20"/>
              </w:rPr>
              <w:t>/</w:t>
            </w:r>
            <w:r>
              <w:rPr>
                <w:sz w:val="16"/>
              </w:rPr>
              <w:t>2</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3</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924" w:type="dxa"/>
            <w:gridSpan w:val="2"/>
            <w:tcBorders>
              <w:right w:val="single" w:sz="6" w:space="0" w:color="auto"/>
            </w:tcBorders>
          </w:tcPr>
          <w:p w:rsidR="00AF2508" w:rsidRDefault="00AF2508">
            <w:pPr>
              <w:pStyle w:val="TableText"/>
              <w:jc w:val="center"/>
              <w:rPr>
                <w:sz w:val="20"/>
              </w:rPr>
            </w:pPr>
            <w:r>
              <w:rPr>
                <w:position w:val="4"/>
                <w:sz w:val="16"/>
              </w:rPr>
              <w:t>13</w:t>
            </w:r>
            <w:r>
              <w:rPr>
                <w:sz w:val="20"/>
              </w:rPr>
              <w:t>/</w:t>
            </w:r>
            <w:r>
              <w:rPr>
                <w:sz w:val="16"/>
              </w:rPr>
              <w:t>32</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8</w:t>
            </w:r>
            <w:r>
              <w:rPr>
                <w:position w:val="4"/>
                <w:sz w:val="16"/>
              </w:rPr>
              <w:t>1</w:t>
            </w:r>
            <w:r>
              <w:rPr>
                <w:sz w:val="20"/>
              </w:rPr>
              <w:t>/</w:t>
            </w:r>
            <w:r>
              <w:rPr>
                <w:sz w:val="16"/>
              </w:rPr>
              <w:t>2</w:t>
            </w:r>
          </w:p>
        </w:tc>
        <w:tc>
          <w:tcPr>
            <w:tcW w:w="600" w:type="dxa"/>
            <w:tcBorders>
              <w:left w:val="single" w:sz="6" w:space="0" w:color="auto"/>
            </w:tcBorders>
          </w:tcPr>
          <w:p w:rsidR="00AF2508" w:rsidRDefault="00AF2508">
            <w:pPr>
              <w:pStyle w:val="TableText"/>
              <w:jc w:val="center"/>
              <w:rPr>
                <w:sz w:val="20"/>
              </w:rPr>
            </w:pPr>
            <w:r>
              <w:rPr>
                <w:sz w:val="20"/>
              </w:rPr>
              <w:t>0</w:t>
            </w:r>
          </w:p>
        </w:tc>
        <w:tc>
          <w:tcPr>
            <w:tcW w:w="720" w:type="dxa"/>
          </w:tcPr>
          <w:p w:rsidR="00AF2508" w:rsidRDefault="00AF2508">
            <w:pPr>
              <w:pStyle w:val="TableText"/>
              <w:jc w:val="center"/>
              <w:rPr>
                <w:sz w:val="20"/>
              </w:rPr>
            </w:pPr>
            <w:r>
              <w:rPr>
                <w:sz w:val="20"/>
              </w:rPr>
              <w:t>16</w:t>
            </w:r>
            <w:r>
              <w:rPr>
                <w:position w:val="4"/>
                <w:sz w:val="16"/>
              </w:rPr>
              <w:t>1</w:t>
            </w:r>
            <w:r>
              <w:rPr>
                <w:sz w:val="20"/>
              </w:rPr>
              <w:t>/</w:t>
            </w:r>
            <w:r>
              <w:rPr>
                <w:sz w:val="16"/>
              </w:rPr>
              <w:t>2</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14</w:t>
            </w:r>
            <w:r>
              <w:rPr>
                <w:position w:val="4"/>
                <w:sz w:val="16"/>
              </w:rPr>
              <w:t>1</w:t>
            </w:r>
            <w:r>
              <w:rPr>
                <w:sz w:val="20"/>
              </w:rPr>
              <w:t>/</w:t>
            </w:r>
            <w:r>
              <w:rPr>
                <w:sz w:val="16"/>
              </w:rPr>
              <w:t>2</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12</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8</w:t>
            </w:r>
            <w:r>
              <w:rPr>
                <w:position w:val="4"/>
                <w:sz w:val="16"/>
              </w:rPr>
              <w:t>1</w:t>
            </w:r>
            <w:r>
              <w:rPr>
                <w:sz w:val="20"/>
              </w:rPr>
              <w:t>/</w:t>
            </w:r>
            <w:r>
              <w:rPr>
                <w:sz w:val="16"/>
              </w:rPr>
              <w:t>2</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4</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924" w:type="dxa"/>
            <w:gridSpan w:val="2"/>
            <w:tcBorders>
              <w:right w:val="single" w:sz="6" w:space="0" w:color="auto"/>
            </w:tcBorders>
          </w:tcPr>
          <w:p w:rsidR="00AF2508" w:rsidRDefault="00AF2508">
            <w:pPr>
              <w:pStyle w:val="TableText"/>
              <w:jc w:val="center"/>
              <w:rPr>
                <w:sz w:val="20"/>
              </w:rPr>
            </w:pPr>
            <w:r>
              <w:rPr>
                <w:position w:val="4"/>
                <w:sz w:val="16"/>
              </w:rPr>
              <w:t>7</w:t>
            </w:r>
            <w:r>
              <w:rPr>
                <w:sz w:val="20"/>
              </w:rPr>
              <w:t>/</w:t>
            </w:r>
            <w:r>
              <w:rPr>
                <w:sz w:val="16"/>
              </w:rPr>
              <w:t>16</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9</w:t>
            </w:r>
            <w:r>
              <w:rPr>
                <w:position w:val="4"/>
                <w:sz w:val="16"/>
              </w:rPr>
              <w:t>1</w:t>
            </w:r>
            <w:r>
              <w:rPr>
                <w:sz w:val="20"/>
              </w:rPr>
              <w:t>/</w:t>
            </w:r>
            <w:r>
              <w:rPr>
                <w:sz w:val="16"/>
              </w:rPr>
              <w:t>2</w:t>
            </w:r>
          </w:p>
        </w:tc>
        <w:tc>
          <w:tcPr>
            <w:tcW w:w="600" w:type="dxa"/>
            <w:tcBorders>
              <w:left w:val="single" w:sz="6" w:space="0" w:color="auto"/>
            </w:tcBorders>
          </w:tcPr>
          <w:p w:rsidR="00AF2508" w:rsidRDefault="00AF2508">
            <w:pPr>
              <w:pStyle w:val="TableText"/>
              <w:jc w:val="center"/>
              <w:rPr>
                <w:sz w:val="20"/>
              </w:rPr>
            </w:pPr>
            <w:r>
              <w:rPr>
                <w:sz w:val="20"/>
              </w:rPr>
              <w:t>0</w:t>
            </w:r>
          </w:p>
        </w:tc>
        <w:tc>
          <w:tcPr>
            <w:tcW w:w="720" w:type="dxa"/>
          </w:tcPr>
          <w:p w:rsidR="00AF2508" w:rsidRDefault="00AF2508">
            <w:pPr>
              <w:pStyle w:val="TableText"/>
              <w:jc w:val="center"/>
              <w:rPr>
                <w:sz w:val="20"/>
              </w:rPr>
            </w:pPr>
            <w:r>
              <w:rPr>
                <w:sz w:val="20"/>
              </w:rPr>
              <w:t>18</w:t>
            </w:r>
            <w:r>
              <w:rPr>
                <w:position w:val="4"/>
                <w:sz w:val="16"/>
              </w:rPr>
              <w:t>1</w:t>
            </w:r>
            <w:r>
              <w:rPr>
                <w:sz w:val="20"/>
              </w:rPr>
              <w:t>/</w:t>
            </w:r>
            <w:r>
              <w:rPr>
                <w:sz w:val="16"/>
              </w:rPr>
              <w:t>2</w:t>
            </w:r>
          </w:p>
        </w:tc>
        <w:tc>
          <w:tcPr>
            <w:tcW w:w="764" w:type="dxa"/>
            <w:tcBorders>
              <w:left w:val="single" w:sz="6" w:space="0" w:color="auto"/>
            </w:tcBorders>
          </w:tcPr>
          <w:p w:rsidR="00AF2508" w:rsidRDefault="00AF2508">
            <w:pPr>
              <w:pStyle w:val="TableText"/>
              <w:jc w:val="center"/>
              <w:rPr>
                <w:sz w:val="20"/>
              </w:rPr>
            </w:pPr>
            <w:r>
              <w:rPr>
                <w:sz w:val="20"/>
              </w:rPr>
              <w:t>0</w:t>
            </w:r>
          </w:p>
        </w:tc>
        <w:tc>
          <w:tcPr>
            <w:tcW w:w="844" w:type="dxa"/>
          </w:tcPr>
          <w:p w:rsidR="00AF2508" w:rsidRDefault="00AF2508">
            <w:pPr>
              <w:pStyle w:val="TableText"/>
              <w:jc w:val="center"/>
              <w:rPr>
                <w:sz w:val="20"/>
              </w:rPr>
            </w:pPr>
            <w:r>
              <w:rPr>
                <w:sz w:val="20"/>
              </w:rPr>
              <w:t>16</w:t>
            </w:r>
            <w:r>
              <w:rPr>
                <w:position w:val="4"/>
                <w:sz w:val="16"/>
              </w:rPr>
              <w:t>1</w:t>
            </w:r>
            <w:r>
              <w:rPr>
                <w:sz w:val="20"/>
              </w:rPr>
              <w:t>/</w:t>
            </w:r>
            <w:r>
              <w:rPr>
                <w:sz w:val="16"/>
              </w:rPr>
              <w:t>2</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13</w:t>
            </w:r>
            <w:r>
              <w:rPr>
                <w:position w:val="4"/>
                <w:sz w:val="16"/>
              </w:rPr>
              <w:t>1</w:t>
            </w:r>
            <w:r>
              <w:rPr>
                <w:sz w:val="20"/>
              </w:rPr>
              <w:t>/</w:t>
            </w:r>
            <w:r>
              <w:rPr>
                <w:sz w:val="16"/>
              </w:rPr>
              <w:t>2</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9</w:t>
            </w:r>
            <w:r>
              <w:rPr>
                <w:position w:val="4"/>
                <w:sz w:val="16"/>
              </w:rPr>
              <w:t>1</w:t>
            </w:r>
            <w:r>
              <w:rPr>
                <w:sz w:val="20"/>
              </w:rPr>
              <w:t>/</w:t>
            </w:r>
            <w:r>
              <w:rPr>
                <w:sz w:val="16"/>
              </w:rPr>
              <w:t>2</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5</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924" w:type="dxa"/>
            <w:gridSpan w:val="2"/>
            <w:tcBorders>
              <w:right w:val="single" w:sz="6" w:space="0" w:color="auto"/>
            </w:tcBorders>
          </w:tcPr>
          <w:p w:rsidR="00AF2508" w:rsidRDefault="00AF2508">
            <w:pPr>
              <w:pStyle w:val="TableText"/>
              <w:jc w:val="center"/>
              <w:rPr>
                <w:sz w:val="20"/>
              </w:rPr>
            </w:pPr>
            <w:r>
              <w:rPr>
                <w:position w:val="4"/>
                <w:sz w:val="16"/>
              </w:rPr>
              <w:t>15</w:t>
            </w:r>
            <w:r>
              <w:rPr>
                <w:sz w:val="20"/>
              </w:rPr>
              <w:t>/</w:t>
            </w:r>
            <w:r>
              <w:rPr>
                <w:sz w:val="16"/>
              </w:rPr>
              <w:t>32</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12</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tcPr>
          <w:p w:rsidR="00AF2508" w:rsidRDefault="00AF2508">
            <w:pPr>
              <w:pStyle w:val="TableText"/>
              <w:jc w:val="center"/>
              <w:rPr>
                <w:sz w:val="20"/>
              </w:rPr>
            </w:pPr>
            <w:r>
              <w:rPr>
                <w:sz w:val="20"/>
              </w:rPr>
              <w:t>3</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1</w:t>
            </w:r>
          </w:p>
        </w:tc>
        <w:tc>
          <w:tcPr>
            <w:tcW w:w="756" w:type="dxa"/>
            <w:tcBorders>
              <w:left w:val="single" w:sz="6" w:space="0" w:color="auto"/>
            </w:tcBorders>
          </w:tcPr>
          <w:p w:rsidR="00AF2508" w:rsidRDefault="00AF2508">
            <w:pPr>
              <w:pStyle w:val="TableText"/>
              <w:jc w:val="center"/>
              <w:rPr>
                <w:sz w:val="20"/>
              </w:rPr>
            </w:pPr>
            <w:r>
              <w:rPr>
                <w:sz w:val="20"/>
              </w:rPr>
              <w:t>0</w:t>
            </w:r>
          </w:p>
        </w:tc>
        <w:tc>
          <w:tcPr>
            <w:tcW w:w="804" w:type="dxa"/>
          </w:tcPr>
          <w:p w:rsidR="00AF2508" w:rsidRDefault="00AF2508">
            <w:pPr>
              <w:pStyle w:val="TableText"/>
              <w:jc w:val="center"/>
              <w:rPr>
                <w:sz w:val="20"/>
              </w:rPr>
            </w:pPr>
            <w:r>
              <w:rPr>
                <w:sz w:val="20"/>
              </w:rPr>
              <w:t>17</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12</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6</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924" w:type="dxa"/>
            <w:gridSpan w:val="2"/>
            <w:tcBorders>
              <w:right w:val="single" w:sz="6" w:space="0" w:color="auto"/>
            </w:tcBorders>
          </w:tcPr>
          <w:p w:rsidR="00AF2508" w:rsidRDefault="00AF2508">
            <w:pPr>
              <w:pStyle w:val="TableText"/>
              <w:jc w:val="center"/>
              <w:rPr>
                <w:sz w:val="20"/>
              </w:rPr>
            </w:pPr>
            <w:r>
              <w:rPr>
                <w:position w:val="4"/>
                <w:sz w:val="16"/>
              </w:rPr>
              <w:t>1</w:t>
            </w:r>
            <w:r>
              <w:rPr>
                <w:sz w:val="20"/>
              </w:rPr>
              <w:t>/</w:t>
            </w:r>
            <w:r>
              <w:rPr>
                <w:sz w:val="16"/>
              </w:rPr>
              <w:t>2</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14</w:t>
            </w:r>
            <w:r>
              <w:rPr>
                <w:position w:val="4"/>
                <w:sz w:val="16"/>
              </w:rPr>
              <w:t>1</w:t>
            </w:r>
            <w:r>
              <w:rPr>
                <w:sz w:val="20"/>
              </w:rPr>
              <w:t>/</w:t>
            </w:r>
            <w:r>
              <w:rPr>
                <w:sz w:val="16"/>
              </w:rPr>
              <w:t>2</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tcPr>
          <w:p w:rsidR="00AF2508" w:rsidRDefault="00AF2508">
            <w:pPr>
              <w:pStyle w:val="TableText"/>
              <w:jc w:val="center"/>
              <w:rPr>
                <w:sz w:val="20"/>
              </w:rPr>
            </w:pPr>
            <w:r>
              <w:rPr>
                <w:sz w:val="20"/>
              </w:rPr>
              <w:t>8</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5</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0</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14</w:t>
            </w:r>
            <w:r>
              <w:rPr>
                <w:position w:val="4"/>
                <w:sz w:val="16"/>
              </w:rPr>
              <w:t>1</w:t>
            </w:r>
            <w:r>
              <w:rPr>
                <w:sz w:val="20"/>
              </w:rPr>
              <w:t>/</w:t>
            </w:r>
            <w:r>
              <w:rPr>
                <w:sz w:val="16"/>
              </w:rPr>
              <w:t>2</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7</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924" w:type="dxa"/>
            <w:gridSpan w:val="2"/>
            <w:tcBorders>
              <w:right w:val="single" w:sz="6" w:space="0" w:color="auto"/>
            </w:tcBorders>
          </w:tcPr>
          <w:p w:rsidR="00AF2508" w:rsidRDefault="00AF2508">
            <w:pPr>
              <w:pStyle w:val="TableText"/>
              <w:jc w:val="center"/>
              <w:rPr>
                <w:sz w:val="20"/>
              </w:rPr>
            </w:pPr>
            <w:r>
              <w:rPr>
                <w:position w:val="4"/>
                <w:sz w:val="16"/>
              </w:rPr>
              <w:t>9</w:t>
            </w:r>
            <w:r>
              <w:rPr>
                <w:sz w:val="20"/>
              </w:rPr>
              <w:t>/</w:t>
            </w:r>
            <w:r>
              <w:rPr>
                <w:sz w:val="16"/>
              </w:rPr>
              <w:t>16</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16</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tcPr>
          <w:p w:rsidR="00AF2508" w:rsidRDefault="00AF2508">
            <w:pPr>
              <w:pStyle w:val="TableText"/>
              <w:jc w:val="center"/>
              <w:rPr>
                <w:sz w:val="20"/>
              </w:rPr>
            </w:pPr>
            <w:r>
              <w:rPr>
                <w:sz w:val="20"/>
              </w:rPr>
              <w:t>11</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8</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3</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16</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8</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924" w:type="dxa"/>
            <w:gridSpan w:val="2"/>
            <w:tcBorders>
              <w:right w:val="single" w:sz="6" w:space="0" w:color="auto"/>
            </w:tcBorders>
          </w:tcPr>
          <w:p w:rsidR="00AF2508" w:rsidRDefault="00AF2508">
            <w:pPr>
              <w:pStyle w:val="TableText"/>
              <w:jc w:val="center"/>
              <w:rPr>
                <w:sz w:val="20"/>
              </w:rPr>
            </w:pPr>
            <w:r>
              <w:rPr>
                <w:position w:val="4"/>
                <w:sz w:val="16"/>
              </w:rPr>
              <w:t>19</w:t>
            </w:r>
            <w:r>
              <w:rPr>
                <w:sz w:val="20"/>
              </w:rPr>
              <w:t>/</w:t>
            </w:r>
            <w:r>
              <w:rPr>
                <w:sz w:val="16"/>
              </w:rPr>
              <w:t>32</w:t>
            </w:r>
            <w:r>
              <w:rPr>
                <w:sz w:val="20"/>
              </w:rPr>
              <w:t xml:space="preserve"> </w:t>
            </w:r>
          </w:p>
        </w:tc>
        <w:tc>
          <w:tcPr>
            <w:tcW w:w="660" w:type="dxa"/>
            <w:gridSpan w:val="2"/>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18</w:t>
            </w:r>
            <w:r>
              <w:rPr>
                <w:position w:val="4"/>
                <w:sz w:val="16"/>
              </w:rPr>
              <w:t>1</w:t>
            </w:r>
            <w:r>
              <w:rPr>
                <w:sz w:val="20"/>
              </w:rPr>
              <w:t>/</w:t>
            </w:r>
            <w:r>
              <w:rPr>
                <w:sz w:val="16"/>
              </w:rPr>
              <w:t>2</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tcPr>
          <w:p w:rsidR="00AF2508" w:rsidRDefault="00AF2508">
            <w:pPr>
              <w:pStyle w:val="TableText"/>
              <w:jc w:val="center"/>
              <w:rPr>
                <w:sz w:val="20"/>
              </w:rPr>
            </w:pPr>
            <w:r>
              <w:rPr>
                <w:sz w:val="20"/>
              </w:rPr>
              <w:t>16</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12</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6</w:t>
            </w:r>
          </w:p>
        </w:tc>
        <w:tc>
          <w:tcPr>
            <w:tcW w:w="742" w:type="dxa"/>
            <w:tcBorders>
              <w:left w:val="single" w:sz="6" w:space="0" w:color="auto"/>
            </w:tcBorders>
          </w:tcPr>
          <w:p w:rsidR="00AF2508" w:rsidRDefault="00AF2508">
            <w:pPr>
              <w:pStyle w:val="TableText"/>
              <w:jc w:val="center"/>
              <w:rPr>
                <w:sz w:val="20"/>
              </w:rPr>
            </w:pPr>
            <w:r>
              <w:rPr>
                <w:sz w:val="20"/>
              </w:rPr>
              <w:t>0</w:t>
            </w:r>
          </w:p>
        </w:tc>
        <w:tc>
          <w:tcPr>
            <w:tcW w:w="770" w:type="dxa"/>
            <w:tcBorders>
              <w:right w:val="single" w:sz="6" w:space="0" w:color="auto"/>
            </w:tcBorders>
          </w:tcPr>
          <w:p w:rsidR="00AF2508" w:rsidRDefault="00AF2508">
            <w:pPr>
              <w:pStyle w:val="TableText"/>
              <w:jc w:val="center"/>
              <w:rPr>
                <w:sz w:val="20"/>
              </w:rPr>
            </w:pPr>
            <w:r>
              <w:rPr>
                <w:sz w:val="20"/>
              </w:rPr>
              <w:t>18</w:t>
            </w:r>
            <w:r>
              <w:rPr>
                <w:position w:val="4"/>
                <w:sz w:val="16"/>
              </w:rPr>
              <w:t>1</w:t>
            </w:r>
            <w:r>
              <w:rPr>
                <w:sz w:val="20"/>
              </w:rPr>
              <w:t>/</w:t>
            </w:r>
            <w:r>
              <w:rPr>
                <w:sz w:val="16"/>
              </w:rPr>
              <w:t>2</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9</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16"/>
              </w:rPr>
              <w:t>5</w:t>
            </w:r>
            <w:r>
              <w:rPr>
                <w:sz w:val="20"/>
              </w:rPr>
              <w:t>/</w:t>
            </w:r>
            <w:r>
              <w:rPr>
                <w:sz w:val="16"/>
              </w:rPr>
              <w:t>8</w:t>
            </w:r>
            <w:r>
              <w:rPr>
                <w:sz w:val="20"/>
              </w:rPr>
              <w:t xml:space="preserve"> </w:t>
            </w:r>
          </w:p>
        </w:tc>
        <w:tc>
          <w:tcPr>
            <w:tcW w:w="660" w:type="dxa"/>
            <w:gridSpan w:val="2"/>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tcPr>
          <w:p w:rsidR="00AF2508" w:rsidRDefault="00AF2508">
            <w:pPr>
              <w:pStyle w:val="TableText"/>
              <w:jc w:val="center"/>
              <w:rPr>
                <w:sz w:val="20"/>
              </w:rPr>
            </w:pPr>
            <w:r>
              <w:rPr>
                <w:sz w:val="20"/>
              </w:rPr>
              <w:t>0</w:t>
            </w:r>
          </w:p>
        </w:tc>
        <w:tc>
          <w:tcPr>
            <w:tcW w:w="764" w:type="dxa"/>
            <w:tcBorders>
              <w:left w:val="single" w:sz="6" w:space="0" w:color="auto"/>
            </w:tcBorders>
          </w:tcPr>
          <w:p w:rsidR="00AF2508" w:rsidRDefault="00AF2508">
            <w:pPr>
              <w:pStyle w:val="TableText"/>
              <w:jc w:val="center"/>
              <w:rPr>
                <w:sz w:val="20"/>
              </w:rPr>
            </w:pPr>
            <w:r>
              <w:rPr>
                <w:sz w:val="20"/>
              </w:rPr>
              <w:t>1</w:t>
            </w:r>
          </w:p>
        </w:tc>
        <w:tc>
          <w:tcPr>
            <w:tcW w:w="844" w:type="dxa"/>
          </w:tcPr>
          <w:p w:rsidR="00AF2508" w:rsidRDefault="00AF2508">
            <w:pPr>
              <w:pStyle w:val="TableText"/>
              <w:jc w:val="center"/>
              <w:rPr>
                <w:sz w:val="20"/>
              </w:rPr>
            </w:pPr>
            <w:r>
              <w:rPr>
                <w:sz w:val="20"/>
              </w:rPr>
              <w:t>16</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10</w:t>
            </w:r>
          </w:p>
        </w:tc>
        <w:tc>
          <w:tcPr>
            <w:tcW w:w="742" w:type="dxa"/>
            <w:tcBorders>
              <w:left w:val="single" w:sz="6" w:space="0" w:color="auto"/>
            </w:tcBorders>
          </w:tcPr>
          <w:p w:rsidR="00AF2508" w:rsidRDefault="00AF2508">
            <w:pPr>
              <w:pStyle w:val="TableText"/>
              <w:jc w:val="center"/>
              <w:rPr>
                <w:sz w:val="20"/>
              </w:rPr>
            </w:pPr>
            <w:r>
              <w:rPr>
                <w:sz w:val="20"/>
              </w:rPr>
              <w:t>1</w:t>
            </w:r>
          </w:p>
        </w:tc>
        <w:tc>
          <w:tcPr>
            <w:tcW w:w="770" w:type="dxa"/>
            <w:tcBorders>
              <w:right w:val="single" w:sz="6" w:space="0" w:color="auto"/>
            </w:tcBorders>
          </w:tcPr>
          <w:p w:rsidR="00AF2508" w:rsidRDefault="00AF2508">
            <w:pPr>
              <w:pStyle w:val="TableText"/>
              <w:jc w:val="center"/>
              <w:rPr>
                <w:sz w:val="20"/>
              </w:rPr>
            </w:pPr>
            <w:r>
              <w:rPr>
                <w:sz w:val="20"/>
              </w:rPr>
              <w:t>1</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11</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2</w:t>
            </w:r>
            <w:r>
              <w:rPr>
                <w:position w:val="4"/>
                <w:sz w:val="16"/>
              </w:rPr>
              <w:t>1</w:t>
            </w:r>
            <w:r>
              <w:rPr>
                <w:sz w:val="20"/>
              </w:rPr>
              <w:t>/</w:t>
            </w:r>
            <w:r>
              <w:rPr>
                <w:sz w:val="16"/>
              </w:rPr>
              <w:t>8</w:t>
            </w:r>
          </w:p>
        </w:tc>
        <w:tc>
          <w:tcPr>
            <w:tcW w:w="924" w:type="dxa"/>
            <w:gridSpan w:val="2"/>
            <w:tcBorders>
              <w:right w:val="single" w:sz="6" w:space="0" w:color="auto"/>
            </w:tcBorders>
          </w:tcPr>
          <w:p w:rsidR="00AF2508" w:rsidRDefault="00AF2508">
            <w:pPr>
              <w:pStyle w:val="TableText"/>
              <w:jc w:val="center"/>
              <w:rPr>
                <w:sz w:val="20"/>
              </w:rPr>
            </w:pPr>
            <w:r>
              <w:rPr>
                <w:position w:val="4"/>
                <w:sz w:val="16"/>
              </w:rPr>
              <w:t>11</w:t>
            </w:r>
            <w:r>
              <w:rPr>
                <w:sz w:val="20"/>
              </w:rPr>
              <w:t>/</w:t>
            </w:r>
            <w:r>
              <w:rPr>
                <w:sz w:val="16"/>
              </w:rPr>
              <w:t>16</w:t>
            </w:r>
            <w:r>
              <w:rPr>
                <w:sz w:val="20"/>
              </w:rPr>
              <w:t xml:space="preserve"> </w:t>
            </w:r>
          </w:p>
        </w:tc>
        <w:tc>
          <w:tcPr>
            <w:tcW w:w="660" w:type="dxa"/>
            <w:gridSpan w:val="2"/>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4</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tcPr>
          <w:p w:rsidR="00AF2508" w:rsidRDefault="00AF2508">
            <w:pPr>
              <w:pStyle w:val="TableText"/>
              <w:jc w:val="center"/>
              <w:rPr>
                <w:sz w:val="20"/>
              </w:rPr>
            </w:pPr>
            <w:r>
              <w:rPr>
                <w:sz w:val="20"/>
              </w:rPr>
              <w:t>6</w:t>
            </w:r>
          </w:p>
        </w:tc>
        <w:tc>
          <w:tcPr>
            <w:tcW w:w="764" w:type="dxa"/>
            <w:tcBorders>
              <w:left w:val="single" w:sz="6" w:space="0" w:color="auto"/>
            </w:tcBorders>
          </w:tcPr>
          <w:p w:rsidR="00AF2508" w:rsidRDefault="00AF2508">
            <w:pPr>
              <w:pStyle w:val="TableText"/>
              <w:jc w:val="center"/>
              <w:rPr>
                <w:sz w:val="20"/>
              </w:rPr>
            </w:pPr>
            <w:r>
              <w:rPr>
                <w:sz w:val="20"/>
              </w:rPr>
              <w:t>2</w:t>
            </w:r>
          </w:p>
        </w:tc>
        <w:tc>
          <w:tcPr>
            <w:tcW w:w="844" w:type="dxa"/>
          </w:tcPr>
          <w:p w:rsidR="00AF2508" w:rsidRDefault="00AF2508">
            <w:pPr>
              <w:pStyle w:val="TableText"/>
              <w:jc w:val="center"/>
              <w:rPr>
                <w:sz w:val="20"/>
              </w:rPr>
            </w:pPr>
            <w:r>
              <w:rPr>
                <w:sz w:val="20"/>
              </w:rPr>
              <w:t>1</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14</w:t>
            </w:r>
          </w:p>
        </w:tc>
        <w:tc>
          <w:tcPr>
            <w:tcW w:w="742" w:type="dxa"/>
            <w:tcBorders>
              <w:left w:val="single" w:sz="6" w:space="0" w:color="auto"/>
            </w:tcBorders>
          </w:tcPr>
          <w:p w:rsidR="00AF2508" w:rsidRDefault="00AF2508">
            <w:pPr>
              <w:pStyle w:val="TableText"/>
              <w:jc w:val="center"/>
              <w:rPr>
                <w:sz w:val="20"/>
              </w:rPr>
            </w:pPr>
            <w:r>
              <w:rPr>
                <w:sz w:val="20"/>
              </w:rPr>
              <w:t>1</w:t>
            </w:r>
          </w:p>
        </w:tc>
        <w:tc>
          <w:tcPr>
            <w:tcW w:w="770" w:type="dxa"/>
            <w:tcBorders>
              <w:right w:val="single" w:sz="6" w:space="0" w:color="auto"/>
            </w:tcBorders>
          </w:tcPr>
          <w:p w:rsidR="00AF2508" w:rsidRDefault="00AF2508">
            <w:pPr>
              <w:pStyle w:val="TableText"/>
              <w:jc w:val="center"/>
              <w:rPr>
                <w:sz w:val="20"/>
              </w:rPr>
            </w:pPr>
            <w:r>
              <w:rPr>
                <w:sz w:val="20"/>
              </w:rPr>
              <w:t>4</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12</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2</w:t>
            </w:r>
            <w:r>
              <w:rPr>
                <w:position w:val="4"/>
                <w:sz w:val="16"/>
              </w:rPr>
              <w:t>1</w:t>
            </w:r>
            <w:r>
              <w:rPr>
                <w:sz w:val="20"/>
              </w:rPr>
              <w:t>/</w:t>
            </w:r>
            <w:r>
              <w:rPr>
                <w:sz w:val="16"/>
              </w:rPr>
              <w:t>4</w:t>
            </w:r>
          </w:p>
        </w:tc>
        <w:tc>
          <w:tcPr>
            <w:tcW w:w="924" w:type="dxa"/>
            <w:gridSpan w:val="2"/>
            <w:tcBorders>
              <w:right w:val="single" w:sz="6" w:space="0" w:color="auto"/>
            </w:tcBorders>
          </w:tcPr>
          <w:p w:rsidR="00AF2508" w:rsidRDefault="00AF2508">
            <w:pPr>
              <w:pStyle w:val="TableText"/>
              <w:jc w:val="center"/>
              <w:rPr>
                <w:sz w:val="20"/>
              </w:rPr>
            </w:pPr>
            <w:r>
              <w:rPr>
                <w:position w:val="4"/>
                <w:sz w:val="16"/>
              </w:rPr>
              <w:t>23</w:t>
            </w:r>
            <w:r>
              <w:rPr>
                <w:sz w:val="20"/>
              </w:rPr>
              <w:t>/</w:t>
            </w:r>
            <w:r>
              <w:rPr>
                <w:sz w:val="16"/>
              </w:rPr>
              <w:t>32</w:t>
            </w:r>
            <w:r>
              <w:rPr>
                <w:sz w:val="20"/>
              </w:rPr>
              <w:t xml:space="preserve"> </w:t>
            </w:r>
          </w:p>
        </w:tc>
        <w:tc>
          <w:tcPr>
            <w:tcW w:w="660" w:type="dxa"/>
            <w:gridSpan w:val="2"/>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7</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tcPr>
          <w:p w:rsidR="00AF2508" w:rsidRDefault="00AF2508">
            <w:pPr>
              <w:pStyle w:val="TableText"/>
              <w:jc w:val="center"/>
              <w:rPr>
                <w:sz w:val="20"/>
              </w:rPr>
            </w:pPr>
            <w:r>
              <w:rPr>
                <w:sz w:val="20"/>
              </w:rPr>
              <w:t>12</w:t>
            </w:r>
          </w:p>
        </w:tc>
        <w:tc>
          <w:tcPr>
            <w:tcW w:w="764" w:type="dxa"/>
            <w:tcBorders>
              <w:left w:val="single" w:sz="6" w:space="0" w:color="auto"/>
            </w:tcBorders>
          </w:tcPr>
          <w:p w:rsidR="00AF2508" w:rsidRDefault="00AF2508">
            <w:pPr>
              <w:pStyle w:val="TableText"/>
              <w:jc w:val="center"/>
              <w:rPr>
                <w:sz w:val="20"/>
              </w:rPr>
            </w:pPr>
            <w:r>
              <w:rPr>
                <w:sz w:val="20"/>
              </w:rPr>
              <w:t>2</w:t>
            </w:r>
          </w:p>
        </w:tc>
        <w:tc>
          <w:tcPr>
            <w:tcW w:w="844" w:type="dxa"/>
          </w:tcPr>
          <w:p w:rsidR="00AF2508" w:rsidRDefault="00AF2508">
            <w:pPr>
              <w:pStyle w:val="TableText"/>
              <w:jc w:val="center"/>
              <w:rPr>
                <w:sz w:val="20"/>
              </w:rPr>
            </w:pPr>
            <w:r>
              <w:rPr>
                <w:sz w:val="20"/>
              </w:rPr>
              <w:t>7</w:t>
            </w:r>
          </w:p>
        </w:tc>
        <w:tc>
          <w:tcPr>
            <w:tcW w:w="756" w:type="dxa"/>
            <w:tcBorders>
              <w:left w:val="single" w:sz="6" w:space="0" w:color="auto"/>
            </w:tcBorders>
          </w:tcPr>
          <w:p w:rsidR="00AF2508" w:rsidRDefault="00AF2508">
            <w:pPr>
              <w:pStyle w:val="TableText"/>
              <w:jc w:val="center"/>
              <w:rPr>
                <w:sz w:val="20"/>
              </w:rPr>
            </w:pPr>
            <w:r>
              <w:rPr>
                <w:sz w:val="20"/>
              </w:rPr>
              <w:t>1</w:t>
            </w:r>
          </w:p>
        </w:tc>
        <w:tc>
          <w:tcPr>
            <w:tcW w:w="804" w:type="dxa"/>
          </w:tcPr>
          <w:p w:rsidR="00AF2508" w:rsidRDefault="00AF2508">
            <w:pPr>
              <w:pStyle w:val="TableText"/>
              <w:jc w:val="center"/>
              <w:rPr>
                <w:sz w:val="20"/>
              </w:rPr>
            </w:pPr>
            <w:r>
              <w:rPr>
                <w:sz w:val="20"/>
              </w:rPr>
              <w:t>18</w:t>
            </w:r>
          </w:p>
        </w:tc>
        <w:tc>
          <w:tcPr>
            <w:tcW w:w="742" w:type="dxa"/>
            <w:tcBorders>
              <w:left w:val="single" w:sz="6" w:space="0" w:color="auto"/>
            </w:tcBorders>
          </w:tcPr>
          <w:p w:rsidR="00AF2508" w:rsidRDefault="00AF2508">
            <w:pPr>
              <w:pStyle w:val="TableText"/>
              <w:jc w:val="center"/>
              <w:rPr>
                <w:sz w:val="20"/>
              </w:rPr>
            </w:pPr>
            <w:r>
              <w:rPr>
                <w:sz w:val="20"/>
              </w:rPr>
              <w:t>1</w:t>
            </w:r>
          </w:p>
        </w:tc>
        <w:tc>
          <w:tcPr>
            <w:tcW w:w="770" w:type="dxa"/>
            <w:tcBorders>
              <w:right w:val="single" w:sz="6" w:space="0" w:color="auto"/>
            </w:tcBorders>
          </w:tcPr>
          <w:p w:rsidR="00AF2508" w:rsidRDefault="00AF2508">
            <w:pPr>
              <w:pStyle w:val="TableText"/>
              <w:jc w:val="center"/>
              <w:rPr>
                <w:sz w:val="20"/>
              </w:rPr>
            </w:pPr>
            <w:r>
              <w:rPr>
                <w:sz w:val="20"/>
              </w:rPr>
              <w:t>7</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14</w:t>
            </w:r>
          </w:p>
        </w:tc>
      </w:tr>
      <w:tr w:rsidR="00AF2508">
        <w:trPr>
          <w:gridAfter w:val="1"/>
          <w:wAfter w:w="12" w:type="dxa"/>
          <w:cantSplit/>
          <w:trHeight w:val="200"/>
        </w:trPr>
        <w:tc>
          <w:tcPr>
            <w:tcW w:w="992" w:type="dxa"/>
            <w:gridSpan w:val="2"/>
            <w:tcBorders>
              <w:right w:val="single" w:sz="6" w:space="0" w:color="auto"/>
            </w:tcBorders>
          </w:tcPr>
          <w:p w:rsidR="00AF2508" w:rsidRDefault="00AF2508">
            <w:pPr>
              <w:pStyle w:val="TableText"/>
              <w:jc w:val="center"/>
              <w:rPr>
                <w:sz w:val="20"/>
              </w:rPr>
            </w:pPr>
            <w:r>
              <w:rPr>
                <w:sz w:val="20"/>
              </w:rPr>
              <w:t>2</w:t>
            </w:r>
            <w:r>
              <w:rPr>
                <w:position w:val="4"/>
                <w:sz w:val="16"/>
              </w:rPr>
              <w:t>3</w:t>
            </w:r>
            <w:r>
              <w:rPr>
                <w:sz w:val="20"/>
              </w:rPr>
              <w:t>/</w:t>
            </w:r>
            <w:r>
              <w:rPr>
                <w:sz w:val="16"/>
              </w:rPr>
              <w:t>8</w:t>
            </w:r>
          </w:p>
        </w:tc>
        <w:tc>
          <w:tcPr>
            <w:tcW w:w="924" w:type="dxa"/>
            <w:gridSpan w:val="2"/>
            <w:tcBorders>
              <w:right w:val="single" w:sz="6" w:space="0" w:color="auto"/>
            </w:tcBorders>
          </w:tcPr>
          <w:p w:rsidR="00AF2508" w:rsidRDefault="00AF2508">
            <w:pPr>
              <w:pStyle w:val="TableText"/>
              <w:jc w:val="center"/>
              <w:rPr>
                <w:sz w:val="20"/>
              </w:rPr>
            </w:pPr>
            <w:r>
              <w:rPr>
                <w:position w:val="4"/>
                <w:sz w:val="16"/>
              </w:rPr>
              <w:t>3</w:t>
            </w:r>
            <w:r>
              <w:rPr>
                <w:sz w:val="20"/>
              </w:rPr>
              <w:t>/</w:t>
            </w:r>
            <w:r>
              <w:rPr>
                <w:sz w:val="16"/>
              </w:rPr>
              <w:t>4</w:t>
            </w:r>
            <w:r>
              <w:rPr>
                <w:sz w:val="20"/>
              </w:rPr>
              <w:t xml:space="preserve"> </w:t>
            </w:r>
          </w:p>
        </w:tc>
        <w:tc>
          <w:tcPr>
            <w:tcW w:w="660" w:type="dxa"/>
            <w:gridSpan w:val="2"/>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10</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tcPr>
          <w:p w:rsidR="00AF2508" w:rsidRDefault="00AF2508">
            <w:pPr>
              <w:pStyle w:val="TableText"/>
              <w:jc w:val="center"/>
              <w:rPr>
                <w:sz w:val="20"/>
              </w:rPr>
            </w:pPr>
            <w:r>
              <w:rPr>
                <w:sz w:val="20"/>
              </w:rPr>
              <w:t>18</w:t>
            </w:r>
          </w:p>
        </w:tc>
        <w:tc>
          <w:tcPr>
            <w:tcW w:w="764" w:type="dxa"/>
            <w:tcBorders>
              <w:left w:val="single" w:sz="6" w:space="0" w:color="auto"/>
            </w:tcBorders>
          </w:tcPr>
          <w:p w:rsidR="00AF2508" w:rsidRDefault="00AF2508">
            <w:pPr>
              <w:pStyle w:val="TableText"/>
              <w:jc w:val="center"/>
              <w:rPr>
                <w:sz w:val="20"/>
              </w:rPr>
            </w:pPr>
            <w:r>
              <w:rPr>
                <w:sz w:val="20"/>
              </w:rPr>
              <w:t>2</w:t>
            </w:r>
          </w:p>
        </w:tc>
        <w:tc>
          <w:tcPr>
            <w:tcW w:w="844" w:type="dxa"/>
          </w:tcPr>
          <w:p w:rsidR="00AF2508" w:rsidRDefault="00AF2508">
            <w:pPr>
              <w:pStyle w:val="TableText"/>
              <w:jc w:val="center"/>
              <w:rPr>
                <w:sz w:val="20"/>
              </w:rPr>
            </w:pPr>
            <w:r>
              <w:rPr>
                <w:sz w:val="20"/>
              </w:rPr>
              <w:t>12</w:t>
            </w:r>
          </w:p>
        </w:tc>
        <w:tc>
          <w:tcPr>
            <w:tcW w:w="756" w:type="dxa"/>
            <w:tcBorders>
              <w:left w:val="single" w:sz="6" w:space="0" w:color="auto"/>
            </w:tcBorders>
          </w:tcPr>
          <w:p w:rsidR="00AF2508" w:rsidRDefault="00AF2508">
            <w:pPr>
              <w:pStyle w:val="TableText"/>
              <w:jc w:val="center"/>
              <w:rPr>
                <w:sz w:val="20"/>
              </w:rPr>
            </w:pPr>
            <w:r>
              <w:rPr>
                <w:sz w:val="20"/>
              </w:rPr>
              <w:t>2</w:t>
            </w:r>
          </w:p>
        </w:tc>
        <w:tc>
          <w:tcPr>
            <w:tcW w:w="804" w:type="dxa"/>
          </w:tcPr>
          <w:p w:rsidR="00AF2508" w:rsidRDefault="00AF2508">
            <w:pPr>
              <w:pStyle w:val="TableText"/>
              <w:jc w:val="center"/>
              <w:rPr>
                <w:sz w:val="20"/>
              </w:rPr>
            </w:pPr>
            <w:r>
              <w:rPr>
                <w:sz w:val="20"/>
              </w:rPr>
              <w:t>2</w:t>
            </w:r>
          </w:p>
        </w:tc>
        <w:tc>
          <w:tcPr>
            <w:tcW w:w="742" w:type="dxa"/>
            <w:tcBorders>
              <w:left w:val="single" w:sz="6" w:space="0" w:color="auto"/>
            </w:tcBorders>
          </w:tcPr>
          <w:p w:rsidR="00AF2508" w:rsidRDefault="00AF2508">
            <w:pPr>
              <w:pStyle w:val="TableText"/>
              <w:jc w:val="center"/>
              <w:rPr>
                <w:sz w:val="20"/>
              </w:rPr>
            </w:pPr>
            <w:r>
              <w:rPr>
                <w:sz w:val="20"/>
              </w:rPr>
              <w:t>1</w:t>
            </w:r>
          </w:p>
        </w:tc>
        <w:tc>
          <w:tcPr>
            <w:tcW w:w="770" w:type="dxa"/>
            <w:tcBorders>
              <w:right w:val="single" w:sz="6" w:space="0" w:color="auto"/>
            </w:tcBorders>
          </w:tcPr>
          <w:p w:rsidR="00AF2508" w:rsidRDefault="00AF2508">
            <w:pPr>
              <w:pStyle w:val="TableText"/>
              <w:jc w:val="center"/>
              <w:rPr>
                <w:sz w:val="20"/>
              </w:rPr>
            </w:pPr>
            <w:r>
              <w:rPr>
                <w:sz w:val="20"/>
              </w:rPr>
              <w:t>10</w:t>
            </w:r>
          </w:p>
        </w:tc>
        <w:tc>
          <w:tcPr>
            <w:tcW w:w="790" w:type="dxa"/>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15</w:t>
            </w:r>
            <w:r>
              <w:rPr>
                <w:position w:val="4"/>
                <w:sz w:val="16"/>
              </w:rPr>
              <w:t>1</w:t>
            </w:r>
            <w:r>
              <w:rPr>
                <w:sz w:val="20"/>
              </w:rPr>
              <w:t>/</w:t>
            </w:r>
            <w:r>
              <w:rPr>
                <w:sz w:val="16"/>
              </w:rPr>
              <w:t>2</w:t>
            </w:r>
          </w:p>
        </w:tc>
      </w:tr>
      <w:tr w:rsidR="00AF2508">
        <w:trPr>
          <w:gridAfter w:val="1"/>
          <w:wAfter w:w="12" w:type="dxa"/>
          <w:cantSplit/>
          <w:trHeight w:val="200"/>
        </w:trPr>
        <w:tc>
          <w:tcPr>
            <w:tcW w:w="992" w:type="dxa"/>
            <w:gridSpan w:val="2"/>
            <w:tcBorders>
              <w:bottom w:val="single" w:sz="6" w:space="0" w:color="auto"/>
              <w:right w:val="single" w:sz="6" w:space="0" w:color="auto"/>
            </w:tcBorders>
          </w:tcPr>
          <w:p w:rsidR="00AF2508" w:rsidRDefault="00AF2508">
            <w:pPr>
              <w:pStyle w:val="TableText"/>
              <w:jc w:val="center"/>
              <w:rPr>
                <w:sz w:val="20"/>
              </w:rPr>
            </w:pPr>
            <w:r>
              <w:rPr>
                <w:sz w:val="20"/>
              </w:rPr>
              <w:t>2</w:t>
            </w:r>
            <w:r>
              <w:rPr>
                <w:position w:val="4"/>
                <w:sz w:val="16"/>
              </w:rPr>
              <w:t>1</w:t>
            </w:r>
            <w:r>
              <w:rPr>
                <w:sz w:val="20"/>
              </w:rPr>
              <w:t>/</w:t>
            </w:r>
            <w:r>
              <w:rPr>
                <w:sz w:val="16"/>
              </w:rPr>
              <w:t>2</w:t>
            </w:r>
          </w:p>
        </w:tc>
        <w:tc>
          <w:tcPr>
            <w:tcW w:w="924" w:type="dxa"/>
            <w:gridSpan w:val="2"/>
            <w:tcBorders>
              <w:bottom w:val="single" w:sz="6" w:space="0" w:color="auto"/>
              <w:right w:val="single" w:sz="6" w:space="0" w:color="auto"/>
            </w:tcBorders>
          </w:tcPr>
          <w:p w:rsidR="00AF2508" w:rsidRDefault="00AF2508">
            <w:pPr>
              <w:pStyle w:val="TableText"/>
              <w:jc w:val="center"/>
              <w:rPr>
                <w:sz w:val="20"/>
              </w:rPr>
            </w:pPr>
            <w:r>
              <w:rPr>
                <w:position w:val="4"/>
                <w:sz w:val="16"/>
              </w:rPr>
              <w:t>13</w:t>
            </w:r>
            <w:r>
              <w:rPr>
                <w:sz w:val="20"/>
              </w:rPr>
              <w:t>/</w:t>
            </w:r>
            <w:r>
              <w:rPr>
                <w:sz w:val="16"/>
              </w:rPr>
              <w:t>16</w:t>
            </w:r>
            <w:r>
              <w:rPr>
                <w:sz w:val="20"/>
              </w:rPr>
              <w:t xml:space="preserve"> </w:t>
            </w:r>
          </w:p>
        </w:tc>
        <w:tc>
          <w:tcPr>
            <w:tcW w:w="660" w:type="dxa"/>
            <w:gridSpan w:val="2"/>
            <w:tcBorders>
              <w:bottom w:val="single" w:sz="6" w:space="0" w:color="auto"/>
            </w:tcBorders>
          </w:tcPr>
          <w:p w:rsidR="00AF2508" w:rsidRDefault="00AF2508">
            <w:pPr>
              <w:pStyle w:val="TableText"/>
              <w:jc w:val="center"/>
              <w:rPr>
                <w:sz w:val="20"/>
              </w:rPr>
            </w:pPr>
            <w:r>
              <w:rPr>
                <w:sz w:val="20"/>
              </w:rPr>
              <w:t>1</w:t>
            </w:r>
          </w:p>
        </w:tc>
        <w:tc>
          <w:tcPr>
            <w:tcW w:w="840" w:type="dxa"/>
            <w:tcBorders>
              <w:bottom w:val="single" w:sz="6" w:space="0" w:color="auto"/>
            </w:tcBorders>
          </w:tcPr>
          <w:p w:rsidR="00AF2508" w:rsidRDefault="00AF2508">
            <w:pPr>
              <w:pStyle w:val="TableText"/>
              <w:jc w:val="center"/>
              <w:rPr>
                <w:sz w:val="20"/>
              </w:rPr>
            </w:pPr>
            <w:r>
              <w:rPr>
                <w:sz w:val="20"/>
              </w:rPr>
              <w:t>13</w:t>
            </w:r>
          </w:p>
        </w:tc>
        <w:tc>
          <w:tcPr>
            <w:tcW w:w="600" w:type="dxa"/>
            <w:tcBorders>
              <w:left w:val="single" w:sz="6" w:space="0" w:color="auto"/>
              <w:bottom w:val="single" w:sz="6" w:space="0" w:color="auto"/>
            </w:tcBorders>
          </w:tcPr>
          <w:p w:rsidR="00AF2508" w:rsidRDefault="00AF2508">
            <w:pPr>
              <w:pStyle w:val="TableText"/>
              <w:jc w:val="center"/>
              <w:rPr>
                <w:sz w:val="20"/>
              </w:rPr>
            </w:pPr>
            <w:r>
              <w:rPr>
                <w:sz w:val="20"/>
              </w:rPr>
              <w:t>3</w:t>
            </w:r>
          </w:p>
        </w:tc>
        <w:tc>
          <w:tcPr>
            <w:tcW w:w="720" w:type="dxa"/>
            <w:tcBorders>
              <w:bottom w:val="single" w:sz="6" w:space="0" w:color="auto"/>
            </w:tcBorders>
          </w:tcPr>
          <w:p w:rsidR="00AF2508" w:rsidRDefault="00AF2508">
            <w:pPr>
              <w:pStyle w:val="TableText"/>
              <w:jc w:val="center"/>
              <w:rPr>
                <w:sz w:val="20"/>
              </w:rPr>
            </w:pPr>
            <w:r>
              <w:rPr>
                <w:sz w:val="20"/>
              </w:rPr>
              <w:t>4</w:t>
            </w:r>
          </w:p>
        </w:tc>
        <w:tc>
          <w:tcPr>
            <w:tcW w:w="764" w:type="dxa"/>
            <w:tcBorders>
              <w:left w:val="single" w:sz="6" w:space="0" w:color="auto"/>
              <w:bottom w:val="single" w:sz="6" w:space="0" w:color="auto"/>
            </w:tcBorders>
          </w:tcPr>
          <w:p w:rsidR="00AF2508" w:rsidRDefault="00AF2508">
            <w:pPr>
              <w:pStyle w:val="TableText"/>
              <w:jc w:val="center"/>
              <w:rPr>
                <w:sz w:val="20"/>
              </w:rPr>
            </w:pPr>
            <w:r>
              <w:rPr>
                <w:sz w:val="20"/>
              </w:rPr>
              <w:t>2</w:t>
            </w:r>
          </w:p>
        </w:tc>
        <w:tc>
          <w:tcPr>
            <w:tcW w:w="844" w:type="dxa"/>
            <w:tcBorders>
              <w:bottom w:val="single" w:sz="6" w:space="0" w:color="auto"/>
            </w:tcBorders>
          </w:tcPr>
          <w:p w:rsidR="00AF2508" w:rsidRDefault="00AF2508">
            <w:pPr>
              <w:pStyle w:val="TableText"/>
              <w:jc w:val="center"/>
              <w:rPr>
                <w:sz w:val="20"/>
              </w:rPr>
            </w:pPr>
            <w:r>
              <w:rPr>
                <w:sz w:val="20"/>
              </w:rPr>
              <w:t>17</w:t>
            </w:r>
          </w:p>
        </w:tc>
        <w:tc>
          <w:tcPr>
            <w:tcW w:w="756" w:type="dxa"/>
            <w:tcBorders>
              <w:left w:val="single" w:sz="6" w:space="0" w:color="auto"/>
              <w:bottom w:val="single" w:sz="6" w:space="0" w:color="auto"/>
            </w:tcBorders>
          </w:tcPr>
          <w:p w:rsidR="00AF2508" w:rsidRDefault="00AF2508">
            <w:pPr>
              <w:pStyle w:val="TableText"/>
              <w:jc w:val="center"/>
              <w:rPr>
                <w:sz w:val="20"/>
              </w:rPr>
            </w:pPr>
            <w:r>
              <w:rPr>
                <w:sz w:val="20"/>
              </w:rPr>
              <w:t>2</w:t>
            </w:r>
          </w:p>
        </w:tc>
        <w:tc>
          <w:tcPr>
            <w:tcW w:w="804" w:type="dxa"/>
            <w:tcBorders>
              <w:bottom w:val="single" w:sz="6" w:space="0" w:color="auto"/>
            </w:tcBorders>
          </w:tcPr>
          <w:p w:rsidR="00AF2508" w:rsidRDefault="00AF2508">
            <w:pPr>
              <w:pStyle w:val="TableText"/>
              <w:jc w:val="center"/>
              <w:rPr>
                <w:sz w:val="20"/>
              </w:rPr>
            </w:pPr>
            <w:r>
              <w:rPr>
                <w:sz w:val="20"/>
              </w:rPr>
              <w:t>7</w:t>
            </w:r>
          </w:p>
        </w:tc>
        <w:tc>
          <w:tcPr>
            <w:tcW w:w="742" w:type="dxa"/>
            <w:tcBorders>
              <w:left w:val="single" w:sz="6" w:space="0" w:color="auto"/>
              <w:bottom w:val="single" w:sz="6" w:space="0" w:color="auto"/>
            </w:tcBorders>
          </w:tcPr>
          <w:p w:rsidR="00AF2508" w:rsidRDefault="00AF2508">
            <w:pPr>
              <w:pStyle w:val="TableText"/>
              <w:jc w:val="center"/>
              <w:rPr>
                <w:sz w:val="20"/>
              </w:rPr>
            </w:pPr>
            <w:r>
              <w:rPr>
                <w:sz w:val="20"/>
              </w:rPr>
              <w:t>1</w:t>
            </w:r>
          </w:p>
        </w:tc>
        <w:tc>
          <w:tcPr>
            <w:tcW w:w="770" w:type="dxa"/>
            <w:tcBorders>
              <w:bottom w:val="single" w:sz="6" w:space="0" w:color="auto"/>
              <w:right w:val="single" w:sz="6" w:space="0" w:color="auto"/>
            </w:tcBorders>
          </w:tcPr>
          <w:p w:rsidR="00AF2508" w:rsidRDefault="00AF2508">
            <w:pPr>
              <w:pStyle w:val="TableText"/>
              <w:jc w:val="center"/>
              <w:rPr>
                <w:sz w:val="20"/>
              </w:rPr>
            </w:pPr>
            <w:r>
              <w:rPr>
                <w:sz w:val="20"/>
              </w:rPr>
              <w:t>13</w:t>
            </w:r>
          </w:p>
        </w:tc>
        <w:tc>
          <w:tcPr>
            <w:tcW w:w="790" w:type="dxa"/>
            <w:tcBorders>
              <w:bottom w:val="single" w:sz="6" w:space="0" w:color="auto"/>
            </w:tcBorders>
          </w:tcPr>
          <w:p w:rsidR="00AF2508" w:rsidRDefault="00AF2508">
            <w:pPr>
              <w:pStyle w:val="TableText"/>
              <w:jc w:val="center"/>
              <w:rPr>
                <w:sz w:val="20"/>
              </w:rPr>
            </w:pPr>
            <w:r>
              <w:rPr>
                <w:sz w:val="20"/>
              </w:rPr>
              <w:t>0</w:t>
            </w:r>
          </w:p>
        </w:tc>
        <w:tc>
          <w:tcPr>
            <w:tcW w:w="662" w:type="dxa"/>
            <w:gridSpan w:val="2"/>
            <w:tcBorders>
              <w:bottom w:val="single" w:sz="6" w:space="0" w:color="auto"/>
            </w:tcBorders>
          </w:tcPr>
          <w:p w:rsidR="00AF2508" w:rsidRDefault="00AF2508">
            <w:pPr>
              <w:pStyle w:val="TableText"/>
              <w:jc w:val="center"/>
              <w:rPr>
                <w:sz w:val="20"/>
              </w:rPr>
            </w:pPr>
            <w:r>
              <w:rPr>
                <w:sz w:val="20"/>
              </w:rPr>
              <w:t>17</w:t>
            </w:r>
          </w:p>
        </w:tc>
      </w:tr>
    </w:tbl>
    <w:p w:rsidR="00AF2508" w:rsidRDefault="00AF2508"/>
    <w:p w:rsidR="00AF2508" w:rsidRDefault="00AF2508">
      <w:pPr>
        <w:pStyle w:val="TableHd"/>
      </w:pPr>
      <w:r>
        <w:t>Maximum safe working load for steel wire rope—Classification 1</w:t>
      </w:r>
    </w:p>
    <w:p w:rsidR="00AF2508" w:rsidRDefault="00AF2508">
      <w:pPr>
        <w:pStyle w:val="TableHd"/>
        <w:ind w:left="0" w:firstLine="0"/>
      </w:pPr>
      <w:r>
        <w:t>Minimum ultimate tensile value of steel of which rope is constructed = 80 tons per square inch</w:t>
      </w:r>
      <w:r>
        <w:br/>
        <w:t>construction:  Six strands each containing nineteen wires</w:t>
      </w:r>
    </w:p>
    <w:tbl>
      <w:tblPr>
        <w:tblW w:w="0" w:type="auto"/>
        <w:tblLayout w:type="fixed"/>
        <w:tblCellMar>
          <w:left w:w="80" w:type="dxa"/>
          <w:right w:w="80" w:type="dxa"/>
        </w:tblCellMar>
        <w:tblLook w:val="0000" w:firstRow="0" w:lastRow="0" w:firstColumn="0" w:lastColumn="0" w:noHBand="0" w:noVBand="0"/>
      </w:tblPr>
      <w:tblGrid>
        <w:gridCol w:w="968"/>
        <w:gridCol w:w="16"/>
        <w:gridCol w:w="924"/>
        <w:gridCol w:w="8"/>
        <w:gridCol w:w="571"/>
        <w:gridCol w:w="93"/>
        <w:gridCol w:w="840"/>
        <w:gridCol w:w="12"/>
        <w:gridCol w:w="12"/>
        <w:gridCol w:w="576"/>
        <w:gridCol w:w="12"/>
        <w:gridCol w:w="708"/>
        <w:gridCol w:w="764"/>
        <w:gridCol w:w="844"/>
        <w:gridCol w:w="24"/>
        <w:gridCol w:w="732"/>
        <w:gridCol w:w="768"/>
        <w:gridCol w:w="18"/>
        <w:gridCol w:w="18"/>
        <w:gridCol w:w="742"/>
        <w:gridCol w:w="760"/>
        <w:gridCol w:w="18"/>
        <w:gridCol w:w="790"/>
        <w:gridCol w:w="654"/>
        <w:gridCol w:w="24"/>
      </w:tblGrid>
      <w:tr w:rsidR="00AF2508">
        <w:trPr>
          <w:gridAfter w:val="1"/>
          <w:wAfter w:w="24" w:type="dxa"/>
          <w:cantSplit/>
          <w:tblHeader/>
        </w:trPr>
        <w:tc>
          <w:tcPr>
            <w:tcW w:w="984" w:type="dxa"/>
            <w:gridSpan w:val="2"/>
            <w:tcBorders>
              <w:top w:val="single" w:sz="6" w:space="0" w:color="auto"/>
              <w:right w:val="single" w:sz="6" w:space="0" w:color="auto"/>
            </w:tcBorders>
          </w:tcPr>
          <w:p w:rsidR="00AF2508" w:rsidRDefault="00AF2508">
            <w:pPr>
              <w:pStyle w:val="TableColHd"/>
              <w:jc w:val="center"/>
            </w:pPr>
          </w:p>
        </w:tc>
        <w:tc>
          <w:tcPr>
            <w:tcW w:w="924" w:type="dxa"/>
            <w:tcBorders>
              <w:top w:val="single" w:sz="6" w:space="0" w:color="auto"/>
              <w:right w:val="single" w:sz="6" w:space="0" w:color="auto"/>
            </w:tcBorders>
          </w:tcPr>
          <w:p w:rsidR="00AF2508" w:rsidRDefault="00AF2508">
            <w:pPr>
              <w:pStyle w:val="TableColHd"/>
              <w:jc w:val="center"/>
            </w:pPr>
          </w:p>
        </w:tc>
        <w:tc>
          <w:tcPr>
            <w:tcW w:w="579" w:type="dxa"/>
            <w:gridSpan w:val="2"/>
            <w:tcBorders>
              <w:top w:val="single" w:sz="6" w:space="0" w:color="auto"/>
            </w:tcBorders>
          </w:tcPr>
          <w:p w:rsidR="00AF2508" w:rsidRDefault="00AF2508">
            <w:pPr>
              <w:pStyle w:val="TableColHd"/>
              <w:jc w:val="center"/>
            </w:pPr>
          </w:p>
        </w:tc>
        <w:tc>
          <w:tcPr>
            <w:tcW w:w="933" w:type="dxa"/>
            <w:gridSpan w:val="2"/>
            <w:tcBorders>
              <w:top w:val="single" w:sz="6" w:space="0" w:color="auto"/>
            </w:tcBorders>
          </w:tcPr>
          <w:p w:rsidR="00AF2508" w:rsidRDefault="00AF2508">
            <w:pPr>
              <w:pStyle w:val="TableColHd"/>
              <w:jc w:val="center"/>
            </w:pPr>
          </w:p>
        </w:tc>
        <w:tc>
          <w:tcPr>
            <w:tcW w:w="7436" w:type="dxa"/>
            <w:gridSpan w:val="17"/>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cantSplit/>
          <w:tblHeader/>
        </w:trPr>
        <w:tc>
          <w:tcPr>
            <w:tcW w:w="984" w:type="dxa"/>
            <w:gridSpan w:val="2"/>
            <w:tcBorders>
              <w:right w:val="single" w:sz="6" w:space="0" w:color="auto"/>
            </w:tcBorders>
            <w:vAlign w:val="bottom"/>
          </w:tcPr>
          <w:p w:rsidR="00AF2508" w:rsidRDefault="00AF2508">
            <w:pPr>
              <w:pStyle w:val="TableColHd"/>
            </w:pPr>
            <w:r>
              <w:t>circum-</w:t>
            </w:r>
            <w:r>
              <w:br/>
              <w:t>ference</w:t>
            </w:r>
            <w:r>
              <w:br/>
              <w:t>of rope</w:t>
            </w:r>
          </w:p>
        </w:tc>
        <w:tc>
          <w:tcPr>
            <w:tcW w:w="924" w:type="dxa"/>
            <w:tcBorders>
              <w:right w:val="single" w:sz="6" w:space="0" w:color="auto"/>
            </w:tcBorders>
            <w:vAlign w:val="bottom"/>
          </w:tcPr>
          <w:p w:rsidR="00AF2508" w:rsidRDefault="00AF2508">
            <w:pPr>
              <w:pStyle w:val="TableColHd"/>
            </w:pPr>
            <w:r>
              <w:t>approx.</w:t>
            </w:r>
            <w:r>
              <w:br/>
              <w:t>diameter</w:t>
            </w:r>
            <w:r>
              <w:br/>
              <w:t>of rope</w:t>
            </w:r>
          </w:p>
        </w:tc>
        <w:tc>
          <w:tcPr>
            <w:tcW w:w="1512" w:type="dxa"/>
            <w:gridSpan w:val="4"/>
            <w:vAlign w:val="bottom"/>
          </w:tcPr>
          <w:p w:rsidR="00AF2508" w:rsidRDefault="00AF2508">
            <w:pPr>
              <w:pStyle w:val="TableColHd"/>
            </w:pPr>
            <w:r>
              <w:t>safe load for 1 single fall (part) of rope</w:t>
            </w:r>
          </w:p>
        </w:tc>
        <w:tc>
          <w:tcPr>
            <w:tcW w:w="1320" w:type="dxa"/>
            <w:gridSpan w:val="5"/>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00"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60" w:type="dxa"/>
            <w:gridSpan w:val="5"/>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20" w:type="dxa"/>
            <w:gridSpan w:val="3"/>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60" w:type="dxa"/>
            <w:gridSpan w:val="3"/>
          </w:tcPr>
          <w:p w:rsidR="00AF2508" w:rsidRDefault="00136775">
            <w:pPr>
              <w:rPr>
                <w:color w:val="000000"/>
                <w:sz w:val="18"/>
              </w:rPr>
            </w:pPr>
            <w:r>
              <w:rPr>
                <w:noProof/>
                <w:color w:val="000000"/>
                <w:sz w:val="20"/>
                <w:lang w:eastAsia="en-AU"/>
              </w:rPr>
              <w:drawing>
                <wp:inline distT="0" distB="0" distL="0" distR="0">
                  <wp:extent cx="790575" cy="523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gridAfter w:val="1"/>
          <w:wAfter w:w="20"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3"/>
            <w:tcBorders>
              <w:top w:val="single" w:sz="6" w:space="0" w:color="auto"/>
              <w:bottom w:val="single" w:sz="6" w:space="0" w:color="auto"/>
            </w:tcBorders>
            <w:vAlign w:val="bottom"/>
          </w:tcPr>
          <w:p w:rsidR="00AF2508" w:rsidRDefault="00AF2508">
            <w:pPr>
              <w:pStyle w:val="TableColHd"/>
              <w:spacing w:after="0"/>
              <w:jc w:val="center"/>
            </w:pPr>
            <w:r>
              <w:t>tons</w:t>
            </w:r>
          </w:p>
        </w:tc>
        <w:tc>
          <w:tcPr>
            <w:tcW w:w="84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600" w:type="dxa"/>
            <w:gridSpan w:val="3"/>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16"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44"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56"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68"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78" w:type="dxa"/>
            <w:gridSpan w:val="3"/>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70"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790"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68" w:type="dxa"/>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948" w:type="dxa"/>
            <w:gridSpan w:val="3"/>
            <w:tcBorders>
              <w:top w:val="single" w:sz="6" w:space="0" w:color="auto"/>
              <w:right w:val="single" w:sz="6" w:space="0" w:color="auto"/>
            </w:tcBorders>
          </w:tcPr>
          <w:p w:rsidR="00AF2508" w:rsidRDefault="00AF2508">
            <w:pPr>
              <w:pStyle w:val="TableText"/>
              <w:jc w:val="center"/>
              <w:rPr>
                <w:sz w:val="20"/>
              </w:rPr>
            </w:pPr>
            <w:r>
              <w:rPr>
                <w:position w:val="4"/>
                <w:sz w:val="20"/>
              </w:rPr>
              <w:t>3</w:t>
            </w:r>
            <w:r>
              <w:rPr>
                <w:sz w:val="20"/>
              </w:rPr>
              <w:t xml:space="preserve">/16 </w:t>
            </w:r>
          </w:p>
        </w:tc>
        <w:tc>
          <w:tcPr>
            <w:tcW w:w="660" w:type="dxa"/>
            <w:gridSpan w:val="2"/>
            <w:tcBorders>
              <w:top w:val="single" w:sz="6" w:space="0" w:color="auto"/>
            </w:tcBorders>
          </w:tcPr>
          <w:p w:rsidR="00AF2508" w:rsidRDefault="00AF2508">
            <w:pPr>
              <w:pStyle w:val="TableText"/>
              <w:jc w:val="center"/>
              <w:rPr>
                <w:sz w:val="20"/>
              </w:rPr>
            </w:pPr>
            <w:r>
              <w:rPr>
                <w:sz w:val="20"/>
              </w:rPr>
              <w:t>0</w:t>
            </w:r>
          </w:p>
        </w:tc>
        <w:tc>
          <w:tcPr>
            <w:tcW w:w="852" w:type="dxa"/>
            <w:gridSpan w:val="2"/>
            <w:tcBorders>
              <w:top w:val="single" w:sz="6" w:space="0" w:color="auto"/>
            </w:tcBorders>
          </w:tcPr>
          <w:p w:rsidR="00AF2508" w:rsidRDefault="00AF2508">
            <w:pPr>
              <w:pStyle w:val="TableText"/>
              <w:jc w:val="center"/>
              <w:rPr>
                <w:sz w:val="20"/>
              </w:rPr>
            </w:pPr>
            <w:r>
              <w:rPr>
                <w:sz w:val="20"/>
              </w:rPr>
              <w:t>3</w:t>
            </w:r>
            <w:r>
              <w:rPr>
                <w:position w:val="4"/>
                <w:sz w:val="20"/>
              </w:rPr>
              <w:t>1</w:t>
            </w:r>
            <w:r>
              <w:rPr>
                <w:sz w:val="20"/>
              </w:rPr>
              <w:t>/2</w:t>
            </w:r>
          </w:p>
        </w:tc>
        <w:tc>
          <w:tcPr>
            <w:tcW w:w="600" w:type="dxa"/>
            <w:gridSpan w:val="3"/>
            <w:tcBorders>
              <w:top w:val="single" w:sz="6" w:space="0" w:color="auto"/>
              <w:left w:val="single" w:sz="6" w:space="0" w:color="auto"/>
            </w:tcBorders>
          </w:tcPr>
          <w:p w:rsidR="00AF2508" w:rsidRDefault="00AF2508">
            <w:pPr>
              <w:pStyle w:val="TableText"/>
              <w:jc w:val="center"/>
              <w:rPr>
                <w:sz w:val="20"/>
              </w:rPr>
            </w:pPr>
            <w:r>
              <w:rPr>
                <w:sz w:val="20"/>
              </w:rPr>
              <w:t>0</w:t>
            </w:r>
          </w:p>
        </w:tc>
        <w:tc>
          <w:tcPr>
            <w:tcW w:w="708" w:type="dxa"/>
            <w:tcBorders>
              <w:top w:val="single" w:sz="6" w:space="0" w:color="auto"/>
            </w:tcBorders>
          </w:tcPr>
          <w:p w:rsidR="00AF2508" w:rsidRDefault="00AF2508">
            <w:pPr>
              <w:pStyle w:val="TableText"/>
              <w:jc w:val="center"/>
              <w:rPr>
                <w:sz w:val="20"/>
              </w:rPr>
            </w:pPr>
            <w:r>
              <w:rPr>
                <w:sz w:val="20"/>
              </w:rPr>
              <w:t>7</w:t>
            </w:r>
          </w:p>
        </w:tc>
        <w:tc>
          <w:tcPr>
            <w:tcW w:w="764"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68" w:type="dxa"/>
            <w:gridSpan w:val="2"/>
            <w:tcBorders>
              <w:top w:val="single" w:sz="6" w:space="0" w:color="auto"/>
            </w:tcBorders>
          </w:tcPr>
          <w:p w:rsidR="00AF2508" w:rsidRDefault="00AF2508">
            <w:pPr>
              <w:pStyle w:val="TableText"/>
              <w:jc w:val="center"/>
              <w:rPr>
                <w:sz w:val="20"/>
              </w:rPr>
            </w:pPr>
            <w:r>
              <w:rPr>
                <w:sz w:val="20"/>
              </w:rPr>
              <w:t>6</w:t>
            </w:r>
          </w:p>
        </w:tc>
        <w:tc>
          <w:tcPr>
            <w:tcW w:w="732"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86" w:type="dxa"/>
            <w:gridSpan w:val="2"/>
            <w:tcBorders>
              <w:top w:val="single" w:sz="6" w:space="0" w:color="auto"/>
            </w:tcBorders>
          </w:tcPr>
          <w:p w:rsidR="00AF2508" w:rsidRDefault="00AF2508">
            <w:pPr>
              <w:pStyle w:val="TableText"/>
              <w:jc w:val="center"/>
              <w:rPr>
                <w:sz w:val="20"/>
              </w:rPr>
            </w:pPr>
            <w:r>
              <w:rPr>
                <w:sz w:val="20"/>
              </w:rPr>
              <w:t>5</w:t>
            </w:r>
          </w:p>
        </w:tc>
        <w:tc>
          <w:tcPr>
            <w:tcW w:w="760"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760" w:type="dxa"/>
            <w:tcBorders>
              <w:top w:val="single" w:sz="6" w:space="0" w:color="auto"/>
              <w:right w:val="single" w:sz="6" w:space="0" w:color="auto"/>
            </w:tcBorders>
          </w:tcPr>
          <w:p w:rsidR="00AF2508" w:rsidRDefault="00AF2508">
            <w:pPr>
              <w:pStyle w:val="TableText"/>
              <w:jc w:val="center"/>
              <w:rPr>
                <w:sz w:val="20"/>
              </w:rPr>
            </w:pPr>
            <w:r>
              <w:rPr>
                <w:sz w:val="20"/>
              </w:rPr>
              <w:t>3</w:t>
            </w:r>
            <w:r>
              <w:rPr>
                <w:position w:val="4"/>
                <w:sz w:val="20"/>
              </w:rPr>
              <w:t>1</w:t>
            </w:r>
            <w:r>
              <w:rPr>
                <w:sz w:val="20"/>
              </w:rPr>
              <w:t>/2</w:t>
            </w:r>
          </w:p>
        </w:tc>
        <w:tc>
          <w:tcPr>
            <w:tcW w:w="800" w:type="dxa"/>
            <w:gridSpan w:val="2"/>
            <w:tcBorders>
              <w:top w:val="single" w:sz="6" w:space="0" w:color="auto"/>
            </w:tcBorders>
          </w:tcPr>
          <w:p w:rsidR="00AF2508" w:rsidRDefault="00AF2508">
            <w:pPr>
              <w:pStyle w:val="TableText"/>
              <w:jc w:val="center"/>
              <w:rPr>
                <w:sz w:val="20"/>
              </w:rPr>
            </w:pPr>
            <w:r>
              <w:rPr>
                <w:sz w:val="20"/>
              </w:rPr>
              <w:t>0</w:t>
            </w:r>
          </w:p>
        </w:tc>
        <w:tc>
          <w:tcPr>
            <w:tcW w:w="674" w:type="dxa"/>
            <w:gridSpan w:val="2"/>
            <w:tcBorders>
              <w:top w:val="single" w:sz="6" w:space="0" w:color="auto"/>
            </w:tcBorders>
          </w:tcPr>
          <w:p w:rsidR="00AF2508" w:rsidRDefault="00AF2508">
            <w:pPr>
              <w:pStyle w:val="TableText"/>
              <w:jc w:val="center"/>
              <w:rPr>
                <w:sz w:val="20"/>
              </w:rPr>
            </w:pP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3</w:t>
            </w:r>
            <w:r>
              <w:rPr>
                <w:sz w:val="20"/>
              </w:rPr>
              <w:t xml:space="preserve">/4 </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w:t>
            </w:r>
            <w:r>
              <w:rPr>
                <w:sz w:val="20"/>
              </w:rPr>
              <w:t xml:space="preserve">/4 </w:t>
            </w:r>
          </w:p>
        </w:tc>
        <w:tc>
          <w:tcPr>
            <w:tcW w:w="660" w:type="dxa"/>
            <w:gridSpan w:val="2"/>
          </w:tcPr>
          <w:p w:rsidR="00AF2508" w:rsidRDefault="00AF2508">
            <w:pPr>
              <w:pStyle w:val="TableText"/>
              <w:jc w:val="center"/>
              <w:rPr>
                <w:sz w:val="20"/>
              </w:rPr>
            </w:pPr>
            <w:r>
              <w:rPr>
                <w:sz w:val="20"/>
              </w:rPr>
              <w:t>0</w:t>
            </w:r>
          </w:p>
        </w:tc>
        <w:tc>
          <w:tcPr>
            <w:tcW w:w="852" w:type="dxa"/>
            <w:gridSpan w:val="2"/>
          </w:tcPr>
          <w:p w:rsidR="00AF2508" w:rsidRDefault="00AF2508">
            <w:pPr>
              <w:pStyle w:val="TableText"/>
              <w:jc w:val="center"/>
              <w:rPr>
                <w:sz w:val="20"/>
              </w:rPr>
            </w:pPr>
            <w:r>
              <w:rPr>
                <w:sz w:val="20"/>
              </w:rPr>
              <w:t>5</w:t>
            </w:r>
            <w:r>
              <w:rPr>
                <w:position w:val="4"/>
                <w:sz w:val="20"/>
              </w:rPr>
              <w:t>1</w:t>
            </w:r>
            <w:r>
              <w:rPr>
                <w:sz w:val="20"/>
              </w:rPr>
              <w:t>/2</w:t>
            </w:r>
          </w:p>
        </w:tc>
        <w:tc>
          <w:tcPr>
            <w:tcW w:w="600" w:type="dxa"/>
            <w:gridSpan w:val="3"/>
            <w:tcBorders>
              <w:left w:val="single" w:sz="6" w:space="0" w:color="auto"/>
            </w:tcBorders>
          </w:tcPr>
          <w:p w:rsidR="00AF2508" w:rsidRDefault="00AF2508">
            <w:pPr>
              <w:pStyle w:val="TableText"/>
              <w:jc w:val="center"/>
              <w:rPr>
                <w:sz w:val="20"/>
              </w:rPr>
            </w:pPr>
            <w:r>
              <w:rPr>
                <w:sz w:val="20"/>
              </w:rPr>
              <w:t>0</w:t>
            </w:r>
          </w:p>
        </w:tc>
        <w:tc>
          <w:tcPr>
            <w:tcW w:w="708" w:type="dxa"/>
          </w:tcPr>
          <w:p w:rsidR="00AF2508" w:rsidRDefault="00AF2508">
            <w:pPr>
              <w:pStyle w:val="TableText"/>
              <w:jc w:val="center"/>
              <w:rPr>
                <w:sz w:val="20"/>
              </w:rPr>
            </w:pPr>
            <w:r>
              <w:rPr>
                <w:sz w:val="20"/>
              </w:rPr>
              <w:t>10</w:t>
            </w:r>
            <w:r>
              <w:rPr>
                <w:position w:val="4"/>
                <w:sz w:val="20"/>
              </w:rPr>
              <w:t>1</w:t>
            </w:r>
            <w:r>
              <w:rPr>
                <w:sz w:val="20"/>
              </w:rPr>
              <w:t>/2</w:t>
            </w:r>
          </w:p>
        </w:tc>
        <w:tc>
          <w:tcPr>
            <w:tcW w:w="764" w:type="dxa"/>
            <w:tcBorders>
              <w:left w:val="single" w:sz="6" w:space="0" w:color="auto"/>
            </w:tcBorders>
          </w:tcPr>
          <w:p w:rsidR="00AF2508" w:rsidRDefault="00AF2508">
            <w:pPr>
              <w:pStyle w:val="TableText"/>
              <w:jc w:val="center"/>
              <w:rPr>
                <w:sz w:val="20"/>
              </w:rPr>
            </w:pPr>
            <w:r>
              <w:rPr>
                <w:sz w:val="20"/>
              </w:rPr>
              <w:t>0</w:t>
            </w:r>
          </w:p>
        </w:tc>
        <w:tc>
          <w:tcPr>
            <w:tcW w:w="868" w:type="dxa"/>
            <w:gridSpan w:val="2"/>
          </w:tcPr>
          <w:p w:rsidR="00AF2508" w:rsidRDefault="00AF2508">
            <w:pPr>
              <w:pStyle w:val="TableText"/>
              <w:jc w:val="center"/>
              <w:rPr>
                <w:sz w:val="20"/>
              </w:rPr>
            </w:pPr>
            <w:r>
              <w:rPr>
                <w:sz w:val="20"/>
              </w:rPr>
              <w:t>9</w:t>
            </w:r>
            <w:r>
              <w:rPr>
                <w:position w:val="4"/>
                <w:sz w:val="20"/>
              </w:rPr>
              <w:t>1</w:t>
            </w:r>
            <w:r>
              <w:rPr>
                <w:sz w:val="20"/>
              </w:rPr>
              <w:t>/2</w:t>
            </w:r>
          </w:p>
        </w:tc>
        <w:tc>
          <w:tcPr>
            <w:tcW w:w="732"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8</w:t>
            </w:r>
          </w:p>
        </w:tc>
        <w:tc>
          <w:tcPr>
            <w:tcW w:w="760" w:type="dxa"/>
            <w:gridSpan w:val="2"/>
            <w:tcBorders>
              <w:left w:val="single" w:sz="6" w:space="0" w:color="auto"/>
            </w:tcBorders>
          </w:tcPr>
          <w:p w:rsidR="00AF2508" w:rsidRDefault="00AF2508">
            <w:pPr>
              <w:pStyle w:val="TableText"/>
              <w:jc w:val="center"/>
              <w:rPr>
                <w:sz w:val="20"/>
              </w:rPr>
            </w:pPr>
            <w:r>
              <w:rPr>
                <w:sz w:val="20"/>
              </w:rPr>
              <w:t>0</w:t>
            </w:r>
          </w:p>
        </w:tc>
        <w:tc>
          <w:tcPr>
            <w:tcW w:w="760" w:type="dxa"/>
            <w:tcBorders>
              <w:right w:val="single" w:sz="6" w:space="0" w:color="auto"/>
            </w:tcBorders>
          </w:tcPr>
          <w:p w:rsidR="00AF2508" w:rsidRDefault="00AF2508">
            <w:pPr>
              <w:pStyle w:val="TableText"/>
              <w:jc w:val="center"/>
              <w:rPr>
                <w:sz w:val="20"/>
              </w:rPr>
            </w:pPr>
            <w:r>
              <w:rPr>
                <w:sz w:val="20"/>
              </w:rPr>
              <w:t>5</w:t>
            </w:r>
            <w:r>
              <w:rPr>
                <w:position w:val="4"/>
                <w:sz w:val="20"/>
              </w:rPr>
              <w:t>1</w:t>
            </w:r>
            <w:r>
              <w:rPr>
                <w:sz w:val="20"/>
              </w:rPr>
              <w:t>/2</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3</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948" w:type="dxa"/>
            <w:gridSpan w:val="3"/>
            <w:tcBorders>
              <w:right w:val="single" w:sz="6" w:space="0" w:color="auto"/>
            </w:tcBorders>
          </w:tcPr>
          <w:p w:rsidR="00AF2508" w:rsidRDefault="00AF2508">
            <w:pPr>
              <w:pStyle w:val="TableText"/>
              <w:jc w:val="center"/>
              <w:rPr>
                <w:sz w:val="20"/>
              </w:rPr>
            </w:pPr>
            <w:r>
              <w:rPr>
                <w:position w:val="4"/>
                <w:sz w:val="20"/>
              </w:rPr>
              <w:t>9</w:t>
            </w:r>
            <w:r>
              <w:rPr>
                <w:sz w:val="20"/>
              </w:rPr>
              <w:t xml:space="preserve">/32 </w:t>
            </w:r>
          </w:p>
        </w:tc>
        <w:tc>
          <w:tcPr>
            <w:tcW w:w="660" w:type="dxa"/>
            <w:gridSpan w:val="2"/>
          </w:tcPr>
          <w:p w:rsidR="00AF2508" w:rsidRDefault="00AF2508">
            <w:pPr>
              <w:pStyle w:val="TableText"/>
              <w:jc w:val="center"/>
              <w:rPr>
                <w:sz w:val="20"/>
              </w:rPr>
            </w:pPr>
            <w:r>
              <w:rPr>
                <w:sz w:val="20"/>
              </w:rPr>
              <w:t>0</w:t>
            </w:r>
          </w:p>
        </w:tc>
        <w:tc>
          <w:tcPr>
            <w:tcW w:w="852" w:type="dxa"/>
            <w:gridSpan w:val="2"/>
          </w:tcPr>
          <w:p w:rsidR="00AF2508" w:rsidRDefault="00AF2508">
            <w:pPr>
              <w:pStyle w:val="TableText"/>
              <w:jc w:val="center"/>
              <w:rPr>
                <w:sz w:val="20"/>
              </w:rPr>
            </w:pPr>
            <w:r>
              <w:rPr>
                <w:sz w:val="20"/>
              </w:rPr>
              <w:t>7</w:t>
            </w:r>
          </w:p>
        </w:tc>
        <w:tc>
          <w:tcPr>
            <w:tcW w:w="600" w:type="dxa"/>
            <w:gridSpan w:val="3"/>
            <w:tcBorders>
              <w:left w:val="single" w:sz="6" w:space="0" w:color="auto"/>
            </w:tcBorders>
          </w:tcPr>
          <w:p w:rsidR="00AF2508" w:rsidRDefault="00AF2508">
            <w:pPr>
              <w:pStyle w:val="TableText"/>
              <w:jc w:val="center"/>
              <w:rPr>
                <w:sz w:val="20"/>
              </w:rPr>
            </w:pPr>
            <w:r>
              <w:rPr>
                <w:sz w:val="20"/>
              </w:rPr>
              <w:t>0</w:t>
            </w:r>
          </w:p>
        </w:tc>
        <w:tc>
          <w:tcPr>
            <w:tcW w:w="708" w:type="dxa"/>
          </w:tcPr>
          <w:p w:rsidR="00AF2508" w:rsidRDefault="00AF2508">
            <w:pPr>
              <w:pStyle w:val="TableText"/>
              <w:jc w:val="center"/>
              <w:rPr>
                <w:sz w:val="20"/>
              </w:rPr>
            </w:pPr>
            <w:r>
              <w:rPr>
                <w:sz w:val="20"/>
              </w:rPr>
              <w:t>13</w:t>
            </w:r>
            <w:r>
              <w:rPr>
                <w:position w:val="4"/>
                <w:sz w:val="20"/>
              </w:rPr>
              <w:t>1</w:t>
            </w:r>
            <w:r>
              <w:rPr>
                <w:sz w:val="20"/>
              </w:rPr>
              <w:t>/2</w:t>
            </w:r>
          </w:p>
        </w:tc>
        <w:tc>
          <w:tcPr>
            <w:tcW w:w="764" w:type="dxa"/>
            <w:tcBorders>
              <w:left w:val="single" w:sz="6" w:space="0" w:color="auto"/>
            </w:tcBorders>
          </w:tcPr>
          <w:p w:rsidR="00AF2508" w:rsidRDefault="00AF2508">
            <w:pPr>
              <w:pStyle w:val="TableText"/>
              <w:jc w:val="center"/>
              <w:rPr>
                <w:sz w:val="20"/>
              </w:rPr>
            </w:pPr>
            <w:r>
              <w:rPr>
                <w:sz w:val="20"/>
              </w:rPr>
              <w:t>0</w:t>
            </w:r>
          </w:p>
        </w:tc>
        <w:tc>
          <w:tcPr>
            <w:tcW w:w="868" w:type="dxa"/>
            <w:gridSpan w:val="2"/>
          </w:tcPr>
          <w:p w:rsidR="00AF2508" w:rsidRDefault="00AF2508">
            <w:pPr>
              <w:pStyle w:val="TableText"/>
              <w:jc w:val="center"/>
              <w:rPr>
                <w:sz w:val="20"/>
              </w:rPr>
            </w:pPr>
            <w:r>
              <w:rPr>
                <w:sz w:val="20"/>
              </w:rPr>
              <w:t>12</w:t>
            </w:r>
          </w:p>
        </w:tc>
        <w:tc>
          <w:tcPr>
            <w:tcW w:w="732"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10</w:t>
            </w:r>
          </w:p>
        </w:tc>
        <w:tc>
          <w:tcPr>
            <w:tcW w:w="760" w:type="dxa"/>
            <w:gridSpan w:val="2"/>
            <w:tcBorders>
              <w:left w:val="single" w:sz="6" w:space="0" w:color="auto"/>
            </w:tcBorders>
          </w:tcPr>
          <w:p w:rsidR="00AF2508" w:rsidRDefault="00AF2508">
            <w:pPr>
              <w:pStyle w:val="TableText"/>
              <w:jc w:val="center"/>
              <w:rPr>
                <w:sz w:val="20"/>
              </w:rPr>
            </w:pPr>
            <w:r>
              <w:rPr>
                <w:sz w:val="20"/>
              </w:rPr>
              <w:t>0</w:t>
            </w:r>
          </w:p>
        </w:tc>
        <w:tc>
          <w:tcPr>
            <w:tcW w:w="760" w:type="dxa"/>
            <w:tcBorders>
              <w:right w:val="single" w:sz="6" w:space="0" w:color="auto"/>
            </w:tcBorders>
          </w:tcPr>
          <w:p w:rsidR="00AF2508" w:rsidRDefault="00AF2508">
            <w:pPr>
              <w:pStyle w:val="TableText"/>
              <w:jc w:val="center"/>
              <w:rPr>
                <w:sz w:val="20"/>
              </w:rPr>
            </w:pPr>
            <w:r>
              <w:rPr>
                <w:sz w:val="20"/>
              </w:rPr>
              <w:t>7</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3</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5</w:t>
            </w:r>
            <w:r>
              <w:rPr>
                <w:sz w:val="20"/>
              </w:rPr>
              <w:t xml:space="preserve">/16 </w:t>
            </w:r>
          </w:p>
        </w:tc>
        <w:tc>
          <w:tcPr>
            <w:tcW w:w="660" w:type="dxa"/>
            <w:gridSpan w:val="2"/>
          </w:tcPr>
          <w:p w:rsidR="00AF2508" w:rsidRDefault="00AF2508">
            <w:pPr>
              <w:pStyle w:val="TableText"/>
              <w:jc w:val="center"/>
              <w:rPr>
                <w:sz w:val="20"/>
              </w:rPr>
            </w:pPr>
            <w:r>
              <w:rPr>
                <w:sz w:val="20"/>
              </w:rPr>
              <w:t>0</w:t>
            </w:r>
          </w:p>
        </w:tc>
        <w:tc>
          <w:tcPr>
            <w:tcW w:w="852" w:type="dxa"/>
            <w:gridSpan w:val="2"/>
          </w:tcPr>
          <w:p w:rsidR="00AF2508" w:rsidRDefault="00AF2508">
            <w:pPr>
              <w:pStyle w:val="TableText"/>
              <w:jc w:val="center"/>
              <w:rPr>
                <w:sz w:val="20"/>
              </w:rPr>
            </w:pPr>
            <w:r>
              <w:rPr>
                <w:sz w:val="20"/>
              </w:rPr>
              <w:t>9</w:t>
            </w:r>
            <w:r>
              <w:rPr>
                <w:position w:val="4"/>
                <w:sz w:val="20"/>
              </w:rPr>
              <w:t>1</w:t>
            </w:r>
            <w:r>
              <w:rPr>
                <w:sz w:val="20"/>
              </w:rPr>
              <w:t>/2</w:t>
            </w:r>
          </w:p>
        </w:tc>
        <w:tc>
          <w:tcPr>
            <w:tcW w:w="600" w:type="dxa"/>
            <w:gridSpan w:val="3"/>
            <w:tcBorders>
              <w:left w:val="single" w:sz="6" w:space="0" w:color="auto"/>
            </w:tcBorders>
          </w:tcPr>
          <w:p w:rsidR="00AF2508" w:rsidRDefault="00AF2508">
            <w:pPr>
              <w:pStyle w:val="TableText"/>
              <w:jc w:val="center"/>
              <w:rPr>
                <w:sz w:val="20"/>
              </w:rPr>
            </w:pPr>
            <w:r>
              <w:rPr>
                <w:sz w:val="20"/>
              </w:rPr>
              <w:t>0</w:t>
            </w:r>
          </w:p>
        </w:tc>
        <w:tc>
          <w:tcPr>
            <w:tcW w:w="708" w:type="dxa"/>
          </w:tcPr>
          <w:p w:rsidR="00AF2508" w:rsidRDefault="00AF2508">
            <w:pPr>
              <w:pStyle w:val="TableText"/>
              <w:jc w:val="center"/>
              <w:rPr>
                <w:sz w:val="20"/>
              </w:rPr>
            </w:pPr>
            <w:r>
              <w:rPr>
                <w:sz w:val="20"/>
              </w:rPr>
              <w:t>18</w:t>
            </w:r>
          </w:p>
        </w:tc>
        <w:tc>
          <w:tcPr>
            <w:tcW w:w="764" w:type="dxa"/>
            <w:tcBorders>
              <w:left w:val="single" w:sz="6" w:space="0" w:color="auto"/>
            </w:tcBorders>
          </w:tcPr>
          <w:p w:rsidR="00AF2508" w:rsidRDefault="00AF2508">
            <w:pPr>
              <w:pStyle w:val="TableText"/>
              <w:jc w:val="center"/>
              <w:rPr>
                <w:sz w:val="20"/>
              </w:rPr>
            </w:pPr>
            <w:r>
              <w:rPr>
                <w:sz w:val="20"/>
              </w:rPr>
              <w:t>0</w:t>
            </w:r>
          </w:p>
        </w:tc>
        <w:tc>
          <w:tcPr>
            <w:tcW w:w="868" w:type="dxa"/>
            <w:gridSpan w:val="2"/>
          </w:tcPr>
          <w:p w:rsidR="00AF2508" w:rsidRDefault="00AF2508">
            <w:pPr>
              <w:pStyle w:val="TableText"/>
              <w:jc w:val="center"/>
              <w:rPr>
                <w:sz w:val="20"/>
              </w:rPr>
            </w:pPr>
            <w:r>
              <w:rPr>
                <w:sz w:val="20"/>
              </w:rPr>
              <w:t>16</w:t>
            </w:r>
          </w:p>
        </w:tc>
        <w:tc>
          <w:tcPr>
            <w:tcW w:w="732"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13</w:t>
            </w:r>
          </w:p>
        </w:tc>
        <w:tc>
          <w:tcPr>
            <w:tcW w:w="760" w:type="dxa"/>
            <w:gridSpan w:val="2"/>
            <w:tcBorders>
              <w:left w:val="single" w:sz="6" w:space="0" w:color="auto"/>
            </w:tcBorders>
          </w:tcPr>
          <w:p w:rsidR="00AF2508" w:rsidRDefault="00AF2508">
            <w:pPr>
              <w:pStyle w:val="TableText"/>
              <w:jc w:val="center"/>
              <w:rPr>
                <w:sz w:val="20"/>
              </w:rPr>
            </w:pPr>
            <w:r>
              <w:rPr>
                <w:sz w:val="20"/>
              </w:rPr>
              <w:t>0</w:t>
            </w:r>
          </w:p>
        </w:tc>
        <w:tc>
          <w:tcPr>
            <w:tcW w:w="760" w:type="dxa"/>
            <w:tcBorders>
              <w:right w:val="single" w:sz="6" w:space="0" w:color="auto"/>
            </w:tcBorders>
          </w:tcPr>
          <w:p w:rsidR="00AF2508" w:rsidRDefault="00AF2508">
            <w:pPr>
              <w:pStyle w:val="TableText"/>
              <w:jc w:val="center"/>
              <w:rPr>
                <w:sz w:val="20"/>
              </w:rPr>
            </w:pPr>
            <w:r>
              <w:rPr>
                <w:sz w:val="20"/>
              </w:rPr>
              <w:t>9</w:t>
            </w:r>
            <w:r>
              <w:rPr>
                <w:position w:val="4"/>
                <w:sz w:val="20"/>
              </w:rPr>
              <w:t>1</w:t>
            </w:r>
            <w:r>
              <w:rPr>
                <w:sz w:val="20"/>
              </w:rPr>
              <w:t>/2</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5</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1</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3</w:t>
            </w:r>
            <w:r>
              <w:rPr>
                <w:sz w:val="20"/>
              </w:rPr>
              <w:t xml:space="preserve">/8 </w:t>
            </w:r>
          </w:p>
        </w:tc>
        <w:tc>
          <w:tcPr>
            <w:tcW w:w="660" w:type="dxa"/>
            <w:gridSpan w:val="2"/>
          </w:tcPr>
          <w:p w:rsidR="00AF2508" w:rsidRDefault="00AF2508">
            <w:pPr>
              <w:pStyle w:val="TableText"/>
              <w:jc w:val="center"/>
              <w:rPr>
                <w:sz w:val="20"/>
              </w:rPr>
            </w:pPr>
            <w:r>
              <w:rPr>
                <w:sz w:val="20"/>
              </w:rPr>
              <w:t>0</w:t>
            </w:r>
          </w:p>
        </w:tc>
        <w:tc>
          <w:tcPr>
            <w:tcW w:w="852" w:type="dxa"/>
            <w:gridSpan w:val="2"/>
          </w:tcPr>
          <w:p w:rsidR="00AF2508" w:rsidRDefault="00AF2508">
            <w:pPr>
              <w:pStyle w:val="TableText"/>
              <w:jc w:val="center"/>
              <w:rPr>
                <w:sz w:val="20"/>
              </w:rPr>
            </w:pPr>
            <w:r>
              <w:rPr>
                <w:sz w:val="20"/>
              </w:rPr>
              <w:t>11</w:t>
            </w:r>
          </w:p>
        </w:tc>
        <w:tc>
          <w:tcPr>
            <w:tcW w:w="600" w:type="dxa"/>
            <w:gridSpan w:val="3"/>
            <w:tcBorders>
              <w:left w:val="single" w:sz="6" w:space="0" w:color="auto"/>
            </w:tcBorders>
          </w:tcPr>
          <w:p w:rsidR="00AF2508" w:rsidRDefault="00AF2508">
            <w:pPr>
              <w:pStyle w:val="TableText"/>
              <w:jc w:val="center"/>
              <w:rPr>
                <w:sz w:val="20"/>
              </w:rPr>
            </w:pPr>
            <w:r>
              <w:rPr>
                <w:sz w:val="20"/>
              </w:rPr>
              <w:t>1</w:t>
            </w:r>
          </w:p>
        </w:tc>
        <w:tc>
          <w:tcPr>
            <w:tcW w:w="708" w:type="dxa"/>
          </w:tcPr>
          <w:p w:rsidR="00AF2508" w:rsidRDefault="00AF2508">
            <w:pPr>
              <w:pStyle w:val="TableText"/>
              <w:jc w:val="center"/>
              <w:rPr>
                <w:sz w:val="20"/>
              </w:rPr>
            </w:pPr>
            <w:r>
              <w:rPr>
                <w:sz w:val="20"/>
              </w:rPr>
              <w:t>1</w:t>
            </w:r>
          </w:p>
        </w:tc>
        <w:tc>
          <w:tcPr>
            <w:tcW w:w="764" w:type="dxa"/>
            <w:tcBorders>
              <w:left w:val="single" w:sz="6" w:space="0" w:color="auto"/>
            </w:tcBorders>
          </w:tcPr>
          <w:p w:rsidR="00AF2508" w:rsidRDefault="00AF2508">
            <w:pPr>
              <w:pStyle w:val="TableText"/>
              <w:jc w:val="center"/>
              <w:rPr>
                <w:sz w:val="20"/>
              </w:rPr>
            </w:pPr>
            <w:r>
              <w:rPr>
                <w:sz w:val="20"/>
              </w:rPr>
              <w:t>0</w:t>
            </w:r>
          </w:p>
        </w:tc>
        <w:tc>
          <w:tcPr>
            <w:tcW w:w="868" w:type="dxa"/>
            <w:gridSpan w:val="2"/>
          </w:tcPr>
          <w:p w:rsidR="00AF2508" w:rsidRDefault="00AF2508">
            <w:pPr>
              <w:pStyle w:val="TableText"/>
              <w:jc w:val="center"/>
              <w:rPr>
                <w:sz w:val="20"/>
              </w:rPr>
            </w:pPr>
            <w:r>
              <w:rPr>
                <w:sz w:val="20"/>
              </w:rPr>
              <w:t>19</w:t>
            </w:r>
          </w:p>
        </w:tc>
        <w:tc>
          <w:tcPr>
            <w:tcW w:w="732"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15</w:t>
            </w:r>
            <w:r>
              <w:rPr>
                <w:position w:val="4"/>
                <w:sz w:val="20"/>
              </w:rPr>
              <w:t>1</w:t>
            </w:r>
            <w:r>
              <w:rPr>
                <w:sz w:val="20"/>
              </w:rPr>
              <w:t>/2</w:t>
            </w:r>
          </w:p>
        </w:tc>
        <w:tc>
          <w:tcPr>
            <w:tcW w:w="760" w:type="dxa"/>
            <w:gridSpan w:val="2"/>
            <w:tcBorders>
              <w:left w:val="single" w:sz="6" w:space="0" w:color="auto"/>
            </w:tcBorders>
          </w:tcPr>
          <w:p w:rsidR="00AF2508" w:rsidRDefault="00AF2508">
            <w:pPr>
              <w:pStyle w:val="TableText"/>
              <w:jc w:val="center"/>
              <w:rPr>
                <w:sz w:val="20"/>
              </w:rPr>
            </w:pPr>
            <w:r>
              <w:rPr>
                <w:sz w:val="20"/>
              </w:rPr>
              <w:t>0</w:t>
            </w:r>
          </w:p>
        </w:tc>
        <w:tc>
          <w:tcPr>
            <w:tcW w:w="760" w:type="dxa"/>
            <w:tcBorders>
              <w:right w:val="single" w:sz="6" w:space="0" w:color="auto"/>
            </w:tcBorders>
          </w:tcPr>
          <w:p w:rsidR="00AF2508" w:rsidRDefault="00AF2508">
            <w:pPr>
              <w:pStyle w:val="TableText"/>
              <w:jc w:val="center"/>
              <w:rPr>
                <w:sz w:val="20"/>
              </w:rPr>
            </w:pPr>
            <w:r>
              <w:rPr>
                <w:sz w:val="20"/>
              </w:rPr>
              <w:t>11</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6</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13</w:t>
            </w:r>
            <w:r>
              <w:rPr>
                <w:sz w:val="20"/>
              </w:rPr>
              <w:t xml:space="preserve">/32 </w:t>
            </w:r>
          </w:p>
        </w:tc>
        <w:tc>
          <w:tcPr>
            <w:tcW w:w="660" w:type="dxa"/>
            <w:gridSpan w:val="2"/>
          </w:tcPr>
          <w:p w:rsidR="00AF2508" w:rsidRDefault="00AF2508">
            <w:pPr>
              <w:pStyle w:val="TableText"/>
              <w:jc w:val="center"/>
              <w:rPr>
                <w:sz w:val="20"/>
              </w:rPr>
            </w:pPr>
            <w:r>
              <w:rPr>
                <w:sz w:val="20"/>
              </w:rPr>
              <w:t>0</w:t>
            </w:r>
          </w:p>
        </w:tc>
        <w:tc>
          <w:tcPr>
            <w:tcW w:w="852" w:type="dxa"/>
            <w:gridSpan w:val="2"/>
          </w:tcPr>
          <w:p w:rsidR="00AF2508" w:rsidRDefault="00AF2508">
            <w:pPr>
              <w:pStyle w:val="TableText"/>
              <w:jc w:val="center"/>
              <w:rPr>
                <w:sz w:val="20"/>
              </w:rPr>
            </w:pPr>
            <w:r>
              <w:rPr>
                <w:sz w:val="20"/>
              </w:rPr>
              <w:t>14</w:t>
            </w:r>
            <w:r>
              <w:rPr>
                <w:position w:val="4"/>
                <w:sz w:val="20"/>
              </w:rPr>
              <w:t>1</w:t>
            </w:r>
            <w:r>
              <w:rPr>
                <w:sz w:val="20"/>
              </w:rPr>
              <w:t>/2</w:t>
            </w:r>
          </w:p>
        </w:tc>
        <w:tc>
          <w:tcPr>
            <w:tcW w:w="600" w:type="dxa"/>
            <w:gridSpan w:val="3"/>
            <w:tcBorders>
              <w:left w:val="single" w:sz="6" w:space="0" w:color="auto"/>
            </w:tcBorders>
          </w:tcPr>
          <w:p w:rsidR="00AF2508" w:rsidRDefault="00AF2508">
            <w:pPr>
              <w:pStyle w:val="TableText"/>
              <w:jc w:val="center"/>
              <w:rPr>
                <w:sz w:val="20"/>
              </w:rPr>
            </w:pPr>
            <w:r>
              <w:rPr>
                <w:sz w:val="20"/>
              </w:rPr>
              <w:t>1</w:t>
            </w:r>
          </w:p>
        </w:tc>
        <w:tc>
          <w:tcPr>
            <w:tcW w:w="708" w:type="dxa"/>
          </w:tcPr>
          <w:p w:rsidR="00AF2508" w:rsidRDefault="00AF2508">
            <w:pPr>
              <w:pStyle w:val="TableText"/>
              <w:jc w:val="center"/>
              <w:rPr>
                <w:sz w:val="20"/>
              </w:rPr>
            </w:pPr>
            <w:r>
              <w:rPr>
                <w:sz w:val="20"/>
              </w:rPr>
              <w:t>7</w:t>
            </w:r>
          </w:p>
        </w:tc>
        <w:tc>
          <w:tcPr>
            <w:tcW w:w="764" w:type="dxa"/>
            <w:tcBorders>
              <w:left w:val="single" w:sz="6" w:space="0" w:color="auto"/>
            </w:tcBorders>
          </w:tcPr>
          <w:p w:rsidR="00AF2508" w:rsidRDefault="00AF2508">
            <w:pPr>
              <w:pStyle w:val="TableText"/>
              <w:jc w:val="center"/>
              <w:rPr>
                <w:sz w:val="20"/>
              </w:rPr>
            </w:pPr>
            <w:r>
              <w:rPr>
                <w:sz w:val="20"/>
              </w:rPr>
              <w:t>1</w:t>
            </w:r>
          </w:p>
        </w:tc>
        <w:tc>
          <w:tcPr>
            <w:tcW w:w="868" w:type="dxa"/>
            <w:gridSpan w:val="2"/>
          </w:tcPr>
          <w:p w:rsidR="00AF2508" w:rsidRDefault="00AF2508">
            <w:pPr>
              <w:pStyle w:val="TableText"/>
              <w:jc w:val="center"/>
              <w:rPr>
                <w:sz w:val="20"/>
              </w:rPr>
            </w:pPr>
            <w:r>
              <w:rPr>
                <w:sz w:val="20"/>
              </w:rPr>
              <w:t>5</w:t>
            </w:r>
          </w:p>
        </w:tc>
        <w:tc>
          <w:tcPr>
            <w:tcW w:w="732"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0</w:t>
            </w:r>
          </w:p>
        </w:tc>
        <w:tc>
          <w:tcPr>
            <w:tcW w:w="760" w:type="dxa"/>
            <w:gridSpan w:val="2"/>
            <w:tcBorders>
              <w:left w:val="single" w:sz="6" w:space="0" w:color="auto"/>
            </w:tcBorders>
          </w:tcPr>
          <w:p w:rsidR="00AF2508" w:rsidRDefault="00AF2508">
            <w:pPr>
              <w:pStyle w:val="TableText"/>
              <w:jc w:val="center"/>
              <w:rPr>
                <w:sz w:val="20"/>
              </w:rPr>
            </w:pPr>
            <w:r>
              <w:rPr>
                <w:sz w:val="20"/>
              </w:rPr>
              <w:t>0</w:t>
            </w:r>
          </w:p>
        </w:tc>
        <w:tc>
          <w:tcPr>
            <w:tcW w:w="760" w:type="dxa"/>
            <w:tcBorders>
              <w:right w:val="single" w:sz="6" w:space="0" w:color="auto"/>
            </w:tcBorders>
          </w:tcPr>
          <w:p w:rsidR="00AF2508" w:rsidRDefault="00AF2508">
            <w:pPr>
              <w:pStyle w:val="TableText"/>
              <w:jc w:val="center"/>
              <w:rPr>
                <w:sz w:val="20"/>
              </w:rPr>
            </w:pPr>
            <w:r>
              <w:rPr>
                <w:sz w:val="20"/>
              </w:rPr>
              <w:t>14</w:t>
            </w:r>
            <w:r>
              <w:rPr>
                <w:position w:val="4"/>
                <w:sz w:val="20"/>
              </w:rPr>
              <w:t>1</w:t>
            </w:r>
            <w:r>
              <w:rPr>
                <w:sz w:val="20"/>
              </w:rPr>
              <w:t>/2</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7</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3</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7</w:t>
            </w:r>
            <w:r>
              <w:rPr>
                <w:sz w:val="20"/>
              </w:rPr>
              <w:t xml:space="preserve">/16 </w:t>
            </w:r>
          </w:p>
        </w:tc>
        <w:tc>
          <w:tcPr>
            <w:tcW w:w="660" w:type="dxa"/>
            <w:gridSpan w:val="2"/>
          </w:tcPr>
          <w:p w:rsidR="00AF2508" w:rsidRDefault="00AF2508">
            <w:pPr>
              <w:pStyle w:val="TableText"/>
              <w:jc w:val="center"/>
              <w:rPr>
                <w:sz w:val="20"/>
              </w:rPr>
            </w:pPr>
            <w:r>
              <w:rPr>
                <w:sz w:val="20"/>
              </w:rPr>
              <w:t>0</w:t>
            </w:r>
          </w:p>
        </w:tc>
        <w:tc>
          <w:tcPr>
            <w:tcW w:w="852" w:type="dxa"/>
            <w:gridSpan w:val="2"/>
          </w:tcPr>
          <w:p w:rsidR="00AF2508" w:rsidRDefault="00AF2508">
            <w:pPr>
              <w:pStyle w:val="TableText"/>
              <w:jc w:val="center"/>
              <w:rPr>
                <w:sz w:val="20"/>
              </w:rPr>
            </w:pPr>
            <w:r>
              <w:rPr>
                <w:sz w:val="20"/>
              </w:rPr>
              <w:t>16</w:t>
            </w:r>
            <w:r>
              <w:rPr>
                <w:position w:val="4"/>
                <w:sz w:val="20"/>
              </w:rPr>
              <w:t>1</w:t>
            </w:r>
            <w:r>
              <w:rPr>
                <w:sz w:val="20"/>
              </w:rPr>
              <w:t>/2</w:t>
            </w:r>
          </w:p>
        </w:tc>
        <w:tc>
          <w:tcPr>
            <w:tcW w:w="600" w:type="dxa"/>
            <w:gridSpan w:val="3"/>
            <w:tcBorders>
              <w:left w:val="single" w:sz="6" w:space="0" w:color="auto"/>
            </w:tcBorders>
          </w:tcPr>
          <w:p w:rsidR="00AF2508" w:rsidRDefault="00AF2508">
            <w:pPr>
              <w:pStyle w:val="TableText"/>
              <w:jc w:val="center"/>
              <w:rPr>
                <w:sz w:val="20"/>
              </w:rPr>
            </w:pPr>
            <w:r>
              <w:rPr>
                <w:sz w:val="20"/>
              </w:rPr>
              <w:t>1</w:t>
            </w:r>
          </w:p>
        </w:tc>
        <w:tc>
          <w:tcPr>
            <w:tcW w:w="708" w:type="dxa"/>
          </w:tcPr>
          <w:p w:rsidR="00AF2508" w:rsidRDefault="00AF2508">
            <w:pPr>
              <w:pStyle w:val="TableText"/>
              <w:jc w:val="center"/>
              <w:rPr>
                <w:sz w:val="20"/>
              </w:rPr>
            </w:pPr>
            <w:r>
              <w:rPr>
                <w:sz w:val="20"/>
              </w:rPr>
              <w:t>12</w:t>
            </w:r>
          </w:p>
        </w:tc>
        <w:tc>
          <w:tcPr>
            <w:tcW w:w="764" w:type="dxa"/>
            <w:tcBorders>
              <w:left w:val="single" w:sz="6" w:space="0" w:color="auto"/>
            </w:tcBorders>
          </w:tcPr>
          <w:p w:rsidR="00AF2508" w:rsidRDefault="00AF2508">
            <w:pPr>
              <w:pStyle w:val="TableText"/>
              <w:jc w:val="center"/>
              <w:rPr>
                <w:sz w:val="20"/>
              </w:rPr>
            </w:pPr>
            <w:r>
              <w:rPr>
                <w:sz w:val="20"/>
              </w:rPr>
              <w:t>1</w:t>
            </w:r>
          </w:p>
        </w:tc>
        <w:tc>
          <w:tcPr>
            <w:tcW w:w="868" w:type="dxa"/>
            <w:gridSpan w:val="2"/>
          </w:tcPr>
          <w:p w:rsidR="00AF2508" w:rsidRDefault="00AF2508">
            <w:pPr>
              <w:pStyle w:val="TableText"/>
              <w:jc w:val="center"/>
              <w:rPr>
                <w:sz w:val="20"/>
              </w:rPr>
            </w:pPr>
            <w:r>
              <w:rPr>
                <w:sz w:val="20"/>
              </w:rPr>
              <w:t>9</w:t>
            </w:r>
          </w:p>
        </w:tc>
        <w:tc>
          <w:tcPr>
            <w:tcW w:w="732"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3</w:t>
            </w:r>
          </w:p>
        </w:tc>
        <w:tc>
          <w:tcPr>
            <w:tcW w:w="760" w:type="dxa"/>
            <w:gridSpan w:val="2"/>
            <w:tcBorders>
              <w:left w:val="single" w:sz="6" w:space="0" w:color="auto"/>
            </w:tcBorders>
          </w:tcPr>
          <w:p w:rsidR="00AF2508" w:rsidRDefault="00AF2508">
            <w:pPr>
              <w:pStyle w:val="TableText"/>
              <w:jc w:val="center"/>
              <w:rPr>
                <w:sz w:val="20"/>
              </w:rPr>
            </w:pPr>
            <w:r>
              <w:rPr>
                <w:sz w:val="20"/>
              </w:rPr>
              <w:t>0</w:t>
            </w:r>
          </w:p>
        </w:tc>
        <w:tc>
          <w:tcPr>
            <w:tcW w:w="760" w:type="dxa"/>
            <w:tcBorders>
              <w:right w:val="single" w:sz="6" w:space="0" w:color="auto"/>
            </w:tcBorders>
          </w:tcPr>
          <w:p w:rsidR="00AF2508" w:rsidRDefault="00AF2508">
            <w:pPr>
              <w:pStyle w:val="TableText"/>
              <w:jc w:val="center"/>
              <w:rPr>
                <w:sz w:val="20"/>
              </w:rPr>
            </w:pPr>
            <w:r>
              <w:rPr>
                <w:sz w:val="20"/>
              </w:rPr>
              <w:t>16</w:t>
            </w:r>
            <w:r>
              <w:rPr>
                <w:position w:val="4"/>
                <w:sz w:val="20"/>
              </w:rPr>
              <w:t>1</w:t>
            </w:r>
            <w:r>
              <w:rPr>
                <w:sz w:val="20"/>
              </w:rPr>
              <w:t>/2</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8</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15</w:t>
            </w:r>
            <w:r>
              <w:rPr>
                <w:sz w:val="20"/>
              </w:rPr>
              <w:t xml:space="preserve">/32 </w:t>
            </w:r>
          </w:p>
        </w:tc>
        <w:tc>
          <w:tcPr>
            <w:tcW w:w="660" w:type="dxa"/>
            <w:gridSpan w:val="2"/>
          </w:tcPr>
          <w:p w:rsidR="00AF2508" w:rsidRDefault="00AF2508">
            <w:pPr>
              <w:pStyle w:val="TableText"/>
              <w:jc w:val="center"/>
              <w:rPr>
                <w:sz w:val="20"/>
              </w:rPr>
            </w:pPr>
            <w:r>
              <w:rPr>
                <w:sz w:val="20"/>
              </w:rPr>
              <w:t>1</w:t>
            </w:r>
          </w:p>
        </w:tc>
        <w:tc>
          <w:tcPr>
            <w:tcW w:w="852" w:type="dxa"/>
            <w:gridSpan w:val="2"/>
          </w:tcPr>
          <w:p w:rsidR="00AF2508" w:rsidRDefault="00AF2508">
            <w:pPr>
              <w:pStyle w:val="TableText"/>
              <w:jc w:val="center"/>
              <w:rPr>
                <w:sz w:val="20"/>
              </w:rPr>
            </w:pPr>
            <w:r>
              <w:rPr>
                <w:sz w:val="20"/>
              </w:rPr>
              <w:t>0</w:t>
            </w:r>
          </w:p>
        </w:tc>
        <w:tc>
          <w:tcPr>
            <w:tcW w:w="600" w:type="dxa"/>
            <w:gridSpan w:val="3"/>
            <w:tcBorders>
              <w:left w:val="single" w:sz="6" w:space="0" w:color="auto"/>
            </w:tcBorders>
          </w:tcPr>
          <w:p w:rsidR="00AF2508" w:rsidRDefault="00AF2508">
            <w:pPr>
              <w:pStyle w:val="TableText"/>
              <w:jc w:val="center"/>
              <w:rPr>
                <w:sz w:val="20"/>
              </w:rPr>
            </w:pPr>
            <w:r>
              <w:rPr>
                <w:sz w:val="20"/>
              </w:rPr>
              <w:t>1</w:t>
            </w:r>
          </w:p>
        </w:tc>
        <w:tc>
          <w:tcPr>
            <w:tcW w:w="708" w:type="dxa"/>
          </w:tcPr>
          <w:p w:rsidR="00AF2508" w:rsidRDefault="00AF2508">
            <w:pPr>
              <w:pStyle w:val="TableText"/>
              <w:jc w:val="center"/>
              <w:rPr>
                <w:sz w:val="20"/>
              </w:rPr>
            </w:pPr>
            <w:r>
              <w:rPr>
                <w:sz w:val="20"/>
              </w:rPr>
              <w:t>18</w:t>
            </w:r>
          </w:p>
        </w:tc>
        <w:tc>
          <w:tcPr>
            <w:tcW w:w="764" w:type="dxa"/>
            <w:tcBorders>
              <w:left w:val="single" w:sz="6" w:space="0" w:color="auto"/>
            </w:tcBorders>
          </w:tcPr>
          <w:p w:rsidR="00AF2508" w:rsidRDefault="00AF2508">
            <w:pPr>
              <w:pStyle w:val="TableText"/>
              <w:jc w:val="center"/>
              <w:rPr>
                <w:sz w:val="20"/>
              </w:rPr>
            </w:pPr>
            <w:r>
              <w:rPr>
                <w:sz w:val="20"/>
              </w:rPr>
              <w:t>1</w:t>
            </w:r>
          </w:p>
        </w:tc>
        <w:tc>
          <w:tcPr>
            <w:tcW w:w="868" w:type="dxa"/>
            <w:gridSpan w:val="2"/>
          </w:tcPr>
          <w:p w:rsidR="00AF2508" w:rsidRDefault="00AF2508">
            <w:pPr>
              <w:pStyle w:val="TableText"/>
              <w:jc w:val="center"/>
              <w:rPr>
                <w:sz w:val="20"/>
              </w:rPr>
            </w:pPr>
            <w:r>
              <w:rPr>
                <w:sz w:val="20"/>
              </w:rPr>
              <w:t>14</w:t>
            </w:r>
          </w:p>
        </w:tc>
        <w:tc>
          <w:tcPr>
            <w:tcW w:w="732"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8</w:t>
            </w:r>
          </w:p>
        </w:tc>
        <w:tc>
          <w:tcPr>
            <w:tcW w:w="760" w:type="dxa"/>
            <w:gridSpan w:val="2"/>
            <w:tcBorders>
              <w:left w:val="single" w:sz="6" w:space="0" w:color="auto"/>
            </w:tcBorders>
          </w:tcPr>
          <w:p w:rsidR="00AF2508" w:rsidRDefault="00AF2508">
            <w:pPr>
              <w:pStyle w:val="TableText"/>
              <w:jc w:val="center"/>
              <w:rPr>
                <w:sz w:val="20"/>
              </w:rPr>
            </w:pPr>
            <w:r>
              <w:rPr>
                <w:sz w:val="20"/>
              </w:rPr>
              <w:t>1</w:t>
            </w:r>
          </w:p>
        </w:tc>
        <w:tc>
          <w:tcPr>
            <w:tcW w:w="760" w:type="dxa"/>
            <w:tcBorders>
              <w:right w:val="single" w:sz="6" w:space="0" w:color="auto"/>
            </w:tcBorders>
          </w:tcPr>
          <w:p w:rsidR="00AF2508" w:rsidRDefault="00AF2508">
            <w:pPr>
              <w:pStyle w:val="TableText"/>
              <w:jc w:val="center"/>
              <w:rPr>
                <w:sz w:val="20"/>
              </w:rPr>
            </w:pPr>
            <w:r>
              <w:rPr>
                <w:sz w:val="20"/>
              </w:rPr>
              <w:t>0</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10</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5</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660" w:type="dxa"/>
            <w:gridSpan w:val="2"/>
          </w:tcPr>
          <w:p w:rsidR="00AF2508" w:rsidRDefault="00AF2508">
            <w:pPr>
              <w:pStyle w:val="TableText"/>
              <w:jc w:val="center"/>
              <w:rPr>
                <w:sz w:val="20"/>
              </w:rPr>
            </w:pPr>
            <w:r>
              <w:rPr>
                <w:sz w:val="20"/>
              </w:rPr>
              <w:t>1</w:t>
            </w:r>
          </w:p>
        </w:tc>
        <w:tc>
          <w:tcPr>
            <w:tcW w:w="852" w:type="dxa"/>
            <w:gridSpan w:val="2"/>
          </w:tcPr>
          <w:p w:rsidR="00AF2508" w:rsidRDefault="00AF2508">
            <w:pPr>
              <w:pStyle w:val="TableText"/>
              <w:jc w:val="center"/>
              <w:rPr>
                <w:sz w:val="20"/>
              </w:rPr>
            </w:pPr>
            <w:r>
              <w:rPr>
                <w:sz w:val="20"/>
              </w:rPr>
              <w:t>4</w:t>
            </w:r>
          </w:p>
        </w:tc>
        <w:tc>
          <w:tcPr>
            <w:tcW w:w="600" w:type="dxa"/>
            <w:gridSpan w:val="3"/>
            <w:tcBorders>
              <w:left w:val="single" w:sz="6" w:space="0" w:color="auto"/>
            </w:tcBorders>
          </w:tcPr>
          <w:p w:rsidR="00AF2508" w:rsidRDefault="00AF2508">
            <w:pPr>
              <w:pStyle w:val="TableText"/>
              <w:jc w:val="center"/>
              <w:rPr>
                <w:sz w:val="20"/>
              </w:rPr>
            </w:pPr>
            <w:r>
              <w:rPr>
                <w:sz w:val="20"/>
              </w:rPr>
              <w:t>2</w:t>
            </w:r>
          </w:p>
        </w:tc>
        <w:tc>
          <w:tcPr>
            <w:tcW w:w="708" w:type="dxa"/>
          </w:tcPr>
          <w:p w:rsidR="00AF2508" w:rsidRDefault="00AF2508">
            <w:pPr>
              <w:pStyle w:val="TableText"/>
              <w:jc w:val="center"/>
              <w:rPr>
                <w:sz w:val="20"/>
              </w:rPr>
            </w:pPr>
            <w:r>
              <w:rPr>
                <w:sz w:val="20"/>
              </w:rPr>
              <w:t>6</w:t>
            </w:r>
          </w:p>
        </w:tc>
        <w:tc>
          <w:tcPr>
            <w:tcW w:w="764" w:type="dxa"/>
            <w:tcBorders>
              <w:left w:val="single" w:sz="6" w:space="0" w:color="auto"/>
            </w:tcBorders>
          </w:tcPr>
          <w:p w:rsidR="00AF2508" w:rsidRDefault="00AF2508">
            <w:pPr>
              <w:pStyle w:val="TableText"/>
              <w:jc w:val="center"/>
              <w:rPr>
                <w:sz w:val="20"/>
              </w:rPr>
            </w:pPr>
            <w:r>
              <w:rPr>
                <w:sz w:val="20"/>
              </w:rPr>
              <w:t>2</w:t>
            </w:r>
          </w:p>
        </w:tc>
        <w:tc>
          <w:tcPr>
            <w:tcW w:w="868" w:type="dxa"/>
            <w:gridSpan w:val="2"/>
          </w:tcPr>
          <w:p w:rsidR="00AF2508" w:rsidRDefault="00AF2508">
            <w:pPr>
              <w:pStyle w:val="TableText"/>
              <w:jc w:val="center"/>
              <w:rPr>
                <w:sz w:val="20"/>
              </w:rPr>
            </w:pPr>
            <w:r>
              <w:rPr>
                <w:sz w:val="20"/>
              </w:rPr>
              <w:t>1</w:t>
            </w:r>
          </w:p>
        </w:tc>
        <w:tc>
          <w:tcPr>
            <w:tcW w:w="732"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14</w:t>
            </w:r>
          </w:p>
        </w:tc>
        <w:tc>
          <w:tcPr>
            <w:tcW w:w="760" w:type="dxa"/>
            <w:gridSpan w:val="2"/>
            <w:tcBorders>
              <w:left w:val="single" w:sz="6" w:space="0" w:color="auto"/>
            </w:tcBorders>
          </w:tcPr>
          <w:p w:rsidR="00AF2508" w:rsidRDefault="00AF2508">
            <w:pPr>
              <w:pStyle w:val="TableText"/>
              <w:jc w:val="center"/>
              <w:rPr>
                <w:sz w:val="20"/>
              </w:rPr>
            </w:pPr>
            <w:r>
              <w:rPr>
                <w:sz w:val="20"/>
              </w:rPr>
              <w:t>1</w:t>
            </w:r>
          </w:p>
        </w:tc>
        <w:tc>
          <w:tcPr>
            <w:tcW w:w="760" w:type="dxa"/>
            <w:tcBorders>
              <w:right w:val="single" w:sz="6" w:space="0" w:color="auto"/>
            </w:tcBorders>
          </w:tcPr>
          <w:p w:rsidR="00AF2508" w:rsidRDefault="00AF2508">
            <w:pPr>
              <w:pStyle w:val="TableText"/>
              <w:jc w:val="center"/>
              <w:rPr>
                <w:sz w:val="20"/>
              </w:rPr>
            </w:pPr>
            <w:r>
              <w:rPr>
                <w:sz w:val="20"/>
              </w:rPr>
              <w:t>4</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12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/4</w:t>
            </w:r>
          </w:p>
        </w:tc>
        <w:tc>
          <w:tcPr>
            <w:tcW w:w="948" w:type="dxa"/>
            <w:gridSpan w:val="3"/>
            <w:tcBorders>
              <w:right w:val="single" w:sz="6" w:space="0" w:color="auto"/>
            </w:tcBorders>
          </w:tcPr>
          <w:p w:rsidR="00AF2508" w:rsidRDefault="00AF2508">
            <w:pPr>
              <w:pStyle w:val="TableText"/>
              <w:jc w:val="center"/>
              <w:rPr>
                <w:sz w:val="20"/>
              </w:rPr>
            </w:pPr>
            <w:r>
              <w:rPr>
                <w:position w:val="4"/>
                <w:sz w:val="20"/>
              </w:rPr>
              <w:t>9</w:t>
            </w:r>
            <w:r>
              <w:rPr>
                <w:sz w:val="20"/>
              </w:rPr>
              <w:t xml:space="preserve">/16 </w:t>
            </w:r>
          </w:p>
        </w:tc>
        <w:tc>
          <w:tcPr>
            <w:tcW w:w="660" w:type="dxa"/>
            <w:gridSpan w:val="2"/>
          </w:tcPr>
          <w:p w:rsidR="00AF2508" w:rsidRDefault="00AF2508">
            <w:pPr>
              <w:pStyle w:val="TableText"/>
              <w:jc w:val="center"/>
              <w:rPr>
                <w:sz w:val="20"/>
              </w:rPr>
            </w:pPr>
            <w:r>
              <w:rPr>
                <w:sz w:val="20"/>
              </w:rPr>
              <w:t>1</w:t>
            </w:r>
          </w:p>
        </w:tc>
        <w:tc>
          <w:tcPr>
            <w:tcW w:w="852" w:type="dxa"/>
            <w:gridSpan w:val="2"/>
          </w:tcPr>
          <w:p w:rsidR="00AF2508" w:rsidRDefault="00AF2508">
            <w:pPr>
              <w:pStyle w:val="TableText"/>
              <w:jc w:val="center"/>
              <w:rPr>
                <w:sz w:val="20"/>
              </w:rPr>
            </w:pPr>
            <w:r>
              <w:rPr>
                <w:sz w:val="20"/>
              </w:rPr>
              <w:t>7</w:t>
            </w:r>
          </w:p>
        </w:tc>
        <w:tc>
          <w:tcPr>
            <w:tcW w:w="600" w:type="dxa"/>
            <w:gridSpan w:val="3"/>
            <w:tcBorders>
              <w:left w:val="single" w:sz="6" w:space="0" w:color="auto"/>
            </w:tcBorders>
          </w:tcPr>
          <w:p w:rsidR="00AF2508" w:rsidRDefault="00AF2508">
            <w:pPr>
              <w:pStyle w:val="TableText"/>
              <w:jc w:val="center"/>
              <w:rPr>
                <w:sz w:val="20"/>
              </w:rPr>
            </w:pPr>
            <w:r>
              <w:rPr>
                <w:sz w:val="20"/>
              </w:rPr>
              <w:t>2</w:t>
            </w:r>
          </w:p>
        </w:tc>
        <w:tc>
          <w:tcPr>
            <w:tcW w:w="708" w:type="dxa"/>
          </w:tcPr>
          <w:p w:rsidR="00AF2508" w:rsidRDefault="00AF2508">
            <w:pPr>
              <w:pStyle w:val="TableText"/>
              <w:jc w:val="center"/>
              <w:rPr>
                <w:sz w:val="20"/>
              </w:rPr>
            </w:pPr>
            <w:r>
              <w:rPr>
                <w:sz w:val="20"/>
              </w:rPr>
              <w:t>12</w:t>
            </w:r>
          </w:p>
        </w:tc>
        <w:tc>
          <w:tcPr>
            <w:tcW w:w="764" w:type="dxa"/>
            <w:tcBorders>
              <w:left w:val="single" w:sz="6" w:space="0" w:color="auto"/>
            </w:tcBorders>
          </w:tcPr>
          <w:p w:rsidR="00AF2508" w:rsidRDefault="00AF2508">
            <w:pPr>
              <w:pStyle w:val="TableText"/>
              <w:jc w:val="center"/>
              <w:rPr>
                <w:sz w:val="20"/>
              </w:rPr>
            </w:pPr>
            <w:r>
              <w:rPr>
                <w:sz w:val="20"/>
              </w:rPr>
              <w:t>2</w:t>
            </w:r>
          </w:p>
        </w:tc>
        <w:tc>
          <w:tcPr>
            <w:tcW w:w="868" w:type="dxa"/>
            <w:gridSpan w:val="2"/>
          </w:tcPr>
          <w:p w:rsidR="00AF2508" w:rsidRDefault="00AF2508">
            <w:pPr>
              <w:pStyle w:val="TableText"/>
              <w:jc w:val="center"/>
              <w:rPr>
                <w:sz w:val="20"/>
              </w:rPr>
            </w:pPr>
            <w:r>
              <w:rPr>
                <w:sz w:val="20"/>
              </w:rPr>
              <w:t>7</w:t>
            </w:r>
          </w:p>
        </w:tc>
        <w:tc>
          <w:tcPr>
            <w:tcW w:w="732"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18</w:t>
            </w:r>
          </w:p>
        </w:tc>
        <w:tc>
          <w:tcPr>
            <w:tcW w:w="760" w:type="dxa"/>
            <w:gridSpan w:val="2"/>
            <w:tcBorders>
              <w:left w:val="single" w:sz="6" w:space="0" w:color="auto"/>
            </w:tcBorders>
          </w:tcPr>
          <w:p w:rsidR="00AF2508" w:rsidRDefault="00AF2508">
            <w:pPr>
              <w:pStyle w:val="TableText"/>
              <w:jc w:val="center"/>
              <w:rPr>
                <w:sz w:val="20"/>
              </w:rPr>
            </w:pPr>
            <w:r>
              <w:rPr>
                <w:sz w:val="20"/>
              </w:rPr>
              <w:t>1</w:t>
            </w:r>
          </w:p>
        </w:tc>
        <w:tc>
          <w:tcPr>
            <w:tcW w:w="760" w:type="dxa"/>
            <w:tcBorders>
              <w:right w:val="single" w:sz="6" w:space="0" w:color="auto"/>
            </w:tcBorders>
          </w:tcPr>
          <w:p w:rsidR="00AF2508" w:rsidRDefault="00AF2508">
            <w:pPr>
              <w:pStyle w:val="TableText"/>
              <w:jc w:val="center"/>
              <w:rPr>
                <w:sz w:val="20"/>
              </w:rPr>
            </w:pPr>
            <w:r>
              <w:rPr>
                <w:sz w:val="20"/>
              </w:rPr>
              <w:t>7</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14</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7</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19</w:t>
            </w:r>
            <w:r>
              <w:rPr>
                <w:sz w:val="20"/>
              </w:rPr>
              <w:t xml:space="preserve">/32 </w:t>
            </w:r>
          </w:p>
        </w:tc>
        <w:tc>
          <w:tcPr>
            <w:tcW w:w="660" w:type="dxa"/>
            <w:gridSpan w:val="2"/>
          </w:tcPr>
          <w:p w:rsidR="00AF2508" w:rsidRDefault="00AF2508">
            <w:pPr>
              <w:pStyle w:val="TableText"/>
              <w:jc w:val="center"/>
              <w:rPr>
                <w:sz w:val="20"/>
              </w:rPr>
            </w:pPr>
            <w:r>
              <w:rPr>
                <w:sz w:val="20"/>
              </w:rPr>
              <w:t>1</w:t>
            </w:r>
          </w:p>
        </w:tc>
        <w:tc>
          <w:tcPr>
            <w:tcW w:w="852" w:type="dxa"/>
            <w:gridSpan w:val="2"/>
          </w:tcPr>
          <w:p w:rsidR="00AF2508" w:rsidRDefault="00AF2508">
            <w:pPr>
              <w:pStyle w:val="TableText"/>
              <w:jc w:val="center"/>
              <w:rPr>
                <w:sz w:val="20"/>
              </w:rPr>
            </w:pPr>
            <w:r>
              <w:rPr>
                <w:sz w:val="20"/>
              </w:rPr>
              <w:t>12</w:t>
            </w:r>
          </w:p>
        </w:tc>
        <w:tc>
          <w:tcPr>
            <w:tcW w:w="600" w:type="dxa"/>
            <w:gridSpan w:val="3"/>
            <w:tcBorders>
              <w:left w:val="single" w:sz="6" w:space="0" w:color="auto"/>
            </w:tcBorders>
          </w:tcPr>
          <w:p w:rsidR="00AF2508" w:rsidRDefault="00AF2508">
            <w:pPr>
              <w:pStyle w:val="TableText"/>
              <w:jc w:val="center"/>
              <w:rPr>
                <w:sz w:val="20"/>
              </w:rPr>
            </w:pPr>
            <w:r>
              <w:rPr>
                <w:sz w:val="20"/>
              </w:rPr>
              <w:t>3</w:t>
            </w:r>
          </w:p>
        </w:tc>
        <w:tc>
          <w:tcPr>
            <w:tcW w:w="708" w:type="dxa"/>
          </w:tcPr>
          <w:p w:rsidR="00AF2508" w:rsidRDefault="00AF2508">
            <w:pPr>
              <w:pStyle w:val="TableText"/>
              <w:jc w:val="center"/>
              <w:rPr>
                <w:sz w:val="20"/>
              </w:rPr>
            </w:pPr>
            <w:r>
              <w:rPr>
                <w:sz w:val="20"/>
              </w:rPr>
              <w:t>2</w:t>
            </w:r>
          </w:p>
        </w:tc>
        <w:tc>
          <w:tcPr>
            <w:tcW w:w="764" w:type="dxa"/>
            <w:tcBorders>
              <w:left w:val="single" w:sz="6" w:space="0" w:color="auto"/>
            </w:tcBorders>
          </w:tcPr>
          <w:p w:rsidR="00AF2508" w:rsidRDefault="00AF2508">
            <w:pPr>
              <w:pStyle w:val="TableText"/>
              <w:jc w:val="center"/>
              <w:rPr>
                <w:sz w:val="20"/>
              </w:rPr>
            </w:pPr>
            <w:r>
              <w:rPr>
                <w:sz w:val="20"/>
              </w:rPr>
              <w:t>2</w:t>
            </w:r>
          </w:p>
        </w:tc>
        <w:tc>
          <w:tcPr>
            <w:tcW w:w="868" w:type="dxa"/>
            <w:gridSpan w:val="2"/>
          </w:tcPr>
          <w:p w:rsidR="00AF2508" w:rsidRDefault="00AF2508">
            <w:pPr>
              <w:pStyle w:val="TableText"/>
              <w:jc w:val="center"/>
              <w:rPr>
                <w:sz w:val="20"/>
              </w:rPr>
            </w:pPr>
            <w:r>
              <w:rPr>
                <w:sz w:val="20"/>
              </w:rPr>
              <w:t>15</w:t>
            </w:r>
          </w:p>
        </w:tc>
        <w:tc>
          <w:tcPr>
            <w:tcW w:w="732"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5</w:t>
            </w:r>
          </w:p>
        </w:tc>
        <w:tc>
          <w:tcPr>
            <w:tcW w:w="760" w:type="dxa"/>
            <w:gridSpan w:val="2"/>
            <w:tcBorders>
              <w:left w:val="single" w:sz="6" w:space="0" w:color="auto"/>
            </w:tcBorders>
          </w:tcPr>
          <w:p w:rsidR="00AF2508" w:rsidRDefault="00AF2508">
            <w:pPr>
              <w:pStyle w:val="TableText"/>
              <w:jc w:val="center"/>
              <w:rPr>
                <w:sz w:val="20"/>
              </w:rPr>
            </w:pPr>
            <w:r>
              <w:rPr>
                <w:sz w:val="20"/>
              </w:rPr>
              <w:t>1</w:t>
            </w:r>
          </w:p>
        </w:tc>
        <w:tc>
          <w:tcPr>
            <w:tcW w:w="760" w:type="dxa"/>
            <w:tcBorders>
              <w:right w:val="single" w:sz="6" w:space="0" w:color="auto"/>
            </w:tcBorders>
          </w:tcPr>
          <w:p w:rsidR="00AF2508" w:rsidRDefault="00AF2508">
            <w:pPr>
              <w:pStyle w:val="TableText"/>
              <w:jc w:val="center"/>
              <w:rPr>
                <w:sz w:val="20"/>
              </w:rPr>
            </w:pPr>
            <w:r>
              <w:rPr>
                <w:sz w:val="20"/>
              </w:rPr>
              <w:t>12</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16</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p>
        </w:tc>
        <w:tc>
          <w:tcPr>
            <w:tcW w:w="948" w:type="dxa"/>
            <w:gridSpan w:val="3"/>
            <w:tcBorders>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660" w:type="dxa"/>
            <w:gridSpan w:val="2"/>
          </w:tcPr>
          <w:p w:rsidR="00AF2508" w:rsidRDefault="00AF2508">
            <w:pPr>
              <w:pStyle w:val="TableText"/>
              <w:jc w:val="center"/>
              <w:rPr>
                <w:sz w:val="20"/>
              </w:rPr>
            </w:pPr>
            <w:r>
              <w:rPr>
                <w:sz w:val="20"/>
              </w:rPr>
              <w:t>1</w:t>
            </w:r>
          </w:p>
        </w:tc>
        <w:tc>
          <w:tcPr>
            <w:tcW w:w="852" w:type="dxa"/>
            <w:gridSpan w:val="2"/>
          </w:tcPr>
          <w:p w:rsidR="00AF2508" w:rsidRDefault="00AF2508">
            <w:pPr>
              <w:pStyle w:val="TableText"/>
              <w:jc w:val="center"/>
              <w:rPr>
                <w:sz w:val="20"/>
              </w:rPr>
            </w:pPr>
            <w:r>
              <w:rPr>
                <w:sz w:val="20"/>
              </w:rPr>
              <w:t>17</w:t>
            </w:r>
          </w:p>
        </w:tc>
        <w:tc>
          <w:tcPr>
            <w:tcW w:w="600" w:type="dxa"/>
            <w:gridSpan w:val="3"/>
            <w:tcBorders>
              <w:left w:val="single" w:sz="6" w:space="0" w:color="auto"/>
            </w:tcBorders>
          </w:tcPr>
          <w:p w:rsidR="00AF2508" w:rsidRDefault="00AF2508">
            <w:pPr>
              <w:pStyle w:val="TableText"/>
              <w:jc w:val="center"/>
              <w:rPr>
                <w:sz w:val="20"/>
              </w:rPr>
            </w:pPr>
            <w:r>
              <w:rPr>
                <w:sz w:val="20"/>
              </w:rPr>
              <w:t>3</w:t>
            </w:r>
          </w:p>
        </w:tc>
        <w:tc>
          <w:tcPr>
            <w:tcW w:w="708" w:type="dxa"/>
          </w:tcPr>
          <w:p w:rsidR="00AF2508" w:rsidRDefault="00AF2508">
            <w:pPr>
              <w:pStyle w:val="TableText"/>
              <w:jc w:val="center"/>
              <w:rPr>
                <w:sz w:val="20"/>
              </w:rPr>
            </w:pPr>
            <w:r>
              <w:rPr>
                <w:sz w:val="20"/>
              </w:rPr>
              <w:t>11</w:t>
            </w:r>
          </w:p>
        </w:tc>
        <w:tc>
          <w:tcPr>
            <w:tcW w:w="764" w:type="dxa"/>
            <w:tcBorders>
              <w:left w:val="single" w:sz="6" w:space="0" w:color="auto"/>
            </w:tcBorders>
          </w:tcPr>
          <w:p w:rsidR="00AF2508" w:rsidRDefault="00AF2508">
            <w:pPr>
              <w:pStyle w:val="TableText"/>
              <w:jc w:val="center"/>
              <w:rPr>
                <w:sz w:val="20"/>
              </w:rPr>
            </w:pPr>
            <w:r>
              <w:rPr>
                <w:sz w:val="20"/>
              </w:rPr>
              <w:t>3</w:t>
            </w:r>
          </w:p>
        </w:tc>
        <w:tc>
          <w:tcPr>
            <w:tcW w:w="868" w:type="dxa"/>
            <w:gridSpan w:val="2"/>
          </w:tcPr>
          <w:p w:rsidR="00AF2508" w:rsidRDefault="00AF2508">
            <w:pPr>
              <w:pStyle w:val="TableText"/>
              <w:jc w:val="center"/>
              <w:rPr>
                <w:sz w:val="20"/>
              </w:rPr>
            </w:pPr>
            <w:r>
              <w:rPr>
                <w:sz w:val="20"/>
              </w:rPr>
              <w:t>4</w:t>
            </w:r>
          </w:p>
        </w:tc>
        <w:tc>
          <w:tcPr>
            <w:tcW w:w="732"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12</w:t>
            </w:r>
          </w:p>
        </w:tc>
        <w:tc>
          <w:tcPr>
            <w:tcW w:w="760" w:type="dxa"/>
            <w:gridSpan w:val="2"/>
            <w:tcBorders>
              <w:left w:val="single" w:sz="6" w:space="0" w:color="auto"/>
            </w:tcBorders>
          </w:tcPr>
          <w:p w:rsidR="00AF2508" w:rsidRDefault="00AF2508">
            <w:pPr>
              <w:pStyle w:val="TableText"/>
              <w:jc w:val="center"/>
              <w:rPr>
                <w:sz w:val="20"/>
              </w:rPr>
            </w:pPr>
            <w:r>
              <w:rPr>
                <w:sz w:val="20"/>
              </w:rPr>
              <w:t>1</w:t>
            </w:r>
          </w:p>
        </w:tc>
        <w:tc>
          <w:tcPr>
            <w:tcW w:w="760" w:type="dxa"/>
            <w:tcBorders>
              <w:right w:val="single" w:sz="6" w:space="0" w:color="auto"/>
            </w:tcBorders>
          </w:tcPr>
          <w:p w:rsidR="00AF2508" w:rsidRDefault="00AF2508">
            <w:pPr>
              <w:pStyle w:val="TableText"/>
              <w:jc w:val="center"/>
              <w:rPr>
                <w:sz w:val="20"/>
              </w:rPr>
            </w:pPr>
            <w:r>
              <w:rPr>
                <w:sz w:val="20"/>
              </w:rPr>
              <w:t>17</w:t>
            </w:r>
          </w:p>
        </w:tc>
        <w:tc>
          <w:tcPr>
            <w:tcW w:w="800" w:type="dxa"/>
            <w:gridSpan w:val="2"/>
          </w:tcPr>
          <w:p w:rsidR="00AF2508" w:rsidRDefault="00AF2508">
            <w:pPr>
              <w:pStyle w:val="TableText"/>
              <w:jc w:val="center"/>
              <w:rPr>
                <w:sz w:val="20"/>
              </w:rPr>
            </w:pPr>
            <w:r>
              <w:rPr>
                <w:sz w:val="20"/>
              </w:rPr>
              <w:t>0</w:t>
            </w:r>
          </w:p>
        </w:tc>
        <w:tc>
          <w:tcPr>
            <w:tcW w:w="674" w:type="dxa"/>
            <w:gridSpan w:val="2"/>
          </w:tcPr>
          <w:p w:rsidR="00AF2508" w:rsidRDefault="00AF2508">
            <w:pPr>
              <w:pStyle w:val="TableText"/>
              <w:jc w:val="center"/>
              <w:rPr>
                <w:sz w:val="20"/>
              </w:rPr>
            </w:pPr>
            <w:r>
              <w:rPr>
                <w:sz w:val="20"/>
              </w:rPr>
              <w:t>19</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/8</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11</w:t>
            </w:r>
            <w:r>
              <w:rPr>
                <w:sz w:val="20"/>
              </w:rPr>
              <w:t xml:space="preserve">/16 </w:t>
            </w:r>
          </w:p>
        </w:tc>
        <w:tc>
          <w:tcPr>
            <w:tcW w:w="660" w:type="dxa"/>
            <w:gridSpan w:val="2"/>
          </w:tcPr>
          <w:p w:rsidR="00AF2508" w:rsidRDefault="00AF2508">
            <w:pPr>
              <w:pStyle w:val="TableText"/>
              <w:jc w:val="center"/>
              <w:rPr>
                <w:sz w:val="20"/>
              </w:rPr>
            </w:pPr>
            <w:r>
              <w:rPr>
                <w:sz w:val="20"/>
              </w:rPr>
              <w:t>2</w:t>
            </w:r>
          </w:p>
        </w:tc>
        <w:tc>
          <w:tcPr>
            <w:tcW w:w="852" w:type="dxa"/>
            <w:gridSpan w:val="2"/>
          </w:tcPr>
          <w:p w:rsidR="00AF2508" w:rsidRDefault="00AF2508">
            <w:pPr>
              <w:pStyle w:val="TableText"/>
              <w:jc w:val="center"/>
              <w:rPr>
                <w:sz w:val="20"/>
              </w:rPr>
            </w:pPr>
            <w:r>
              <w:rPr>
                <w:sz w:val="20"/>
              </w:rPr>
              <w:t>1</w:t>
            </w:r>
          </w:p>
        </w:tc>
        <w:tc>
          <w:tcPr>
            <w:tcW w:w="600" w:type="dxa"/>
            <w:gridSpan w:val="3"/>
            <w:tcBorders>
              <w:left w:val="single" w:sz="6" w:space="0" w:color="auto"/>
            </w:tcBorders>
          </w:tcPr>
          <w:p w:rsidR="00AF2508" w:rsidRDefault="00AF2508">
            <w:pPr>
              <w:pStyle w:val="TableText"/>
              <w:jc w:val="center"/>
              <w:rPr>
                <w:sz w:val="20"/>
              </w:rPr>
            </w:pPr>
            <w:r>
              <w:rPr>
                <w:sz w:val="20"/>
              </w:rPr>
              <w:t>3</w:t>
            </w:r>
          </w:p>
        </w:tc>
        <w:tc>
          <w:tcPr>
            <w:tcW w:w="708" w:type="dxa"/>
          </w:tcPr>
          <w:p w:rsidR="00AF2508" w:rsidRDefault="00AF2508">
            <w:pPr>
              <w:pStyle w:val="TableText"/>
              <w:jc w:val="center"/>
              <w:rPr>
                <w:sz w:val="20"/>
              </w:rPr>
            </w:pPr>
            <w:r>
              <w:rPr>
                <w:sz w:val="20"/>
              </w:rPr>
              <w:t>19</w:t>
            </w:r>
          </w:p>
        </w:tc>
        <w:tc>
          <w:tcPr>
            <w:tcW w:w="764" w:type="dxa"/>
            <w:tcBorders>
              <w:left w:val="single" w:sz="6" w:space="0" w:color="auto"/>
            </w:tcBorders>
          </w:tcPr>
          <w:p w:rsidR="00AF2508" w:rsidRDefault="00AF2508">
            <w:pPr>
              <w:pStyle w:val="TableText"/>
              <w:jc w:val="center"/>
              <w:rPr>
                <w:sz w:val="20"/>
              </w:rPr>
            </w:pPr>
            <w:r>
              <w:rPr>
                <w:sz w:val="20"/>
              </w:rPr>
              <w:t>3</w:t>
            </w:r>
          </w:p>
        </w:tc>
        <w:tc>
          <w:tcPr>
            <w:tcW w:w="868" w:type="dxa"/>
            <w:gridSpan w:val="2"/>
          </w:tcPr>
          <w:p w:rsidR="00AF2508" w:rsidRDefault="00AF2508">
            <w:pPr>
              <w:pStyle w:val="TableText"/>
              <w:jc w:val="center"/>
              <w:rPr>
                <w:sz w:val="20"/>
              </w:rPr>
            </w:pPr>
            <w:r>
              <w:rPr>
                <w:sz w:val="20"/>
              </w:rPr>
              <w:t>11</w:t>
            </w:r>
          </w:p>
        </w:tc>
        <w:tc>
          <w:tcPr>
            <w:tcW w:w="732"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18</w:t>
            </w:r>
          </w:p>
        </w:tc>
        <w:tc>
          <w:tcPr>
            <w:tcW w:w="760" w:type="dxa"/>
            <w:gridSpan w:val="2"/>
            <w:tcBorders>
              <w:left w:val="single" w:sz="6" w:space="0" w:color="auto"/>
            </w:tcBorders>
          </w:tcPr>
          <w:p w:rsidR="00AF2508" w:rsidRDefault="00AF2508">
            <w:pPr>
              <w:pStyle w:val="TableText"/>
              <w:jc w:val="center"/>
              <w:rPr>
                <w:sz w:val="20"/>
              </w:rPr>
            </w:pPr>
            <w:r>
              <w:rPr>
                <w:sz w:val="20"/>
              </w:rPr>
              <w:t>2</w:t>
            </w:r>
          </w:p>
        </w:tc>
        <w:tc>
          <w:tcPr>
            <w:tcW w:w="760" w:type="dxa"/>
            <w:tcBorders>
              <w:right w:val="single" w:sz="6" w:space="0" w:color="auto"/>
            </w:tcBorders>
          </w:tcPr>
          <w:p w:rsidR="00AF2508" w:rsidRDefault="00AF2508">
            <w:pPr>
              <w:pStyle w:val="TableText"/>
              <w:jc w:val="center"/>
              <w:rPr>
                <w:sz w:val="20"/>
              </w:rPr>
            </w:pPr>
            <w:r>
              <w:rPr>
                <w:sz w:val="20"/>
              </w:rPr>
              <w:t>1</w:t>
            </w:r>
          </w:p>
        </w:tc>
        <w:tc>
          <w:tcPr>
            <w:tcW w:w="800" w:type="dxa"/>
            <w:gridSpan w:val="2"/>
          </w:tcPr>
          <w:p w:rsidR="00AF2508" w:rsidRDefault="00AF2508">
            <w:pPr>
              <w:pStyle w:val="TableText"/>
              <w:jc w:val="center"/>
              <w:rPr>
                <w:sz w:val="20"/>
              </w:rPr>
            </w:pPr>
            <w:r>
              <w:rPr>
                <w:sz w:val="20"/>
              </w:rPr>
              <w:t>1</w:t>
            </w:r>
          </w:p>
        </w:tc>
        <w:tc>
          <w:tcPr>
            <w:tcW w:w="674" w:type="dxa"/>
            <w:gridSpan w:val="2"/>
          </w:tcPr>
          <w:p w:rsidR="00AF2508" w:rsidRDefault="00AF2508">
            <w:pPr>
              <w:pStyle w:val="TableText"/>
              <w:jc w:val="center"/>
              <w:rPr>
                <w:sz w:val="20"/>
              </w:rPr>
            </w:pPr>
            <w:r>
              <w:rPr>
                <w:sz w:val="20"/>
              </w:rPr>
              <w:t>1</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/4</w:t>
            </w:r>
          </w:p>
        </w:tc>
        <w:tc>
          <w:tcPr>
            <w:tcW w:w="948" w:type="dxa"/>
            <w:gridSpan w:val="3"/>
            <w:tcBorders>
              <w:right w:val="single" w:sz="6" w:space="0" w:color="auto"/>
            </w:tcBorders>
          </w:tcPr>
          <w:p w:rsidR="00AF2508" w:rsidRDefault="00AF2508">
            <w:pPr>
              <w:pStyle w:val="TableText"/>
              <w:jc w:val="center"/>
              <w:rPr>
                <w:sz w:val="20"/>
              </w:rPr>
            </w:pPr>
            <w:r>
              <w:rPr>
                <w:position w:val="4"/>
                <w:sz w:val="20"/>
              </w:rPr>
              <w:t>23</w:t>
            </w:r>
            <w:r>
              <w:rPr>
                <w:sz w:val="20"/>
              </w:rPr>
              <w:t xml:space="preserve">/32 </w:t>
            </w:r>
          </w:p>
        </w:tc>
        <w:tc>
          <w:tcPr>
            <w:tcW w:w="660" w:type="dxa"/>
            <w:gridSpan w:val="2"/>
          </w:tcPr>
          <w:p w:rsidR="00AF2508" w:rsidRDefault="00AF2508">
            <w:pPr>
              <w:pStyle w:val="TableText"/>
              <w:jc w:val="center"/>
              <w:rPr>
                <w:sz w:val="20"/>
              </w:rPr>
            </w:pPr>
            <w:r>
              <w:rPr>
                <w:sz w:val="20"/>
              </w:rPr>
              <w:t>2</w:t>
            </w:r>
          </w:p>
        </w:tc>
        <w:tc>
          <w:tcPr>
            <w:tcW w:w="852" w:type="dxa"/>
            <w:gridSpan w:val="2"/>
          </w:tcPr>
          <w:p w:rsidR="00AF2508" w:rsidRDefault="00AF2508">
            <w:pPr>
              <w:pStyle w:val="TableText"/>
              <w:jc w:val="center"/>
              <w:rPr>
                <w:sz w:val="20"/>
              </w:rPr>
            </w:pPr>
            <w:r>
              <w:rPr>
                <w:sz w:val="20"/>
              </w:rPr>
              <w:t>6</w:t>
            </w:r>
          </w:p>
        </w:tc>
        <w:tc>
          <w:tcPr>
            <w:tcW w:w="600" w:type="dxa"/>
            <w:gridSpan w:val="3"/>
            <w:tcBorders>
              <w:left w:val="single" w:sz="6" w:space="0" w:color="auto"/>
            </w:tcBorders>
          </w:tcPr>
          <w:p w:rsidR="00AF2508" w:rsidRDefault="00AF2508">
            <w:pPr>
              <w:pStyle w:val="TableText"/>
              <w:jc w:val="center"/>
              <w:rPr>
                <w:sz w:val="20"/>
              </w:rPr>
            </w:pPr>
            <w:r>
              <w:rPr>
                <w:sz w:val="20"/>
              </w:rPr>
              <w:t>4</w:t>
            </w:r>
          </w:p>
        </w:tc>
        <w:tc>
          <w:tcPr>
            <w:tcW w:w="708" w:type="dxa"/>
          </w:tcPr>
          <w:p w:rsidR="00AF2508" w:rsidRDefault="00AF2508">
            <w:pPr>
              <w:pStyle w:val="TableText"/>
              <w:jc w:val="center"/>
              <w:rPr>
                <w:sz w:val="20"/>
              </w:rPr>
            </w:pPr>
            <w:r>
              <w:rPr>
                <w:sz w:val="20"/>
              </w:rPr>
              <w:t>9</w:t>
            </w:r>
          </w:p>
        </w:tc>
        <w:tc>
          <w:tcPr>
            <w:tcW w:w="764" w:type="dxa"/>
            <w:tcBorders>
              <w:left w:val="single" w:sz="6" w:space="0" w:color="auto"/>
            </w:tcBorders>
          </w:tcPr>
          <w:p w:rsidR="00AF2508" w:rsidRDefault="00AF2508">
            <w:pPr>
              <w:pStyle w:val="TableText"/>
              <w:jc w:val="center"/>
              <w:rPr>
                <w:sz w:val="20"/>
              </w:rPr>
            </w:pPr>
            <w:r>
              <w:rPr>
                <w:sz w:val="20"/>
              </w:rPr>
              <w:t>4</w:t>
            </w:r>
          </w:p>
        </w:tc>
        <w:tc>
          <w:tcPr>
            <w:tcW w:w="868" w:type="dxa"/>
            <w:gridSpan w:val="2"/>
          </w:tcPr>
          <w:p w:rsidR="00AF2508" w:rsidRDefault="00AF2508">
            <w:pPr>
              <w:pStyle w:val="TableText"/>
              <w:jc w:val="center"/>
              <w:rPr>
                <w:sz w:val="20"/>
              </w:rPr>
            </w:pPr>
            <w:r>
              <w:rPr>
                <w:sz w:val="20"/>
              </w:rPr>
              <w:t>0</w:t>
            </w:r>
          </w:p>
        </w:tc>
        <w:tc>
          <w:tcPr>
            <w:tcW w:w="732" w:type="dxa"/>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5</w:t>
            </w:r>
          </w:p>
        </w:tc>
        <w:tc>
          <w:tcPr>
            <w:tcW w:w="760" w:type="dxa"/>
            <w:gridSpan w:val="2"/>
            <w:tcBorders>
              <w:left w:val="single" w:sz="6" w:space="0" w:color="auto"/>
            </w:tcBorders>
          </w:tcPr>
          <w:p w:rsidR="00AF2508" w:rsidRDefault="00AF2508">
            <w:pPr>
              <w:pStyle w:val="TableText"/>
              <w:jc w:val="center"/>
              <w:rPr>
                <w:sz w:val="20"/>
              </w:rPr>
            </w:pPr>
            <w:r>
              <w:rPr>
                <w:sz w:val="20"/>
              </w:rPr>
              <w:t>2</w:t>
            </w:r>
          </w:p>
        </w:tc>
        <w:tc>
          <w:tcPr>
            <w:tcW w:w="760" w:type="dxa"/>
            <w:tcBorders>
              <w:right w:val="single" w:sz="6" w:space="0" w:color="auto"/>
            </w:tcBorders>
          </w:tcPr>
          <w:p w:rsidR="00AF2508" w:rsidRDefault="00AF2508">
            <w:pPr>
              <w:pStyle w:val="TableText"/>
              <w:jc w:val="center"/>
              <w:rPr>
                <w:sz w:val="20"/>
              </w:rPr>
            </w:pPr>
            <w:r>
              <w:rPr>
                <w:sz w:val="20"/>
              </w:rPr>
              <w:t>6</w:t>
            </w:r>
          </w:p>
        </w:tc>
        <w:tc>
          <w:tcPr>
            <w:tcW w:w="800" w:type="dxa"/>
            <w:gridSpan w:val="2"/>
          </w:tcPr>
          <w:p w:rsidR="00AF2508" w:rsidRDefault="00AF2508">
            <w:pPr>
              <w:pStyle w:val="TableText"/>
              <w:jc w:val="center"/>
              <w:rPr>
                <w:sz w:val="20"/>
              </w:rPr>
            </w:pPr>
            <w:r>
              <w:rPr>
                <w:sz w:val="20"/>
              </w:rPr>
              <w:t>1</w:t>
            </w:r>
          </w:p>
        </w:tc>
        <w:tc>
          <w:tcPr>
            <w:tcW w:w="674" w:type="dxa"/>
            <w:gridSpan w:val="2"/>
          </w:tcPr>
          <w:p w:rsidR="00AF2508" w:rsidRDefault="00AF2508">
            <w:pPr>
              <w:pStyle w:val="TableText"/>
              <w:jc w:val="center"/>
              <w:rPr>
                <w:sz w:val="20"/>
              </w:rPr>
            </w:pPr>
            <w:r>
              <w:rPr>
                <w:sz w:val="20"/>
              </w:rPr>
              <w:t>4</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/8</w:t>
            </w:r>
          </w:p>
        </w:tc>
        <w:tc>
          <w:tcPr>
            <w:tcW w:w="948" w:type="dxa"/>
            <w:gridSpan w:val="3"/>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660" w:type="dxa"/>
            <w:gridSpan w:val="2"/>
          </w:tcPr>
          <w:p w:rsidR="00AF2508" w:rsidRDefault="00AF2508">
            <w:pPr>
              <w:pStyle w:val="TableText"/>
              <w:jc w:val="center"/>
              <w:rPr>
                <w:sz w:val="20"/>
              </w:rPr>
            </w:pPr>
            <w:r>
              <w:rPr>
                <w:sz w:val="20"/>
              </w:rPr>
              <w:t>2</w:t>
            </w:r>
          </w:p>
        </w:tc>
        <w:tc>
          <w:tcPr>
            <w:tcW w:w="852" w:type="dxa"/>
            <w:gridSpan w:val="2"/>
          </w:tcPr>
          <w:p w:rsidR="00AF2508" w:rsidRDefault="00AF2508">
            <w:pPr>
              <w:pStyle w:val="TableText"/>
              <w:jc w:val="center"/>
              <w:rPr>
                <w:sz w:val="20"/>
              </w:rPr>
            </w:pPr>
            <w:r>
              <w:rPr>
                <w:sz w:val="20"/>
              </w:rPr>
              <w:t>12</w:t>
            </w:r>
          </w:p>
        </w:tc>
        <w:tc>
          <w:tcPr>
            <w:tcW w:w="600" w:type="dxa"/>
            <w:gridSpan w:val="3"/>
            <w:tcBorders>
              <w:left w:val="single" w:sz="6" w:space="0" w:color="auto"/>
            </w:tcBorders>
          </w:tcPr>
          <w:p w:rsidR="00AF2508" w:rsidRDefault="00AF2508">
            <w:pPr>
              <w:pStyle w:val="TableText"/>
              <w:jc w:val="center"/>
              <w:rPr>
                <w:sz w:val="20"/>
              </w:rPr>
            </w:pPr>
            <w:r>
              <w:rPr>
                <w:sz w:val="20"/>
              </w:rPr>
              <w:t>5</w:t>
            </w:r>
          </w:p>
        </w:tc>
        <w:tc>
          <w:tcPr>
            <w:tcW w:w="708" w:type="dxa"/>
          </w:tcPr>
          <w:p w:rsidR="00AF2508" w:rsidRDefault="00AF2508">
            <w:pPr>
              <w:pStyle w:val="TableText"/>
              <w:jc w:val="center"/>
              <w:rPr>
                <w:sz w:val="20"/>
              </w:rPr>
            </w:pPr>
            <w:r>
              <w:rPr>
                <w:sz w:val="20"/>
              </w:rPr>
              <w:t>0</w:t>
            </w:r>
          </w:p>
        </w:tc>
        <w:tc>
          <w:tcPr>
            <w:tcW w:w="764" w:type="dxa"/>
            <w:tcBorders>
              <w:left w:val="single" w:sz="6" w:space="0" w:color="auto"/>
            </w:tcBorders>
          </w:tcPr>
          <w:p w:rsidR="00AF2508" w:rsidRDefault="00AF2508">
            <w:pPr>
              <w:pStyle w:val="TableText"/>
              <w:jc w:val="center"/>
              <w:rPr>
                <w:sz w:val="20"/>
              </w:rPr>
            </w:pPr>
            <w:r>
              <w:rPr>
                <w:sz w:val="20"/>
              </w:rPr>
              <w:t>4</w:t>
            </w:r>
          </w:p>
        </w:tc>
        <w:tc>
          <w:tcPr>
            <w:tcW w:w="868" w:type="dxa"/>
            <w:gridSpan w:val="2"/>
          </w:tcPr>
          <w:p w:rsidR="00AF2508" w:rsidRDefault="00AF2508">
            <w:pPr>
              <w:pStyle w:val="TableText"/>
              <w:jc w:val="center"/>
              <w:rPr>
                <w:sz w:val="20"/>
              </w:rPr>
            </w:pPr>
            <w:r>
              <w:rPr>
                <w:sz w:val="20"/>
              </w:rPr>
              <w:t>10</w:t>
            </w:r>
          </w:p>
        </w:tc>
        <w:tc>
          <w:tcPr>
            <w:tcW w:w="732" w:type="dxa"/>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14</w:t>
            </w:r>
          </w:p>
        </w:tc>
        <w:tc>
          <w:tcPr>
            <w:tcW w:w="760" w:type="dxa"/>
            <w:gridSpan w:val="2"/>
            <w:tcBorders>
              <w:left w:val="single" w:sz="6" w:space="0" w:color="auto"/>
            </w:tcBorders>
          </w:tcPr>
          <w:p w:rsidR="00AF2508" w:rsidRDefault="00AF2508">
            <w:pPr>
              <w:pStyle w:val="TableText"/>
              <w:jc w:val="center"/>
              <w:rPr>
                <w:sz w:val="20"/>
              </w:rPr>
            </w:pPr>
            <w:r>
              <w:rPr>
                <w:sz w:val="20"/>
              </w:rPr>
              <w:t>2</w:t>
            </w:r>
          </w:p>
        </w:tc>
        <w:tc>
          <w:tcPr>
            <w:tcW w:w="760" w:type="dxa"/>
            <w:tcBorders>
              <w:right w:val="single" w:sz="6" w:space="0" w:color="auto"/>
            </w:tcBorders>
          </w:tcPr>
          <w:p w:rsidR="00AF2508" w:rsidRDefault="00AF2508">
            <w:pPr>
              <w:pStyle w:val="TableText"/>
              <w:jc w:val="center"/>
              <w:rPr>
                <w:sz w:val="20"/>
              </w:rPr>
            </w:pPr>
            <w:r>
              <w:rPr>
                <w:sz w:val="20"/>
              </w:rPr>
              <w:t>12</w:t>
            </w:r>
          </w:p>
        </w:tc>
        <w:tc>
          <w:tcPr>
            <w:tcW w:w="800" w:type="dxa"/>
            <w:gridSpan w:val="2"/>
          </w:tcPr>
          <w:p w:rsidR="00AF2508" w:rsidRDefault="00AF2508">
            <w:pPr>
              <w:pStyle w:val="TableText"/>
              <w:jc w:val="center"/>
              <w:rPr>
                <w:sz w:val="20"/>
              </w:rPr>
            </w:pPr>
            <w:r>
              <w:rPr>
                <w:sz w:val="20"/>
              </w:rPr>
              <w:t>1</w:t>
            </w:r>
          </w:p>
        </w:tc>
        <w:tc>
          <w:tcPr>
            <w:tcW w:w="674" w:type="dxa"/>
            <w:gridSpan w:val="2"/>
          </w:tcPr>
          <w:p w:rsidR="00AF2508" w:rsidRDefault="00AF2508">
            <w:pPr>
              <w:pStyle w:val="TableText"/>
              <w:jc w:val="center"/>
              <w:rPr>
                <w:sz w:val="20"/>
              </w:rPr>
            </w:pPr>
            <w:r>
              <w:rPr>
                <w:sz w:val="20"/>
              </w:rPr>
              <w:t>7</w:t>
            </w:r>
          </w:p>
        </w:tc>
      </w:tr>
      <w:tr w:rsidR="00AF2508">
        <w:trPr>
          <w:cantSplit/>
          <w:trHeight w:val="200"/>
        </w:trPr>
        <w:tc>
          <w:tcPr>
            <w:tcW w:w="968" w:type="dxa"/>
          </w:tcPr>
          <w:p w:rsidR="00AF2508" w:rsidRDefault="00AF2508">
            <w:pPr>
              <w:pStyle w:val="TableText"/>
              <w:jc w:val="center"/>
              <w:rPr>
                <w:sz w:val="20"/>
              </w:rPr>
            </w:pPr>
            <w:r>
              <w:rPr>
                <w:sz w:val="20"/>
              </w:rPr>
              <w:t>2</w:t>
            </w:r>
            <w:r>
              <w:rPr>
                <w:position w:val="4"/>
                <w:sz w:val="20"/>
              </w:rPr>
              <w:t>1</w:t>
            </w:r>
            <w:r>
              <w:rPr>
                <w:sz w:val="20"/>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position w:val="4"/>
                <w:sz w:val="20"/>
              </w:rPr>
              <w:t>13</w:t>
            </w:r>
            <w:r>
              <w:rPr>
                <w:sz w:val="20"/>
              </w:rPr>
              <w:t xml:space="preserve">/16 </w:t>
            </w:r>
          </w:p>
        </w:tc>
        <w:tc>
          <w:tcPr>
            <w:tcW w:w="660" w:type="dxa"/>
            <w:gridSpan w:val="2"/>
          </w:tcPr>
          <w:p w:rsidR="00AF2508" w:rsidRDefault="00AF2508">
            <w:pPr>
              <w:pStyle w:val="TableText"/>
              <w:jc w:val="center"/>
              <w:rPr>
                <w:sz w:val="20"/>
              </w:rPr>
            </w:pPr>
            <w:r>
              <w:rPr>
                <w:sz w:val="20"/>
              </w:rPr>
              <w:t>2</w:t>
            </w:r>
          </w:p>
        </w:tc>
        <w:tc>
          <w:tcPr>
            <w:tcW w:w="852" w:type="dxa"/>
            <w:gridSpan w:val="2"/>
          </w:tcPr>
          <w:p w:rsidR="00AF2508" w:rsidRDefault="00AF2508">
            <w:pPr>
              <w:pStyle w:val="TableText"/>
              <w:jc w:val="center"/>
              <w:rPr>
                <w:sz w:val="20"/>
              </w:rPr>
            </w:pPr>
            <w:r>
              <w:rPr>
                <w:sz w:val="20"/>
              </w:rPr>
              <w:t>16</w:t>
            </w:r>
          </w:p>
        </w:tc>
        <w:tc>
          <w:tcPr>
            <w:tcW w:w="600" w:type="dxa"/>
            <w:gridSpan w:val="3"/>
            <w:tcBorders>
              <w:left w:val="single" w:sz="6" w:space="0" w:color="auto"/>
            </w:tcBorders>
          </w:tcPr>
          <w:p w:rsidR="00AF2508" w:rsidRDefault="00AF2508">
            <w:pPr>
              <w:pStyle w:val="TableText"/>
              <w:jc w:val="center"/>
              <w:rPr>
                <w:sz w:val="20"/>
              </w:rPr>
            </w:pPr>
            <w:r>
              <w:rPr>
                <w:sz w:val="20"/>
              </w:rPr>
              <w:t>5</w:t>
            </w:r>
          </w:p>
        </w:tc>
        <w:tc>
          <w:tcPr>
            <w:tcW w:w="708" w:type="dxa"/>
          </w:tcPr>
          <w:p w:rsidR="00AF2508" w:rsidRDefault="00AF2508">
            <w:pPr>
              <w:pStyle w:val="TableText"/>
              <w:jc w:val="center"/>
              <w:rPr>
                <w:sz w:val="20"/>
              </w:rPr>
            </w:pPr>
            <w:r>
              <w:rPr>
                <w:sz w:val="20"/>
              </w:rPr>
              <w:t>8</w:t>
            </w:r>
          </w:p>
        </w:tc>
        <w:tc>
          <w:tcPr>
            <w:tcW w:w="764" w:type="dxa"/>
            <w:tcBorders>
              <w:left w:val="single" w:sz="6" w:space="0" w:color="auto"/>
            </w:tcBorders>
          </w:tcPr>
          <w:p w:rsidR="00AF2508" w:rsidRDefault="00AF2508">
            <w:pPr>
              <w:pStyle w:val="TableText"/>
              <w:jc w:val="center"/>
              <w:rPr>
                <w:sz w:val="20"/>
              </w:rPr>
            </w:pPr>
            <w:r>
              <w:rPr>
                <w:sz w:val="20"/>
              </w:rPr>
              <w:t>4</w:t>
            </w:r>
          </w:p>
        </w:tc>
        <w:tc>
          <w:tcPr>
            <w:tcW w:w="868" w:type="dxa"/>
            <w:gridSpan w:val="2"/>
          </w:tcPr>
          <w:p w:rsidR="00AF2508" w:rsidRDefault="00AF2508">
            <w:pPr>
              <w:pStyle w:val="TableText"/>
              <w:jc w:val="center"/>
              <w:rPr>
                <w:sz w:val="20"/>
              </w:rPr>
            </w:pPr>
            <w:r>
              <w:rPr>
                <w:sz w:val="20"/>
              </w:rPr>
              <w:t>18</w:t>
            </w:r>
          </w:p>
        </w:tc>
        <w:tc>
          <w:tcPr>
            <w:tcW w:w="732" w:type="dxa"/>
            <w:tcBorders>
              <w:left w:val="single" w:sz="6" w:space="0" w:color="auto"/>
            </w:tcBorders>
          </w:tcPr>
          <w:p w:rsidR="00AF2508" w:rsidRDefault="00AF2508">
            <w:pPr>
              <w:pStyle w:val="TableText"/>
              <w:jc w:val="center"/>
              <w:rPr>
                <w:sz w:val="20"/>
              </w:rPr>
            </w:pPr>
            <w:r>
              <w:rPr>
                <w:sz w:val="20"/>
              </w:rPr>
              <w:t>4</w:t>
            </w:r>
          </w:p>
        </w:tc>
        <w:tc>
          <w:tcPr>
            <w:tcW w:w="786" w:type="dxa"/>
            <w:gridSpan w:val="2"/>
          </w:tcPr>
          <w:p w:rsidR="00AF2508" w:rsidRDefault="00AF2508">
            <w:pPr>
              <w:pStyle w:val="TableText"/>
              <w:jc w:val="center"/>
              <w:rPr>
                <w:sz w:val="20"/>
              </w:rPr>
            </w:pPr>
            <w:r>
              <w:rPr>
                <w:sz w:val="20"/>
              </w:rPr>
              <w:t>0</w:t>
            </w:r>
          </w:p>
        </w:tc>
        <w:tc>
          <w:tcPr>
            <w:tcW w:w="760" w:type="dxa"/>
            <w:gridSpan w:val="2"/>
            <w:tcBorders>
              <w:left w:val="single" w:sz="6" w:space="0" w:color="auto"/>
            </w:tcBorders>
          </w:tcPr>
          <w:p w:rsidR="00AF2508" w:rsidRDefault="00AF2508">
            <w:pPr>
              <w:pStyle w:val="TableText"/>
              <w:jc w:val="center"/>
              <w:rPr>
                <w:sz w:val="20"/>
              </w:rPr>
            </w:pPr>
            <w:r>
              <w:rPr>
                <w:sz w:val="20"/>
              </w:rPr>
              <w:t>2</w:t>
            </w:r>
          </w:p>
        </w:tc>
        <w:tc>
          <w:tcPr>
            <w:tcW w:w="760" w:type="dxa"/>
          </w:tcPr>
          <w:p w:rsidR="00AF2508" w:rsidRDefault="00AF2508">
            <w:pPr>
              <w:pStyle w:val="TableText"/>
              <w:jc w:val="center"/>
              <w:rPr>
                <w:sz w:val="20"/>
              </w:rPr>
            </w:pPr>
            <w:r>
              <w:rPr>
                <w:sz w:val="20"/>
              </w:rPr>
              <w:t>17</w:t>
            </w:r>
          </w:p>
        </w:tc>
        <w:tc>
          <w:tcPr>
            <w:tcW w:w="800" w:type="dxa"/>
            <w:gridSpan w:val="2"/>
            <w:tcBorders>
              <w:left w:val="single" w:sz="6" w:space="0" w:color="auto"/>
            </w:tcBorders>
          </w:tcPr>
          <w:p w:rsidR="00AF2508" w:rsidRDefault="00AF2508">
            <w:pPr>
              <w:pStyle w:val="TableText"/>
              <w:jc w:val="center"/>
              <w:rPr>
                <w:sz w:val="20"/>
              </w:rPr>
            </w:pPr>
            <w:r>
              <w:rPr>
                <w:sz w:val="20"/>
              </w:rPr>
              <w:t>1</w:t>
            </w:r>
          </w:p>
        </w:tc>
        <w:tc>
          <w:tcPr>
            <w:tcW w:w="674" w:type="dxa"/>
            <w:gridSpan w:val="2"/>
          </w:tcPr>
          <w:p w:rsidR="00AF2508" w:rsidRDefault="00AF2508">
            <w:pPr>
              <w:pStyle w:val="TableText"/>
              <w:jc w:val="center"/>
              <w:rPr>
                <w:sz w:val="20"/>
              </w:rPr>
            </w:pPr>
            <w:r>
              <w:rPr>
                <w:sz w:val="20"/>
              </w:rPr>
              <w:t>9</w:t>
            </w:r>
          </w:p>
        </w:tc>
      </w:tr>
      <w:tr w:rsidR="00AF2508">
        <w:trPr>
          <w:cantSplit/>
          <w:trHeight w:val="200"/>
        </w:trPr>
        <w:tc>
          <w:tcPr>
            <w:tcW w:w="968" w:type="dxa"/>
          </w:tcPr>
          <w:p w:rsidR="00AF2508" w:rsidRDefault="00AF2508">
            <w:pPr>
              <w:pStyle w:val="TableText"/>
              <w:jc w:val="center"/>
              <w:rPr>
                <w:sz w:val="20"/>
              </w:rPr>
            </w:pPr>
            <w:r>
              <w:rPr>
                <w:sz w:val="20"/>
              </w:rPr>
              <w:t>2</w:t>
            </w:r>
            <w:r>
              <w:rPr>
                <w:position w:val="4"/>
                <w:sz w:val="20"/>
              </w:rPr>
              <w:t>3</w:t>
            </w:r>
            <w:r>
              <w:rPr>
                <w:sz w:val="20"/>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660" w:type="dxa"/>
            <w:gridSpan w:val="2"/>
          </w:tcPr>
          <w:p w:rsidR="00AF2508" w:rsidRDefault="00AF2508">
            <w:pPr>
              <w:pStyle w:val="TableText"/>
              <w:jc w:val="center"/>
              <w:rPr>
                <w:sz w:val="20"/>
              </w:rPr>
            </w:pPr>
            <w:r>
              <w:rPr>
                <w:sz w:val="20"/>
              </w:rPr>
              <w:t>3</w:t>
            </w:r>
          </w:p>
        </w:tc>
        <w:tc>
          <w:tcPr>
            <w:tcW w:w="852" w:type="dxa"/>
            <w:gridSpan w:val="2"/>
          </w:tcPr>
          <w:p w:rsidR="00AF2508" w:rsidRDefault="00AF2508">
            <w:pPr>
              <w:pStyle w:val="TableText"/>
              <w:jc w:val="center"/>
              <w:rPr>
                <w:sz w:val="20"/>
              </w:rPr>
            </w:pPr>
            <w:r>
              <w:rPr>
                <w:sz w:val="20"/>
              </w:rPr>
              <w:t>8</w:t>
            </w:r>
          </w:p>
        </w:tc>
        <w:tc>
          <w:tcPr>
            <w:tcW w:w="600" w:type="dxa"/>
            <w:gridSpan w:val="3"/>
            <w:tcBorders>
              <w:left w:val="single" w:sz="6" w:space="0" w:color="auto"/>
            </w:tcBorders>
          </w:tcPr>
          <w:p w:rsidR="00AF2508" w:rsidRDefault="00AF2508">
            <w:pPr>
              <w:pStyle w:val="TableText"/>
              <w:jc w:val="center"/>
              <w:rPr>
                <w:sz w:val="20"/>
              </w:rPr>
            </w:pPr>
            <w:r>
              <w:rPr>
                <w:sz w:val="20"/>
              </w:rPr>
              <w:t>6</w:t>
            </w:r>
          </w:p>
        </w:tc>
        <w:tc>
          <w:tcPr>
            <w:tcW w:w="708" w:type="dxa"/>
          </w:tcPr>
          <w:p w:rsidR="00AF2508" w:rsidRDefault="00AF2508">
            <w:pPr>
              <w:pStyle w:val="TableText"/>
              <w:jc w:val="center"/>
              <w:rPr>
                <w:sz w:val="20"/>
              </w:rPr>
            </w:pPr>
            <w:r>
              <w:rPr>
                <w:sz w:val="20"/>
              </w:rPr>
              <w:t>12</w:t>
            </w:r>
          </w:p>
        </w:tc>
        <w:tc>
          <w:tcPr>
            <w:tcW w:w="764" w:type="dxa"/>
            <w:tcBorders>
              <w:left w:val="single" w:sz="6" w:space="0" w:color="auto"/>
            </w:tcBorders>
          </w:tcPr>
          <w:p w:rsidR="00AF2508" w:rsidRDefault="00AF2508">
            <w:pPr>
              <w:pStyle w:val="TableText"/>
              <w:jc w:val="center"/>
              <w:rPr>
                <w:sz w:val="20"/>
              </w:rPr>
            </w:pPr>
            <w:r>
              <w:rPr>
                <w:sz w:val="20"/>
              </w:rPr>
              <w:t>5</w:t>
            </w:r>
          </w:p>
        </w:tc>
        <w:tc>
          <w:tcPr>
            <w:tcW w:w="868" w:type="dxa"/>
            <w:gridSpan w:val="2"/>
          </w:tcPr>
          <w:p w:rsidR="00AF2508" w:rsidRDefault="00AF2508">
            <w:pPr>
              <w:pStyle w:val="TableText"/>
              <w:jc w:val="center"/>
              <w:rPr>
                <w:sz w:val="20"/>
              </w:rPr>
            </w:pPr>
            <w:r>
              <w:rPr>
                <w:sz w:val="20"/>
              </w:rPr>
              <w:t>18</w:t>
            </w:r>
          </w:p>
        </w:tc>
        <w:tc>
          <w:tcPr>
            <w:tcW w:w="732" w:type="dxa"/>
            <w:tcBorders>
              <w:left w:val="single" w:sz="6" w:space="0" w:color="auto"/>
            </w:tcBorders>
          </w:tcPr>
          <w:p w:rsidR="00AF2508" w:rsidRDefault="00AF2508">
            <w:pPr>
              <w:pStyle w:val="TableText"/>
              <w:jc w:val="center"/>
              <w:rPr>
                <w:sz w:val="20"/>
              </w:rPr>
            </w:pPr>
            <w:r>
              <w:rPr>
                <w:sz w:val="20"/>
              </w:rPr>
              <w:t>4</w:t>
            </w:r>
          </w:p>
        </w:tc>
        <w:tc>
          <w:tcPr>
            <w:tcW w:w="786" w:type="dxa"/>
            <w:gridSpan w:val="2"/>
          </w:tcPr>
          <w:p w:rsidR="00AF2508" w:rsidRDefault="00AF2508">
            <w:pPr>
              <w:pStyle w:val="TableText"/>
              <w:jc w:val="center"/>
              <w:rPr>
                <w:sz w:val="20"/>
              </w:rPr>
            </w:pPr>
            <w:r>
              <w:rPr>
                <w:sz w:val="20"/>
              </w:rPr>
              <w:t>16</w:t>
            </w:r>
          </w:p>
        </w:tc>
        <w:tc>
          <w:tcPr>
            <w:tcW w:w="760" w:type="dxa"/>
            <w:gridSpan w:val="2"/>
            <w:tcBorders>
              <w:left w:val="single" w:sz="6" w:space="0" w:color="auto"/>
            </w:tcBorders>
          </w:tcPr>
          <w:p w:rsidR="00AF2508" w:rsidRDefault="00AF2508">
            <w:pPr>
              <w:pStyle w:val="TableText"/>
              <w:jc w:val="center"/>
              <w:rPr>
                <w:sz w:val="20"/>
              </w:rPr>
            </w:pPr>
            <w:r>
              <w:rPr>
                <w:sz w:val="20"/>
              </w:rPr>
              <w:t>3</w:t>
            </w:r>
          </w:p>
        </w:tc>
        <w:tc>
          <w:tcPr>
            <w:tcW w:w="760" w:type="dxa"/>
          </w:tcPr>
          <w:p w:rsidR="00AF2508" w:rsidRDefault="00AF2508">
            <w:pPr>
              <w:pStyle w:val="TableText"/>
              <w:jc w:val="center"/>
              <w:rPr>
                <w:sz w:val="20"/>
              </w:rPr>
            </w:pPr>
            <w:r>
              <w:rPr>
                <w:sz w:val="20"/>
              </w:rPr>
              <w:t>8</w:t>
            </w:r>
          </w:p>
        </w:tc>
        <w:tc>
          <w:tcPr>
            <w:tcW w:w="800" w:type="dxa"/>
            <w:gridSpan w:val="2"/>
            <w:tcBorders>
              <w:left w:val="single" w:sz="6" w:space="0" w:color="auto"/>
            </w:tcBorders>
          </w:tcPr>
          <w:p w:rsidR="00AF2508" w:rsidRDefault="00AF2508">
            <w:pPr>
              <w:pStyle w:val="TableText"/>
              <w:jc w:val="center"/>
              <w:rPr>
                <w:sz w:val="20"/>
              </w:rPr>
            </w:pPr>
            <w:r>
              <w:rPr>
                <w:sz w:val="20"/>
              </w:rPr>
              <w:t>1</w:t>
            </w:r>
          </w:p>
        </w:tc>
        <w:tc>
          <w:tcPr>
            <w:tcW w:w="674" w:type="dxa"/>
            <w:gridSpan w:val="2"/>
          </w:tcPr>
          <w:p w:rsidR="00AF2508" w:rsidRDefault="00AF2508">
            <w:pPr>
              <w:pStyle w:val="TableText"/>
              <w:jc w:val="center"/>
              <w:rPr>
                <w:sz w:val="20"/>
              </w:rPr>
            </w:pPr>
            <w:r>
              <w:rPr>
                <w:sz w:val="20"/>
              </w:rPr>
              <w:t>15</w:t>
            </w:r>
          </w:p>
        </w:tc>
      </w:tr>
      <w:tr w:rsidR="00AF2508">
        <w:trPr>
          <w:cantSplit/>
          <w:trHeight w:val="200"/>
        </w:trPr>
        <w:tc>
          <w:tcPr>
            <w:tcW w:w="968" w:type="dxa"/>
          </w:tcPr>
          <w:p w:rsidR="00AF2508" w:rsidRDefault="00AF2508">
            <w:pPr>
              <w:pStyle w:val="TableText"/>
              <w:jc w:val="center"/>
              <w:rPr>
                <w:sz w:val="20"/>
              </w:rPr>
            </w:pPr>
            <w:r>
              <w:rPr>
                <w:sz w:val="20"/>
              </w:rPr>
              <w:t>3</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position w:val="4"/>
                <w:sz w:val="16"/>
              </w:rPr>
              <w:t>15</w:t>
            </w:r>
            <w:r>
              <w:rPr>
                <w:sz w:val="20"/>
              </w:rPr>
              <w:t>/</w:t>
            </w:r>
            <w:r>
              <w:rPr>
                <w:sz w:val="16"/>
              </w:rPr>
              <w:t>16</w:t>
            </w:r>
            <w:r>
              <w:rPr>
                <w:sz w:val="20"/>
              </w:rPr>
              <w:t xml:space="preserve"> </w:t>
            </w:r>
          </w:p>
        </w:tc>
        <w:tc>
          <w:tcPr>
            <w:tcW w:w="660" w:type="dxa"/>
            <w:gridSpan w:val="2"/>
          </w:tcPr>
          <w:p w:rsidR="00AF2508" w:rsidRDefault="00AF2508">
            <w:pPr>
              <w:pStyle w:val="TableText"/>
              <w:jc w:val="center"/>
              <w:rPr>
                <w:sz w:val="20"/>
              </w:rPr>
            </w:pPr>
            <w:r>
              <w:rPr>
                <w:sz w:val="20"/>
              </w:rPr>
              <w:t>4</w:t>
            </w:r>
          </w:p>
        </w:tc>
        <w:tc>
          <w:tcPr>
            <w:tcW w:w="864" w:type="dxa"/>
            <w:gridSpan w:val="3"/>
          </w:tcPr>
          <w:p w:rsidR="00AF2508" w:rsidRDefault="00AF2508">
            <w:pPr>
              <w:pStyle w:val="TableText"/>
              <w:jc w:val="center"/>
              <w:rPr>
                <w:sz w:val="20"/>
              </w:rPr>
            </w:pPr>
            <w:r>
              <w:rPr>
                <w:sz w:val="20"/>
              </w:rPr>
              <w:t>3</w:t>
            </w:r>
          </w:p>
        </w:tc>
        <w:tc>
          <w:tcPr>
            <w:tcW w:w="588" w:type="dxa"/>
            <w:gridSpan w:val="2"/>
            <w:tcBorders>
              <w:left w:val="single" w:sz="6" w:space="0" w:color="auto"/>
            </w:tcBorders>
          </w:tcPr>
          <w:p w:rsidR="00AF2508" w:rsidRDefault="00AF2508">
            <w:pPr>
              <w:pStyle w:val="TableText"/>
              <w:jc w:val="center"/>
              <w:rPr>
                <w:sz w:val="20"/>
              </w:rPr>
            </w:pPr>
            <w:r>
              <w:rPr>
                <w:sz w:val="20"/>
              </w:rPr>
              <w:t>8</w:t>
            </w:r>
          </w:p>
        </w:tc>
        <w:tc>
          <w:tcPr>
            <w:tcW w:w="708" w:type="dxa"/>
          </w:tcPr>
          <w:p w:rsidR="00AF2508" w:rsidRDefault="00AF2508">
            <w:pPr>
              <w:pStyle w:val="TableText"/>
              <w:jc w:val="center"/>
              <w:rPr>
                <w:sz w:val="20"/>
              </w:rPr>
            </w:pPr>
            <w:r>
              <w:rPr>
                <w:sz w:val="20"/>
              </w:rPr>
              <w:t>6</w:t>
            </w:r>
          </w:p>
        </w:tc>
        <w:tc>
          <w:tcPr>
            <w:tcW w:w="764" w:type="dxa"/>
            <w:tcBorders>
              <w:left w:val="single" w:sz="6" w:space="0" w:color="auto"/>
            </w:tcBorders>
          </w:tcPr>
          <w:p w:rsidR="00AF2508" w:rsidRDefault="00AF2508">
            <w:pPr>
              <w:pStyle w:val="TableText"/>
              <w:jc w:val="center"/>
              <w:rPr>
                <w:sz w:val="20"/>
              </w:rPr>
            </w:pPr>
            <w:r>
              <w:rPr>
                <w:sz w:val="20"/>
              </w:rPr>
              <w:t>7</w:t>
            </w:r>
          </w:p>
        </w:tc>
        <w:tc>
          <w:tcPr>
            <w:tcW w:w="868" w:type="dxa"/>
            <w:gridSpan w:val="2"/>
          </w:tcPr>
          <w:p w:rsidR="00AF2508" w:rsidRDefault="00AF2508">
            <w:pPr>
              <w:pStyle w:val="TableText"/>
              <w:jc w:val="center"/>
              <w:rPr>
                <w:sz w:val="20"/>
              </w:rPr>
            </w:pPr>
            <w:r>
              <w:rPr>
                <w:sz w:val="20"/>
              </w:rPr>
              <w:t>9</w:t>
            </w:r>
          </w:p>
        </w:tc>
        <w:tc>
          <w:tcPr>
            <w:tcW w:w="732" w:type="dxa"/>
            <w:tcBorders>
              <w:left w:val="single" w:sz="6" w:space="0" w:color="auto"/>
            </w:tcBorders>
          </w:tcPr>
          <w:p w:rsidR="00AF2508" w:rsidRDefault="00AF2508">
            <w:pPr>
              <w:pStyle w:val="TableText"/>
              <w:jc w:val="center"/>
              <w:rPr>
                <w:sz w:val="20"/>
              </w:rPr>
            </w:pPr>
            <w:r>
              <w:rPr>
                <w:sz w:val="20"/>
              </w:rPr>
              <w:t>6</w:t>
            </w:r>
          </w:p>
        </w:tc>
        <w:tc>
          <w:tcPr>
            <w:tcW w:w="786" w:type="dxa"/>
            <w:gridSpan w:val="2"/>
          </w:tcPr>
          <w:p w:rsidR="00AF2508" w:rsidRDefault="00AF2508">
            <w:pPr>
              <w:pStyle w:val="TableText"/>
              <w:jc w:val="center"/>
              <w:rPr>
                <w:sz w:val="20"/>
              </w:rPr>
            </w:pPr>
            <w:r>
              <w:rPr>
                <w:sz w:val="20"/>
              </w:rPr>
              <w:t>1</w:t>
            </w:r>
          </w:p>
        </w:tc>
        <w:tc>
          <w:tcPr>
            <w:tcW w:w="760" w:type="dxa"/>
            <w:gridSpan w:val="2"/>
            <w:tcBorders>
              <w:left w:val="single" w:sz="6" w:space="0" w:color="auto"/>
            </w:tcBorders>
          </w:tcPr>
          <w:p w:rsidR="00AF2508" w:rsidRDefault="00AF2508">
            <w:pPr>
              <w:pStyle w:val="TableText"/>
              <w:jc w:val="center"/>
              <w:rPr>
                <w:sz w:val="20"/>
              </w:rPr>
            </w:pPr>
            <w:r>
              <w:rPr>
                <w:sz w:val="20"/>
              </w:rPr>
              <w:t>4</w:t>
            </w:r>
          </w:p>
        </w:tc>
        <w:tc>
          <w:tcPr>
            <w:tcW w:w="760" w:type="dxa"/>
          </w:tcPr>
          <w:p w:rsidR="00AF2508" w:rsidRDefault="00AF2508">
            <w:pPr>
              <w:pStyle w:val="TableText"/>
              <w:jc w:val="center"/>
              <w:rPr>
                <w:sz w:val="20"/>
              </w:rPr>
            </w:pPr>
            <w:r>
              <w:rPr>
                <w:sz w:val="20"/>
              </w:rPr>
              <w:t>3</w:t>
            </w:r>
          </w:p>
        </w:tc>
        <w:tc>
          <w:tcPr>
            <w:tcW w:w="800" w:type="dxa"/>
            <w:gridSpan w:val="2"/>
            <w:tcBorders>
              <w:left w:val="single" w:sz="6" w:space="0" w:color="auto"/>
            </w:tcBorders>
          </w:tcPr>
          <w:p w:rsidR="00AF2508" w:rsidRDefault="00AF2508">
            <w:pPr>
              <w:pStyle w:val="TableText"/>
              <w:jc w:val="center"/>
              <w:rPr>
                <w:sz w:val="20"/>
              </w:rPr>
            </w:pPr>
            <w:r>
              <w:rPr>
                <w:sz w:val="20"/>
              </w:rPr>
              <w:t>2</w:t>
            </w:r>
          </w:p>
        </w:tc>
        <w:tc>
          <w:tcPr>
            <w:tcW w:w="674" w:type="dxa"/>
            <w:gridSpan w:val="2"/>
          </w:tcPr>
          <w:p w:rsidR="00AF2508" w:rsidRDefault="00AF2508">
            <w:pPr>
              <w:pStyle w:val="TableText"/>
              <w:jc w:val="center"/>
              <w:rPr>
                <w:sz w:val="20"/>
              </w:rPr>
            </w:pPr>
            <w:r>
              <w:rPr>
                <w:sz w:val="20"/>
              </w:rPr>
              <w:t>4</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16</w:t>
            </w:r>
          </w:p>
        </w:tc>
        <w:tc>
          <w:tcPr>
            <w:tcW w:w="660" w:type="dxa"/>
            <w:gridSpan w:val="2"/>
          </w:tcPr>
          <w:p w:rsidR="00AF2508" w:rsidRDefault="00AF2508">
            <w:pPr>
              <w:pStyle w:val="TableText"/>
              <w:jc w:val="center"/>
              <w:rPr>
                <w:sz w:val="20"/>
              </w:rPr>
            </w:pPr>
            <w:r>
              <w:rPr>
                <w:sz w:val="20"/>
              </w:rPr>
              <w:t>5</w:t>
            </w:r>
          </w:p>
        </w:tc>
        <w:tc>
          <w:tcPr>
            <w:tcW w:w="864" w:type="dxa"/>
            <w:gridSpan w:val="3"/>
          </w:tcPr>
          <w:p w:rsidR="00AF2508" w:rsidRDefault="00AF2508">
            <w:pPr>
              <w:pStyle w:val="TableText"/>
              <w:jc w:val="center"/>
              <w:rPr>
                <w:sz w:val="20"/>
              </w:rPr>
            </w:pPr>
            <w:r>
              <w:rPr>
                <w:sz w:val="20"/>
              </w:rPr>
              <w:t>0</w:t>
            </w:r>
          </w:p>
        </w:tc>
        <w:tc>
          <w:tcPr>
            <w:tcW w:w="588" w:type="dxa"/>
            <w:gridSpan w:val="2"/>
            <w:tcBorders>
              <w:left w:val="single" w:sz="6" w:space="0" w:color="auto"/>
            </w:tcBorders>
          </w:tcPr>
          <w:p w:rsidR="00AF2508" w:rsidRDefault="00AF2508">
            <w:pPr>
              <w:pStyle w:val="TableText"/>
              <w:jc w:val="center"/>
              <w:rPr>
                <w:sz w:val="20"/>
              </w:rPr>
            </w:pPr>
            <w:r>
              <w:rPr>
                <w:sz w:val="20"/>
              </w:rPr>
              <w:t>9</w:t>
            </w:r>
          </w:p>
        </w:tc>
        <w:tc>
          <w:tcPr>
            <w:tcW w:w="708" w:type="dxa"/>
          </w:tcPr>
          <w:p w:rsidR="00AF2508" w:rsidRDefault="00AF2508">
            <w:pPr>
              <w:pStyle w:val="TableText"/>
              <w:jc w:val="center"/>
              <w:rPr>
                <w:sz w:val="20"/>
              </w:rPr>
            </w:pPr>
            <w:r>
              <w:rPr>
                <w:sz w:val="20"/>
              </w:rPr>
              <w:t>13</w:t>
            </w:r>
          </w:p>
        </w:tc>
        <w:tc>
          <w:tcPr>
            <w:tcW w:w="764" w:type="dxa"/>
            <w:tcBorders>
              <w:left w:val="single" w:sz="6" w:space="0" w:color="auto"/>
            </w:tcBorders>
          </w:tcPr>
          <w:p w:rsidR="00AF2508" w:rsidRDefault="00AF2508">
            <w:pPr>
              <w:pStyle w:val="TableText"/>
              <w:jc w:val="center"/>
              <w:rPr>
                <w:sz w:val="20"/>
              </w:rPr>
            </w:pPr>
            <w:r>
              <w:rPr>
                <w:sz w:val="20"/>
              </w:rPr>
              <w:t>8</w:t>
            </w:r>
          </w:p>
        </w:tc>
        <w:tc>
          <w:tcPr>
            <w:tcW w:w="868" w:type="dxa"/>
            <w:gridSpan w:val="2"/>
          </w:tcPr>
          <w:p w:rsidR="00AF2508" w:rsidRDefault="00AF2508">
            <w:pPr>
              <w:pStyle w:val="TableText"/>
              <w:jc w:val="center"/>
              <w:rPr>
                <w:sz w:val="20"/>
              </w:rPr>
            </w:pPr>
            <w:r>
              <w:rPr>
                <w:sz w:val="20"/>
              </w:rPr>
              <w:t>13</w:t>
            </w:r>
          </w:p>
        </w:tc>
        <w:tc>
          <w:tcPr>
            <w:tcW w:w="732" w:type="dxa"/>
            <w:tcBorders>
              <w:left w:val="single" w:sz="6" w:space="0" w:color="auto"/>
            </w:tcBorders>
          </w:tcPr>
          <w:p w:rsidR="00AF2508" w:rsidRDefault="00AF2508">
            <w:pPr>
              <w:pStyle w:val="TableText"/>
              <w:jc w:val="center"/>
              <w:rPr>
                <w:sz w:val="20"/>
              </w:rPr>
            </w:pPr>
            <w:r>
              <w:rPr>
                <w:sz w:val="20"/>
              </w:rPr>
              <w:t>7</w:t>
            </w:r>
          </w:p>
        </w:tc>
        <w:tc>
          <w:tcPr>
            <w:tcW w:w="786" w:type="dxa"/>
            <w:gridSpan w:val="2"/>
          </w:tcPr>
          <w:p w:rsidR="00AF2508" w:rsidRDefault="00AF2508">
            <w:pPr>
              <w:pStyle w:val="TableText"/>
              <w:jc w:val="center"/>
              <w:rPr>
                <w:sz w:val="20"/>
              </w:rPr>
            </w:pPr>
            <w:r>
              <w:rPr>
                <w:sz w:val="20"/>
              </w:rPr>
              <w:t>1</w:t>
            </w:r>
          </w:p>
        </w:tc>
        <w:tc>
          <w:tcPr>
            <w:tcW w:w="760" w:type="dxa"/>
            <w:gridSpan w:val="2"/>
            <w:tcBorders>
              <w:left w:val="single" w:sz="6" w:space="0" w:color="auto"/>
            </w:tcBorders>
          </w:tcPr>
          <w:p w:rsidR="00AF2508" w:rsidRDefault="00AF2508">
            <w:pPr>
              <w:pStyle w:val="TableText"/>
              <w:jc w:val="center"/>
              <w:rPr>
                <w:sz w:val="20"/>
              </w:rPr>
            </w:pPr>
            <w:r>
              <w:rPr>
                <w:sz w:val="20"/>
              </w:rPr>
              <w:t>5</w:t>
            </w:r>
          </w:p>
        </w:tc>
        <w:tc>
          <w:tcPr>
            <w:tcW w:w="760" w:type="dxa"/>
          </w:tcPr>
          <w:p w:rsidR="00AF2508" w:rsidRDefault="00AF2508">
            <w:pPr>
              <w:pStyle w:val="TableText"/>
              <w:jc w:val="center"/>
              <w:rPr>
                <w:sz w:val="20"/>
              </w:rPr>
            </w:pPr>
            <w:r>
              <w:rPr>
                <w:sz w:val="20"/>
              </w:rPr>
              <w:t>0</w:t>
            </w:r>
          </w:p>
        </w:tc>
        <w:tc>
          <w:tcPr>
            <w:tcW w:w="800" w:type="dxa"/>
            <w:gridSpan w:val="2"/>
            <w:tcBorders>
              <w:left w:val="single" w:sz="6" w:space="0" w:color="auto"/>
            </w:tcBorders>
          </w:tcPr>
          <w:p w:rsidR="00AF2508" w:rsidRDefault="00AF2508">
            <w:pPr>
              <w:pStyle w:val="TableText"/>
              <w:jc w:val="center"/>
              <w:rPr>
                <w:sz w:val="20"/>
              </w:rPr>
            </w:pPr>
            <w:r>
              <w:rPr>
                <w:sz w:val="20"/>
              </w:rPr>
              <w:t>2</w:t>
            </w:r>
          </w:p>
        </w:tc>
        <w:tc>
          <w:tcPr>
            <w:tcW w:w="674" w:type="dxa"/>
            <w:gridSpan w:val="2"/>
          </w:tcPr>
          <w:p w:rsidR="00AF2508" w:rsidRDefault="00AF2508">
            <w:pPr>
              <w:pStyle w:val="TableText"/>
              <w:jc w:val="center"/>
              <w:rPr>
                <w:sz w:val="20"/>
              </w:rPr>
            </w:pPr>
            <w:r>
              <w:rPr>
                <w:sz w:val="20"/>
              </w:rPr>
              <w:t>12</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660" w:type="dxa"/>
            <w:gridSpan w:val="2"/>
          </w:tcPr>
          <w:p w:rsidR="00AF2508" w:rsidRDefault="00AF2508">
            <w:pPr>
              <w:pStyle w:val="TableText"/>
              <w:jc w:val="center"/>
              <w:rPr>
                <w:sz w:val="20"/>
              </w:rPr>
            </w:pPr>
            <w:r>
              <w:rPr>
                <w:sz w:val="20"/>
              </w:rPr>
              <w:t>5</w:t>
            </w:r>
          </w:p>
        </w:tc>
        <w:tc>
          <w:tcPr>
            <w:tcW w:w="864" w:type="dxa"/>
            <w:gridSpan w:val="3"/>
          </w:tcPr>
          <w:p w:rsidR="00AF2508" w:rsidRDefault="00AF2508">
            <w:pPr>
              <w:pStyle w:val="TableText"/>
              <w:jc w:val="center"/>
              <w:rPr>
                <w:sz w:val="20"/>
              </w:rPr>
            </w:pPr>
            <w:r>
              <w:rPr>
                <w:sz w:val="20"/>
              </w:rPr>
              <w:t>18</w:t>
            </w:r>
          </w:p>
        </w:tc>
        <w:tc>
          <w:tcPr>
            <w:tcW w:w="588" w:type="dxa"/>
            <w:gridSpan w:val="2"/>
            <w:tcBorders>
              <w:left w:val="single" w:sz="6" w:space="0" w:color="auto"/>
            </w:tcBorders>
          </w:tcPr>
          <w:p w:rsidR="00AF2508" w:rsidRDefault="00AF2508">
            <w:pPr>
              <w:pStyle w:val="TableText"/>
              <w:jc w:val="center"/>
              <w:rPr>
                <w:sz w:val="20"/>
              </w:rPr>
            </w:pPr>
            <w:r>
              <w:rPr>
                <w:sz w:val="20"/>
              </w:rPr>
              <w:t>11</w:t>
            </w:r>
          </w:p>
        </w:tc>
        <w:tc>
          <w:tcPr>
            <w:tcW w:w="708" w:type="dxa"/>
          </w:tcPr>
          <w:p w:rsidR="00AF2508" w:rsidRDefault="00AF2508">
            <w:pPr>
              <w:pStyle w:val="TableText"/>
              <w:jc w:val="center"/>
              <w:rPr>
                <w:sz w:val="20"/>
              </w:rPr>
            </w:pPr>
            <w:r>
              <w:rPr>
                <w:sz w:val="20"/>
              </w:rPr>
              <w:t>8</w:t>
            </w:r>
          </w:p>
        </w:tc>
        <w:tc>
          <w:tcPr>
            <w:tcW w:w="764" w:type="dxa"/>
            <w:tcBorders>
              <w:left w:val="single" w:sz="6" w:space="0" w:color="auto"/>
            </w:tcBorders>
          </w:tcPr>
          <w:p w:rsidR="00AF2508" w:rsidRDefault="00AF2508">
            <w:pPr>
              <w:pStyle w:val="TableText"/>
              <w:jc w:val="center"/>
              <w:rPr>
                <w:sz w:val="20"/>
              </w:rPr>
            </w:pPr>
            <w:r>
              <w:rPr>
                <w:sz w:val="20"/>
              </w:rPr>
              <w:t>10</w:t>
            </w:r>
          </w:p>
        </w:tc>
        <w:tc>
          <w:tcPr>
            <w:tcW w:w="868" w:type="dxa"/>
            <w:gridSpan w:val="2"/>
          </w:tcPr>
          <w:p w:rsidR="00AF2508" w:rsidRDefault="00AF2508">
            <w:pPr>
              <w:pStyle w:val="TableText"/>
              <w:jc w:val="center"/>
              <w:rPr>
                <w:sz w:val="20"/>
              </w:rPr>
            </w:pPr>
            <w:r>
              <w:rPr>
                <w:sz w:val="20"/>
              </w:rPr>
              <w:t>5</w:t>
            </w:r>
          </w:p>
        </w:tc>
        <w:tc>
          <w:tcPr>
            <w:tcW w:w="732" w:type="dxa"/>
            <w:tcBorders>
              <w:left w:val="single" w:sz="6" w:space="0" w:color="auto"/>
            </w:tcBorders>
          </w:tcPr>
          <w:p w:rsidR="00AF2508" w:rsidRDefault="00AF2508">
            <w:pPr>
              <w:pStyle w:val="TableText"/>
              <w:jc w:val="center"/>
              <w:rPr>
                <w:sz w:val="20"/>
              </w:rPr>
            </w:pPr>
            <w:r>
              <w:rPr>
                <w:sz w:val="20"/>
              </w:rPr>
              <w:t>8</w:t>
            </w:r>
          </w:p>
        </w:tc>
        <w:tc>
          <w:tcPr>
            <w:tcW w:w="786" w:type="dxa"/>
            <w:gridSpan w:val="2"/>
          </w:tcPr>
          <w:p w:rsidR="00AF2508" w:rsidRDefault="00AF2508">
            <w:pPr>
              <w:pStyle w:val="TableText"/>
              <w:jc w:val="center"/>
              <w:rPr>
                <w:sz w:val="20"/>
              </w:rPr>
            </w:pPr>
            <w:r>
              <w:rPr>
                <w:sz w:val="20"/>
              </w:rPr>
              <w:t>7</w:t>
            </w:r>
          </w:p>
        </w:tc>
        <w:tc>
          <w:tcPr>
            <w:tcW w:w="760" w:type="dxa"/>
            <w:gridSpan w:val="2"/>
            <w:tcBorders>
              <w:left w:val="single" w:sz="6" w:space="0" w:color="auto"/>
            </w:tcBorders>
          </w:tcPr>
          <w:p w:rsidR="00AF2508" w:rsidRDefault="00AF2508">
            <w:pPr>
              <w:pStyle w:val="TableText"/>
              <w:jc w:val="center"/>
              <w:rPr>
                <w:sz w:val="20"/>
              </w:rPr>
            </w:pPr>
            <w:r>
              <w:rPr>
                <w:sz w:val="20"/>
              </w:rPr>
              <w:t>5</w:t>
            </w:r>
          </w:p>
        </w:tc>
        <w:tc>
          <w:tcPr>
            <w:tcW w:w="760" w:type="dxa"/>
          </w:tcPr>
          <w:p w:rsidR="00AF2508" w:rsidRDefault="00AF2508">
            <w:pPr>
              <w:pStyle w:val="TableText"/>
              <w:jc w:val="center"/>
              <w:rPr>
                <w:sz w:val="20"/>
              </w:rPr>
            </w:pPr>
            <w:r>
              <w:rPr>
                <w:sz w:val="20"/>
              </w:rPr>
              <w:t>18</w:t>
            </w:r>
          </w:p>
        </w:tc>
        <w:tc>
          <w:tcPr>
            <w:tcW w:w="800" w:type="dxa"/>
            <w:gridSpan w:val="2"/>
            <w:tcBorders>
              <w:left w:val="single" w:sz="6" w:space="0" w:color="auto"/>
            </w:tcBorders>
          </w:tcPr>
          <w:p w:rsidR="00AF2508" w:rsidRDefault="00AF2508">
            <w:pPr>
              <w:pStyle w:val="TableText"/>
              <w:jc w:val="center"/>
              <w:rPr>
                <w:sz w:val="20"/>
              </w:rPr>
            </w:pPr>
            <w:r>
              <w:rPr>
                <w:sz w:val="20"/>
              </w:rPr>
              <w:t>3</w:t>
            </w:r>
          </w:p>
        </w:tc>
        <w:tc>
          <w:tcPr>
            <w:tcW w:w="674" w:type="dxa"/>
            <w:gridSpan w:val="2"/>
          </w:tcPr>
          <w:p w:rsidR="00AF2508" w:rsidRDefault="00AF2508">
            <w:pPr>
              <w:pStyle w:val="TableText"/>
              <w:jc w:val="center"/>
              <w:rPr>
                <w:sz w:val="20"/>
              </w:rPr>
            </w:pPr>
            <w:r>
              <w:rPr>
                <w:sz w:val="20"/>
              </w:rPr>
              <w:t>1</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16</w:t>
            </w:r>
          </w:p>
        </w:tc>
        <w:tc>
          <w:tcPr>
            <w:tcW w:w="660" w:type="dxa"/>
            <w:gridSpan w:val="2"/>
          </w:tcPr>
          <w:p w:rsidR="00AF2508" w:rsidRDefault="00AF2508">
            <w:pPr>
              <w:pStyle w:val="TableText"/>
              <w:jc w:val="center"/>
              <w:rPr>
                <w:sz w:val="20"/>
              </w:rPr>
            </w:pPr>
            <w:r>
              <w:rPr>
                <w:sz w:val="20"/>
              </w:rPr>
              <w:t>6</w:t>
            </w:r>
          </w:p>
        </w:tc>
        <w:tc>
          <w:tcPr>
            <w:tcW w:w="864" w:type="dxa"/>
            <w:gridSpan w:val="3"/>
          </w:tcPr>
          <w:p w:rsidR="00AF2508" w:rsidRDefault="00AF2508">
            <w:pPr>
              <w:pStyle w:val="TableText"/>
              <w:jc w:val="center"/>
              <w:rPr>
                <w:sz w:val="20"/>
              </w:rPr>
            </w:pPr>
            <w:r>
              <w:rPr>
                <w:sz w:val="20"/>
              </w:rPr>
              <w:t>14</w:t>
            </w:r>
          </w:p>
        </w:tc>
        <w:tc>
          <w:tcPr>
            <w:tcW w:w="588" w:type="dxa"/>
            <w:gridSpan w:val="2"/>
            <w:tcBorders>
              <w:left w:val="single" w:sz="6" w:space="0" w:color="auto"/>
            </w:tcBorders>
          </w:tcPr>
          <w:p w:rsidR="00AF2508" w:rsidRDefault="00AF2508">
            <w:pPr>
              <w:pStyle w:val="TableText"/>
              <w:jc w:val="center"/>
              <w:rPr>
                <w:sz w:val="20"/>
              </w:rPr>
            </w:pPr>
            <w:r>
              <w:rPr>
                <w:sz w:val="20"/>
              </w:rPr>
              <w:t>13</w:t>
            </w:r>
          </w:p>
        </w:tc>
        <w:tc>
          <w:tcPr>
            <w:tcW w:w="708" w:type="dxa"/>
          </w:tcPr>
          <w:p w:rsidR="00AF2508" w:rsidRDefault="00AF2508">
            <w:pPr>
              <w:pStyle w:val="TableText"/>
              <w:jc w:val="center"/>
              <w:rPr>
                <w:sz w:val="20"/>
              </w:rPr>
            </w:pPr>
            <w:r>
              <w:rPr>
                <w:sz w:val="20"/>
              </w:rPr>
              <w:t>0</w:t>
            </w:r>
          </w:p>
        </w:tc>
        <w:tc>
          <w:tcPr>
            <w:tcW w:w="764" w:type="dxa"/>
            <w:tcBorders>
              <w:left w:val="single" w:sz="6" w:space="0" w:color="auto"/>
            </w:tcBorders>
          </w:tcPr>
          <w:p w:rsidR="00AF2508" w:rsidRDefault="00AF2508">
            <w:pPr>
              <w:pStyle w:val="TableText"/>
              <w:jc w:val="center"/>
              <w:rPr>
                <w:sz w:val="20"/>
              </w:rPr>
            </w:pPr>
            <w:r>
              <w:rPr>
                <w:sz w:val="20"/>
              </w:rPr>
              <w:t>11</w:t>
            </w:r>
          </w:p>
        </w:tc>
        <w:tc>
          <w:tcPr>
            <w:tcW w:w="868" w:type="dxa"/>
            <w:gridSpan w:val="2"/>
          </w:tcPr>
          <w:p w:rsidR="00AF2508" w:rsidRDefault="00AF2508">
            <w:pPr>
              <w:pStyle w:val="TableText"/>
              <w:jc w:val="center"/>
              <w:rPr>
                <w:sz w:val="20"/>
              </w:rPr>
            </w:pPr>
            <w:r>
              <w:rPr>
                <w:sz w:val="20"/>
              </w:rPr>
              <w:t>13</w:t>
            </w:r>
          </w:p>
        </w:tc>
        <w:tc>
          <w:tcPr>
            <w:tcW w:w="732" w:type="dxa"/>
            <w:tcBorders>
              <w:left w:val="single" w:sz="6" w:space="0" w:color="auto"/>
            </w:tcBorders>
          </w:tcPr>
          <w:p w:rsidR="00AF2508" w:rsidRDefault="00AF2508">
            <w:pPr>
              <w:pStyle w:val="TableText"/>
              <w:jc w:val="center"/>
              <w:rPr>
                <w:sz w:val="20"/>
              </w:rPr>
            </w:pPr>
            <w:r>
              <w:rPr>
                <w:sz w:val="20"/>
              </w:rPr>
              <w:t>9</w:t>
            </w:r>
          </w:p>
        </w:tc>
        <w:tc>
          <w:tcPr>
            <w:tcW w:w="786" w:type="dxa"/>
            <w:gridSpan w:val="2"/>
          </w:tcPr>
          <w:p w:rsidR="00AF2508" w:rsidRDefault="00AF2508">
            <w:pPr>
              <w:pStyle w:val="TableText"/>
              <w:jc w:val="center"/>
              <w:rPr>
                <w:sz w:val="20"/>
              </w:rPr>
            </w:pPr>
            <w:r>
              <w:rPr>
                <w:sz w:val="20"/>
              </w:rPr>
              <w:t>10</w:t>
            </w:r>
          </w:p>
        </w:tc>
        <w:tc>
          <w:tcPr>
            <w:tcW w:w="760" w:type="dxa"/>
            <w:gridSpan w:val="2"/>
            <w:tcBorders>
              <w:left w:val="single" w:sz="6" w:space="0" w:color="auto"/>
            </w:tcBorders>
          </w:tcPr>
          <w:p w:rsidR="00AF2508" w:rsidRDefault="00AF2508">
            <w:pPr>
              <w:pStyle w:val="TableText"/>
              <w:jc w:val="center"/>
              <w:rPr>
                <w:sz w:val="20"/>
              </w:rPr>
            </w:pPr>
            <w:r>
              <w:rPr>
                <w:sz w:val="20"/>
              </w:rPr>
              <w:t>6</w:t>
            </w:r>
          </w:p>
        </w:tc>
        <w:tc>
          <w:tcPr>
            <w:tcW w:w="760" w:type="dxa"/>
          </w:tcPr>
          <w:p w:rsidR="00AF2508" w:rsidRDefault="00AF2508">
            <w:pPr>
              <w:pStyle w:val="TableText"/>
              <w:jc w:val="center"/>
              <w:rPr>
                <w:sz w:val="20"/>
              </w:rPr>
            </w:pPr>
            <w:r>
              <w:rPr>
                <w:sz w:val="20"/>
              </w:rPr>
              <w:t>14</w:t>
            </w:r>
          </w:p>
        </w:tc>
        <w:tc>
          <w:tcPr>
            <w:tcW w:w="800" w:type="dxa"/>
            <w:gridSpan w:val="2"/>
            <w:tcBorders>
              <w:left w:val="single" w:sz="6" w:space="0" w:color="auto"/>
            </w:tcBorders>
          </w:tcPr>
          <w:p w:rsidR="00AF2508" w:rsidRDefault="00AF2508">
            <w:pPr>
              <w:pStyle w:val="TableText"/>
              <w:jc w:val="center"/>
              <w:rPr>
                <w:sz w:val="20"/>
              </w:rPr>
            </w:pPr>
            <w:r>
              <w:rPr>
                <w:sz w:val="20"/>
              </w:rPr>
              <w:t>3</w:t>
            </w:r>
          </w:p>
        </w:tc>
        <w:tc>
          <w:tcPr>
            <w:tcW w:w="674" w:type="dxa"/>
            <w:gridSpan w:val="2"/>
          </w:tcPr>
          <w:p w:rsidR="00AF2508" w:rsidRDefault="00AF2508">
            <w:pPr>
              <w:pStyle w:val="TableText"/>
              <w:jc w:val="center"/>
              <w:rPr>
                <w:sz w:val="20"/>
              </w:rPr>
            </w:pPr>
            <w:r>
              <w:rPr>
                <w:sz w:val="20"/>
              </w:rPr>
              <w:t>10</w:t>
            </w:r>
          </w:p>
        </w:tc>
      </w:tr>
      <w:tr w:rsidR="00AF2508">
        <w:trPr>
          <w:cantSplit/>
          <w:trHeight w:val="200"/>
        </w:trPr>
        <w:tc>
          <w:tcPr>
            <w:tcW w:w="968" w:type="dxa"/>
          </w:tcPr>
          <w:p w:rsidR="00AF2508" w:rsidRDefault="00AF2508">
            <w:pPr>
              <w:pStyle w:val="TableText"/>
              <w:jc w:val="center"/>
              <w:rPr>
                <w:sz w:val="20"/>
              </w:rPr>
            </w:pPr>
            <w:r>
              <w:rPr>
                <w:sz w:val="20"/>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660" w:type="dxa"/>
            <w:gridSpan w:val="2"/>
          </w:tcPr>
          <w:p w:rsidR="00AF2508" w:rsidRDefault="00AF2508">
            <w:pPr>
              <w:pStyle w:val="TableText"/>
              <w:jc w:val="center"/>
              <w:rPr>
                <w:sz w:val="20"/>
              </w:rPr>
            </w:pPr>
            <w:r>
              <w:rPr>
                <w:sz w:val="20"/>
              </w:rPr>
              <w:t>7</w:t>
            </w:r>
          </w:p>
        </w:tc>
        <w:tc>
          <w:tcPr>
            <w:tcW w:w="864" w:type="dxa"/>
            <w:gridSpan w:val="3"/>
          </w:tcPr>
          <w:p w:rsidR="00AF2508" w:rsidRDefault="00AF2508">
            <w:pPr>
              <w:pStyle w:val="TableText"/>
              <w:jc w:val="center"/>
              <w:rPr>
                <w:sz w:val="20"/>
              </w:rPr>
            </w:pPr>
            <w:r>
              <w:rPr>
                <w:sz w:val="20"/>
              </w:rPr>
              <w:t>12</w:t>
            </w:r>
          </w:p>
        </w:tc>
        <w:tc>
          <w:tcPr>
            <w:tcW w:w="588" w:type="dxa"/>
            <w:gridSpan w:val="2"/>
            <w:tcBorders>
              <w:left w:val="single" w:sz="6" w:space="0" w:color="auto"/>
            </w:tcBorders>
          </w:tcPr>
          <w:p w:rsidR="00AF2508" w:rsidRDefault="00AF2508">
            <w:pPr>
              <w:pStyle w:val="TableText"/>
              <w:jc w:val="center"/>
              <w:rPr>
                <w:sz w:val="20"/>
              </w:rPr>
            </w:pPr>
            <w:r>
              <w:rPr>
                <w:sz w:val="20"/>
              </w:rPr>
              <w:t>14</w:t>
            </w:r>
          </w:p>
        </w:tc>
        <w:tc>
          <w:tcPr>
            <w:tcW w:w="708" w:type="dxa"/>
          </w:tcPr>
          <w:p w:rsidR="00AF2508" w:rsidRDefault="00AF2508">
            <w:pPr>
              <w:pStyle w:val="TableText"/>
              <w:jc w:val="center"/>
              <w:rPr>
                <w:sz w:val="20"/>
              </w:rPr>
            </w:pPr>
            <w:r>
              <w:rPr>
                <w:sz w:val="20"/>
              </w:rPr>
              <w:t>13</w:t>
            </w:r>
          </w:p>
        </w:tc>
        <w:tc>
          <w:tcPr>
            <w:tcW w:w="764" w:type="dxa"/>
            <w:tcBorders>
              <w:left w:val="single" w:sz="6" w:space="0" w:color="auto"/>
            </w:tcBorders>
          </w:tcPr>
          <w:p w:rsidR="00AF2508" w:rsidRDefault="00AF2508">
            <w:pPr>
              <w:pStyle w:val="TableText"/>
              <w:jc w:val="center"/>
              <w:rPr>
                <w:sz w:val="20"/>
              </w:rPr>
            </w:pPr>
            <w:r>
              <w:rPr>
                <w:sz w:val="20"/>
              </w:rPr>
              <w:t>13</w:t>
            </w:r>
          </w:p>
        </w:tc>
        <w:tc>
          <w:tcPr>
            <w:tcW w:w="868" w:type="dxa"/>
            <w:gridSpan w:val="2"/>
          </w:tcPr>
          <w:p w:rsidR="00AF2508" w:rsidRDefault="00AF2508">
            <w:pPr>
              <w:pStyle w:val="TableText"/>
              <w:jc w:val="center"/>
              <w:rPr>
                <w:sz w:val="20"/>
              </w:rPr>
            </w:pPr>
            <w:r>
              <w:rPr>
                <w:sz w:val="20"/>
              </w:rPr>
              <w:t>3</w:t>
            </w:r>
          </w:p>
        </w:tc>
        <w:tc>
          <w:tcPr>
            <w:tcW w:w="732" w:type="dxa"/>
            <w:tcBorders>
              <w:left w:val="single" w:sz="6" w:space="0" w:color="auto"/>
            </w:tcBorders>
          </w:tcPr>
          <w:p w:rsidR="00AF2508" w:rsidRDefault="00AF2508">
            <w:pPr>
              <w:pStyle w:val="TableText"/>
              <w:jc w:val="center"/>
              <w:rPr>
                <w:sz w:val="20"/>
              </w:rPr>
            </w:pPr>
            <w:r>
              <w:rPr>
                <w:sz w:val="20"/>
              </w:rPr>
              <w:t>10</w:t>
            </w:r>
          </w:p>
        </w:tc>
        <w:tc>
          <w:tcPr>
            <w:tcW w:w="786" w:type="dxa"/>
            <w:gridSpan w:val="2"/>
          </w:tcPr>
          <w:p w:rsidR="00AF2508" w:rsidRDefault="00AF2508">
            <w:pPr>
              <w:pStyle w:val="TableText"/>
              <w:jc w:val="center"/>
              <w:rPr>
                <w:sz w:val="20"/>
              </w:rPr>
            </w:pPr>
            <w:r>
              <w:rPr>
                <w:sz w:val="20"/>
              </w:rPr>
              <w:t>15</w:t>
            </w:r>
          </w:p>
        </w:tc>
        <w:tc>
          <w:tcPr>
            <w:tcW w:w="760" w:type="dxa"/>
            <w:gridSpan w:val="2"/>
            <w:tcBorders>
              <w:left w:val="single" w:sz="6" w:space="0" w:color="auto"/>
            </w:tcBorders>
          </w:tcPr>
          <w:p w:rsidR="00AF2508" w:rsidRDefault="00AF2508">
            <w:pPr>
              <w:pStyle w:val="TableText"/>
              <w:jc w:val="center"/>
              <w:rPr>
                <w:sz w:val="20"/>
              </w:rPr>
            </w:pPr>
            <w:r>
              <w:rPr>
                <w:sz w:val="20"/>
              </w:rPr>
              <w:t>7</w:t>
            </w:r>
          </w:p>
        </w:tc>
        <w:tc>
          <w:tcPr>
            <w:tcW w:w="760" w:type="dxa"/>
          </w:tcPr>
          <w:p w:rsidR="00AF2508" w:rsidRDefault="00AF2508">
            <w:pPr>
              <w:pStyle w:val="TableText"/>
              <w:jc w:val="center"/>
              <w:rPr>
                <w:sz w:val="20"/>
              </w:rPr>
            </w:pPr>
            <w:r>
              <w:rPr>
                <w:sz w:val="20"/>
              </w:rPr>
              <w:t>12</w:t>
            </w:r>
          </w:p>
        </w:tc>
        <w:tc>
          <w:tcPr>
            <w:tcW w:w="800" w:type="dxa"/>
            <w:gridSpan w:val="2"/>
            <w:tcBorders>
              <w:left w:val="single" w:sz="6" w:space="0" w:color="auto"/>
            </w:tcBorders>
          </w:tcPr>
          <w:p w:rsidR="00AF2508" w:rsidRDefault="00AF2508">
            <w:pPr>
              <w:pStyle w:val="TableText"/>
              <w:jc w:val="center"/>
              <w:rPr>
                <w:sz w:val="20"/>
              </w:rPr>
            </w:pPr>
            <w:r>
              <w:rPr>
                <w:sz w:val="20"/>
              </w:rPr>
              <w:t>3</w:t>
            </w:r>
          </w:p>
        </w:tc>
        <w:tc>
          <w:tcPr>
            <w:tcW w:w="674" w:type="dxa"/>
            <w:gridSpan w:val="2"/>
          </w:tcPr>
          <w:p w:rsidR="00AF2508" w:rsidRDefault="00AF2508">
            <w:pPr>
              <w:pStyle w:val="TableText"/>
              <w:jc w:val="center"/>
              <w:rPr>
                <w:sz w:val="20"/>
              </w:rPr>
            </w:pPr>
            <w:r>
              <w:rPr>
                <w:sz w:val="20"/>
              </w:rPr>
              <w:t>18</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660" w:type="dxa"/>
            <w:gridSpan w:val="2"/>
          </w:tcPr>
          <w:p w:rsidR="00AF2508" w:rsidRDefault="00AF2508">
            <w:pPr>
              <w:pStyle w:val="TableText"/>
              <w:jc w:val="center"/>
              <w:rPr>
                <w:sz w:val="20"/>
              </w:rPr>
            </w:pPr>
            <w:r>
              <w:rPr>
                <w:sz w:val="20"/>
              </w:rPr>
              <w:t>8</w:t>
            </w:r>
          </w:p>
        </w:tc>
        <w:tc>
          <w:tcPr>
            <w:tcW w:w="864" w:type="dxa"/>
            <w:gridSpan w:val="3"/>
          </w:tcPr>
          <w:p w:rsidR="00AF2508" w:rsidRDefault="00AF2508">
            <w:pPr>
              <w:pStyle w:val="TableText"/>
              <w:jc w:val="center"/>
              <w:rPr>
                <w:sz w:val="20"/>
              </w:rPr>
            </w:pPr>
            <w:r>
              <w:rPr>
                <w:sz w:val="20"/>
              </w:rPr>
              <w:t>10</w:t>
            </w:r>
          </w:p>
        </w:tc>
        <w:tc>
          <w:tcPr>
            <w:tcW w:w="588" w:type="dxa"/>
            <w:gridSpan w:val="2"/>
            <w:tcBorders>
              <w:left w:val="single" w:sz="6" w:space="0" w:color="auto"/>
            </w:tcBorders>
          </w:tcPr>
          <w:p w:rsidR="00AF2508" w:rsidRDefault="00AF2508">
            <w:pPr>
              <w:pStyle w:val="TableText"/>
              <w:jc w:val="center"/>
              <w:rPr>
                <w:sz w:val="20"/>
              </w:rPr>
            </w:pPr>
            <w:r>
              <w:rPr>
                <w:sz w:val="20"/>
              </w:rPr>
              <w:t>16</w:t>
            </w:r>
          </w:p>
        </w:tc>
        <w:tc>
          <w:tcPr>
            <w:tcW w:w="708" w:type="dxa"/>
          </w:tcPr>
          <w:p w:rsidR="00AF2508" w:rsidRDefault="00AF2508">
            <w:pPr>
              <w:pStyle w:val="TableText"/>
              <w:jc w:val="center"/>
              <w:rPr>
                <w:sz w:val="20"/>
              </w:rPr>
            </w:pPr>
            <w:r>
              <w:rPr>
                <w:sz w:val="20"/>
              </w:rPr>
              <w:t>9</w:t>
            </w:r>
          </w:p>
        </w:tc>
        <w:tc>
          <w:tcPr>
            <w:tcW w:w="764" w:type="dxa"/>
            <w:tcBorders>
              <w:left w:val="single" w:sz="6" w:space="0" w:color="auto"/>
            </w:tcBorders>
          </w:tcPr>
          <w:p w:rsidR="00AF2508" w:rsidRDefault="00AF2508">
            <w:pPr>
              <w:pStyle w:val="TableText"/>
              <w:jc w:val="center"/>
              <w:rPr>
                <w:sz w:val="20"/>
              </w:rPr>
            </w:pPr>
            <w:r>
              <w:rPr>
                <w:sz w:val="20"/>
              </w:rPr>
              <w:t>14</w:t>
            </w:r>
          </w:p>
        </w:tc>
        <w:tc>
          <w:tcPr>
            <w:tcW w:w="868" w:type="dxa"/>
            <w:gridSpan w:val="2"/>
          </w:tcPr>
          <w:p w:rsidR="00AF2508" w:rsidRDefault="00AF2508">
            <w:pPr>
              <w:pStyle w:val="TableText"/>
              <w:jc w:val="center"/>
              <w:rPr>
                <w:sz w:val="20"/>
              </w:rPr>
            </w:pPr>
            <w:r>
              <w:rPr>
                <w:sz w:val="20"/>
              </w:rPr>
              <w:t>15</w:t>
            </w:r>
          </w:p>
        </w:tc>
        <w:tc>
          <w:tcPr>
            <w:tcW w:w="732" w:type="dxa"/>
            <w:tcBorders>
              <w:left w:val="single" w:sz="6" w:space="0" w:color="auto"/>
            </w:tcBorders>
          </w:tcPr>
          <w:p w:rsidR="00AF2508" w:rsidRDefault="00AF2508">
            <w:pPr>
              <w:pStyle w:val="TableText"/>
              <w:jc w:val="center"/>
              <w:rPr>
                <w:sz w:val="20"/>
              </w:rPr>
            </w:pPr>
            <w:r>
              <w:rPr>
                <w:sz w:val="20"/>
              </w:rPr>
              <w:t>12</w:t>
            </w:r>
          </w:p>
        </w:tc>
        <w:tc>
          <w:tcPr>
            <w:tcW w:w="786" w:type="dxa"/>
            <w:gridSpan w:val="2"/>
          </w:tcPr>
          <w:p w:rsidR="00AF2508" w:rsidRDefault="00AF2508">
            <w:pPr>
              <w:pStyle w:val="TableText"/>
              <w:jc w:val="center"/>
              <w:rPr>
                <w:sz w:val="20"/>
              </w:rPr>
            </w:pPr>
            <w:r>
              <w:rPr>
                <w:sz w:val="20"/>
              </w:rPr>
              <w:t>1</w:t>
            </w:r>
          </w:p>
        </w:tc>
        <w:tc>
          <w:tcPr>
            <w:tcW w:w="760" w:type="dxa"/>
            <w:gridSpan w:val="2"/>
            <w:tcBorders>
              <w:left w:val="single" w:sz="6" w:space="0" w:color="auto"/>
            </w:tcBorders>
          </w:tcPr>
          <w:p w:rsidR="00AF2508" w:rsidRDefault="00AF2508">
            <w:pPr>
              <w:pStyle w:val="TableText"/>
              <w:jc w:val="center"/>
              <w:rPr>
                <w:sz w:val="20"/>
              </w:rPr>
            </w:pPr>
            <w:r>
              <w:rPr>
                <w:sz w:val="20"/>
              </w:rPr>
              <w:t>8</w:t>
            </w:r>
          </w:p>
        </w:tc>
        <w:tc>
          <w:tcPr>
            <w:tcW w:w="760" w:type="dxa"/>
          </w:tcPr>
          <w:p w:rsidR="00AF2508" w:rsidRDefault="00AF2508">
            <w:pPr>
              <w:pStyle w:val="TableText"/>
              <w:jc w:val="center"/>
              <w:rPr>
                <w:sz w:val="20"/>
              </w:rPr>
            </w:pPr>
            <w:r>
              <w:rPr>
                <w:sz w:val="20"/>
              </w:rPr>
              <w:t>10</w:t>
            </w:r>
          </w:p>
        </w:tc>
        <w:tc>
          <w:tcPr>
            <w:tcW w:w="800" w:type="dxa"/>
            <w:gridSpan w:val="2"/>
            <w:tcBorders>
              <w:left w:val="single" w:sz="6" w:space="0" w:color="auto"/>
            </w:tcBorders>
          </w:tcPr>
          <w:p w:rsidR="00AF2508" w:rsidRDefault="00AF2508">
            <w:pPr>
              <w:pStyle w:val="TableText"/>
              <w:jc w:val="center"/>
              <w:rPr>
                <w:sz w:val="20"/>
              </w:rPr>
            </w:pPr>
            <w:r>
              <w:rPr>
                <w:sz w:val="20"/>
              </w:rPr>
              <w:t>4</w:t>
            </w:r>
          </w:p>
        </w:tc>
        <w:tc>
          <w:tcPr>
            <w:tcW w:w="674" w:type="dxa"/>
            <w:gridSpan w:val="2"/>
          </w:tcPr>
          <w:p w:rsidR="00AF2508" w:rsidRDefault="00AF2508">
            <w:pPr>
              <w:pStyle w:val="TableText"/>
              <w:jc w:val="center"/>
              <w:rPr>
                <w:sz w:val="20"/>
              </w:rPr>
            </w:pPr>
            <w:r>
              <w:rPr>
                <w:sz w:val="20"/>
              </w:rPr>
              <w:t>8</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16</w:t>
            </w:r>
          </w:p>
        </w:tc>
        <w:tc>
          <w:tcPr>
            <w:tcW w:w="660" w:type="dxa"/>
            <w:gridSpan w:val="2"/>
          </w:tcPr>
          <w:p w:rsidR="00AF2508" w:rsidRDefault="00AF2508">
            <w:pPr>
              <w:pStyle w:val="TableText"/>
              <w:jc w:val="center"/>
              <w:rPr>
                <w:sz w:val="20"/>
              </w:rPr>
            </w:pPr>
            <w:r>
              <w:rPr>
                <w:sz w:val="20"/>
              </w:rPr>
              <w:t>9</w:t>
            </w:r>
          </w:p>
        </w:tc>
        <w:tc>
          <w:tcPr>
            <w:tcW w:w="864" w:type="dxa"/>
            <w:gridSpan w:val="3"/>
          </w:tcPr>
          <w:p w:rsidR="00AF2508" w:rsidRDefault="00AF2508">
            <w:pPr>
              <w:pStyle w:val="TableText"/>
              <w:jc w:val="center"/>
              <w:rPr>
                <w:sz w:val="20"/>
              </w:rPr>
            </w:pPr>
            <w:r>
              <w:rPr>
                <w:sz w:val="20"/>
              </w:rPr>
              <w:t>13</w:t>
            </w:r>
          </w:p>
        </w:tc>
        <w:tc>
          <w:tcPr>
            <w:tcW w:w="588" w:type="dxa"/>
            <w:gridSpan w:val="2"/>
            <w:tcBorders>
              <w:left w:val="single" w:sz="6" w:space="0" w:color="auto"/>
            </w:tcBorders>
          </w:tcPr>
          <w:p w:rsidR="00AF2508" w:rsidRDefault="00AF2508">
            <w:pPr>
              <w:pStyle w:val="TableText"/>
              <w:jc w:val="center"/>
              <w:rPr>
                <w:sz w:val="20"/>
              </w:rPr>
            </w:pPr>
            <w:r>
              <w:rPr>
                <w:sz w:val="20"/>
              </w:rPr>
              <w:t>18</w:t>
            </w:r>
          </w:p>
        </w:tc>
        <w:tc>
          <w:tcPr>
            <w:tcW w:w="708" w:type="dxa"/>
          </w:tcPr>
          <w:p w:rsidR="00AF2508" w:rsidRDefault="00AF2508">
            <w:pPr>
              <w:pStyle w:val="TableText"/>
              <w:jc w:val="center"/>
              <w:rPr>
                <w:sz w:val="20"/>
              </w:rPr>
            </w:pPr>
            <w:r>
              <w:rPr>
                <w:sz w:val="20"/>
              </w:rPr>
              <w:t>14</w:t>
            </w:r>
          </w:p>
        </w:tc>
        <w:tc>
          <w:tcPr>
            <w:tcW w:w="764" w:type="dxa"/>
            <w:tcBorders>
              <w:left w:val="single" w:sz="6" w:space="0" w:color="auto"/>
            </w:tcBorders>
          </w:tcPr>
          <w:p w:rsidR="00AF2508" w:rsidRDefault="00AF2508">
            <w:pPr>
              <w:pStyle w:val="TableText"/>
              <w:jc w:val="center"/>
              <w:rPr>
                <w:sz w:val="20"/>
              </w:rPr>
            </w:pPr>
            <w:r>
              <w:rPr>
                <w:sz w:val="20"/>
              </w:rPr>
              <w:t>16</w:t>
            </w:r>
          </w:p>
        </w:tc>
        <w:tc>
          <w:tcPr>
            <w:tcW w:w="868" w:type="dxa"/>
            <w:gridSpan w:val="2"/>
          </w:tcPr>
          <w:p w:rsidR="00AF2508" w:rsidRDefault="00AF2508">
            <w:pPr>
              <w:pStyle w:val="TableText"/>
              <w:jc w:val="center"/>
              <w:rPr>
                <w:sz w:val="20"/>
              </w:rPr>
            </w:pPr>
            <w:r>
              <w:rPr>
                <w:sz w:val="20"/>
              </w:rPr>
              <w:t>15</w:t>
            </w:r>
          </w:p>
        </w:tc>
        <w:tc>
          <w:tcPr>
            <w:tcW w:w="732" w:type="dxa"/>
            <w:tcBorders>
              <w:left w:val="single" w:sz="6" w:space="0" w:color="auto"/>
            </w:tcBorders>
          </w:tcPr>
          <w:p w:rsidR="00AF2508" w:rsidRDefault="00AF2508">
            <w:pPr>
              <w:pStyle w:val="TableText"/>
              <w:jc w:val="center"/>
              <w:rPr>
                <w:sz w:val="20"/>
              </w:rPr>
            </w:pPr>
            <w:r>
              <w:rPr>
                <w:sz w:val="20"/>
              </w:rPr>
              <w:t>13</w:t>
            </w:r>
          </w:p>
        </w:tc>
        <w:tc>
          <w:tcPr>
            <w:tcW w:w="786" w:type="dxa"/>
            <w:gridSpan w:val="2"/>
          </w:tcPr>
          <w:p w:rsidR="00AF2508" w:rsidRDefault="00AF2508">
            <w:pPr>
              <w:pStyle w:val="TableText"/>
              <w:jc w:val="center"/>
              <w:rPr>
                <w:sz w:val="20"/>
              </w:rPr>
            </w:pPr>
            <w:r>
              <w:rPr>
                <w:sz w:val="20"/>
              </w:rPr>
              <w:t>14</w:t>
            </w:r>
          </w:p>
        </w:tc>
        <w:tc>
          <w:tcPr>
            <w:tcW w:w="760" w:type="dxa"/>
            <w:gridSpan w:val="2"/>
            <w:tcBorders>
              <w:left w:val="single" w:sz="6" w:space="0" w:color="auto"/>
            </w:tcBorders>
          </w:tcPr>
          <w:p w:rsidR="00AF2508" w:rsidRDefault="00AF2508">
            <w:pPr>
              <w:pStyle w:val="TableText"/>
              <w:jc w:val="center"/>
              <w:rPr>
                <w:sz w:val="20"/>
              </w:rPr>
            </w:pPr>
            <w:r>
              <w:rPr>
                <w:sz w:val="20"/>
              </w:rPr>
              <w:t>9</w:t>
            </w:r>
          </w:p>
        </w:tc>
        <w:tc>
          <w:tcPr>
            <w:tcW w:w="760" w:type="dxa"/>
          </w:tcPr>
          <w:p w:rsidR="00AF2508" w:rsidRDefault="00AF2508">
            <w:pPr>
              <w:pStyle w:val="TableText"/>
              <w:jc w:val="center"/>
              <w:rPr>
                <w:sz w:val="20"/>
              </w:rPr>
            </w:pPr>
            <w:r>
              <w:rPr>
                <w:sz w:val="20"/>
              </w:rPr>
              <w:t>13</w:t>
            </w:r>
          </w:p>
        </w:tc>
        <w:tc>
          <w:tcPr>
            <w:tcW w:w="800" w:type="dxa"/>
            <w:gridSpan w:val="2"/>
            <w:tcBorders>
              <w:left w:val="single" w:sz="6" w:space="0" w:color="auto"/>
            </w:tcBorders>
          </w:tcPr>
          <w:p w:rsidR="00AF2508" w:rsidRDefault="00AF2508">
            <w:pPr>
              <w:pStyle w:val="TableText"/>
              <w:jc w:val="center"/>
              <w:rPr>
                <w:sz w:val="20"/>
              </w:rPr>
            </w:pPr>
            <w:r>
              <w:rPr>
                <w:sz w:val="20"/>
              </w:rPr>
              <w:t>5</w:t>
            </w:r>
          </w:p>
        </w:tc>
        <w:tc>
          <w:tcPr>
            <w:tcW w:w="674" w:type="dxa"/>
            <w:gridSpan w:val="2"/>
          </w:tcPr>
          <w:p w:rsidR="00AF2508" w:rsidRDefault="00AF2508">
            <w:pPr>
              <w:pStyle w:val="TableText"/>
              <w:jc w:val="center"/>
              <w:rPr>
                <w:sz w:val="20"/>
              </w:rPr>
            </w:pPr>
            <w:r>
              <w:rPr>
                <w:sz w:val="20"/>
              </w:rPr>
              <w:t>0</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660" w:type="dxa"/>
            <w:gridSpan w:val="2"/>
          </w:tcPr>
          <w:p w:rsidR="00AF2508" w:rsidRDefault="00AF2508">
            <w:pPr>
              <w:pStyle w:val="TableText"/>
              <w:jc w:val="center"/>
              <w:rPr>
                <w:sz w:val="20"/>
              </w:rPr>
            </w:pPr>
            <w:r>
              <w:rPr>
                <w:sz w:val="20"/>
              </w:rPr>
              <w:t>10</w:t>
            </w:r>
          </w:p>
        </w:tc>
        <w:tc>
          <w:tcPr>
            <w:tcW w:w="864" w:type="dxa"/>
            <w:gridSpan w:val="3"/>
          </w:tcPr>
          <w:p w:rsidR="00AF2508" w:rsidRDefault="00AF2508">
            <w:pPr>
              <w:pStyle w:val="TableText"/>
              <w:jc w:val="center"/>
              <w:rPr>
                <w:sz w:val="20"/>
              </w:rPr>
            </w:pPr>
            <w:r>
              <w:rPr>
                <w:sz w:val="20"/>
              </w:rPr>
              <w:t>14</w:t>
            </w:r>
          </w:p>
        </w:tc>
        <w:tc>
          <w:tcPr>
            <w:tcW w:w="588" w:type="dxa"/>
            <w:gridSpan w:val="2"/>
            <w:tcBorders>
              <w:left w:val="single" w:sz="6" w:space="0" w:color="auto"/>
            </w:tcBorders>
          </w:tcPr>
          <w:p w:rsidR="00AF2508" w:rsidRDefault="00AF2508">
            <w:pPr>
              <w:pStyle w:val="TableText"/>
              <w:jc w:val="center"/>
              <w:rPr>
                <w:sz w:val="20"/>
              </w:rPr>
            </w:pPr>
            <w:r>
              <w:rPr>
                <w:sz w:val="20"/>
              </w:rPr>
              <w:t>20</w:t>
            </w:r>
          </w:p>
        </w:tc>
        <w:tc>
          <w:tcPr>
            <w:tcW w:w="708" w:type="dxa"/>
          </w:tcPr>
          <w:p w:rsidR="00AF2508" w:rsidRDefault="00AF2508">
            <w:pPr>
              <w:pStyle w:val="TableText"/>
              <w:jc w:val="center"/>
              <w:rPr>
                <w:sz w:val="20"/>
              </w:rPr>
            </w:pPr>
            <w:r>
              <w:rPr>
                <w:sz w:val="20"/>
              </w:rPr>
              <w:t>14</w:t>
            </w:r>
          </w:p>
        </w:tc>
        <w:tc>
          <w:tcPr>
            <w:tcW w:w="764" w:type="dxa"/>
            <w:tcBorders>
              <w:left w:val="single" w:sz="6" w:space="0" w:color="auto"/>
            </w:tcBorders>
          </w:tcPr>
          <w:p w:rsidR="00AF2508" w:rsidRDefault="00AF2508">
            <w:pPr>
              <w:pStyle w:val="TableText"/>
              <w:jc w:val="center"/>
              <w:rPr>
                <w:sz w:val="20"/>
              </w:rPr>
            </w:pPr>
            <w:r>
              <w:rPr>
                <w:sz w:val="20"/>
              </w:rPr>
              <w:t>18</w:t>
            </w:r>
          </w:p>
        </w:tc>
        <w:tc>
          <w:tcPr>
            <w:tcW w:w="868" w:type="dxa"/>
            <w:gridSpan w:val="2"/>
          </w:tcPr>
          <w:p w:rsidR="00AF2508" w:rsidRDefault="00AF2508">
            <w:pPr>
              <w:pStyle w:val="TableText"/>
              <w:jc w:val="center"/>
              <w:rPr>
                <w:sz w:val="20"/>
              </w:rPr>
            </w:pPr>
            <w:r>
              <w:rPr>
                <w:sz w:val="20"/>
              </w:rPr>
              <w:t>11</w:t>
            </w:r>
          </w:p>
        </w:tc>
        <w:tc>
          <w:tcPr>
            <w:tcW w:w="732" w:type="dxa"/>
            <w:tcBorders>
              <w:left w:val="single" w:sz="6" w:space="0" w:color="auto"/>
            </w:tcBorders>
          </w:tcPr>
          <w:p w:rsidR="00AF2508" w:rsidRDefault="00AF2508">
            <w:pPr>
              <w:pStyle w:val="TableText"/>
              <w:jc w:val="center"/>
              <w:rPr>
                <w:sz w:val="20"/>
              </w:rPr>
            </w:pPr>
            <w:r>
              <w:rPr>
                <w:sz w:val="20"/>
              </w:rPr>
              <w:t>15</w:t>
            </w:r>
          </w:p>
        </w:tc>
        <w:tc>
          <w:tcPr>
            <w:tcW w:w="786" w:type="dxa"/>
            <w:gridSpan w:val="2"/>
          </w:tcPr>
          <w:p w:rsidR="00AF2508" w:rsidRDefault="00AF2508">
            <w:pPr>
              <w:pStyle w:val="TableText"/>
              <w:jc w:val="center"/>
              <w:rPr>
                <w:sz w:val="20"/>
              </w:rPr>
            </w:pPr>
            <w:r>
              <w:rPr>
                <w:sz w:val="20"/>
              </w:rPr>
              <w:t>3</w:t>
            </w:r>
          </w:p>
        </w:tc>
        <w:tc>
          <w:tcPr>
            <w:tcW w:w="760" w:type="dxa"/>
            <w:gridSpan w:val="2"/>
            <w:tcBorders>
              <w:left w:val="single" w:sz="6" w:space="0" w:color="auto"/>
            </w:tcBorders>
          </w:tcPr>
          <w:p w:rsidR="00AF2508" w:rsidRDefault="00AF2508">
            <w:pPr>
              <w:pStyle w:val="TableText"/>
              <w:jc w:val="center"/>
              <w:rPr>
                <w:sz w:val="20"/>
              </w:rPr>
            </w:pPr>
            <w:r>
              <w:rPr>
                <w:sz w:val="20"/>
              </w:rPr>
              <w:t>10</w:t>
            </w:r>
          </w:p>
        </w:tc>
        <w:tc>
          <w:tcPr>
            <w:tcW w:w="760" w:type="dxa"/>
          </w:tcPr>
          <w:p w:rsidR="00AF2508" w:rsidRDefault="00AF2508">
            <w:pPr>
              <w:pStyle w:val="TableText"/>
              <w:jc w:val="center"/>
              <w:rPr>
                <w:sz w:val="20"/>
              </w:rPr>
            </w:pPr>
            <w:r>
              <w:rPr>
                <w:sz w:val="20"/>
              </w:rPr>
              <w:t>14</w:t>
            </w:r>
          </w:p>
        </w:tc>
        <w:tc>
          <w:tcPr>
            <w:tcW w:w="800" w:type="dxa"/>
            <w:gridSpan w:val="2"/>
            <w:tcBorders>
              <w:left w:val="single" w:sz="6" w:space="0" w:color="auto"/>
            </w:tcBorders>
          </w:tcPr>
          <w:p w:rsidR="00AF2508" w:rsidRDefault="00AF2508">
            <w:pPr>
              <w:pStyle w:val="TableText"/>
              <w:jc w:val="center"/>
              <w:rPr>
                <w:sz w:val="20"/>
              </w:rPr>
            </w:pPr>
            <w:r>
              <w:rPr>
                <w:sz w:val="20"/>
              </w:rPr>
              <w:t>5</w:t>
            </w:r>
          </w:p>
        </w:tc>
        <w:tc>
          <w:tcPr>
            <w:tcW w:w="674" w:type="dxa"/>
            <w:gridSpan w:val="2"/>
          </w:tcPr>
          <w:p w:rsidR="00AF2508" w:rsidRDefault="00AF2508">
            <w:pPr>
              <w:pStyle w:val="TableText"/>
              <w:jc w:val="center"/>
              <w:rPr>
                <w:sz w:val="20"/>
              </w:rPr>
            </w:pPr>
            <w:r>
              <w:rPr>
                <w:sz w:val="20"/>
              </w:rPr>
              <w:t>11</w:t>
            </w:r>
          </w:p>
        </w:tc>
      </w:tr>
      <w:tr w:rsidR="00AF2508">
        <w:trPr>
          <w:cantSplit/>
          <w:trHeight w:val="200"/>
        </w:trPr>
        <w:tc>
          <w:tcPr>
            <w:tcW w:w="968" w:type="dxa"/>
          </w:tcPr>
          <w:p w:rsidR="00AF2508" w:rsidRDefault="00AF2508">
            <w:pPr>
              <w:pStyle w:val="TableText"/>
              <w:jc w:val="center"/>
              <w:rPr>
                <w:sz w:val="20"/>
              </w:rPr>
            </w:pPr>
            <w:r>
              <w:rPr>
                <w:sz w:val="20"/>
              </w:rPr>
              <w:t>5</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660" w:type="dxa"/>
            <w:gridSpan w:val="2"/>
          </w:tcPr>
          <w:p w:rsidR="00AF2508" w:rsidRDefault="00AF2508">
            <w:pPr>
              <w:pStyle w:val="TableText"/>
              <w:jc w:val="center"/>
              <w:rPr>
                <w:sz w:val="20"/>
              </w:rPr>
            </w:pPr>
            <w:r>
              <w:rPr>
                <w:sz w:val="20"/>
              </w:rPr>
              <w:t>11</w:t>
            </w:r>
          </w:p>
        </w:tc>
        <w:tc>
          <w:tcPr>
            <w:tcW w:w="864" w:type="dxa"/>
            <w:gridSpan w:val="3"/>
          </w:tcPr>
          <w:p w:rsidR="00AF2508" w:rsidRDefault="00AF2508">
            <w:pPr>
              <w:pStyle w:val="TableText"/>
              <w:jc w:val="center"/>
              <w:rPr>
                <w:sz w:val="20"/>
              </w:rPr>
            </w:pPr>
            <w:r>
              <w:rPr>
                <w:sz w:val="20"/>
              </w:rPr>
              <w:t>16</w:t>
            </w:r>
          </w:p>
        </w:tc>
        <w:tc>
          <w:tcPr>
            <w:tcW w:w="588" w:type="dxa"/>
            <w:gridSpan w:val="2"/>
            <w:tcBorders>
              <w:left w:val="single" w:sz="6" w:space="0" w:color="auto"/>
            </w:tcBorders>
          </w:tcPr>
          <w:p w:rsidR="00AF2508" w:rsidRDefault="00AF2508">
            <w:pPr>
              <w:pStyle w:val="TableText"/>
              <w:jc w:val="center"/>
              <w:rPr>
                <w:sz w:val="20"/>
              </w:rPr>
            </w:pPr>
            <w:r>
              <w:rPr>
                <w:sz w:val="20"/>
              </w:rPr>
              <w:t>22</w:t>
            </w:r>
          </w:p>
        </w:tc>
        <w:tc>
          <w:tcPr>
            <w:tcW w:w="708" w:type="dxa"/>
          </w:tcPr>
          <w:p w:rsidR="00AF2508" w:rsidRDefault="00AF2508">
            <w:pPr>
              <w:pStyle w:val="TableText"/>
              <w:jc w:val="center"/>
              <w:rPr>
                <w:sz w:val="20"/>
              </w:rPr>
            </w:pPr>
            <w:r>
              <w:rPr>
                <w:sz w:val="20"/>
              </w:rPr>
              <w:t>16</w:t>
            </w:r>
          </w:p>
        </w:tc>
        <w:tc>
          <w:tcPr>
            <w:tcW w:w="764" w:type="dxa"/>
            <w:tcBorders>
              <w:left w:val="single" w:sz="6" w:space="0" w:color="auto"/>
            </w:tcBorders>
          </w:tcPr>
          <w:p w:rsidR="00AF2508" w:rsidRDefault="00AF2508">
            <w:pPr>
              <w:pStyle w:val="TableText"/>
              <w:jc w:val="center"/>
              <w:rPr>
                <w:sz w:val="20"/>
              </w:rPr>
            </w:pPr>
            <w:r>
              <w:rPr>
                <w:sz w:val="20"/>
              </w:rPr>
              <w:t>20</w:t>
            </w:r>
          </w:p>
        </w:tc>
        <w:tc>
          <w:tcPr>
            <w:tcW w:w="868" w:type="dxa"/>
            <w:gridSpan w:val="2"/>
          </w:tcPr>
          <w:p w:rsidR="00AF2508" w:rsidRDefault="00AF2508">
            <w:pPr>
              <w:pStyle w:val="TableText"/>
              <w:jc w:val="center"/>
              <w:rPr>
                <w:sz w:val="20"/>
              </w:rPr>
            </w:pPr>
            <w:r>
              <w:rPr>
                <w:sz w:val="20"/>
              </w:rPr>
              <w:t>9</w:t>
            </w:r>
          </w:p>
        </w:tc>
        <w:tc>
          <w:tcPr>
            <w:tcW w:w="732" w:type="dxa"/>
            <w:tcBorders>
              <w:left w:val="single" w:sz="6" w:space="0" w:color="auto"/>
            </w:tcBorders>
          </w:tcPr>
          <w:p w:rsidR="00AF2508" w:rsidRDefault="00AF2508">
            <w:pPr>
              <w:pStyle w:val="TableText"/>
              <w:jc w:val="center"/>
              <w:rPr>
                <w:sz w:val="20"/>
              </w:rPr>
            </w:pPr>
            <w:r>
              <w:rPr>
                <w:sz w:val="20"/>
              </w:rPr>
              <w:t>16</w:t>
            </w:r>
          </w:p>
        </w:tc>
        <w:tc>
          <w:tcPr>
            <w:tcW w:w="786" w:type="dxa"/>
            <w:gridSpan w:val="2"/>
          </w:tcPr>
          <w:p w:rsidR="00AF2508" w:rsidRDefault="00AF2508">
            <w:pPr>
              <w:pStyle w:val="TableText"/>
              <w:jc w:val="center"/>
              <w:rPr>
                <w:sz w:val="20"/>
              </w:rPr>
            </w:pPr>
            <w:r>
              <w:rPr>
                <w:sz w:val="20"/>
              </w:rPr>
              <w:t>14</w:t>
            </w:r>
          </w:p>
        </w:tc>
        <w:tc>
          <w:tcPr>
            <w:tcW w:w="760" w:type="dxa"/>
            <w:gridSpan w:val="2"/>
            <w:tcBorders>
              <w:left w:val="single" w:sz="6" w:space="0" w:color="auto"/>
            </w:tcBorders>
          </w:tcPr>
          <w:p w:rsidR="00AF2508" w:rsidRDefault="00AF2508">
            <w:pPr>
              <w:pStyle w:val="TableText"/>
              <w:jc w:val="center"/>
              <w:rPr>
                <w:sz w:val="20"/>
              </w:rPr>
            </w:pPr>
            <w:r>
              <w:rPr>
                <w:sz w:val="20"/>
              </w:rPr>
              <w:t>11</w:t>
            </w:r>
          </w:p>
        </w:tc>
        <w:tc>
          <w:tcPr>
            <w:tcW w:w="760" w:type="dxa"/>
          </w:tcPr>
          <w:p w:rsidR="00AF2508" w:rsidRDefault="00AF2508">
            <w:pPr>
              <w:pStyle w:val="TableText"/>
              <w:jc w:val="center"/>
              <w:rPr>
                <w:sz w:val="20"/>
              </w:rPr>
            </w:pPr>
            <w:r>
              <w:rPr>
                <w:sz w:val="20"/>
              </w:rPr>
              <w:t>16</w:t>
            </w:r>
          </w:p>
        </w:tc>
        <w:tc>
          <w:tcPr>
            <w:tcW w:w="800" w:type="dxa"/>
            <w:gridSpan w:val="2"/>
            <w:tcBorders>
              <w:left w:val="single" w:sz="6" w:space="0" w:color="auto"/>
            </w:tcBorders>
          </w:tcPr>
          <w:p w:rsidR="00AF2508" w:rsidRDefault="00AF2508">
            <w:pPr>
              <w:pStyle w:val="TableText"/>
              <w:jc w:val="center"/>
              <w:rPr>
                <w:sz w:val="20"/>
              </w:rPr>
            </w:pPr>
            <w:r>
              <w:rPr>
                <w:sz w:val="20"/>
              </w:rPr>
              <w:t>6</w:t>
            </w:r>
          </w:p>
        </w:tc>
        <w:tc>
          <w:tcPr>
            <w:tcW w:w="674" w:type="dxa"/>
            <w:gridSpan w:val="2"/>
          </w:tcPr>
          <w:p w:rsidR="00AF2508" w:rsidRDefault="00AF2508">
            <w:pPr>
              <w:pStyle w:val="TableText"/>
              <w:jc w:val="center"/>
              <w:rPr>
                <w:sz w:val="20"/>
              </w:rPr>
            </w:pPr>
            <w:r>
              <w:rPr>
                <w:sz w:val="20"/>
              </w:rPr>
              <w:t>2</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11</w:t>
            </w:r>
            <w:r>
              <w:rPr>
                <w:sz w:val="20"/>
              </w:rPr>
              <w:t>/</w:t>
            </w:r>
            <w:r>
              <w:rPr>
                <w:sz w:val="16"/>
              </w:rPr>
              <w:t>16</w:t>
            </w:r>
          </w:p>
        </w:tc>
        <w:tc>
          <w:tcPr>
            <w:tcW w:w="660" w:type="dxa"/>
            <w:gridSpan w:val="2"/>
          </w:tcPr>
          <w:p w:rsidR="00AF2508" w:rsidRDefault="00AF2508">
            <w:pPr>
              <w:pStyle w:val="TableText"/>
              <w:jc w:val="center"/>
              <w:rPr>
                <w:sz w:val="20"/>
              </w:rPr>
            </w:pPr>
            <w:r>
              <w:rPr>
                <w:sz w:val="20"/>
              </w:rPr>
              <w:t>13</w:t>
            </w:r>
          </w:p>
        </w:tc>
        <w:tc>
          <w:tcPr>
            <w:tcW w:w="864" w:type="dxa"/>
            <w:gridSpan w:val="3"/>
          </w:tcPr>
          <w:p w:rsidR="00AF2508" w:rsidRDefault="00AF2508">
            <w:pPr>
              <w:pStyle w:val="TableText"/>
              <w:jc w:val="center"/>
              <w:rPr>
                <w:sz w:val="20"/>
              </w:rPr>
            </w:pPr>
            <w:r>
              <w:rPr>
                <w:sz w:val="20"/>
              </w:rPr>
              <w:t>3</w:t>
            </w:r>
          </w:p>
        </w:tc>
        <w:tc>
          <w:tcPr>
            <w:tcW w:w="588" w:type="dxa"/>
            <w:gridSpan w:val="2"/>
            <w:tcBorders>
              <w:left w:val="single" w:sz="6" w:space="0" w:color="auto"/>
            </w:tcBorders>
          </w:tcPr>
          <w:p w:rsidR="00AF2508" w:rsidRDefault="00AF2508">
            <w:pPr>
              <w:pStyle w:val="TableText"/>
              <w:jc w:val="center"/>
              <w:rPr>
                <w:sz w:val="20"/>
              </w:rPr>
            </w:pPr>
            <w:r>
              <w:rPr>
                <w:sz w:val="20"/>
              </w:rPr>
              <w:t>25</w:t>
            </w:r>
          </w:p>
        </w:tc>
        <w:tc>
          <w:tcPr>
            <w:tcW w:w="708" w:type="dxa"/>
          </w:tcPr>
          <w:p w:rsidR="00AF2508" w:rsidRDefault="00AF2508">
            <w:pPr>
              <w:pStyle w:val="TableText"/>
              <w:jc w:val="center"/>
              <w:rPr>
                <w:sz w:val="20"/>
              </w:rPr>
            </w:pPr>
            <w:r>
              <w:rPr>
                <w:sz w:val="20"/>
              </w:rPr>
              <w:t>9</w:t>
            </w:r>
          </w:p>
        </w:tc>
        <w:tc>
          <w:tcPr>
            <w:tcW w:w="764" w:type="dxa"/>
            <w:tcBorders>
              <w:left w:val="single" w:sz="6" w:space="0" w:color="auto"/>
            </w:tcBorders>
          </w:tcPr>
          <w:p w:rsidR="00AF2508" w:rsidRDefault="00AF2508">
            <w:pPr>
              <w:pStyle w:val="TableText"/>
              <w:jc w:val="center"/>
              <w:rPr>
                <w:sz w:val="20"/>
              </w:rPr>
            </w:pPr>
            <w:r>
              <w:rPr>
                <w:sz w:val="20"/>
              </w:rPr>
              <w:t>22</w:t>
            </w:r>
          </w:p>
        </w:tc>
        <w:tc>
          <w:tcPr>
            <w:tcW w:w="868" w:type="dxa"/>
            <w:gridSpan w:val="2"/>
          </w:tcPr>
          <w:p w:rsidR="00AF2508" w:rsidRDefault="00AF2508">
            <w:pPr>
              <w:pStyle w:val="TableText"/>
              <w:jc w:val="center"/>
              <w:rPr>
                <w:sz w:val="20"/>
              </w:rPr>
            </w:pPr>
            <w:r>
              <w:rPr>
                <w:sz w:val="20"/>
              </w:rPr>
              <w:t>17</w:t>
            </w:r>
          </w:p>
        </w:tc>
        <w:tc>
          <w:tcPr>
            <w:tcW w:w="732" w:type="dxa"/>
            <w:tcBorders>
              <w:left w:val="single" w:sz="6" w:space="0" w:color="auto"/>
            </w:tcBorders>
          </w:tcPr>
          <w:p w:rsidR="00AF2508" w:rsidRDefault="00AF2508">
            <w:pPr>
              <w:pStyle w:val="TableText"/>
              <w:jc w:val="center"/>
              <w:rPr>
                <w:sz w:val="20"/>
              </w:rPr>
            </w:pPr>
            <w:r>
              <w:rPr>
                <w:sz w:val="20"/>
              </w:rPr>
              <w:t>18</w:t>
            </w:r>
          </w:p>
        </w:tc>
        <w:tc>
          <w:tcPr>
            <w:tcW w:w="786" w:type="dxa"/>
            <w:gridSpan w:val="2"/>
          </w:tcPr>
          <w:p w:rsidR="00AF2508" w:rsidRDefault="00AF2508">
            <w:pPr>
              <w:pStyle w:val="TableText"/>
              <w:jc w:val="center"/>
              <w:rPr>
                <w:sz w:val="20"/>
              </w:rPr>
            </w:pPr>
            <w:r>
              <w:rPr>
                <w:sz w:val="20"/>
              </w:rPr>
              <w:t>13</w:t>
            </w:r>
          </w:p>
        </w:tc>
        <w:tc>
          <w:tcPr>
            <w:tcW w:w="760" w:type="dxa"/>
            <w:gridSpan w:val="2"/>
            <w:tcBorders>
              <w:left w:val="single" w:sz="6" w:space="0" w:color="auto"/>
            </w:tcBorders>
          </w:tcPr>
          <w:p w:rsidR="00AF2508" w:rsidRDefault="00AF2508">
            <w:pPr>
              <w:pStyle w:val="TableText"/>
              <w:jc w:val="center"/>
              <w:rPr>
                <w:sz w:val="20"/>
              </w:rPr>
            </w:pPr>
            <w:r>
              <w:rPr>
                <w:sz w:val="20"/>
              </w:rPr>
              <w:t>13</w:t>
            </w:r>
          </w:p>
        </w:tc>
        <w:tc>
          <w:tcPr>
            <w:tcW w:w="760" w:type="dxa"/>
          </w:tcPr>
          <w:p w:rsidR="00AF2508" w:rsidRDefault="00AF2508">
            <w:pPr>
              <w:pStyle w:val="TableText"/>
              <w:jc w:val="center"/>
              <w:rPr>
                <w:sz w:val="20"/>
              </w:rPr>
            </w:pPr>
            <w:r>
              <w:rPr>
                <w:sz w:val="20"/>
              </w:rPr>
              <w:t>3</w:t>
            </w:r>
          </w:p>
        </w:tc>
        <w:tc>
          <w:tcPr>
            <w:tcW w:w="800" w:type="dxa"/>
            <w:gridSpan w:val="2"/>
            <w:tcBorders>
              <w:left w:val="single" w:sz="6" w:space="0" w:color="auto"/>
            </w:tcBorders>
          </w:tcPr>
          <w:p w:rsidR="00AF2508" w:rsidRDefault="00AF2508">
            <w:pPr>
              <w:pStyle w:val="TableText"/>
              <w:jc w:val="center"/>
              <w:rPr>
                <w:sz w:val="20"/>
              </w:rPr>
            </w:pPr>
            <w:r>
              <w:rPr>
                <w:sz w:val="20"/>
              </w:rPr>
              <w:t>6</w:t>
            </w:r>
          </w:p>
        </w:tc>
        <w:tc>
          <w:tcPr>
            <w:tcW w:w="674" w:type="dxa"/>
            <w:gridSpan w:val="2"/>
          </w:tcPr>
          <w:p w:rsidR="00AF2508" w:rsidRDefault="00AF2508">
            <w:pPr>
              <w:pStyle w:val="TableText"/>
              <w:jc w:val="center"/>
              <w:rPr>
                <w:sz w:val="20"/>
              </w:rPr>
            </w:pPr>
            <w:r>
              <w:rPr>
                <w:sz w:val="20"/>
              </w:rPr>
              <w:t>16</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660" w:type="dxa"/>
            <w:gridSpan w:val="2"/>
          </w:tcPr>
          <w:p w:rsidR="00AF2508" w:rsidRDefault="00AF2508">
            <w:pPr>
              <w:pStyle w:val="TableText"/>
              <w:jc w:val="center"/>
              <w:rPr>
                <w:sz w:val="20"/>
              </w:rPr>
            </w:pPr>
            <w:r>
              <w:rPr>
                <w:sz w:val="20"/>
              </w:rPr>
              <w:t>14</w:t>
            </w:r>
          </w:p>
        </w:tc>
        <w:tc>
          <w:tcPr>
            <w:tcW w:w="864" w:type="dxa"/>
            <w:gridSpan w:val="3"/>
          </w:tcPr>
          <w:p w:rsidR="00AF2508" w:rsidRDefault="00AF2508">
            <w:pPr>
              <w:pStyle w:val="TableText"/>
              <w:jc w:val="center"/>
              <w:rPr>
                <w:sz w:val="20"/>
              </w:rPr>
            </w:pPr>
            <w:r>
              <w:rPr>
                <w:sz w:val="20"/>
              </w:rPr>
              <w:t>8</w:t>
            </w:r>
          </w:p>
        </w:tc>
        <w:tc>
          <w:tcPr>
            <w:tcW w:w="588" w:type="dxa"/>
            <w:gridSpan w:val="2"/>
            <w:tcBorders>
              <w:left w:val="single" w:sz="6" w:space="0" w:color="auto"/>
            </w:tcBorders>
          </w:tcPr>
          <w:p w:rsidR="00AF2508" w:rsidRDefault="00AF2508">
            <w:pPr>
              <w:pStyle w:val="TableText"/>
              <w:jc w:val="center"/>
              <w:rPr>
                <w:sz w:val="20"/>
              </w:rPr>
            </w:pPr>
            <w:r>
              <w:rPr>
                <w:sz w:val="20"/>
              </w:rPr>
              <w:t>27</w:t>
            </w:r>
          </w:p>
        </w:tc>
        <w:tc>
          <w:tcPr>
            <w:tcW w:w="708" w:type="dxa"/>
          </w:tcPr>
          <w:p w:rsidR="00AF2508" w:rsidRDefault="00AF2508">
            <w:pPr>
              <w:pStyle w:val="TableText"/>
              <w:jc w:val="center"/>
              <w:rPr>
                <w:sz w:val="20"/>
              </w:rPr>
            </w:pPr>
            <w:r>
              <w:rPr>
                <w:sz w:val="20"/>
              </w:rPr>
              <w:t>16</w:t>
            </w:r>
          </w:p>
        </w:tc>
        <w:tc>
          <w:tcPr>
            <w:tcW w:w="764" w:type="dxa"/>
            <w:tcBorders>
              <w:left w:val="single" w:sz="6" w:space="0" w:color="auto"/>
            </w:tcBorders>
          </w:tcPr>
          <w:p w:rsidR="00AF2508" w:rsidRDefault="00AF2508">
            <w:pPr>
              <w:pStyle w:val="TableText"/>
              <w:jc w:val="center"/>
              <w:rPr>
                <w:sz w:val="20"/>
              </w:rPr>
            </w:pPr>
            <w:r>
              <w:rPr>
                <w:sz w:val="20"/>
              </w:rPr>
              <w:t>24</w:t>
            </w:r>
          </w:p>
        </w:tc>
        <w:tc>
          <w:tcPr>
            <w:tcW w:w="868" w:type="dxa"/>
            <w:gridSpan w:val="2"/>
          </w:tcPr>
          <w:p w:rsidR="00AF2508" w:rsidRDefault="00AF2508">
            <w:pPr>
              <w:pStyle w:val="TableText"/>
              <w:jc w:val="center"/>
              <w:rPr>
                <w:sz w:val="20"/>
              </w:rPr>
            </w:pPr>
            <w:r>
              <w:rPr>
                <w:sz w:val="20"/>
              </w:rPr>
              <w:t>19</w:t>
            </w:r>
          </w:p>
        </w:tc>
        <w:tc>
          <w:tcPr>
            <w:tcW w:w="732" w:type="dxa"/>
            <w:tcBorders>
              <w:left w:val="single" w:sz="6" w:space="0" w:color="auto"/>
            </w:tcBorders>
          </w:tcPr>
          <w:p w:rsidR="00AF2508" w:rsidRDefault="00AF2508">
            <w:pPr>
              <w:pStyle w:val="TableText"/>
              <w:jc w:val="center"/>
              <w:rPr>
                <w:sz w:val="20"/>
              </w:rPr>
            </w:pPr>
            <w:r>
              <w:rPr>
                <w:sz w:val="20"/>
              </w:rPr>
              <w:t>20</w:t>
            </w:r>
          </w:p>
        </w:tc>
        <w:tc>
          <w:tcPr>
            <w:tcW w:w="786" w:type="dxa"/>
            <w:gridSpan w:val="2"/>
          </w:tcPr>
          <w:p w:rsidR="00AF2508" w:rsidRDefault="00AF2508">
            <w:pPr>
              <w:pStyle w:val="TableText"/>
              <w:jc w:val="center"/>
              <w:rPr>
                <w:sz w:val="20"/>
              </w:rPr>
            </w:pPr>
            <w:r>
              <w:rPr>
                <w:sz w:val="20"/>
              </w:rPr>
              <w:t>7</w:t>
            </w:r>
          </w:p>
        </w:tc>
        <w:tc>
          <w:tcPr>
            <w:tcW w:w="760" w:type="dxa"/>
            <w:gridSpan w:val="2"/>
            <w:tcBorders>
              <w:left w:val="single" w:sz="6" w:space="0" w:color="auto"/>
            </w:tcBorders>
          </w:tcPr>
          <w:p w:rsidR="00AF2508" w:rsidRDefault="00AF2508">
            <w:pPr>
              <w:pStyle w:val="TableText"/>
              <w:jc w:val="center"/>
              <w:rPr>
                <w:sz w:val="20"/>
              </w:rPr>
            </w:pPr>
            <w:r>
              <w:rPr>
                <w:sz w:val="20"/>
              </w:rPr>
              <w:t>14</w:t>
            </w:r>
          </w:p>
        </w:tc>
        <w:tc>
          <w:tcPr>
            <w:tcW w:w="760" w:type="dxa"/>
          </w:tcPr>
          <w:p w:rsidR="00AF2508" w:rsidRDefault="00AF2508">
            <w:pPr>
              <w:pStyle w:val="TableText"/>
              <w:jc w:val="center"/>
              <w:rPr>
                <w:sz w:val="20"/>
              </w:rPr>
            </w:pPr>
            <w:r>
              <w:rPr>
                <w:sz w:val="20"/>
              </w:rPr>
              <w:t>8</w:t>
            </w:r>
          </w:p>
        </w:tc>
        <w:tc>
          <w:tcPr>
            <w:tcW w:w="800" w:type="dxa"/>
            <w:gridSpan w:val="2"/>
            <w:tcBorders>
              <w:left w:val="single" w:sz="6" w:space="0" w:color="auto"/>
            </w:tcBorders>
          </w:tcPr>
          <w:p w:rsidR="00AF2508" w:rsidRDefault="00AF2508">
            <w:pPr>
              <w:pStyle w:val="TableText"/>
              <w:jc w:val="center"/>
              <w:rPr>
                <w:sz w:val="20"/>
              </w:rPr>
            </w:pPr>
            <w:r>
              <w:rPr>
                <w:sz w:val="20"/>
              </w:rPr>
              <w:t>7</w:t>
            </w:r>
          </w:p>
        </w:tc>
        <w:tc>
          <w:tcPr>
            <w:tcW w:w="674" w:type="dxa"/>
            <w:gridSpan w:val="2"/>
          </w:tcPr>
          <w:p w:rsidR="00AF2508" w:rsidRDefault="00AF2508">
            <w:pPr>
              <w:pStyle w:val="TableText"/>
              <w:jc w:val="center"/>
              <w:rPr>
                <w:sz w:val="20"/>
              </w:rPr>
            </w:pPr>
            <w:r>
              <w:rPr>
                <w:sz w:val="20"/>
              </w:rPr>
              <w:t>9</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13</w:t>
            </w:r>
            <w:r>
              <w:rPr>
                <w:sz w:val="20"/>
              </w:rPr>
              <w:t>/</w:t>
            </w:r>
            <w:r>
              <w:rPr>
                <w:sz w:val="16"/>
              </w:rPr>
              <w:t>16</w:t>
            </w:r>
          </w:p>
        </w:tc>
        <w:tc>
          <w:tcPr>
            <w:tcW w:w="660" w:type="dxa"/>
            <w:gridSpan w:val="2"/>
          </w:tcPr>
          <w:p w:rsidR="00AF2508" w:rsidRDefault="00AF2508">
            <w:pPr>
              <w:pStyle w:val="TableText"/>
              <w:jc w:val="center"/>
              <w:rPr>
                <w:sz w:val="20"/>
              </w:rPr>
            </w:pPr>
            <w:r>
              <w:rPr>
                <w:sz w:val="20"/>
              </w:rPr>
              <w:t>15</w:t>
            </w:r>
          </w:p>
        </w:tc>
        <w:tc>
          <w:tcPr>
            <w:tcW w:w="864" w:type="dxa"/>
            <w:gridSpan w:val="3"/>
          </w:tcPr>
          <w:p w:rsidR="00AF2508" w:rsidRDefault="00AF2508">
            <w:pPr>
              <w:pStyle w:val="TableText"/>
              <w:jc w:val="center"/>
              <w:rPr>
                <w:sz w:val="20"/>
              </w:rPr>
            </w:pPr>
            <w:r>
              <w:rPr>
                <w:sz w:val="20"/>
              </w:rPr>
              <w:t>13</w:t>
            </w:r>
          </w:p>
        </w:tc>
        <w:tc>
          <w:tcPr>
            <w:tcW w:w="588" w:type="dxa"/>
            <w:gridSpan w:val="2"/>
            <w:tcBorders>
              <w:left w:val="single" w:sz="6" w:space="0" w:color="auto"/>
            </w:tcBorders>
          </w:tcPr>
          <w:p w:rsidR="00AF2508" w:rsidRDefault="00AF2508">
            <w:pPr>
              <w:pStyle w:val="TableText"/>
              <w:jc w:val="center"/>
              <w:rPr>
                <w:sz w:val="20"/>
              </w:rPr>
            </w:pPr>
            <w:r>
              <w:rPr>
                <w:sz w:val="20"/>
              </w:rPr>
              <w:t>30</w:t>
            </w:r>
          </w:p>
        </w:tc>
        <w:tc>
          <w:tcPr>
            <w:tcW w:w="708" w:type="dxa"/>
          </w:tcPr>
          <w:p w:rsidR="00AF2508" w:rsidRDefault="00AF2508">
            <w:pPr>
              <w:pStyle w:val="TableText"/>
              <w:jc w:val="center"/>
              <w:rPr>
                <w:sz w:val="20"/>
              </w:rPr>
            </w:pPr>
            <w:r>
              <w:rPr>
                <w:sz w:val="20"/>
              </w:rPr>
              <w:t>4</w:t>
            </w:r>
          </w:p>
        </w:tc>
        <w:tc>
          <w:tcPr>
            <w:tcW w:w="764" w:type="dxa"/>
            <w:tcBorders>
              <w:left w:val="single" w:sz="6" w:space="0" w:color="auto"/>
            </w:tcBorders>
          </w:tcPr>
          <w:p w:rsidR="00AF2508" w:rsidRDefault="00AF2508">
            <w:pPr>
              <w:pStyle w:val="TableText"/>
              <w:jc w:val="center"/>
              <w:rPr>
                <w:sz w:val="20"/>
              </w:rPr>
            </w:pPr>
            <w:r>
              <w:rPr>
                <w:sz w:val="20"/>
              </w:rPr>
              <w:t>27</w:t>
            </w:r>
          </w:p>
        </w:tc>
        <w:tc>
          <w:tcPr>
            <w:tcW w:w="868" w:type="dxa"/>
            <w:gridSpan w:val="2"/>
          </w:tcPr>
          <w:p w:rsidR="00AF2508" w:rsidRDefault="00AF2508">
            <w:pPr>
              <w:pStyle w:val="TableText"/>
              <w:jc w:val="center"/>
              <w:rPr>
                <w:sz w:val="20"/>
              </w:rPr>
            </w:pPr>
            <w:r>
              <w:rPr>
                <w:sz w:val="20"/>
              </w:rPr>
              <w:t>2</w:t>
            </w:r>
          </w:p>
        </w:tc>
        <w:tc>
          <w:tcPr>
            <w:tcW w:w="732" w:type="dxa"/>
            <w:tcBorders>
              <w:left w:val="single" w:sz="6" w:space="0" w:color="auto"/>
            </w:tcBorders>
          </w:tcPr>
          <w:p w:rsidR="00AF2508" w:rsidRDefault="00AF2508">
            <w:pPr>
              <w:pStyle w:val="TableText"/>
              <w:jc w:val="center"/>
              <w:rPr>
                <w:sz w:val="20"/>
              </w:rPr>
            </w:pPr>
            <w:r>
              <w:rPr>
                <w:sz w:val="20"/>
              </w:rPr>
              <w:t>22</w:t>
            </w:r>
          </w:p>
        </w:tc>
        <w:tc>
          <w:tcPr>
            <w:tcW w:w="786" w:type="dxa"/>
            <w:gridSpan w:val="2"/>
          </w:tcPr>
          <w:p w:rsidR="00AF2508" w:rsidRDefault="00AF2508">
            <w:pPr>
              <w:pStyle w:val="TableText"/>
              <w:jc w:val="center"/>
              <w:rPr>
                <w:sz w:val="20"/>
              </w:rPr>
            </w:pPr>
            <w:r>
              <w:rPr>
                <w:sz w:val="20"/>
              </w:rPr>
              <w:t>2</w:t>
            </w:r>
          </w:p>
        </w:tc>
        <w:tc>
          <w:tcPr>
            <w:tcW w:w="760" w:type="dxa"/>
            <w:gridSpan w:val="2"/>
            <w:tcBorders>
              <w:left w:val="single" w:sz="6" w:space="0" w:color="auto"/>
            </w:tcBorders>
          </w:tcPr>
          <w:p w:rsidR="00AF2508" w:rsidRDefault="00AF2508">
            <w:pPr>
              <w:pStyle w:val="TableText"/>
              <w:jc w:val="center"/>
              <w:rPr>
                <w:sz w:val="20"/>
              </w:rPr>
            </w:pPr>
            <w:r>
              <w:rPr>
                <w:sz w:val="20"/>
              </w:rPr>
              <w:t>15</w:t>
            </w:r>
          </w:p>
        </w:tc>
        <w:tc>
          <w:tcPr>
            <w:tcW w:w="760" w:type="dxa"/>
          </w:tcPr>
          <w:p w:rsidR="00AF2508" w:rsidRDefault="00AF2508">
            <w:pPr>
              <w:pStyle w:val="TableText"/>
              <w:jc w:val="center"/>
              <w:rPr>
                <w:sz w:val="20"/>
              </w:rPr>
            </w:pPr>
            <w:r>
              <w:rPr>
                <w:sz w:val="20"/>
              </w:rPr>
              <w:t>13</w:t>
            </w:r>
          </w:p>
        </w:tc>
        <w:tc>
          <w:tcPr>
            <w:tcW w:w="800" w:type="dxa"/>
            <w:gridSpan w:val="2"/>
            <w:tcBorders>
              <w:left w:val="single" w:sz="6" w:space="0" w:color="auto"/>
            </w:tcBorders>
          </w:tcPr>
          <w:p w:rsidR="00AF2508" w:rsidRDefault="00AF2508">
            <w:pPr>
              <w:pStyle w:val="TableText"/>
              <w:jc w:val="center"/>
              <w:rPr>
                <w:sz w:val="20"/>
              </w:rPr>
            </w:pPr>
            <w:r>
              <w:rPr>
                <w:sz w:val="20"/>
              </w:rPr>
              <w:t>8</w:t>
            </w:r>
          </w:p>
        </w:tc>
        <w:tc>
          <w:tcPr>
            <w:tcW w:w="674" w:type="dxa"/>
            <w:gridSpan w:val="2"/>
          </w:tcPr>
          <w:p w:rsidR="00AF2508" w:rsidRDefault="00AF2508">
            <w:pPr>
              <w:pStyle w:val="TableText"/>
              <w:jc w:val="center"/>
              <w:rPr>
                <w:sz w:val="20"/>
              </w:rPr>
            </w:pPr>
            <w:r>
              <w:rPr>
                <w:sz w:val="20"/>
              </w:rPr>
              <w:t>2</w:t>
            </w:r>
          </w:p>
        </w:tc>
      </w:tr>
      <w:tr w:rsidR="00AF2508">
        <w:trPr>
          <w:cantSplit/>
          <w:trHeight w:val="200"/>
        </w:trPr>
        <w:tc>
          <w:tcPr>
            <w:tcW w:w="968" w:type="dxa"/>
            <w:tcBorders>
              <w:bottom w:val="single" w:sz="6" w:space="0" w:color="auto"/>
            </w:tcBorders>
          </w:tcPr>
          <w:p w:rsidR="00AF2508" w:rsidRDefault="00AF2508">
            <w:pPr>
              <w:pStyle w:val="TableText"/>
              <w:jc w:val="center"/>
              <w:rPr>
                <w:sz w:val="20"/>
              </w:rPr>
            </w:pPr>
            <w:r>
              <w:rPr>
                <w:sz w:val="20"/>
              </w:rPr>
              <w:t>6</w:t>
            </w:r>
          </w:p>
        </w:tc>
        <w:tc>
          <w:tcPr>
            <w:tcW w:w="948" w:type="dxa"/>
            <w:gridSpan w:val="3"/>
            <w:tcBorders>
              <w:left w:val="single" w:sz="6" w:space="0" w:color="auto"/>
              <w:bottom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660" w:type="dxa"/>
            <w:gridSpan w:val="2"/>
            <w:tcBorders>
              <w:bottom w:val="single" w:sz="6" w:space="0" w:color="auto"/>
            </w:tcBorders>
          </w:tcPr>
          <w:p w:rsidR="00AF2508" w:rsidRDefault="00AF2508">
            <w:pPr>
              <w:pStyle w:val="TableText"/>
              <w:jc w:val="center"/>
              <w:rPr>
                <w:sz w:val="20"/>
              </w:rPr>
            </w:pPr>
            <w:r>
              <w:rPr>
                <w:sz w:val="20"/>
              </w:rPr>
              <w:t>17</w:t>
            </w:r>
          </w:p>
        </w:tc>
        <w:tc>
          <w:tcPr>
            <w:tcW w:w="864" w:type="dxa"/>
            <w:gridSpan w:val="3"/>
            <w:tcBorders>
              <w:bottom w:val="single" w:sz="6" w:space="0" w:color="auto"/>
            </w:tcBorders>
          </w:tcPr>
          <w:p w:rsidR="00AF2508" w:rsidRDefault="00AF2508">
            <w:pPr>
              <w:pStyle w:val="TableText"/>
              <w:jc w:val="center"/>
              <w:rPr>
                <w:sz w:val="20"/>
              </w:rPr>
            </w:pPr>
            <w:r>
              <w:rPr>
                <w:sz w:val="20"/>
              </w:rPr>
              <w:t>4</w:t>
            </w:r>
          </w:p>
        </w:tc>
        <w:tc>
          <w:tcPr>
            <w:tcW w:w="588" w:type="dxa"/>
            <w:gridSpan w:val="2"/>
            <w:tcBorders>
              <w:left w:val="single" w:sz="6" w:space="0" w:color="auto"/>
              <w:bottom w:val="single" w:sz="6" w:space="0" w:color="auto"/>
            </w:tcBorders>
          </w:tcPr>
          <w:p w:rsidR="00AF2508" w:rsidRDefault="00AF2508">
            <w:pPr>
              <w:pStyle w:val="TableText"/>
              <w:jc w:val="center"/>
              <w:rPr>
                <w:sz w:val="20"/>
              </w:rPr>
            </w:pPr>
            <w:r>
              <w:rPr>
                <w:sz w:val="20"/>
              </w:rPr>
              <w:t>33</w:t>
            </w:r>
          </w:p>
        </w:tc>
        <w:tc>
          <w:tcPr>
            <w:tcW w:w="708" w:type="dxa"/>
            <w:tcBorders>
              <w:bottom w:val="single" w:sz="6" w:space="0" w:color="auto"/>
            </w:tcBorders>
          </w:tcPr>
          <w:p w:rsidR="00AF2508" w:rsidRDefault="00AF2508">
            <w:pPr>
              <w:pStyle w:val="TableText"/>
              <w:jc w:val="center"/>
              <w:rPr>
                <w:sz w:val="20"/>
              </w:rPr>
            </w:pPr>
            <w:r>
              <w:rPr>
                <w:sz w:val="20"/>
              </w:rPr>
              <w:t>5</w:t>
            </w:r>
          </w:p>
        </w:tc>
        <w:tc>
          <w:tcPr>
            <w:tcW w:w="764" w:type="dxa"/>
            <w:tcBorders>
              <w:left w:val="single" w:sz="6" w:space="0" w:color="auto"/>
              <w:bottom w:val="single" w:sz="6" w:space="0" w:color="auto"/>
            </w:tcBorders>
          </w:tcPr>
          <w:p w:rsidR="00AF2508" w:rsidRDefault="00AF2508">
            <w:pPr>
              <w:pStyle w:val="TableText"/>
              <w:jc w:val="center"/>
              <w:rPr>
                <w:sz w:val="20"/>
              </w:rPr>
            </w:pPr>
            <w:r>
              <w:rPr>
                <w:sz w:val="20"/>
              </w:rPr>
              <w:t>29</w:t>
            </w:r>
          </w:p>
        </w:tc>
        <w:tc>
          <w:tcPr>
            <w:tcW w:w="868" w:type="dxa"/>
            <w:gridSpan w:val="2"/>
            <w:tcBorders>
              <w:bottom w:val="single" w:sz="6" w:space="0" w:color="auto"/>
            </w:tcBorders>
          </w:tcPr>
          <w:p w:rsidR="00AF2508" w:rsidRDefault="00AF2508">
            <w:pPr>
              <w:pStyle w:val="TableText"/>
              <w:jc w:val="center"/>
              <w:rPr>
                <w:sz w:val="20"/>
              </w:rPr>
            </w:pPr>
            <w:r>
              <w:rPr>
                <w:sz w:val="20"/>
              </w:rPr>
              <w:t>16</w:t>
            </w:r>
          </w:p>
        </w:tc>
        <w:tc>
          <w:tcPr>
            <w:tcW w:w="732" w:type="dxa"/>
            <w:tcBorders>
              <w:left w:val="single" w:sz="6" w:space="0" w:color="auto"/>
              <w:bottom w:val="single" w:sz="6" w:space="0" w:color="auto"/>
            </w:tcBorders>
          </w:tcPr>
          <w:p w:rsidR="00AF2508" w:rsidRDefault="00AF2508">
            <w:pPr>
              <w:pStyle w:val="TableText"/>
              <w:jc w:val="center"/>
              <w:rPr>
                <w:sz w:val="20"/>
              </w:rPr>
            </w:pPr>
            <w:r>
              <w:rPr>
                <w:sz w:val="20"/>
              </w:rPr>
              <w:t>24</w:t>
            </w:r>
          </w:p>
        </w:tc>
        <w:tc>
          <w:tcPr>
            <w:tcW w:w="786" w:type="dxa"/>
            <w:gridSpan w:val="2"/>
            <w:tcBorders>
              <w:bottom w:val="single" w:sz="6" w:space="0" w:color="auto"/>
            </w:tcBorders>
          </w:tcPr>
          <w:p w:rsidR="00AF2508" w:rsidRDefault="00AF2508">
            <w:pPr>
              <w:pStyle w:val="TableText"/>
              <w:jc w:val="center"/>
              <w:rPr>
                <w:sz w:val="20"/>
              </w:rPr>
            </w:pPr>
            <w:r>
              <w:rPr>
                <w:sz w:val="20"/>
              </w:rPr>
              <w:t>7</w:t>
            </w:r>
          </w:p>
        </w:tc>
        <w:tc>
          <w:tcPr>
            <w:tcW w:w="760" w:type="dxa"/>
            <w:gridSpan w:val="2"/>
            <w:tcBorders>
              <w:left w:val="single" w:sz="6" w:space="0" w:color="auto"/>
              <w:bottom w:val="single" w:sz="6" w:space="0" w:color="auto"/>
            </w:tcBorders>
          </w:tcPr>
          <w:p w:rsidR="00AF2508" w:rsidRDefault="00AF2508">
            <w:pPr>
              <w:pStyle w:val="TableText"/>
              <w:jc w:val="center"/>
              <w:rPr>
                <w:sz w:val="20"/>
              </w:rPr>
            </w:pPr>
            <w:r>
              <w:rPr>
                <w:sz w:val="20"/>
              </w:rPr>
              <w:t>17</w:t>
            </w:r>
          </w:p>
        </w:tc>
        <w:tc>
          <w:tcPr>
            <w:tcW w:w="760" w:type="dxa"/>
            <w:tcBorders>
              <w:bottom w:val="single" w:sz="6" w:space="0" w:color="auto"/>
            </w:tcBorders>
          </w:tcPr>
          <w:p w:rsidR="00AF2508" w:rsidRDefault="00AF2508">
            <w:pPr>
              <w:pStyle w:val="TableText"/>
              <w:jc w:val="center"/>
              <w:rPr>
                <w:sz w:val="20"/>
              </w:rPr>
            </w:pPr>
            <w:r>
              <w:rPr>
                <w:sz w:val="20"/>
              </w:rPr>
              <w:t>4</w:t>
            </w:r>
          </w:p>
        </w:tc>
        <w:tc>
          <w:tcPr>
            <w:tcW w:w="800" w:type="dxa"/>
            <w:gridSpan w:val="2"/>
            <w:tcBorders>
              <w:left w:val="single" w:sz="6" w:space="0" w:color="auto"/>
              <w:bottom w:val="single" w:sz="6" w:space="0" w:color="auto"/>
            </w:tcBorders>
          </w:tcPr>
          <w:p w:rsidR="00AF2508" w:rsidRDefault="00AF2508">
            <w:pPr>
              <w:pStyle w:val="TableText"/>
              <w:jc w:val="center"/>
              <w:rPr>
                <w:sz w:val="20"/>
              </w:rPr>
            </w:pPr>
            <w:r>
              <w:rPr>
                <w:sz w:val="20"/>
              </w:rPr>
              <w:t>8</w:t>
            </w:r>
          </w:p>
        </w:tc>
        <w:tc>
          <w:tcPr>
            <w:tcW w:w="674" w:type="dxa"/>
            <w:gridSpan w:val="2"/>
            <w:tcBorders>
              <w:bottom w:val="single" w:sz="6" w:space="0" w:color="auto"/>
            </w:tcBorders>
          </w:tcPr>
          <w:p w:rsidR="00AF2508" w:rsidRDefault="00AF2508">
            <w:pPr>
              <w:pStyle w:val="TableText"/>
              <w:jc w:val="center"/>
              <w:rPr>
                <w:sz w:val="20"/>
              </w:rPr>
            </w:pPr>
            <w:r>
              <w:rPr>
                <w:sz w:val="20"/>
              </w:rPr>
              <w:t>18</w:t>
            </w:r>
          </w:p>
        </w:tc>
      </w:tr>
    </w:tbl>
    <w:p w:rsidR="00AF2508" w:rsidRDefault="00AF2508"/>
    <w:p w:rsidR="00AF2508" w:rsidRDefault="00AF2508">
      <w:pPr>
        <w:pStyle w:val="TableHd"/>
      </w:pPr>
      <w:r>
        <w:t>Maximum safe working load for steel wire rope—Classification 2</w:t>
      </w:r>
    </w:p>
    <w:p w:rsidR="00AF2508" w:rsidRDefault="00AF2508">
      <w:pPr>
        <w:pStyle w:val="TableHd"/>
        <w:ind w:left="0" w:firstLine="0"/>
      </w:pPr>
      <w:r>
        <w:t>Minimum ultimate tensile value of steel of which rope is constructed = 80 tons per square inch</w:t>
      </w:r>
      <w:r>
        <w:br/>
        <w:t>construction:  6 strands each containing 19 wires</w:t>
      </w:r>
    </w:p>
    <w:tbl>
      <w:tblPr>
        <w:tblW w:w="0" w:type="auto"/>
        <w:tblLayout w:type="fixed"/>
        <w:tblCellMar>
          <w:left w:w="80" w:type="dxa"/>
          <w:right w:w="80" w:type="dxa"/>
        </w:tblCellMar>
        <w:tblLook w:val="0000" w:firstRow="0" w:lastRow="0" w:firstColumn="0" w:lastColumn="0" w:noHBand="0" w:noVBand="0"/>
      </w:tblPr>
      <w:tblGrid>
        <w:gridCol w:w="968"/>
        <w:gridCol w:w="16"/>
        <w:gridCol w:w="924"/>
        <w:gridCol w:w="8"/>
        <w:gridCol w:w="571"/>
        <w:gridCol w:w="93"/>
        <w:gridCol w:w="8"/>
        <w:gridCol w:w="840"/>
        <w:gridCol w:w="592"/>
        <w:gridCol w:w="8"/>
        <w:gridCol w:w="692"/>
        <w:gridCol w:w="16"/>
        <w:gridCol w:w="12"/>
        <w:gridCol w:w="752"/>
        <w:gridCol w:w="832"/>
        <w:gridCol w:w="768"/>
        <w:gridCol w:w="780"/>
        <w:gridCol w:w="766"/>
        <w:gridCol w:w="734"/>
        <w:gridCol w:w="826"/>
        <w:gridCol w:w="654"/>
      </w:tblGrid>
      <w:tr w:rsidR="00AF2508">
        <w:trPr>
          <w:cantSplit/>
          <w:tblHeader/>
        </w:trPr>
        <w:tc>
          <w:tcPr>
            <w:tcW w:w="984" w:type="dxa"/>
            <w:gridSpan w:val="2"/>
            <w:tcBorders>
              <w:top w:val="single" w:sz="6" w:space="0" w:color="auto"/>
              <w:right w:val="single" w:sz="6" w:space="0" w:color="auto"/>
            </w:tcBorders>
          </w:tcPr>
          <w:p w:rsidR="00AF2508" w:rsidRDefault="00AF2508">
            <w:pPr>
              <w:pStyle w:val="TableColHd"/>
              <w:jc w:val="center"/>
            </w:pPr>
          </w:p>
        </w:tc>
        <w:tc>
          <w:tcPr>
            <w:tcW w:w="924" w:type="dxa"/>
            <w:tcBorders>
              <w:top w:val="single" w:sz="6" w:space="0" w:color="auto"/>
              <w:right w:val="single" w:sz="6" w:space="0" w:color="auto"/>
            </w:tcBorders>
          </w:tcPr>
          <w:p w:rsidR="00AF2508" w:rsidRDefault="00AF2508">
            <w:pPr>
              <w:pStyle w:val="TableColHd"/>
              <w:jc w:val="center"/>
            </w:pPr>
          </w:p>
        </w:tc>
        <w:tc>
          <w:tcPr>
            <w:tcW w:w="579" w:type="dxa"/>
            <w:gridSpan w:val="2"/>
            <w:tcBorders>
              <w:top w:val="single" w:sz="6" w:space="0" w:color="auto"/>
            </w:tcBorders>
          </w:tcPr>
          <w:p w:rsidR="00AF2508" w:rsidRDefault="00AF2508">
            <w:pPr>
              <w:pStyle w:val="TableColHd"/>
              <w:jc w:val="center"/>
            </w:pPr>
          </w:p>
        </w:tc>
        <w:tc>
          <w:tcPr>
            <w:tcW w:w="941" w:type="dxa"/>
            <w:gridSpan w:val="3"/>
            <w:tcBorders>
              <w:top w:val="single" w:sz="6" w:space="0" w:color="auto"/>
            </w:tcBorders>
          </w:tcPr>
          <w:p w:rsidR="00AF2508" w:rsidRDefault="00AF2508">
            <w:pPr>
              <w:pStyle w:val="TableColHd"/>
              <w:jc w:val="center"/>
            </w:pPr>
          </w:p>
        </w:tc>
        <w:tc>
          <w:tcPr>
            <w:tcW w:w="7428" w:type="dxa"/>
            <w:gridSpan w:val="13"/>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cantSplit/>
          <w:tblHeader/>
        </w:trPr>
        <w:tc>
          <w:tcPr>
            <w:tcW w:w="984" w:type="dxa"/>
            <w:gridSpan w:val="2"/>
            <w:tcBorders>
              <w:right w:val="single" w:sz="6" w:space="0" w:color="auto"/>
            </w:tcBorders>
            <w:vAlign w:val="bottom"/>
          </w:tcPr>
          <w:p w:rsidR="00AF2508" w:rsidRDefault="00AF2508">
            <w:pPr>
              <w:pStyle w:val="TableColHd"/>
            </w:pPr>
            <w:r>
              <w:t>circum-</w:t>
            </w:r>
            <w:r>
              <w:br/>
              <w:t>ference</w:t>
            </w:r>
            <w:r>
              <w:br/>
              <w:t>of rope</w:t>
            </w:r>
          </w:p>
        </w:tc>
        <w:tc>
          <w:tcPr>
            <w:tcW w:w="924" w:type="dxa"/>
            <w:tcBorders>
              <w:right w:val="single" w:sz="6" w:space="0" w:color="auto"/>
            </w:tcBorders>
            <w:vAlign w:val="bottom"/>
          </w:tcPr>
          <w:p w:rsidR="00AF2508" w:rsidRDefault="00AF2508">
            <w:pPr>
              <w:pStyle w:val="TableColHd"/>
            </w:pPr>
            <w:r>
              <w:t>approx.</w:t>
            </w:r>
            <w:r>
              <w:br/>
              <w:t>diameter</w:t>
            </w:r>
            <w:r>
              <w:br/>
              <w:t>of rope</w:t>
            </w:r>
          </w:p>
        </w:tc>
        <w:tc>
          <w:tcPr>
            <w:tcW w:w="1520" w:type="dxa"/>
            <w:gridSpan w:val="5"/>
            <w:vAlign w:val="bottom"/>
          </w:tcPr>
          <w:p w:rsidR="00AF2508" w:rsidRDefault="00AF2508">
            <w:pPr>
              <w:pStyle w:val="TableColHd"/>
            </w:pPr>
            <w:r>
              <w:t>safe load for 1 single fall (part) of rope</w:t>
            </w:r>
          </w:p>
        </w:tc>
        <w:tc>
          <w:tcPr>
            <w:tcW w:w="1320" w:type="dxa"/>
            <w:gridSpan w:val="5"/>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2"/>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AF2508" w:rsidRDefault="00136775">
            <w:pPr>
              <w:rPr>
                <w:color w:val="000000"/>
                <w:sz w:val="18"/>
              </w:rPr>
            </w:pPr>
            <w:r>
              <w:rPr>
                <w:noProof/>
                <w:color w:val="000000"/>
                <w:sz w:val="20"/>
                <w:lang w:eastAsia="en-AU"/>
              </w:rPr>
              <w:drawing>
                <wp:inline distT="0" distB="0" distL="0" distR="0">
                  <wp:extent cx="790575" cy="5238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cantSplit/>
          <w:trHeight w:val="220"/>
          <w:tblHeader/>
        </w:trPr>
        <w:tc>
          <w:tcPr>
            <w:tcW w:w="98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3"/>
            <w:tcBorders>
              <w:top w:val="single" w:sz="6" w:space="0" w:color="auto"/>
              <w:bottom w:val="single" w:sz="6" w:space="0" w:color="auto"/>
            </w:tcBorders>
            <w:vAlign w:val="bottom"/>
          </w:tcPr>
          <w:p w:rsidR="00AF2508" w:rsidRDefault="00AF2508">
            <w:pPr>
              <w:pStyle w:val="TableColHd"/>
              <w:spacing w:after="0"/>
              <w:jc w:val="center"/>
            </w:pPr>
            <w:r>
              <w:t>tons</w:t>
            </w:r>
          </w:p>
        </w:tc>
        <w:tc>
          <w:tcPr>
            <w:tcW w:w="848"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16" w:type="dxa"/>
            <w:gridSpan w:val="3"/>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32"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8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6"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3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826"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68" w:type="dxa"/>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948" w:type="dxa"/>
            <w:gridSpan w:val="3"/>
            <w:tcBorders>
              <w:top w:val="single" w:sz="6" w:space="0" w:color="auto"/>
              <w:right w:val="single" w:sz="6" w:space="0" w:color="auto"/>
            </w:tcBorders>
          </w:tcPr>
          <w:p w:rsidR="00AF2508" w:rsidRDefault="00AF2508">
            <w:pPr>
              <w:pStyle w:val="TableText"/>
              <w:jc w:val="center"/>
              <w:rPr>
                <w:sz w:val="20"/>
              </w:rPr>
            </w:pPr>
            <w:r>
              <w:rPr>
                <w:position w:val="4"/>
                <w:sz w:val="20"/>
              </w:rPr>
              <w:t>3</w:t>
            </w:r>
            <w:r>
              <w:rPr>
                <w:sz w:val="20"/>
              </w:rPr>
              <w:t xml:space="preserve">/16 </w:t>
            </w:r>
          </w:p>
        </w:tc>
        <w:tc>
          <w:tcPr>
            <w:tcW w:w="672" w:type="dxa"/>
            <w:gridSpan w:val="3"/>
            <w:tcBorders>
              <w:top w:val="single" w:sz="6" w:space="0" w:color="auto"/>
            </w:tcBorders>
          </w:tcPr>
          <w:p w:rsidR="00AF2508" w:rsidRDefault="00AF2508">
            <w:pPr>
              <w:pStyle w:val="TableText"/>
              <w:jc w:val="center"/>
              <w:rPr>
                <w:sz w:val="20"/>
              </w:rPr>
            </w:pPr>
            <w:r>
              <w:rPr>
                <w:sz w:val="20"/>
              </w:rPr>
              <w:t>0</w:t>
            </w:r>
          </w:p>
        </w:tc>
        <w:tc>
          <w:tcPr>
            <w:tcW w:w="840" w:type="dxa"/>
            <w:tcBorders>
              <w:top w:val="single" w:sz="6" w:space="0" w:color="auto"/>
            </w:tcBorders>
          </w:tcPr>
          <w:p w:rsidR="00AF2508" w:rsidRDefault="00AF2508">
            <w:pPr>
              <w:pStyle w:val="TableText"/>
              <w:jc w:val="center"/>
              <w:rPr>
                <w:sz w:val="20"/>
              </w:rPr>
            </w:pPr>
            <w:r>
              <w:rPr>
                <w:sz w:val="20"/>
              </w:rPr>
              <w:t>3</w:t>
            </w:r>
          </w:p>
        </w:tc>
        <w:tc>
          <w:tcPr>
            <w:tcW w:w="600"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692" w:type="dxa"/>
            <w:tcBorders>
              <w:top w:val="single" w:sz="6" w:space="0" w:color="auto"/>
            </w:tcBorders>
          </w:tcPr>
          <w:p w:rsidR="00AF2508" w:rsidRDefault="00AF2508">
            <w:pPr>
              <w:pStyle w:val="TableText"/>
              <w:jc w:val="center"/>
              <w:rPr>
                <w:sz w:val="20"/>
              </w:rPr>
            </w:pPr>
            <w:r>
              <w:rPr>
                <w:sz w:val="20"/>
              </w:rPr>
              <w:t>6</w:t>
            </w:r>
          </w:p>
        </w:tc>
        <w:tc>
          <w:tcPr>
            <w:tcW w:w="780" w:type="dxa"/>
            <w:gridSpan w:val="3"/>
            <w:tcBorders>
              <w:top w:val="single" w:sz="6" w:space="0" w:color="auto"/>
              <w:left w:val="single" w:sz="6" w:space="0" w:color="auto"/>
            </w:tcBorders>
          </w:tcPr>
          <w:p w:rsidR="00AF2508" w:rsidRDefault="00AF2508">
            <w:pPr>
              <w:pStyle w:val="TableText"/>
              <w:jc w:val="center"/>
              <w:rPr>
                <w:sz w:val="20"/>
              </w:rPr>
            </w:pPr>
            <w:r>
              <w:rPr>
                <w:sz w:val="20"/>
              </w:rPr>
              <w:t>0</w:t>
            </w:r>
          </w:p>
        </w:tc>
        <w:tc>
          <w:tcPr>
            <w:tcW w:w="832" w:type="dxa"/>
            <w:tcBorders>
              <w:top w:val="single" w:sz="6" w:space="0" w:color="auto"/>
            </w:tcBorders>
          </w:tcPr>
          <w:p w:rsidR="00AF2508" w:rsidRDefault="00AF2508">
            <w:pPr>
              <w:pStyle w:val="TableText"/>
              <w:jc w:val="center"/>
              <w:rPr>
                <w:sz w:val="20"/>
              </w:rPr>
            </w:pPr>
            <w:r>
              <w:rPr>
                <w:sz w:val="20"/>
              </w:rPr>
              <w:t>5</w:t>
            </w:r>
          </w:p>
        </w:tc>
        <w:tc>
          <w:tcPr>
            <w:tcW w:w="768"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80" w:type="dxa"/>
            <w:tcBorders>
              <w:top w:val="single" w:sz="6" w:space="0" w:color="auto"/>
            </w:tcBorders>
          </w:tcPr>
          <w:p w:rsidR="00AF2508" w:rsidRDefault="00AF2508">
            <w:pPr>
              <w:pStyle w:val="TableText"/>
              <w:jc w:val="center"/>
              <w:rPr>
                <w:sz w:val="20"/>
              </w:rPr>
            </w:pPr>
            <w:r>
              <w:rPr>
                <w:sz w:val="20"/>
              </w:rPr>
              <w:t>4</w:t>
            </w:r>
          </w:p>
        </w:tc>
        <w:tc>
          <w:tcPr>
            <w:tcW w:w="766"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34" w:type="dxa"/>
            <w:tcBorders>
              <w:top w:val="single" w:sz="6" w:space="0" w:color="auto"/>
              <w:right w:val="single" w:sz="6" w:space="0" w:color="auto"/>
            </w:tcBorders>
          </w:tcPr>
          <w:p w:rsidR="00AF2508" w:rsidRDefault="00AF2508">
            <w:pPr>
              <w:pStyle w:val="TableText"/>
              <w:jc w:val="center"/>
              <w:rPr>
                <w:sz w:val="20"/>
              </w:rPr>
            </w:pPr>
            <w:r>
              <w:rPr>
                <w:sz w:val="20"/>
              </w:rPr>
              <w:t>3</w:t>
            </w:r>
          </w:p>
        </w:tc>
        <w:tc>
          <w:tcPr>
            <w:tcW w:w="826" w:type="dxa"/>
            <w:tcBorders>
              <w:top w:val="single" w:sz="6" w:space="0" w:color="auto"/>
            </w:tcBorders>
          </w:tcPr>
          <w:p w:rsidR="00AF2508" w:rsidRDefault="00AF2508">
            <w:pPr>
              <w:pStyle w:val="TableText"/>
              <w:jc w:val="center"/>
              <w:rPr>
                <w:sz w:val="20"/>
              </w:rPr>
            </w:pPr>
            <w:r>
              <w:rPr>
                <w:sz w:val="20"/>
              </w:rPr>
              <w:t>0</w:t>
            </w:r>
          </w:p>
        </w:tc>
        <w:tc>
          <w:tcPr>
            <w:tcW w:w="650" w:type="dxa"/>
            <w:tcBorders>
              <w:top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3</w:t>
            </w:r>
            <w:r>
              <w:rPr>
                <w:sz w:val="20"/>
              </w:rPr>
              <w:t xml:space="preserve">/4 </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w:t>
            </w:r>
            <w:r>
              <w:rPr>
                <w:sz w:val="20"/>
              </w:rPr>
              <w:t xml:space="preserve">/4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4</w:t>
            </w:r>
            <w:r>
              <w:rPr>
                <w:position w:val="4"/>
                <w:sz w:val="20"/>
              </w:rPr>
              <w:t>1</w:t>
            </w: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692" w:type="dxa"/>
          </w:tcPr>
          <w:p w:rsidR="00AF2508" w:rsidRDefault="00AF2508">
            <w:pPr>
              <w:pStyle w:val="TableText"/>
              <w:jc w:val="center"/>
              <w:rPr>
                <w:sz w:val="20"/>
              </w:rPr>
            </w:pPr>
            <w:r>
              <w:rPr>
                <w:sz w:val="20"/>
              </w:rPr>
              <w:t>8</w:t>
            </w:r>
            <w:r>
              <w:rPr>
                <w:position w:val="4"/>
                <w:sz w:val="20"/>
              </w:rPr>
              <w:t>1</w:t>
            </w:r>
            <w:r>
              <w:rPr>
                <w:sz w:val="20"/>
              </w:rPr>
              <w:t>/2</w:t>
            </w:r>
          </w:p>
        </w:tc>
        <w:tc>
          <w:tcPr>
            <w:tcW w:w="780" w:type="dxa"/>
            <w:gridSpan w:val="3"/>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0</w:t>
            </w:r>
          </w:p>
        </w:tc>
        <w:tc>
          <w:tcPr>
            <w:tcW w:w="780" w:type="dxa"/>
          </w:tcPr>
          <w:p w:rsidR="00AF2508" w:rsidRDefault="00AF2508">
            <w:pPr>
              <w:pStyle w:val="TableText"/>
              <w:jc w:val="center"/>
              <w:rPr>
                <w:sz w:val="20"/>
              </w:rPr>
            </w:pPr>
            <w:r>
              <w:rPr>
                <w:sz w:val="20"/>
              </w:rPr>
              <w:t>6</w:t>
            </w:r>
            <w:r>
              <w:rPr>
                <w:position w:val="4"/>
                <w:sz w:val="20"/>
              </w:rPr>
              <w:t>1</w:t>
            </w:r>
            <w:r>
              <w:rPr>
                <w:sz w:val="20"/>
              </w:rPr>
              <w:t>/2</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4</w:t>
            </w:r>
            <w:r>
              <w:rPr>
                <w:position w:val="4"/>
                <w:sz w:val="20"/>
              </w:rPr>
              <w:t>1</w:t>
            </w:r>
            <w:r>
              <w:rPr>
                <w:sz w:val="20"/>
              </w:rPr>
              <w:t>/2</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2</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948" w:type="dxa"/>
            <w:gridSpan w:val="3"/>
            <w:tcBorders>
              <w:right w:val="single" w:sz="6" w:space="0" w:color="auto"/>
            </w:tcBorders>
          </w:tcPr>
          <w:p w:rsidR="00AF2508" w:rsidRDefault="00AF2508">
            <w:pPr>
              <w:pStyle w:val="TableText"/>
              <w:jc w:val="center"/>
              <w:rPr>
                <w:sz w:val="20"/>
              </w:rPr>
            </w:pPr>
            <w:r>
              <w:rPr>
                <w:position w:val="4"/>
                <w:sz w:val="20"/>
              </w:rPr>
              <w:t>9</w:t>
            </w:r>
            <w:r>
              <w:rPr>
                <w:sz w:val="20"/>
              </w:rPr>
              <w:t xml:space="preserve">/32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6</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692" w:type="dxa"/>
          </w:tcPr>
          <w:p w:rsidR="00AF2508" w:rsidRDefault="00AF2508">
            <w:pPr>
              <w:pStyle w:val="TableText"/>
              <w:jc w:val="center"/>
              <w:rPr>
                <w:sz w:val="20"/>
              </w:rPr>
            </w:pPr>
            <w:r>
              <w:rPr>
                <w:sz w:val="20"/>
              </w:rPr>
              <w:t>11</w:t>
            </w:r>
            <w:r>
              <w:rPr>
                <w:position w:val="4"/>
                <w:sz w:val="20"/>
              </w:rPr>
              <w:t>1</w:t>
            </w:r>
            <w:r>
              <w:rPr>
                <w:sz w:val="20"/>
              </w:rPr>
              <w:t>/2</w:t>
            </w:r>
          </w:p>
        </w:tc>
        <w:tc>
          <w:tcPr>
            <w:tcW w:w="780" w:type="dxa"/>
            <w:gridSpan w:val="3"/>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10</w:t>
            </w:r>
            <w:r>
              <w:rPr>
                <w:position w:val="4"/>
                <w:sz w:val="20"/>
              </w:rPr>
              <w:t>1</w:t>
            </w:r>
            <w:r>
              <w:rPr>
                <w:sz w:val="20"/>
              </w:rPr>
              <w:t>/2</w:t>
            </w:r>
          </w:p>
        </w:tc>
        <w:tc>
          <w:tcPr>
            <w:tcW w:w="768" w:type="dxa"/>
            <w:tcBorders>
              <w:left w:val="single" w:sz="6" w:space="0" w:color="auto"/>
            </w:tcBorders>
          </w:tcPr>
          <w:p w:rsidR="00AF2508" w:rsidRDefault="00AF2508">
            <w:pPr>
              <w:pStyle w:val="TableText"/>
              <w:jc w:val="center"/>
              <w:rPr>
                <w:sz w:val="20"/>
              </w:rPr>
            </w:pPr>
            <w:r>
              <w:rPr>
                <w:sz w:val="20"/>
              </w:rPr>
              <w:t>0</w:t>
            </w:r>
          </w:p>
        </w:tc>
        <w:tc>
          <w:tcPr>
            <w:tcW w:w="780" w:type="dxa"/>
          </w:tcPr>
          <w:p w:rsidR="00AF2508" w:rsidRDefault="00AF2508">
            <w:pPr>
              <w:pStyle w:val="TableText"/>
              <w:jc w:val="center"/>
              <w:rPr>
                <w:sz w:val="20"/>
              </w:rPr>
            </w:pPr>
            <w:r>
              <w:rPr>
                <w:sz w:val="20"/>
              </w:rPr>
              <w:t>8</w:t>
            </w:r>
            <w:r>
              <w:rPr>
                <w:position w:val="4"/>
                <w:sz w:val="20"/>
              </w:rPr>
              <w:t>1</w:t>
            </w:r>
            <w:r>
              <w:rPr>
                <w:sz w:val="20"/>
              </w:rPr>
              <w:t>/2</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6</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3</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5</w:t>
            </w:r>
            <w:r>
              <w:rPr>
                <w:sz w:val="20"/>
              </w:rPr>
              <w:t xml:space="preserve">/16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8</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692" w:type="dxa"/>
          </w:tcPr>
          <w:p w:rsidR="00AF2508" w:rsidRDefault="00AF2508">
            <w:pPr>
              <w:pStyle w:val="TableText"/>
              <w:jc w:val="center"/>
              <w:rPr>
                <w:sz w:val="20"/>
              </w:rPr>
            </w:pPr>
            <w:r>
              <w:rPr>
                <w:sz w:val="20"/>
              </w:rPr>
              <w:t>15</w:t>
            </w:r>
            <w:r>
              <w:rPr>
                <w:position w:val="4"/>
                <w:sz w:val="20"/>
              </w:rPr>
              <w:t>1</w:t>
            </w:r>
            <w:r>
              <w:rPr>
                <w:sz w:val="20"/>
              </w:rPr>
              <w:t>/2</w:t>
            </w:r>
          </w:p>
        </w:tc>
        <w:tc>
          <w:tcPr>
            <w:tcW w:w="780" w:type="dxa"/>
            <w:gridSpan w:val="3"/>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14</w:t>
            </w:r>
          </w:p>
        </w:tc>
        <w:tc>
          <w:tcPr>
            <w:tcW w:w="768" w:type="dxa"/>
            <w:tcBorders>
              <w:left w:val="single" w:sz="6" w:space="0" w:color="auto"/>
            </w:tcBorders>
          </w:tcPr>
          <w:p w:rsidR="00AF2508" w:rsidRDefault="00AF2508">
            <w:pPr>
              <w:pStyle w:val="TableText"/>
              <w:jc w:val="center"/>
              <w:rPr>
                <w:sz w:val="20"/>
              </w:rPr>
            </w:pPr>
            <w:r>
              <w:rPr>
                <w:sz w:val="20"/>
              </w:rPr>
              <w:t>0</w:t>
            </w:r>
          </w:p>
        </w:tc>
        <w:tc>
          <w:tcPr>
            <w:tcW w:w="780" w:type="dxa"/>
          </w:tcPr>
          <w:p w:rsidR="00AF2508" w:rsidRDefault="00AF2508">
            <w:pPr>
              <w:pStyle w:val="TableText"/>
              <w:jc w:val="center"/>
              <w:rPr>
                <w:sz w:val="20"/>
              </w:rPr>
            </w:pPr>
            <w:r>
              <w:rPr>
                <w:sz w:val="20"/>
              </w:rPr>
              <w:t>11</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8</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4</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1</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3</w:t>
            </w:r>
            <w:r>
              <w:rPr>
                <w:sz w:val="20"/>
              </w:rPr>
              <w:t xml:space="preserve">/8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9</w:t>
            </w:r>
            <w:r>
              <w:rPr>
                <w:position w:val="4"/>
                <w:sz w:val="20"/>
              </w:rPr>
              <w:t>1</w:t>
            </w: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692" w:type="dxa"/>
          </w:tcPr>
          <w:p w:rsidR="00AF2508" w:rsidRDefault="00AF2508">
            <w:pPr>
              <w:pStyle w:val="TableText"/>
              <w:jc w:val="center"/>
              <w:rPr>
                <w:sz w:val="20"/>
              </w:rPr>
            </w:pPr>
            <w:r>
              <w:rPr>
                <w:sz w:val="20"/>
              </w:rPr>
              <w:t>18</w:t>
            </w:r>
            <w:r>
              <w:rPr>
                <w:position w:val="4"/>
                <w:sz w:val="20"/>
              </w:rPr>
              <w:t>1</w:t>
            </w:r>
            <w:r>
              <w:rPr>
                <w:sz w:val="20"/>
              </w:rPr>
              <w:t>/2</w:t>
            </w:r>
          </w:p>
        </w:tc>
        <w:tc>
          <w:tcPr>
            <w:tcW w:w="780" w:type="dxa"/>
            <w:gridSpan w:val="3"/>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16</w:t>
            </w:r>
            <w:r>
              <w:rPr>
                <w:position w:val="4"/>
                <w:sz w:val="20"/>
              </w:rPr>
              <w:t>1</w:t>
            </w:r>
            <w:r>
              <w:rPr>
                <w:sz w:val="20"/>
              </w:rPr>
              <w:t>/2</w:t>
            </w:r>
          </w:p>
        </w:tc>
        <w:tc>
          <w:tcPr>
            <w:tcW w:w="768" w:type="dxa"/>
            <w:tcBorders>
              <w:left w:val="single" w:sz="6" w:space="0" w:color="auto"/>
            </w:tcBorders>
          </w:tcPr>
          <w:p w:rsidR="00AF2508" w:rsidRDefault="00AF2508">
            <w:pPr>
              <w:pStyle w:val="TableText"/>
              <w:jc w:val="center"/>
              <w:rPr>
                <w:sz w:val="20"/>
              </w:rPr>
            </w:pPr>
            <w:r>
              <w:rPr>
                <w:sz w:val="20"/>
              </w:rPr>
              <w:t>0</w:t>
            </w:r>
          </w:p>
        </w:tc>
        <w:tc>
          <w:tcPr>
            <w:tcW w:w="780" w:type="dxa"/>
          </w:tcPr>
          <w:p w:rsidR="00AF2508" w:rsidRDefault="00AF2508">
            <w:pPr>
              <w:pStyle w:val="TableText"/>
              <w:jc w:val="center"/>
              <w:rPr>
                <w:sz w:val="20"/>
              </w:rPr>
            </w:pPr>
            <w:r>
              <w:rPr>
                <w:sz w:val="20"/>
              </w:rPr>
              <w:t>13</w:t>
            </w:r>
            <w:r>
              <w:rPr>
                <w:position w:val="4"/>
                <w:sz w:val="20"/>
              </w:rPr>
              <w:t>1</w:t>
            </w:r>
            <w:r>
              <w:rPr>
                <w:sz w:val="20"/>
              </w:rPr>
              <w:t>/2</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9</w:t>
            </w:r>
            <w:r>
              <w:rPr>
                <w:position w:val="4"/>
                <w:sz w:val="20"/>
              </w:rPr>
              <w:t>1</w:t>
            </w:r>
            <w:r>
              <w:rPr>
                <w:sz w:val="20"/>
              </w:rPr>
              <w:t>/2</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5</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13</w:t>
            </w:r>
            <w:r>
              <w:rPr>
                <w:sz w:val="20"/>
              </w:rPr>
              <w:t xml:space="preserve">/32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12</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692" w:type="dxa"/>
          </w:tcPr>
          <w:p w:rsidR="00AF2508" w:rsidRDefault="00AF2508">
            <w:pPr>
              <w:pStyle w:val="TableText"/>
              <w:jc w:val="center"/>
              <w:rPr>
                <w:sz w:val="20"/>
              </w:rPr>
            </w:pPr>
            <w:r>
              <w:rPr>
                <w:sz w:val="20"/>
              </w:rPr>
              <w:t>3</w:t>
            </w:r>
          </w:p>
        </w:tc>
        <w:tc>
          <w:tcPr>
            <w:tcW w:w="780" w:type="dxa"/>
            <w:gridSpan w:val="3"/>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1</w:t>
            </w:r>
          </w:p>
        </w:tc>
        <w:tc>
          <w:tcPr>
            <w:tcW w:w="768" w:type="dxa"/>
            <w:tcBorders>
              <w:left w:val="single" w:sz="6" w:space="0" w:color="auto"/>
            </w:tcBorders>
          </w:tcPr>
          <w:p w:rsidR="00AF2508" w:rsidRDefault="00AF2508">
            <w:pPr>
              <w:pStyle w:val="TableText"/>
              <w:jc w:val="center"/>
              <w:rPr>
                <w:sz w:val="20"/>
              </w:rPr>
            </w:pPr>
            <w:r>
              <w:rPr>
                <w:sz w:val="20"/>
              </w:rPr>
              <w:t>0</w:t>
            </w:r>
          </w:p>
        </w:tc>
        <w:tc>
          <w:tcPr>
            <w:tcW w:w="780" w:type="dxa"/>
          </w:tcPr>
          <w:p w:rsidR="00AF2508" w:rsidRDefault="00AF2508">
            <w:pPr>
              <w:pStyle w:val="TableText"/>
              <w:jc w:val="center"/>
              <w:rPr>
                <w:sz w:val="20"/>
              </w:rPr>
            </w:pPr>
            <w:r>
              <w:rPr>
                <w:sz w:val="20"/>
              </w:rPr>
              <w:t>17</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12</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6</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3</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7</w:t>
            </w:r>
            <w:r>
              <w:rPr>
                <w:sz w:val="20"/>
              </w:rPr>
              <w:t xml:space="preserve">/16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14</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692" w:type="dxa"/>
          </w:tcPr>
          <w:p w:rsidR="00AF2508" w:rsidRDefault="00AF2508">
            <w:pPr>
              <w:pStyle w:val="TableText"/>
              <w:jc w:val="center"/>
              <w:rPr>
                <w:sz w:val="20"/>
              </w:rPr>
            </w:pPr>
            <w:r>
              <w:rPr>
                <w:sz w:val="20"/>
              </w:rPr>
              <w:t>7</w:t>
            </w:r>
          </w:p>
        </w:tc>
        <w:tc>
          <w:tcPr>
            <w:tcW w:w="780" w:type="dxa"/>
            <w:gridSpan w:val="3"/>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4</w:t>
            </w:r>
          </w:p>
        </w:tc>
        <w:tc>
          <w:tcPr>
            <w:tcW w:w="768" w:type="dxa"/>
            <w:tcBorders>
              <w:left w:val="single" w:sz="6" w:space="0" w:color="auto"/>
            </w:tcBorders>
          </w:tcPr>
          <w:p w:rsidR="00AF2508" w:rsidRDefault="00AF2508">
            <w:pPr>
              <w:pStyle w:val="TableText"/>
              <w:jc w:val="center"/>
              <w:rPr>
                <w:sz w:val="20"/>
              </w:rPr>
            </w:pPr>
            <w:r>
              <w:rPr>
                <w:sz w:val="20"/>
              </w:rPr>
              <w:t>0</w:t>
            </w:r>
          </w:p>
        </w:tc>
        <w:tc>
          <w:tcPr>
            <w:tcW w:w="780" w:type="dxa"/>
          </w:tcPr>
          <w:p w:rsidR="00AF2508" w:rsidRDefault="00AF2508">
            <w:pPr>
              <w:pStyle w:val="TableText"/>
              <w:jc w:val="center"/>
              <w:rPr>
                <w:sz w:val="20"/>
              </w:rPr>
            </w:pPr>
            <w:r>
              <w:rPr>
                <w:sz w:val="20"/>
              </w:rPr>
              <w:t>19</w:t>
            </w:r>
            <w:r>
              <w:rPr>
                <w:position w:val="4"/>
                <w:sz w:val="20"/>
              </w:rPr>
              <w:t>1</w:t>
            </w:r>
            <w:r>
              <w:rPr>
                <w:sz w:val="20"/>
              </w:rPr>
              <w:t>/2</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14</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7</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15</w:t>
            </w:r>
            <w:r>
              <w:rPr>
                <w:sz w:val="20"/>
              </w:rPr>
              <w:t xml:space="preserve">/32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17</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692" w:type="dxa"/>
          </w:tcPr>
          <w:p w:rsidR="00AF2508" w:rsidRDefault="00AF2508">
            <w:pPr>
              <w:pStyle w:val="TableText"/>
              <w:jc w:val="center"/>
              <w:rPr>
                <w:sz w:val="20"/>
              </w:rPr>
            </w:pPr>
            <w:r>
              <w:rPr>
                <w:sz w:val="20"/>
              </w:rPr>
              <w:t>13</w:t>
            </w:r>
          </w:p>
        </w:tc>
        <w:tc>
          <w:tcPr>
            <w:tcW w:w="780" w:type="dxa"/>
            <w:gridSpan w:val="3"/>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9</w:t>
            </w:r>
          </w:p>
        </w:tc>
        <w:tc>
          <w:tcPr>
            <w:tcW w:w="768" w:type="dxa"/>
            <w:tcBorders>
              <w:left w:val="single" w:sz="6" w:space="0" w:color="auto"/>
            </w:tcBorders>
          </w:tcPr>
          <w:p w:rsidR="00AF2508" w:rsidRDefault="00AF2508">
            <w:pPr>
              <w:pStyle w:val="TableText"/>
              <w:jc w:val="center"/>
              <w:rPr>
                <w:sz w:val="20"/>
              </w:rPr>
            </w:pPr>
            <w:r>
              <w:rPr>
                <w:sz w:val="20"/>
              </w:rPr>
              <w:t>1</w:t>
            </w:r>
          </w:p>
        </w:tc>
        <w:tc>
          <w:tcPr>
            <w:tcW w:w="780" w:type="dxa"/>
          </w:tcPr>
          <w:p w:rsidR="00AF2508" w:rsidRDefault="00AF2508">
            <w:pPr>
              <w:pStyle w:val="TableText"/>
              <w:jc w:val="center"/>
              <w:rPr>
                <w:sz w:val="20"/>
              </w:rPr>
            </w:pPr>
            <w:r>
              <w:rPr>
                <w:sz w:val="20"/>
              </w:rPr>
              <w:t>4</w:t>
            </w:r>
          </w:p>
        </w:tc>
        <w:tc>
          <w:tcPr>
            <w:tcW w:w="766" w:type="dxa"/>
            <w:tcBorders>
              <w:left w:val="single" w:sz="6" w:space="0" w:color="auto"/>
            </w:tcBorders>
          </w:tcPr>
          <w:p w:rsidR="00AF2508" w:rsidRDefault="00AF2508">
            <w:pPr>
              <w:pStyle w:val="TableText"/>
              <w:jc w:val="center"/>
              <w:rPr>
                <w:sz w:val="20"/>
              </w:rPr>
            </w:pPr>
            <w:r>
              <w:rPr>
                <w:sz w:val="20"/>
              </w:rPr>
              <w:t>0</w:t>
            </w:r>
          </w:p>
        </w:tc>
        <w:tc>
          <w:tcPr>
            <w:tcW w:w="734" w:type="dxa"/>
            <w:tcBorders>
              <w:right w:val="single" w:sz="6" w:space="0" w:color="auto"/>
            </w:tcBorders>
          </w:tcPr>
          <w:p w:rsidR="00AF2508" w:rsidRDefault="00AF2508">
            <w:pPr>
              <w:pStyle w:val="TableText"/>
              <w:jc w:val="center"/>
              <w:rPr>
                <w:sz w:val="20"/>
              </w:rPr>
            </w:pPr>
            <w:r>
              <w:rPr>
                <w:sz w:val="20"/>
              </w:rPr>
              <w:t>17</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8</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5</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0</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692" w:type="dxa"/>
          </w:tcPr>
          <w:p w:rsidR="00AF2508" w:rsidRDefault="00AF2508">
            <w:pPr>
              <w:pStyle w:val="TableText"/>
              <w:jc w:val="center"/>
              <w:rPr>
                <w:sz w:val="20"/>
              </w:rPr>
            </w:pPr>
            <w:r>
              <w:rPr>
                <w:sz w:val="20"/>
              </w:rPr>
              <w:t>19</w:t>
            </w:r>
          </w:p>
        </w:tc>
        <w:tc>
          <w:tcPr>
            <w:tcW w:w="780" w:type="dxa"/>
            <w:gridSpan w:val="3"/>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15</w:t>
            </w:r>
          </w:p>
        </w:tc>
        <w:tc>
          <w:tcPr>
            <w:tcW w:w="768" w:type="dxa"/>
            <w:tcBorders>
              <w:left w:val="single" w:sz="6" w:space="0" w:color="auto"/>
            </w:tcBorders>
          </w:tcPr>
          <w:p w:rsidR="00AF2508" w:rsidRDefault="00AF2508">
            <w:pPr>
              <w:pStyle w:val="TableText"/>
              <w:jc w:val="center"/>
              <w:rPr>
                <w:sz w:val="20"/>
              </w:rPr>
            </w:pPr>
            <w:r>
              <w:rPr>
                <w:sz w:val="20"/>
              </w:rPr>
              <w:t>1</w:t>
            </w:r>
          </w:p>
        </w:tc>
        <w:tc>
          <w:tcPr>
            <w:tcW w:w="780" w:type="dxa"/>
          </w:tcPr>
          <w:p w:rsidR="00AF2508" w:rsidRDefault="00AF2508">
            <w:pPr>
              <w:pStyle w:val="TableText"/>
              <w:jc w:val="center"/>
              <w:rPr>
                <w:sz w:val="20"/>
              </w:rPr>
            </w:pPr>
            <w:r>
              <w:rPr>
                <w:sz w:val="20"/>
              </w:rPr>
              <w:t>8</w:t>
            </w:r>
          </w:p>
        </w:tc>
        <w:tc>
          <w:tcPr>
            <w:tcW w:w="766" w:type="dxa"/>
            <w:tcBorders>
              <w:left w:val="single" w:sz="6" w:space="0" w:color="auto"/>
            </w:tcBorders>
          </w:tcPr>
          <w:p w:rsidR="00AF2508" w:rsidRDefault="00AF2508">
            <w:pPr>
              <w:pStyle w:val="TableText"/>
              <w:jc w:val="center"/>
              <w:rPr>
                <w:sz w:val="20"/>
              </w:rPr>
            </w:pPr>
            <w:r>
              <w:rPr>
                <w:sz w:val="20"/>
              </w:rPr>
              <w:t>1</w:t>
            </w:r>
          </w:p>
        </w:tc>
        <w:tc>
          <w:tcPr>
            <w:tcW w:w="734" w:type="dxa"/>
            <w:tcBorders>
              <w:right w:val="single" w:sz="6" w:space="0" w:color="auto"/>
            </w:tcBorders>
          </w:tcPr>
          <w:p w:rsidR="00AF2508" w:rsidRDefault="00AF2508">
            <w:pPr>
              <w:pStyle w:val="TableText"/>
              <w:jc w:val="center"/>
              <w:rPr>
                <w:sz w:val="20"/>
              </w:rPr>
            </w:pPr>
            <w:r>
              <w:rPr>
                <w:sz w:val="20"/>
              </w:rPr>
              <w:t>0</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10</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/4</w:t>
            </w:r>
          </w:p>
        </w:tc>
        <w:tc>
          <w:tcPr>
            <w:tcW w:w="948" w:type="dxa"/>
            <w:gridSpan w:val="3"/>
            <w:tcBorders>
              <w:right w:val="single" w:sz="6" w:space="0" w:color="auto"/>
            </w:tcBorders>
          </w:tcPr>
          <w:p w:rsidR="00AF2508" w:rsidRDefault="00AF2508">
            <w:pPr>
              <w:pStyle w:val="TableText"/>
              <w:jc w:val="center"/>
              <w:rPr>
                <w:sz w:val="20"/>
              </w:rPr>
            </w:pPr>
            <w:r>
              <w:rPr>
                <w:position w:val="4"/>
                <w:sz w:val="20"/>
              </w:rPr>
              <w:t>9</w:t>
            </w:r>
            <w:r>
              <w:rPr>
                <w:sz w:val="20"/>
              </w:rPr>
              <w:t xml:space="preserve">/16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3</w:t>
            </w:r>
          </w:p>
        </w:tc>
        <w:tc>
          <w:tcPr>
            <w:tcW w:w="600" w:type="dxa"/>
            <w:gridSpan w:val="2"/>
            <w:tcBorders>
              <w:left w:val="single" w:sz="6" w:space="0" w:color="auto"/>
            </w:tcBorders>
          </w:tcPr>
          <w:p w:rsidR="00AF2508" w:rsidRDefault="00AF2508">
            <w:pPr>
              <w:pStyle w:val="TableText"/>
              <w:jc w:val="center"/>
              <w:rPr>
                <w:sz w:val="20"/>
              </w:rPr>
            </w:pPr>
            <w:r>
              <w:rPr>
                <w:sz w:val="20"/>
              </w:rPr>
              <w:t>2</w:t>
            </w:r>
          </w:p>
        </w:tc>
        <w:tc>
          <w:tcPr>
            <w:tcW w:w="692" w:type="dxa"/>
          </w:tcPr>
          <w:p w:rsidR="00AF2508" w:rsidRDefault="00AF2508">
            <w:pPr>
              <w:pStyle w:val="TableText"/>
              <w:jc w:val="center"/>
              <w:rPr>
                <w:sz w:val="20"/>
              </w:rPr>
            </w:pPr>
            <w:r>
              <w:rPr>
                <w:sz w:val="20"/>
              </w:rPr>
              <w:t>4</w:t>
            </w:r>
          </w:p>
        </w:tc>
        <w:tc>
          <w:tcPr>
            <w:tcW w:w="780" w:type="dxa"/>
            <w:gridSpan w:val="3"/>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0</w:t>
            </w:r>
          </w:p>
        </w:tc>
        <w:tc>
          <w:tcPr>
            <w:tcW w:w="768" w:type="dxa"/>
            <w:tcBorders>
              <w:left w:val="single" w:sz="6" w:space="0" w:color="auto"/>
            </w:tcBorders>
          </w:tcPr>
          <w:p w:rsidR="00AF2508" w:rsidRDefault="00AF2508">
            <w:pPr>
              <w:pStyle w:val="TableText"/>
              <w:jc w:val="center"/>
              <w:rPr>
                <w:sz w:val="20"/>
              </w:rPr>
            </w:pPr>
            <w:r>
              <w:rPr>
                <w:sz w:val="20"/>
              </w:rPr>
              <w:t>1</w:t>
            </w:r>
          </w:p>
        </w:tc>
        <w:tc>
          <w:tcPr>
            <w:tcW w:w="780" w:type="dxa"/>
          </w:tcPr>
          <w:p w:rsidR="00AF2508" w:rsidRDefault="00AF2508">
            <w:pPr>
              <w:pStyle w:val="TableText"/>
              <w:jc w:val="center"/>
              <w:rPr>
                <w:sz w:val="20"/>
              </w:rPr>
            </w:pPr>
            <w:r>
              <w:rPr>
                <w:sz w:val="20"/>
              </w:rPr>
              <w:t>12</w:t>
            </w:r>
          </w:p>
        </w:tc>
        <w:tc>
          <w:tcPr>
            <w:tcW w:w="766" w:type="dxa"/>
            <w:tcBorders>
              <w:left w:val="single" w:sz="6" w:space="0" w:color="auto"/>
            </w:tcBorders>
          </w:tcPr>
          <w:p w:rsidR="00AF2508" w:rsidRDefault="00AF2508">
            <w:pPr>
              <w:pStyle w:val="TableText"/>
              <w:jc w:val="center"/>
              <w:rPr>
                <w:sz w:val="20"/>
              </w:rPr>
            </w:pPr>
            <w:r>
              <w:rPr>
                <w:sz w:val="20"/>
              </w:rPr>
              <w:t>1</w:t>
            </w:r>
          </w:p>
        </w:tc>
        <w:tc>
          <w:tcPr>
            <w:tcW w:w="734" w:type="dxa"/>
            <w:tcBorders>
              <w:right w:val="single" w:sz="6" w:space="0" w:color="auto"/>
            </w:tcBorders>
          </w:tcPr>
          <w:p w:rsidR="00AF2508" w:rsidRDefault="00AF2508">
            <w:pPr>
              <w:pStyle w:val="TableText"/>
              <w:jc w:val="center"/>
              <w:rPr>
                <w:sz w:val="20"/>
              </w:rPr>
            </w:pPr>
            <w:r>
              <w:rPr>
                <w:sz w:val="20"/>
              </w:rPr>
              <w:t>3</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12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7</w:t>
            </w:r>
            <w:r>
              <w:rPr>
                <w:sz w:val="20"/>
              </w:rPr>
              <w:t>/8 1</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19</w:t>
            </w:r>
            <w:r>
              <w:rPr>
                <w:sz w:val="20"/>
              </w:rPr>
              <w:t xml:space="preserve">/32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7</w:t>
            </w:r>
          </w:p>
        </w:tc>
        <w:tc>
          <w:tcPr>
            <w:tcW w:w="600" w:type="dxa"/>
            <w:gridSpan w:val="2"/>
            <w:tcBorders>
              <w:left w:val="single" w:sz="6" w:space="0" w:color="auto"/>
            </w:tcBorders>
          </w:tcPr>
          <w:p w:rsidR="00AF2508" w:rsidRDefault="00AF2508">
            <w:pPr>
              <w:pStyle w:val="TableText"/>
              <w:jc w:val="center"/>
              <w:rPr>
                <w:sz w:val="20"/>
              </w:rPr>
            </w:pPr>
            <w:r>
              <w:rPr>
                <w:sz w:val="20"/>
              </w:rPr>
              <w:t>2</w:t>
            </w:r>
          </w:p>
        </w:tc>
        <w:tc>
          <w:tcPr>
            <w:tcW w:w="692" w:type="dxa"/>
          </w:tcPr>
          <w:p w:rsidR="00AF2508" w:rsidRDefault="00AF2508">
            <w:pPr>
              <w:pStyle w:val="TableText"/>
              <w:jc w:val="center"/>
              <w:rPr>
                <w:sz w:val="20"/>
              </w:rPr>
            </w:pPr>
            <w:r>
              <w:rPr>
                <w:sz w:val="20"/>
              </w:rPr>
              <w:t>12</w:t>
            </w:r>
          </w:p>
        </w:tc>
        <w:tc>
          <w:tcPr>
            <w:tcW w:w="780" w:type="dxa"/>
            <w:gridSpan w:val="3"/>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7</w:t>
            </w:r>
          </w:p>
        </w:tc>
        <w:tc>
          <w:tcPr>
            <w:tcW w:w="768" w:type="dxa"/>
            <w:tcBorders>
              <w:left w:val="single" w:sz="6" w:space="0" w:color="auto"/>
            </w:tcBorders>
          </w:tcPr>
          <w:p w:rsidR="00AF2508" w:rsidRDefault="00AF2508">
            <w:pPr>
              <w:pStyle w:val="TableText"/>
              <w:jc w:val="center"/>
              <w:rPr>
                <w:sz w:val="20"/>
              </w:rPr>
            </w:pPr>
            <w:r>
              <w:rPr>
                <w:sz w:val="20"/>
              </w:rPr>
              <w:t>1</w:t>
            </w:r>
          </w:p>
        </w:tc>
        <w:tc>
          <w:tcPr>
            <w:tcW w:w="780" w:type="dxa"/>
          </w:tcPr>
          <w:p w:rsidR="00AF2508" w:rsidRDefault="00AF2508">
            <w:pPr>
              <w:pStyle w:val="TableText"/>
              <w:jc w:val="center"/>
              <w:rPr>
                <w:sz w:val="20"/>
              </w:rPr>
            </w:pPr>
            <w:r>
              <w:rPr>
                <w:sz w:val="20"/>
              </w:rPr>
              <w:t>18</w:t>
            </w:r>
          </w:p>
        </w:tc>
        <w:tc>
          <w:tcPr>
            <w:tcW w:w="766" w:type="dxa"/>
            <w:tcBorders>
              <w:left w:val="single" w:sz="6" w:space="0" w:color="auto"/>
            </w:tcBorders>
          </w:tcPr>
          <w:p w:rsidR="00AF2508" w:rsidRDefault="00AF2508">
            <w:pPr>
              <w:pStyle w:val="TableText"/>
              <w:jc w:val="center"/>
              <w:rPr>
                <w:sz w:val="20"/>
              </w:rPr>
            </w:pPr>
            <w:r>
              <w:rPr>
                <w:sz w:val="20"/>
              </w:rPr>
              <w:t>1</w:t>
            </w:r>
          </w:p>
        </w:tc>
        <w:tc>
          <w:tcPr>
            <w:tcW w:w="734" w:type="dxa"/>
            <w:tcBorders>
              <w:right w:val="single" w:sz="6" w:space="0" w:color="auto"/>
            </w:tcBorders>
          </w:tcPr>
          <w:p w:rsidR="00AF2508" w:rsidRDefault="00AF2508">
            <w:pPr>
              <w:pStyle w:val="TableText"/>
              <w:jc w:val="center"/>
              <w:rPr>
                <w:sz w:val="20"/>
              </w:rPr>
            </w:pPr>
            <w:r>
              <w:rPr>
                <w:sz w:val="20"/>
              </w:rPr>
              <w:t>7</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14</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p>
        </w:tc>
        <w:tc>
          <w:tcPr>
            <w:tcW w:w="948" w:type="dxa"/>
            <w:gridSpan w:val="3"/>
            <w:tcBorders>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11</w:t>
            </w:r>
          </w:p>
        </w:tc>
        <w:tc>
          <w:tcPr>
            <w:tcW w:w="600" w:type="dxa"/>
            <w:gridSpan w:val="2"/>
            <w:tcBorders>
              <w:left w:val="single" w:sz="6" w:space="0" w:color="auto"/>
            </w:tcBorders>
          </w:tcPr>
          <w:p w:rsidR="00AF2508" w:rsidRDefault="00AF2508">
            <w:pPr>
              <w:pStyle w:val="TableText"/>
              <w:jc w:val="center"/>
              <w:rPr>
                <w:sz w:val="20"/>
              </w:rPr>
            </w:pPr>
            <w:r>
              <w:rPr>
                <w:sz w:val="20"/>
              </w:rPr>
              <w:t>3</w:t>
            </w:r>
          </w:p>
        </w:tc>
        <w:tc>
          <w:tcPr>
            <w:tcW w:w="692" w:type="dxa"/>
          </w:tcPr>
          <w:p w:rsidR="00AF2508" w:rsidRDefault="00AF2508">
            <w:pPr>
              <w:pStyle w:val="TableText"/>
              <w:jc w:val="center"/>
              <w:rPr>
                <w:sz w:val="20"/>
              </w:rPr>
            </w:pPr>
            <w:r>
              <w:rPr>
                <w:sz w:val="20"/>
              </w:rPr>
              <w:t>0</w:t>
            </w:r>
          </w:p>
        </w:tc>
        <w:tc>
          <w:tcPr>
            <w:tcW w:w="780" w:type="dxa"/>
            <w:gridSpan w:val="3"/>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14</w:t>
            </w:r>
          </w:p>
        </w:tc>
        <w:tc>
          <w:tcPr>
            <w:tcW w:w="768" w:type="dxa"/>
            <w:tcBorders>
              <w:left w:val="single" w:sz="6" w:space="0" w:color="auto"/>
            </w:tcBorders>
          </w:tcPr>
          <w:p w:rsidR="00AF2508" w:rsidRDefault="00AF2508">
            <w:pPr>
              <w:pStyle w:val="TableText"/>
              <w:jc w:val="center"/>
              <w:rPr>
                <w:sz w:val="20"/>
              </w:rPr>
            </w:pPr>
            <w:r>
              <w:rPr>
                <w:sz w:val="20"/>
              </w:rPr>
              <w:t>2</w:t>
            </w:r>
          </w:p>
        </w:tc>
        <w:tc>
          <w:tcPr>
            <w:tcW w:w="780" w:type="dxa"/>
          </w:tcPr>
          <w:p w:rsidR="00AF2508" w:rsidRDefault="00AF2508">
            <w:pPr>
              <w:pStyle w:val="TableText"/>
              <w:jc w:val="center"/>
              <w:rPr>
                <w:sz w:val="20"/>
              </w:rPr>
            </w:pPr>
            <w:r>
              <w:rPr>
                <w:sz w:val="20"/>
              </w:rPr>
              <w:t>4</w:t>
            </w:r>
          </w:p>
        </w:tc>
        <w:tc>
          <w:tcPr>
            <w:tcW w:w="766" w:type="dxa"/>
            <w:tcBorders>
              <w:left w:val="single" w:sz="6" w:space="0" w:color="auto"/>
            </w:tcBorders>
          </w:tcPr>
          <w:p w:rsidR="00AF2508" w:rsidRDefault="00AF2508">
            <w:pPr>
              <w:pStyle w:val="TableText"/>
              <w:jc w:val="center"/>
              <w:rPr>
                <w:sz w:val="20"/>
              </w:rPr>
            </w:pPr>
            <w:r>
              <w:rPr>
                <w:sz w:val="20"/>
              </w:rPr>
              <w:t>1</w:t>
            </w:r>
          </w:p>
        </w:tc>
        <w:tc>
          <w:tcPr>
            <w:tcW w:w="734" w:type="dxa"/>
            <w:tcBorders>
              <w:right w:val="single" w:sz="6" w:space="0" w:color="auto"/>
            </w:tcBorders>
          </w:tcPr>
          <w:p w:rsidR="00AF2508" w:rsidRDefault="00AF2508">
            <w:pPr>
              <w:pStyle w:val="TableText"/>
              <w:jc w:val="center"/>
              <w:rPr>
                <w:sz w:val="20"/>
              </w:rPr>
            </w:pPr>
            <w:r>
              <w:rPr>
                <w:sz w:val="20"/>
              </w:rPr>
              <w:t>11</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16</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/8</w:t>
            </w:r>
          </w:p>
        </w:tc>
        <w:tc>
          <w:tcPr>
            <w:tcW w:w="948" w:type="dxa"/>
            <w:gridSpan w:val="3"/>
            <w:tcBorders>
              <w:right w:val="single" w:sz="6" w:space="0" w:color="auto"/>
            </w:tcBorders>
          </w:tcPr>
          <w:p w:rsidR="00AF2508" w:rsidRDefault="00AF2508">
            <w:pPr>
              <w:pStyle w:val="TableText"/>
              <w:jc w:val="center"/>
              <w:rPr>
                <w:sz w:val="20"/>
              </w:rPr>
            </w:pPr>
            <w:r>
              <w:rPr>
                <w:position w:val="4"/>
                <w:sz w:val="20"/>
              </w:rPr>
              <w:t>11</w:t>
            </w:r>
            <w:r>
              <w:rPr>
                <w:sz w:val="20"/>
              </w:rPr>
              <w:t xml:space="preserve">/16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15</w:t>
            </w:r>
          </w:p>
        </w:tc>
        <w:tc>
          <w:tcPr>
            <w:tcW w:w="600" w:type="dxa"/>
            <w:gridSpan w:val="2"/>
            <w:tcBorders>
              <w:left w:val="single" w:sz="6" w:space="0" w:color="auto"/>
            </w:tcBorders>
          </w:tcPr>
          <w:p w:rsidR="00AF2508" w:rsidRDefault="00AF2508">
            <w:pPr>
              <w:pStyle w:val="TableText"/>
              <w:jc w:val="center"/>
              <w:rPr>
                <w:sz w:val="20"/>
              </w:rPr>
            </w:pPr>
            <w:r>
              <w:rPr>
                <w:sz w:val="20"/>
              </w:rPr>
              <w:t>3</w:t>
            </w:r>
          </w:p>
        </w:tc>
        <w:tc>
          <w:tcPr>
            <w:tcW w:w="692" w:type="dxa"/>
          </w:tcPr>
          <w:p w:rsidR="00AF2508" w:rsidRDefault="00AF2508">
            <w:pPr>
              <w:pStyle w:val="TableText"/>
              <w:jc w:val="center"/>
              <w:rPr>
                <w:sz w:val="20"/>
              </w:rPr>
            </w:pPr>
            <w:r>
              <w:rPr>
                <w:sz w:val="20"/>
              </w:rPr>
              <w:t>7</w:t>
            </w:r>
          </w:p>
        </w:tc>
        <w:tc>
          <w:tcPr>
            <w:tcW w:w="780" w:type="dxa"/>
            <w:gridSpan w:val="3"/>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0</w:t>
            </w:r>
          </w:p>
        </w:tc>
        <w:tc>
          <w:tcPr>
            <w:tcW w:w="768" w:type="dxa"/>
            <w:tcBorders>
              <w:left w:val="single" w:sz="6" w:space="0" w:color="auto"/>
            </w:tcBorders>
          </w:tcPr>
          <w:p w:rsidR="00AF2508" w:rsidRDefault="00AF2508">
            <w:pPr>
              <w:pStyle w:val="TableText"/>
              <w:jc w:val="center"/>
              <w:rPr>
                <w:sz w:val="20"/>
              </w:rPr>
            </w:pPr>
            <w:r>
              <w:rPr>
                <w:sz w:val="20"/>
              </w:rPr>
              <w:t>2</w:t>
            </w:r>
          </w:p>
        </w:tc>
        <w:tc>
          <w:tcPr>
            <w:tcW w:w="780" w:type="dxa"/>
          </w:tcPr>
          <w:p w:rsidR="00AF2508" w:rsidRDefault="00AF2508">
            <w:pPr>
              <w:pStyle w:val="TableText"/>
              <w:jc w:val="center"/>
              <w:rPr>
                <w:sz w:val="20"/>
              </w:rPr>
            </w:pPr>
            <w:r>
              <w:rPr>
                <w:sz w:val="20"/>
              </w:rPr>
              <w:t>9</w:t>
            </w:r>
          </w:p>
        </w:tc>
        <w:tc>
          <w:tcPr>
            <w:tcW w:w="766" w:type="dxa"/>
            <w:tcBorders>
              <w:left w:val="single" w:sz="6" w:space="0" w:color="auto"/>
            </w:tcBorders>
          </w:tcPr>
          <w:p w:rsidR="00AF2508" w:rsidRDefault="00AF2508">
            <w:pPr>
              <w:pStyle w:val="TableText"/>
              <w:jc w:val="center"/>
              <w:rPr>
                <w:sz w:val="20"/>
              </w:rPr>
            </w:pPr>
            <w:r>
              <w:rPr>
                <w:sz w:val="20"/>
              </w:rPr>
              <w:t>1</w:t>
            </w:r>
          </w:p>
        </w:tc>
        <w:tc>
          <w:tcPr>
            <w:tcW w:w="734" w:type="dxa"/>
            <w:tcBorders>
              <w:right w:val="single" w:sz="6" w:space="0" w:color="auto"/>
            </w:tcBorders>
          </w:tcPr>
          <w:p w:rsidR="00AF2508" w:rsidRDefault="00AF2508">
            <w:pPr>
              <w:pStyle w:val="TableText"/>
              <w:jc w:val="center"/>
              <w:rPr>
                <w:sz w:val="20"/>
              </w:rPr>
            </w:pPr>
            <w:r>
              <w:rPr>
                <w:sz w:val="20"/>
              </w:rPr>
              <w:t>15</w:t>
            </w:r>
          </w:p>
        </w:tc>
        <w:tc>
          <w:tcPr>
            <w:tcW w:w="826" w:type="dxa"/>
          </w:tcPr>
          <w:p w:rsidR="00AF2508" w:rsidRDefault="00AF2508">
            <w:pPr>
              <w:pStyle w:val="TableText"/>
              <w:jc w:val="center"/>
              <w:rPr>
                <w:sz w:val="20"/>
              </w:rPr>
            </w:pPr>
            <w:r>
              <w:rPr>
                <w:sz w:val="20"/>
              </w:rPr>
              <w:t>0</w:t>
            </w:r>
          </w:p>
        </w:tc>
        <w:tc>
          <w:tcPr>
            <w:tcW w:w="650" w:type="dxa"/>
          </w:tcPr>
          <w:p w:rsidR="00AF2508" w:rsidRDefault="00AF2508">
            <w:pPr>
              <w:pStyle w:val="TableText"/>
              <w:jc w:val="center"/>
              <w:rPr>
                <w:sz w:val="20"/>
              </w:rPr>
            </w:pPr>
            <w:r>
              <w:rPr>
                <w:sz w:val="20"/>
              </w:rPr>
              <w:t>18</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/4</w:t>
            </w:r>
          </w:p>
        </w:tc>
        <w:tc>
          <w:tcPr>
            <w:tcW w:w="948" w:type="dxa"/>
            <w:gridSpan w:val="3"/>
            <w:tcBorders>
              <w:right w:val="single" w:sz="6" w:space="0" w:color="auto"/>
            </w:tcBorders>
          </w:tcPr>
          <w:p w:rsidR="00AF2508" w:rsidRDefault="00AF2508">
            <w:pPr>
              <w:pStyle w:val="TableText"/>
              <w:jc w:val="center"/>
              <w:rPr>
                <w:sz w:val="20"/>
              </w:rPr>
            </w:pPr>
            <w:r>
              <w:rPr>
                <w:position w:val="4"/>
                <w:sz w:val="20"/>
              </w:rPr>
              <w:t>23</w:t>
            </w:r>
            <w:r>
              <w:rPr>
                <w:sz w:val="20"/>
              </w:rPr>
              <w:t xml:space="preserve">/32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19</w:t>
            </w:r>
          </w:p>
        </w:tc>
        <w:tc>
          <w:tcPr>
            <w:tcW w:w="600" w:type="dxa"/>
            <w:gridSpan w:val="2"/>
            <w:tcBorders>
              <w:left w:val="single" w:sz="6" w:space="0" w:color="auto"/>
            </w:tcBorders>
          </w:tcPr>
          <w:p w:rsidR="00AF2508" w:rsidRDefault="00AF2508">
            <w:pPr>
              <w:pStyle w:val="TableText"/>
              <w:jc w:val="center"/>
              <w:rPr>
                <w:sz w:val="20"/>
              </w:rPr>
            </w:pPr>
            <w:r>
              <w:rPr>
                <w:sz w:val="20"/>
              </w:rPr>
              <w:t>3</w:t>
            </w:r>
          </w:p>
        </w:tc>
        <w:tc>
          <w:tcPr>
            <w:tcW w:w="692" w:type="dxa"/>
          </w:tcPr>
          <w:p w:rsidR="00AF2508" w:rsidRDefault="00AF2508">
            <w:pPr>
              <w:pStyle w:val="TableText"/>
              <w:jc w:val="center"/>
              <w:rPr>
                <w:sz w:val="20"/>
              </w:rPr>
            </w:pPr>
            <w:r>
              <w:rPr>
                <w:sz w:val="20"/>
              </w:rPr>
              <w:t>15</w:t>
            </w:r>
          </w:p>
        </w:tc>
        <w:tc>
          <w:tcPr>
            <w:tcW w:w="780" w:type="dxa"/>
            <w:gridSpan w:val="3"/>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7</w:t>
            </w:r>
          </w:p>
        </w:tc>
        <w:tc>
          <w:tcPr>
            <w:tcW w:w="768" w:type="dxa"/>
            <w:tcBorders>
              <w:left w:val="single" w:sz="6" w:space="0" w:color="auto"/>
            </w:tcBorders>
          </w:tcPr>
          <w:p w:rsidR="00AF2508" w:rsidRDefault="00AF2508">
            <w:pPr>
              <w:pStyle w:val="TableText"/>
              <w:jc w:val="center"/>
              <w:rPr>
                <w:sz w:val="20"/>
              </w:rPr>
            </w:pPr>
            <w:r>
              <w:rPr>
                <w:sz w:val="20"/>
              </w:rPr>
              <w:t>2</w:t>
            </w:r>
          </w:p>
        </w:tc>
        <w:tc>
          <w:tcPr>
            <w:tcW w:w="780" w:type="dxa"/>
          </w:tcPr>
          <w:p w:rsidR="00AF2508" w:rsidRDefault="00AF2508">
            <w:pPr>
              <w:pStyle w:val="TableText"/>
              <w:jc w:val="center"/>
              <w:rPr>
                <w:sz w:val="20"/>
              </w:rPr>
            </w:pPr>
            <w:r>
              <w:rPr>
                <w:sz w:val="20"/>
              </w:rPr>
              <w:t>15</w:t>
            </w:r>
          </w:p>
        </w:tc>
        <w:tc>
          <w:tcPr>
            <w:tcW w:w="766" w:type="dxa"/>
            <w:tcBorders>
              <w:left w:val="single" w:sz="6" w:space="0" w:color="auto"/>
            </w:tcBorders>
          </w:tcPr>
          <w:p w:rsidR="00AF2508" w:rsidRDefault="00AF2508">
            <w:pPr>
              <w:pStyle w:val="TableText"/>
              <w:jc w:val="center"/>
              <w:rPr>
                <w:sz w:val="20"/>
              </w:rPr>
            </w:pPr>
            <w:r>
              <w:rPr>
                <w:sz w:val="20"/>
              </w:rPr>
              <w:t>1</w:t>
            </w:r>
          </w:p>
        </w:tc>
        <w:tc>
          <w:tcPr>
            <w:tcW w:w="734" w:type="dxa"/>
            <w:tcBorders>
              <w:right w:val="single" w:sz="6" w:space="0" w:color="auto"/>
            </w:tcBorders>
          </w:tcPr>
          <w:p w:rsidR="00AF2508" w:rsidRDefault="00AF2508">
            <w:pPr>
              <w:pStyle w:val="TableText"/>
              <w:jc w:val="center"/>
              <w:rPr>
                <w:sz w:val="20"/>
              </w:rPr>
            </w:pPr>
            <w:r>
              <w:rPr>
                <w:sz w:val="20"/>
              </w:rPr>
              <w:t>19</w:t>
            </w:r>
          </w:p>
        </w:tc>
        <w:tc>
          <w:tcPr>
            <w:tcW w:w="826" w:type="dxa"/>
          </w:tcPr>
          <w:p w:rsidR="00AF2508" w:rsidRDefault="00AF2508">
            <w:pPr>
              <w:pStyle w:val="TableText"/>
              <w:jc w:val="center"/>
              <w:rPr>
                <w:sz w:val="20"/>
              </w:rPr>
            </w:pPr>
            <w:r>
              <w:rPr>
                <w:sz w:val="20"/>
              </w:rPr>
              <w:t>1</w:t>
            </w:r>
          </w:p>
        </w:tc>
        <w:tc>
          <w:tcPr>
            <w:tcW w:w="650" w:type="dxa"/>
          </w:tcPr>
          <w:p w:rsidR="00AF2508" w:rsidRDefault="00AF2508">
            <w:pPr>
              <w:pStyle w:val="TableText"/>
              <w:jc w:val="center"/>
              <w:rPr>
                <w:sz w:val="20"/>
              </w:rPr>
            </w:pPr>
            <w:r>
              <w:rPr>
                <w:sz w:val="20"/>
              </w:rPr>
              <w:t>0</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/8</w:t>
            </w:r>
          </w:p>
        </w:tc>
        <w:tc>
          <w:tcPr>
            <w:tcW w:w="948" w:type="dxa"/>
            <w:gridSpan w:val="3"/>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672" w:type="dxa"/>
            <w:gridSpan w:val="3"/>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4</w:t>
            </w:r>
          </w:p>
        </w:tc>
        <w:tc>
          <w:tcPr>
            <w:tcW w:w="600" w:type="dxa"/>
            <w:gridSpan w:val="2"/>
            <w:tcBorders>
              <w:left w:val="single" w:sz="6" w:space="0" w:color="auto"/>
            </w:tcBorders>
          </w:tcPr>
          <w:p w:rsidR="00AF2508" w:rsidRDefault="00AF2508">
            <w:pPr>
              <w:pStyle w:val="TableText"/>
              <w:jc w:val="center"/>
              <w:rPr>
                <w:sz w:val="20"/>
              </w:rPr>
            </w:pPr>
            <w:r>
              <w:rPr>
                <w:sz w:val="20"/>
              </w:rPr>
              <w:t>4</w:t>
            </w:r>
          </w:p>
        </w:tc>
        <w:tc>
          <w:tcPr>
            <w:tcW w:w="692" w:type="dxa"/>
          </w:tcPr>
          <w:p w:rsidR="00AF2508" w:rsidRDefault="00AF2508">
            <w:pPr>
              <w:pStyle w:val="TableText"/>
              <w:jc w:val="center"/>
              <w:rPr>
                <w:sz w:val="20"/>
              </w:rPr>
            </w:pPr>
            <w:r>
              <w:rPr>
                <w:sz w:val="20"/>
              </w:rPr>
              <w:t>5</w:t>
            </w:r>
          </w:p>
        </w:tc>
        <w:tc>
          <w:tcPr>
            <w:tcW w:w="780" w:type="dxa"/>
            <w:gridSpan w:val="3"/>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16</w:t>
            </w:r>
          </w:p>
        </w:tc>
        <w:tc>
          <w:tcPr>
            <w:tcW w:w="768" w:type="dxa"/>
            <w:tcBorders>
              <w:left w:val="single" w:sz="6" w:space="0" w:color="auto"/>
            </w:tcBorders>
          </w:tcPr>
          <w:p w:rsidR="00AF2508" w:rsidRDefault="00AF2508">
            <w:pPr>
              <w:pStyle w:val="TableText"/>
              <w:jc w:val="center"/>
              <w:rPr>
                <w:sz w:val="20"/>
              </w:rPr>
            </w:pPr>
            <w:r>
              <w:rPr>
                <w:sz w:val="20"/>
              </w:rPr>
              <w:t>3</w:t>
            </w:r>
          </w:p>
        </w:tc>
        <w:tc>
          <w:tcPr>
            <w:tcW w:w="780" w:type="dxa"/>
          </w:tcPr>
          <w:p w:rsidR="00AF2508" w:rsidRDefault="00AF2508">
            <w:pPr>
              <w:pStyle w:val="TableText"/>
              <w:jc w:val="center"/>
              <w:rPr>
                <w:sz w:val="20"/>
              </w:rPr>
            </w:pPr>
            <w:r>
              <w:rPr>
                <w:sz w:val="20"/>
              </w:rPr>
              <w:t>2</w:t>
            </w:r>
          </w:p>
        </w:tc>
        <w:tc>
          <w:tcPr>
            <w:tcW w:w="766" w:type="dxa"/>
            <w:tcBorders>
              <w:left w:val="single" w:sz="6" w:space="0" w:color="auto"/>
            </w:tcBorders>
          </w:tcPr>
          <w:p w:rsidR="00AF2508" w:rsidRDefault="00AF2508">
            <w:pPr>
              <w:pStyle w:val="TableText"/>
              <w:jc w:val="center"/>
              <w:rPr>
                <w:sz w:val="20"/>
              </w:rPr>
            </w:pPr>
            <w:r>
              <w:rPr>
                <w:sz w:val="20"/>
              </w:rPr>
              <w:t>2</w:t>
            </w:r>
          </w:p>
        </w:tc>
        <w:tc>
          <w:tcPr>
            <w:tcW w:w="734" w:type="dxa"/>
            <w:tcBorders>
              <w:right w:val="single" w:sz="6" w:space="0" w:color="auto"/>
            </w:tcBorders>
          </w:tcPr>
          <w:p w:rsidR="00AF2508" w:rsidRDefault="00AF2508">
            <w:pPr>
              <w:pStyle w:val="TableText"/>
              <w:jc w:val="center"/>
              <w:rPr>
                <w:sz w:val="20"/>
              </w:rPr>
            </w:pPr>
            <w:r>
              <w:rPr>
                <w:sz w:val="20"/>
              </w:rPr>
              <w:t>4</w:t>
            </w:r>
          </w:p>
        </w:tc>
        <w:tc>
          <w:tcPr>
            <w:tcW w:w="826" w:type="dxa"/>
          </w:tcPr>
          <w:p w:rsidR="00AF2508" w:rsidRDefault="00AF2508">
            <w:pPr>
              <w:pStyle w:val="TableText"/>
              <w:jc w:val="center"/>
              <w:rPr>
                <w:sz w:val="20"/>
              </w:rPr>
            </w:pPr>
            <w:r>
              <w:rPr>
                <w:sz w:val="20"/>
              </w:rPr>
              <w:t>1</w:t>
            </w:r>
          </w:p>
        </w:tc>
        <w:tc>
          <w:tcPr>
            <w:tcW w:w="650" w:type="dxa"/>
          </w:tcPr>
          <w:p w:rsidR="00AF2508" w:rsidRDefault="00AF2508">
            <w:pPr>
              <w:pStyle w:val="TableText"/>
              <w:jc w:val="center"/>
              <w:rPr>
                <w:sz w:val="20"/>
              </w:rPr>
            </w:pPr>
            <w:r>
              <w:rPr>
                <w:sz w:val="20"/>
              </w:rPr>
              <w:t>3</w:t>
            </w:r>
          </w:p>
        </w:tc>
      </w:tr>
      <w:tr w:rsidR="00AF2508">
        <w:trPr>
          <w:cantSplit/>
          <w:trHeight w:val="200"/>
        </w:trPr>
        <w:tc>
          <w:tcPr>
            <w:tcW w:w="968" w:type="dxa"/>
          </w:tcPr>
          <w:p w:rsidR="00AF2508" w:rsidRDefault="00AF2508">
            <w:pPr>
              <w:pStyle w:val="TableText"/>
              <w:jc w:val="center"/>
              <w:rPr>
                <w:sz w:val="20"/>
              </w:rPr>
            </w:pPr>
            <w:r>
              <w:rPr>
                <w:sz w:val="20"/>
              </w:rPr>
              <w:t>2</w:t>
            </w:r>
            <w:r>
              <w:rPr>
                <w:position w:val="4"/>
                <w:sz w:val="20"/>
              </w:rPr>
              <w:t>1</w:t>
            </w:r>
            <w:r>
              <w:rPr>
                <w:sz w:val="20"/>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position w:val="4"/>
                <w:sz w:val="20"/>
              </w:rPr>
              <w:t>13</w:t>
            </w:r>
            <w:r>
              <w:rPr>
                <w:sz w:val="20"/>
              </w:rPr>
              <w:t xml:space="preserve">/16 </w:t>
            </w:r>
          </w:p>
        </w:tc>
        <w:tc>
          <w:tcPr>
            <w:tcW w:w="672" w:type="dxa"/>
            <w:gridSpan w:val="3"/>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7</w:t>
            </w:r>
          </w:p>
        </w:tc>
        <w:tc>
          <w:tcPr>
            <w:tcW w:w="600" w:type="dxa"/>
            <w:gridSpan w:val="2"/>
            <w:tcBorders>
              <w:left w:val="single" w:sz="6" w:space="0" w:color="auto"/>
            </w:tcBorders>
          </w:tcPr>
          <w:p w:rsidR="00AF2508" w:rsidRDefault="00AF2508">
            <w:pPr>
              <w:pStyle w:val="TableText"/>
              <w:jc w:val="center"/>
              <w:rPr>
                <w:sz w:val="20"/>
              </w:rPr>
            </w:pPr>
            <w:r>
              <w:rPr>
                <w:sz w:val="20"/>
              </w:rPr>
              <w:t>4</w:t>
            </w:r>
          </w:p>
        </w:tc>
        <w:tc>
          <w:tcPr>
            <w:tcW w:w="692" w:type="dxa"/>
          </w:tcPr>
          <w:p w:rsidR="00AF2508" w:rsidRDefault="00AF2508">
            <w:pPr>
              <w:pStyle w:val="TableText"/>
              <w:jc w:val="center"/>
              <w:rPr>
                <w:sz w:val="20"/>
              </w:rPr>
            </w:pPr>
            <w:r>
              <w:rPr>
                <w:sz w:val="20"/>
              </w:rPr>
              <w:t>11</w:t>
            </w:r>
          </w:p>
        </w:tc>
        <w:tc>
          <w:tcPr>
            <w:tcW w:w="780" w:type="dxa"/>
            <w:gridSpan w:val="3"/>
            <w:tcBorders>
              <w:left w:val="single" w:sz="6" w:space="0" w:color="auto"/>
            </w:tcBorders>
          </w:tcPr>
          <w:p w:rsidR="00AF2508" w:rsidRDefault="00AF2508">
            <w:pPr>
              <w:pStyle w:val="TableText"/>
              <w:jc w:val="center"/>
              <w:rPr>
                <w:sz w:val="20"/>
              </w:rPr>
            </w:pPr>
            <w:r>
              <w:rPr>
                <w:sz w:val="20"/>
              </w:rPr>
              <w:t>4</w:t>
            </w:r>
          </w:p>
        </w:tc>
        <w:tc>
          <w:tcPr>
            <w:tcW w:w="832" w:type="dxa"/>
          </w:tcPr>
          <w:p w:rsidR="00AF2508" w:rsidRDefault="00AF2508">
            <w:pPr>
              <w:pStyle w:val="TableText"/>
              <w:jc w:val="center"/>
              <w:rPr>
                <w:sz w:val="20"/>
              </w:rPr>
            </w:pPr>
            <w:r>
              <w:rPr>
                <w:sz w:val="20"/>
              </w:rPr>
              <w:t>1</w:t>
            </w:r>
          </w:p>
        </w:tc>
        <w:tc>
          <w:tcPr>
            <w:tcW w:w="768" w:type="dxa"/>
            <w:tcBorders>
              <w:left w:val="single" w:sz="6" w:space="0" w:color="auto"/>
            </w:tcBorders>
          </w:tcPr>
          <w:p w:rsidR="00AF2508" w:rsidRDefault="00AF2508">
            <w:pPr>
              <w:pStyle w:val="TableText"/>
              <w:jc w:val="center"/>
              <w:rPr>
                <w:sz w:val="20"/>
              </w:rPr>
            </w:pPr>
            <w:r>
              <w:rPr>
                <w:sz w:val="20"/>
              </w:rPr>
              <w:t>3</w:t>
            </w:r>
          </w:p>
        </w:tc>
        <w:tc>
          <w:tcPr>
            <w:tcW w:w="780" w:type="dxa"/>
          </w:tcPr>
          <w:p w:rsidR="00AF2508" w:rsidRDefault="00AF2508">
            <w:pPr>
              <w:pStyle w:val="TableText"/>
              <w:jc w:val="center"/>
              <w:rPr>
                <w:sz w:val="20"/>
              </w:rPr>
            </w:pPr>
            <w:r>
              <w:rPr>
                <w:sz w:val="20"/>
              </w:rPr>
              <w:t>7</w:t>
            </w:r>
          </w:p>
        </w:tc>
        <w:tc>
          <w:tcPr>
            <w:tcW w:w="766" w:type="dxa"/>
            <w:tcBorders>
              <w:left w:val="single" w:sz="6" w:space="0" w:color="auto"/>
            </w:tcBorders>
          </w:tcPr>
          <w:p w:rsidR="00AF2508" w:rsidRDefault="00AF2508">
            <w:pPr>
              <w:pStyle w:val="TableText"/>
              <w:jc w:val="center"/>
              <w:rPr>
                <w:sz w:val="20"/>
              </w:rPr>
            </w:pPr>
            <w:r>
              <w:rPr>
                <w:sz w:val="20"/>
              </w:rPr>
              <w:t>2</w:t>
            </w:r>
          </w:p>
        </w:tc>
        <w:tc>
          <w:tcPr>
            <w:tcW w:w="734" w:type="dxa"/>
          </w:tcPr>
          <w:p w:rsidR="00AF2508" w:rsidRDefault="00AF2508">
            <w:pPr>
              <w:pStyle w:val="TableText"/>
              <w:jc w:val="center"/>
              <w:rPr>
                <w:sz w:val="20"/>
              </w:rPr>
            </w:pPr>
            <w:r>
              <w:rPr>
                <w:sz w:val="20"/>
              </w:rPr>
              <w:t>7</w:t>
            </w:r>
          </w:p>
        </w:tc>
        <w:tc>
          <w:tcPr>
            <w:tcW w:w="826" w:type="dxa"/>
            <w:tcBorders>
              <w:left w:val="single" w:sz="6" w:space="0" w:color="auto"/>
            </w:tcBorders>
          </w:tcPr>
          <w:p w:rsidR="00AF2508" w:rsidRDefault="00AF2508">
            <w:pPr>
              <w:pStyle w:val="TableText"/>
              <w:jc w:val="center"/>
              <w:rPr>
                <w:sz w:val="20"/>
              </w:rPr>
            </w:pPr>
            <w:r>
              <w:rPr>
                <w:sz w:val="20"/>
              </w:rPr>
              <w:t>1</w:t>
            </w:r>
          </w:p>
        </w:tc>
        <w:tc>
          <w:tcPr>
            <w:tcW w:w="650" w:type="dxa"/>
          </w:tcPr>
          <w:p w:rsidR="00AF2508" w:rsidRDefault="00AF2508">
            <w:pPr>
              <w:pStyle w:val="TableText"/>
              <w:jc w:val="center"/>
              <w:rPr>
                <w:sz w:val="20"/>
              </w:rPr>
            </w:pPr>
            <w:r>
              <w:rPr>
                <w:sz w:val="20"/>
              </w:rPr>
              <w:t>5</w:t>
            </w:r>
          </w:p>
        </w:tc>
      </w:tr>
      <w:tr w:rsidR="00AF2508">
        <w:trPr>
          <w:cantSplit/>
          <w:trHeight w:val="200"/>
        </w:trPr>
        <w:tc>
          <w:tcPr>
            <w:tcW w:w="968" w:type="dxa"/>
          </w:tcPr>
          <w:p w:rsidR="00AF2508" w:rsidRDefault="00AF2508">
            <w:pPr>
              <w:pStyle w:val="TableText"/>
              <w:jc w:val="center"/>
              <w:rPr>
                <w:sz w:val="20"/>
              </w:rPr>
            </w:pPr>
            <w:r>
              <w:rPr>
                <w:sz w:val="20"/>
              </w:rPr>
              <w:t>2</w:t>
            </w:r>
            <w:r>
              <w:rPr>
                <w:position w:val="4"/>
                <w:sz w:val="20"/>
              </w:rPr>
              <w:t>3</w:t>
            </w:r>
            <w:r>
              <w:rPr>
                <w:sz w:val="20"/>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672" w:type="dxa"/>
            <w:gridSpan w:val="3"/>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17</w:t>
            </w:r>
          </w:p>
        </w:tc>
        <w:tc>
          <w:tcPr>
            <w:tcW w:w="600" w:type="dxa"/>
            <w:gridSpan w:val="2"/>
            <w:tcBorders>
              <w:left w:val="single" w:sz="6" w:space="0" w:color="auto"/>
            </w:tcBorders>
          </w:tcPr>
          <w:p w:rsidR="00AF2508" w:rsidRDefault="00AF2508">
            <w:pPr>
              <w:pStyle w:val="TableText"/>
              <w:jc w:val="center"/>
              <w:rPr>
                <w:sz w:val="20"/>
              </w:rPr>
            </w:pPr>
            <w:r>
              <w:rPr>
                <w:sz w:val="20"/>
              </w:rPr>
              <w:t>5</w:t>
            </w:r>
          </w:p>
        </w:tc>
        <w:tc>
          <w:tcPr>
            <w:tcW w:w="692" w:type="dxa"/>
          </w:tcPr>
          <w:p w:rsidR="00AF2508" w:rsidRDefault="00AF2508">
            <w:pPr>
              <w:pStyle w:val="TableText"/>
              <w:jc w:val="center"/>
              <w:rPr>
                <w:sz w:val="20"/>
              </w:rPr>
            </w:pPr>
            <w:r>
              <w:rPr>
                <w:sz w:val="20"/>
              </w:rPr>
              <w:t>10</w:t>
            </w:r>
          </w:p>
        </w:tc>
        <w:tc>
          <w:tcPr>
            <w:tcW w:w="780" w:type="dxa"/>
            <w:gridSpan w:val="3"/>
            <w:tcBorders>
              <w:left w:val="single" w:sz="6" w:space="0" w:color="auto"/>
            </w:tcBorders>
          </w:tcPr>
          <w:p w:rsidR="00AF2508" w:rsidRDefault="00AF2508">
            <w:pPr>
              <w:pStyle w:val="TableText"/>
              <w:jc w:val="center"/>
              <w:rPr>
                <w:sz w:val="20"/>
              </w:rPr>
            </w:pPr>
            <w:r>
              <w:rPr>
                <w:sz w:val="20"/>
              </w:rPr>
              <w:t>4</w:t>
            </w:r>
          </w:p>
        </w:tc>
        <w:tc>
          <w:tcPr>
            <w:tcW w:w="832" w:type="dxa"/>
          </w:tcPr>
          <w:p w:rsidR="00AF2508" w:rsidRDefault="00AF2508">
            <w:pPr>
              <w:pStyle w:val="TableText"/>
              <w:jc w:val="center"/>
              <w:rPr>
                <w:sz w:val="20"/>
              </w:rPr>
            </w:pPr>
            <w:r>
              <w:rPr>
                <w:sz w:val="20"/>
              </w:rPr>
              <w:t>19</w:t>
            </w:r>
          </w:p>
        </w:tc>
        <w:tc>
          <w:tcPr>
            <w:tcW w:w="768" w:type="dxa"/>
            <w:tcBorders>
              <w:left w:val="single" w:sz="6" w:space="0" w:color="auto"/>
            </w:tcBorders>
          </w:tcPr>
          <w:p w:rsidR="00AF2508" w:rsidRDefault="00AF2508">
            <w:pPr>
              <w:pStyle w:val="TableText"/>
              <w:jc w:val="center"/>
              <w:rPr>
                <w:sz w:val="20"/>
              </w:rPr>
            </w:pPr>
            <w:r>
              <w:rPr>
                <w:sz w:val="20"/>
              </w:rPr>
              <w:t>4</w:t>
            </w:r>
          </w:p>
        </w:tc>
        <w:tc>
          <w:tcPr>
            <w:tcW w:w="780" w:type="dxa"/>
          </w:tcPr>
          <w:p w:rsidR="00AF2508" w:rsidRDefault="00AF2508">
            <w:pPr>
              <w:pStyle w:val="TableText"/>
              <w:jc w:val="center"/>
              <w:rPr>
                <w:sz w:val="20"/>
              </w:rPr>
            </w:pPr>
            <w:r>
              <w:rPr>
                <w:sz w:val="20"/>
              </w:rPr>
              <w:t>1</w:t>
            </w:r>
          </w:p>
        </w:tc>
        <w:tc>
          <w:tcPr>
            <w:tcW w:w="766" w:type="dxa"/>
            <w:tcBorders>
              <w:left w:val="single" w:sz="6" w:space="0" w:color="auto"/>
            </w:tcBorders>
          </w:tcPr>
          <w:p w:rsidR="00AF2508" w:rsidRDefault="00AF2508">
            <w:pPr>
              <w:pStyle w:val="TableText"/>
              <w:jc w:val="center"/>
              <w:rPr>
                <w:sz w:val="20"/>
              </w:rPr>
            </w:pPr>
            <w:r>
              <w:rPr>
                <w:sz w:val="20"/>
              </w:rPr>
              <w:t>2</w:t>
            </w:r>
          </w:p>
        </w:tc>
        <w:tc>
          <w:tcPr>
            <w:tcW w:w="734" w:type="dxa"/>
          </w:tcPr>
          <w:p w:rsidR="00AF2508" w:rsidRDefault="00AF2508">
            <w:pPr>
              <w:pStyle w:val="TableText"/>
              <w:jc w:val="center"/>
              <w:rPr>
                <w:sz w:val="20"/>
              </w:rPr>
            </w:pPr>
            <w:r>
              <w:rPr>
                <w:sz w:val="20"/>
              </w:rPr>
              <w:t>17</w:t>
            </w:r>
          </w:p>
        </w:tc>
        <w:tc>
          <w:tcPr>
            <w:tcW w:w="826" w:type="dxa"/>
            <w:tcBorders>
              <w:left w:val="single" w:sz="6" w:space="0" w:color="auto"/>
            </w:tcBorders>
          </w:tcPr>
          <w:p w:rsidR="00AF2508" w:rsidRDefault="00AF2508">
            <w:pPr>
              <w:pStyle w:val="TableText"/>
              <w:jc w:val="center"/>
              <w:rPr>
                <w:sz w:val="20"/>
              </w:rPr>
            </w:pPr>
            <w:r>
              <w:rPr>
                <w:sz w:val="20"/>
              </w:rPr>
              <w:t>1</w:t>
            </w:r>
          </w:p>
        </w:tc>
        <w:tc>
          <w:tcPr>
            <w:tcW w:w="650" w:type="dxa"/>
          </w:tcPr>
          <w:p w:rsidR="00AF2508" w:rsidRDefault="00AF2508">
            <w:pPr>
              <w:pStyle w:val="TableText"/>
              <w:jc w:val="center"/>
              <w:rPr>
                <w:sz w:val="20"/>
              </w:rPr>
            </w:pPr>
            <w:r>
              <w:rPr>
                <w:sz w:val="20"/>
              </w:rPr>
              <w:t>9</w:t>
            </w:r>
          </w:p>
        </w:tc>
      </w:tr>
      <w:tr w:rsidR="00AF2508">
        <w:trPr>
          <w:cantSplit/>
          <w:trHeight w:val="200"/>
        </w:trPr>
        <w:tc>
          <w:tcPr>
            <w:tcW w:w="968" w:type="dxa"/>
          </w:tcPr>
          <w:p w:rsidR="00AF2508" w:rsidRDefault="00AF2508">
            <w:pPr>
              <w:pStyle w:val="TableText"/>
              <w:jc w:val="center"/>
              <w:rPr>
                <w:sz w:val="20"/>
              </w:rPr>
            </w:pPr>
            <w:r>
              <w:rPr>
                <w:sz w:val="20"/>
              </w:rPr>
              <w:t>3</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position w:val="4"/>
                <w:sz w:val="16"/>
              </w:rPr>
              <w:t>15</w:t>
            </w:r>
            <w:r>
              <w:rPr>
                <w:sz w:val="20"/>
              </w:rPr>
              <w:t>/</w:t>
            </w:r>
            <w:r>
              <w:rPr>
                <w:sz w:val="16"/>
              </w:rPr>
              <w:t>16</w:t>
            </w:r>
            <w:r>
              <w:rPr>
                <w:sz w:val="20"/>
              </w:rPr>
              <w:t xml:space="preserve"> </w:t>
            </w:r>
          </w:p>
        </w:tc>
        <w:tc>
          <w:tcPr>
            <w:tcW w:w="672" w:type="dxa"/>
            <w:gridSpan w:val="3"/>
          </w:tcPr>
          <w:p w:rsidR="00AF2508" w:rsidRDefault="00AF2508">
            <w:pPr>
              <w:pStyle w:val="TableText"/>
              <w:jc w:val="center"/>
              <w:rPr>
                <w:sz w:val="20"/>
              </w:rPr>
            </w:pPr>
            <w:r>
              <w:rPr>
                <w:sz w:val="20"/>
              </w:rPr>
              <w:t>3</w:t>
            </w:r>
          </w:p>
        </w:tc>
        <w:tc>
          <w:tcPr>
            <w:tcW w:w="840" w:type="dxa"/>
          </w:tcPr>
          <w:p w:rsidR="00AF2508" w:rsidRDefault="00AF2508">
            <w:pPr>
              <w:pStyle w:val="TableText"/>
              <w:jc w:val="center"/>
              <w:rPr>
                <w:sz w:val="20"/>
              </w:rPr>
            </w:pPr>
            <w:r>
              <w:rPr>
                <w:sz w:val="20"/>
              </w:rPr>
              <w:t>10</w:t>
            </w:r>
          </w:p>
        </w:tc>
        <w:tc>
          <w:tcPr>
            <w:tcW w:w="600" w:type="dxa"/>
            <w:gridSpan w:val="2"/>
            <w:tcBorders>
              <w:left w:val="single" w:sz="6" w:space="0" w:color="auto"/>
            </w:tcBorders>
          </w:tcPr>
          <w:p w:rsidR="00AF2508" w:rsidRDefault="00AF2508">
            <w:pPr>
              <w:pStyle w:val="TableText"/>
              <w:jc w:val="center"/>
              <w:rPr>
                <w:sz w:val="20"/>
              </w:rPr>
            </w:pPr>
            <w:r>
              <w:rPr>
                <w:sz w:val="20"/>
              </w:rPr>
              <w:t>6</w:t>
            </w:r>
          </w:p>
        </w:tc>
        <w:tc>
          <w:tcPr>
            <w:tcW w:w="692" w:type="dxa"/>
          </w:tcPr>
          <w:p w:rsidR="00AF2508" w:rsidRDefault="00AF2508">
            <w:pPr>
              <w:pStyle w:val="TableText"/>
              <w:jc w:val="center"/>
              <w:rPr>
                <w:sz w:val="20"/>
              </w:rPr>
            </w:pPr>
            <w:r>
              <w:rPr>
                <w:sz w:val="20"/>
              </w:rPr>
              <w:t>15</w:t>
            </w:r>
          </w:p>
        </w:tc>
        <w:tc>
          <w:tcPr>
            <w:tcW w:w="780" w:type="dxa"/>
            <w:gridSpan w:val="3"/>
            <w:tcBorders>
              <w:left w:val="single" w:sz="6" w:space="0" w:color="auto"/>
            </w:tcBorders>
          </w:tcPr>
          <w:p w:rsidR="00AF2508" w:rsidRDefault="00AF2508">
            <w:pPr>
              <w:pStyle w:val="TableText"/>
              <w:jc w:val="center"/>
              <w:rPr>
                <w:sz w:val="20"/>
              </w:rPr>
            </w:pPr>
            <w:r>
              <w:rPr>
                <w:sz w:val="20"/>
              </w:rPr>
              <w:t>6</w:t>
            </w:r>
          </w:p>
        </w:tc>
        <w:tc>
          <w:tcPr>
            <w:tcW w:w="832" w:type="dxa"/>
          </w:tcPr>
          <w:p w:rsidR="00AF2508" w:rsidRDefault="00AF2508">
            <w:pPr>
              <w:pStyle w:val="TableText"/>
              <w:jc w:val="center"/>
              <w:rPr>
                <w:sz w:val="20"/>
              </w:rPr>
            </w:pPr>
            <w:r>
              <w:rPr>
                <w:sz w:val="20"/>
              </w:rPr>
              <w:t>1</w:t>
            </w:r>
          </w:p>
        </w:tc>
        <w:tc>
          <w:tcPr>
            <w:tcW w:w="768" w:type="dxa"/>
            <w:tcBorders>
              <w:left w:val="single" w:sz="6" w:space="0" w:color="auto"/>
            </w:tcBorders>
          </w:tcPr>
          <w:p w:rsidR="00AF2508" w:rsidRDefault="00AF2508">
            <w:pPr>
              <w:pStyle w:val="TableText"/>
              <w:jc w:val="center"/>
              <w:rPr>
                <w:sz w:val="20"/>
              </w:rPr>
            </w:pPr>
            <w:r>
              <w:rPr>
                <w:sz w:val="20"/>
              </w:rPr>
              <w:t>4</w:t>
            </w:r>
          </w:p>
        </w:tc>
        <w:tc>
          <w:tcPr>
            <w:tcW w:w="780" w:type="dxa"/>
          </w:tcPr>
          <w:p w:rsidR="00AF2508" w:rsidRDefault="00AF2508">
            <w:pPr>
              <w:pStyle w:val="TableText"/>
              <w:jc w:val="center"/>
              <w:rPr>
                <w:sz w:val="20"/>
              </w:rPr>
            </w:pPr>
            <w:r>
              <w:rPr>
                <w:sz w:val="20"/>
              </w:rPr>
              <w:t>19</w:t>
            </w:r>
          </w:p>
        </w:tc>
        <w:tc>
          <w:tcPr>
            <w:tcW w:w="766" w:type="dxa"/>
            <w:tcBorders>
              <w:left w:val="single" w:sz="6" w:space="0" w:color="auto"/>
            </w:tcBorders>
          </w:tcPr>
          <w:p w:rsidR="00AF2508" w:rsidRDefault="00AF2508">
            <w:pPr>
              <w:pStyle w:val="TableText"/>
              <w:jc w:val="center"/>
              <w:rPr>
                <w:sz w:val="20"/>
              </w:rPr>
            </w:pPr>
            <w:r>
              <w:rPr>
                <w:sz w:val="20"/>
              </w:rPr>
              <w:t>3</w:t>
            </w:r>
          </w:p>
        </w:tc>
        <w:tc>
          <w:tcPr>
            <w:tcW w:w="734" w:type="dxa"/>
          </w:tcPr>
          <w:p w:rsidR="00AF2508" w:rsidRDefault="00AF2508">
            <w:pPr>
              <w:pStyle w:val="TableText"/>
              <w:jc w:val="center"/>
              <w:rPr>
                <w:sz w:val="20"/>
              </w:rPr>
            </w:pPr>
            <w:r>
              <w:rPr>
                <w:sz w:val="20"/>
              </w:rPr>
              <w:t>10</w:t>
            </w:r>
          </w:p>
        </w:tc>
        <w:tc>
          <w:tcPr>
            <w:tcW w:w="826" w:type="dxa"/>
            <w:tcBorders>
              <w:left w:val="single" w:sz="6" w:space="0" w:color="auto"/>
            </w:tcBorders>
          </w:tcPr>
          <w:p w:rsidR="00AF2508" w:rsidRDefault="00AF2508">
            <w:pPr>
              <w:pStyle w:val="TableText"/>
              <w:jc w:val="center"/>
              <w:rPr>
                <w:sz w:val="20"/>
              </w:rPr>
            </w:pPr>
            <w:r>
              <w:rPr>
                <w:sz w:val="20"/>
              </w:rPr>
              <w:t>1</w:t>
            </w:r>
          </w:p>
        </w:tc>
        <w:tc>
          <w:tcPr>
            <w:tcW w:w="650" w:type="dxa"/>
          </w:tcPr>
          <w:p w:rsidR="00AF2508" w:rsidRDefault="00AF2508">
            <w:pPr>
              <w:pStyle w:val="TableText"/>
              <w:jc w:val="center"/>
              <w:rPr>
                <w:sz w:val="20"/>
              </w:rPr>
            </w:pPr>
            <w:r>
              <w:rPr>
                <w:sz w:val="20"/>
              </w:rPr>
              <w:t>16</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16</w:t>
            </w:r>
          </w:p>
        </w:tc>
        <w:tc>
          <w:tcPr>
            <w:tcW w:w="672" w:type="dxa"/>
            <w:gridSpan w:val="3"/>
          </w:tcPr>
          <w:p w:rsidR="00AF2508" w:rsidRDefault="00AF2508">
            <w:pPr>
              <w:pStyle w:val="TableText"/>
              <w:jc w:val="center"/>
              <w:rPr>
                <w:sz w:val="20"/>
              </w:rPr>
            </w:pPr>
            <w:r>
              <w:rPr>
                <w:sz w:val="20"/>
              </w:rPr>
              <w:t>4</w:t>
            </w:r>
          </w:p>
        </w:tc>
        <w:tc>
          <w:tcPr>
            <w:tcW w:w="840" w:type="dxa"/>
          </w:tcPr>
          <w:p w:rsidR="00AF2508" w:rsidRDefault="00AF2508">
            <w:pPr>
              <w:pStyle w:val="TableText"/>
              <w:jc w:val="center"/>
              <w:rPr>
                <w:sz w:val="20"/>
              </w:rPr>
            </w:pPr>
            <w:r>
              <w:rPr>
                <w:sz w:val="20"/>
              </w:rPr>
              <w:t>4</w:t>
            </w:r>
          </w:p>
        </w:tc>
        <w:tc>
          <w:tcPr>
            <w:tcW w:w="600" w:type="dxa"/>
            <w:gridSpan w:val="2"/>
            <w:tcBorders>
              <w:left w:val="single" w:sz="6" w:space="0" w:color="auto"/>
            </w:tcBorders>
          </w:tcPr>
          <w:p w:rsidR="00AF2508" w:rsidRDefault="00AF2508">
            <w:pPr>
              <w:pStyle w:val="TableText"/>
              <w:jc w:val="center"/>
              <w:rPr>
                <w:sz w:val="20"/>
              </w:rPr>
            </w:pPr>
            <w:r>
              <w:rPr>
                <w:sz w:val="20"/>
              </w:rPr>
              <w:t>8</w:t>
            </w:r>
          </w:p>
        </w:tc>
        <w:tc>
          <w:tcPr>
            <w:tcW w:w="692" w:type="dxa"/>
          </w:tcPr>
          <w:p w:rsidR="00AF2508" w:rsidRDefault="00AF2508">
            <w:pPr>
              <w:pStyle w:val="TableText"/>
              <w:jc w:val="center"/>
              <w:rPr>
                <w:sz w:val="20"/>
              </w:rPr>
            </w:pPr>
            <w:r>
              <w:rPr>
                <w:sz w:val="20"/>
              </w:rPr>
              <w:t>2</w:t>
            </w:r>
          </w:p>
        </w:tc>
        <w:tc>
          <w:tcPr>
            <w:tcW w:w="780" w:type="dxa"/>
            <w:gridSpan w:val="3"/>
            <w:tcBorders>
              <w:left w:val="single" w:sz="6" w:space="0" w:color="auto"/>
            </w:tcBorders>
          </w:tcPr>
          <w:p w:rsidR="00AF2508" w:rsidRDefault="00AF2508">
            <w:pPr>
              <w:pStyle w:val="TableText"/>
              <w:jc w:val="center"/>
              <w:rPr>
                <w:sz w:val="20"/>
              </w:rPr>
            </w:pPr>
            <w:r>
              <w:rPr>
                <w:sz w:val="20"/>
              </w:rPr>
              <w:t>7</w:t>
            </w:r>
          </w:p>
        </w:tc>
        <w:tc>
          <w:tcPr>
            <w:tcW w:w="832" w:type="dxa"/>
          </w:tcPr>
          <w:p w:rsidR="00AF2508" w:rsidRDefault="00AF2508">
            <w:pPr>
              <w:pStyle w:val="TableText"/>
              <w:jc w:val="center"/>
              <w:rPr>
                <w:sz w:val="20"/>
              </w:rPr>
            </w:pPr>
            <w:r>
              <w:rPr>
                <w:sz w:val="20"/>
              </w:rPr>
              <w:t>6</w:t>
            </w:r>
          </w:p>
        </w:tc>
        <w:tc>
          <w:tcPr>
            <w:tcW w:w="768" w:type="dxa"/>
            <w:tcBorders>
              <w:left w:val="single" w:sz="6" w:space="0" w:color="auto"/>
            </w:tcBorders>
          </w:tcPr>
          <w:p w:rsidR="00AF2508" w:rsidRDefault="00AF2508">
            <w:pPr>
              <w:pStyle w:val="TableText"/>
              <w:jc w:val="center"/>
              <w:rPr>
                <w:sz w:val="20"/>
              </w:rPr>
            </w:pPr>
            <w:r>
              <w:rPr>
                <w:sz w:val="20"/>
              </w:rPr>
              <w:t>5</w:t>
            </w:r>
          </w:p>
        </w:tc>
        <w:tc>
          <w:tcPr>
            <w:tcW w:w="780" w:type="dxa"/>
          </w:tcPr>
          <w:p w:rsidR="00AF2508" w:rsidRDefault="00AF2508">
            <w:pPr>
              <w:pStyle w:val="TableText"/>
              <w:jc w:val="center"/>
              <w:rPr>
                <w:sz w:val="20"/>
              </w:rPr>
            </w:pPr>
            <w:r>
              <w:rPr>
                <w:sz w:val="20"/>
              </w:rPr>
              <w:t>19</w:t>
            </w:r>
          </w:p>
        </w:tc>
        <w:tc>
          <w:tcPr>
            <w:tcW w:w="766" w:type="dxa"/>
            <w:tcBorders>
              <w:left w:val="single" w:sz="6" w:space="0" w:color="auto"/>
            </w:tcBorders>
          </w:tcPr>
          <w:p w:rsidR="00AF2508" w:rsidRDefault="00AF2508">
            <w:pPr>
              <w:pStyle w:val="TableText"/>
              <w:jc w:val="center"/>
              <w:rPr>
                <w:sz w:val="20"/>
              </w:rPr>
            </w:pPr>
            <w:r>
              <w:rPr>
                <w:sz w:val="20"/>
              </w:rPr>
              <w:t>4</w:t>
            </w:r>
          </w:p>
        </w:tc>
        <w:tc>
          <w:tcPr>
            <w:tcW w:w="734" w:type="dxa"/>
          </w:tcPr>
          <w:p w:rsidR="00AF2508" w:rsidRDefault="00AF2508">
            <w:pPr>
              <w:pStyle w:val="TableText"/>
              <w:jc w:val="center"/>
              <w:rPr>
                <w:sz w:val="20"/>
              </w:rPr>
            </w:pPr>
            <w:r>
              <w:rPr>
                <w:sz w:val="20"/>
              </w:rPr>
              <w:t>4</w:t>
            </w:r>
          </w:p>
        </w:tc>
        <w:tc>
          <w:tcPr>
            <w:tcW w:w="826" w:type="dxa"/>
            <w:tcBorders>
              <w:left w:val="single" w:sz="6" w:space="0" w:color="auto"/>
            </w:tcBorders>
          </w:tcPr>
          <w:p w:rsidR="00AF2508" w:rsidRDefault="00AF2508">
            <w:pPr>
              <w:pStyle w:val="TableText"/>
              <w:jc w:val="center"/>
              <w:rPr>
                <w:sz w:val="20"/>
              </w:rPr>
            </w:pPr>
            <w:r>
              <w:rPr>
                <w:sz w:val="20"/>
              </w:rPr>
              <w:t>2</w:t>
            </w:r>
          </w:p>
        </w:tc>
        <w:tc>
          <w:tcPr>
            <w:tcW w:w="650" w:type="dxa"/>
          </w:tcPr>
          <w:p w:rsidR="00AF2508" w:rsidRDefault="00AF2508">
            <w:pPr>
              <w:pStyle w:val="TableText"/>
              <w:jc w:val="center"/>
              <w:rPr>
                <w:sz w:val="20"/>
              </w:rPr>
            </w:pPr>
            <w:r>
              <w:rPr>
                <w:sz w:val="20"/>
              </w:rPr>
              <w:t>4</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672" w:type="dxa"/>
            <w:gridSpan w:val="3"/>
          </w:tcPr>
          <w:p w:rsidR="00AF2508" w:rsidRDefault="00AF2508">
            <w:pPr>
              <w:pStyle w:val="TableText"/>
              <w:jc w:val="center"/>
              <w:rPr>
                <w:sz w:val="20"/>
              </w:rPr>
            </w:pPr>
            <w:r>
              <w:rPr>
                <w:sz w:val="20"/>
              </w:rPr>
              <w:t>5</w:t>
            </w:r>
          </w:p>
        </w:tc>
        <w:tc>
          <w:tcPr>
            <w:tcW w:w="840" w:type="dxa"/>
          </w:tcPr>
          <w:p w:rsidR="00AF2508" w:rsidRDefault="00AF2508">
            <w:pPr>
              <w:pStyle w:val="TableText"/>
              <w:jc w:val="center"/>
              <w:rPr>
                <w:sz w:val="20"/>
              </w:rPr>
            </w:pPr>
            <w:r>
              <w:rPr>
                <w:sz w:val="20"/>
              </w:rPr>
              <w:t>0</w:t>
            </w:r>
          </w:p>
        </w:tc>
        <w:tc>
          <w:tcPr>
            <w:tcW w:w="600" w:type="dxa"/>
            <w:gridSpan w:val="2"/>
            <w:tcBorders>
              <w:left w:val="single" w:sz="6" w:space="0" w:color="auto"/>
            </w:tcBorders>
          </w:tcPr>
          <w:p w:rsidR="00AF2508" w:rsidRDefault="00AF2508">
            <w:pPr>
              <w:pStyle w:val="TableText"/>
              <w:jc w:val="center"/>
              <w:rPr>
                <w:sz w:val="20"/>
              </w:rPr>
            </w:pPr>
            <w:r>
              <w:rPr>
                <w:sz w:val="20"/>
              </w:rPr>
              <w:t>9</w:t>
            </w:r>
          </w:p>
        </w:tc>
        <w:tc>
          <w:tcPr>
            <w:tcW w:w="692" w:type="dxa"/>
          </w:tcPr>
          <w:p w:rsidR="00AF2508" w:rsidRDefault="00AF2508">
            <w:pPr>
              <w:pStyle w:val="TableText"/>
              <w:jc w:val="center"/>
              <w:rPr>
                <w:sz w:val="20"/>
              </w:rPr>
            </w:pPr>
            <w:r>
              <w:rPr>
                <w:sz w:val="20"/>
              </w:rPr>
              <w:t>13</w:t>
            </w:r>
          </w:p>
        </w:tc>
        <w:tc>
          <w:tcPr>
            <w:tcW w:w="780" w:type="dxa"/>
            <w:gridSpan w:val="3"/>
            <w:tcBorders>
              <w:left w:val="single" w:sz="6" w:space="0" w:color="auto"/>
            </w:tcBorders>
          </w:tcPr>
          <w:p w:rsidR="00AF2508" w:rsidRDefault="00AF2508">
            <w:pPr>
              <w:pStyle w:val="TableText"/>
              <w:jc w:val="center"/>
              <w:rPr>
                <w:sz w:val="20"/>
              </w:rPr>
            </w:pPr>
            <w:r>
              <w:rPr>
                <w:sz w:val="20"/>
              </w:rPr>
              <w:t>8</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7</w:t>
            </w:r>
          </w:p>
        </w:tc>
        <w:tc>
          <w:tcPr>
            <w:tcW w:w="780" w:type="dxa"/>
          </w:tcPr>
          <w:p w:rsidR="00AF2508" w:rsidRDefault="00AF2508">
            <w:pPr>
              <w:pStyle w:val="TableText"/>
              <w:jc w:val="center"/>
              <w:rPr>
                <w:sz w:val="20"/>
              </w:rPr>
            </w:pPr>
            <w:r>
              <w:rPr>
                <w:sz w:val="20"/>
              </w:rPr>
              <w:t>1</w:t>
            </w:r>
          </w:p>
        </w:tc>
        <w:tc>
          <w:tcPr>
            <w:tcW w:w="766" w:type="dxa"/>
            <w:tcBorders>
              <w:left w:val="single" w:sz="6" w:space="0" w:color="auto"/>
            </w:tcBorders>
          </w:tcPr>
          <w:p w:rsidR="00AF2508" w:rsidRDefault="00AF2508">
            <w:pPr>
              <w:pStyle w:val="TableText"/>
              <w:jc w:val="center"/>
              <w:rPr>
                <w:sz w:val="20"/>
              </w:rPr>
            </w:pPr>
            <w:r>
              <w:rPr>
                <w:sz w:val="20"/>
              </w:rPr>
              <w:t>5</w:t>
            </w:r>
          </w:p>
        </w:tc>
        <w:tc>
          <w:tcPr>
            <w:tcW w:w="734" w:type="dxa"/>
          </w:tcPr>
          <w:p w:rsidR="00AF2508" w:rsidRDefault="00AF2508">
            <w:pPr>
              <w:pStyle w:val="TableText"/>
              <w:jc w:val="center"/>
              <w:rPr>
                <w:sz w:val="20"/>
              </w:rPr>
            </w:pPr>
            <w:r>
              <w:rPr>
                <w:sz w:val="20"/>
              </w:rPr>
              <w:t>0</w:t>
            </w:r>
          </w:p>
        </w:tc>
        <w:tc>
          <w:tcPr>
            <w:tcW w:w="826" w:type="dxa"/>
            <w:tcBorders>
              <w:left w:val="single" w:sz="6" w:space="0" w:color="auto"/>
            </w:tcBorders>
          </w:tcPr>
          <w:p w:rsidR="00AF2508" w:rsidRDefault="00AF2508">
            <w:pPr>
              <w:pStyle w:val="TableText"/>
              <w:jc w:val="center"/>
              <w:rPr>
                <w:sz w:val="20"/>
              </w:rPr>
            </w:pPr>
            <w:r>
              <w:rPr>
                <w:sz w:val="20"/>
              </w:rPr>
              <w:t>2</w:t>
            </w:r>
          </w:p>
        </w:tc>
        <w:tc>
          <w:tcPr>
            <w:tcW w:w="650" w:type="dxa"/>
          </w:tcPr>
          <w:p w:rsidR="00AF2508" w:rsidRDefault="00AF2508">
            <w:pPr>
              <w:pStyle w:val="TableText"/>
              <w:jc w:val="center"/>
              <w:rPr>
                <w:sz w:val="20"/>
              </w:rPr>
            </w:pPr>
            <w:r>
              <w:rPr>
                <w:sz w:val="20"/>
              </w:rPr>
              <w:t>12</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16</w:t>
            </w:r>
          </w:p>
        </w:tc>
        <w:tc>
          <w:tcPr>
            <w:tcW w:w="672" w:type="dxa"/>
            <w:gridSpan w:val="3"/>
          </w:tcPr>
          <w:p w:rsidR="00AF2508" w:rsidRDefault="00AF2508">
            <w:pPr>
              <w:pStyle w:val="TableText"/>
              <w:jc w:val="center"/>
              <w:rPr>
                <w:sz w:val="20"/>
              </w:rPr>
            </w:pPr>
            <w:r>
              <w:rPr>
                <w:sz w:val="20"/>
              </w:rPr>
              <w:t>5</w:t>
            </w:r>
          </w:p>
        </w:tc>
        <w:tc>
          <w:tcPr>
            <w:tcW w:w="840" w:type="dxa"/>
          </w:tcPr>
          <w:p w:rsidR="00AF2508" w:rsidRDefault="00AF2508">
            <w:pPr>
              <w:pStyle w:val="TableText"/>
              <w:jc w:val="center"/>
              <w:rPr>
                <w:sz w:val="20"/>
              </w:rPr>
            </w:pPr>
            <w:r>
              <w:rPr>
                <w:sz w:val="20"/>
              </w:rPr>
              <w:t>13</w:t>
            </w:r>
          </w:p>
        </w:tc>
        <w:tc>
          <w:tcPr>
            <w:tcW w:w="600" w:type="dxa"/>
            <w:gridSpan w:val="2"/>
            <w:tcBorders>
              <w:left w:val="single" w:sz="6" w:space="0" w:color="auto"/>
            </w:tcBorders>
          </w:tcPr>
          <w:p w:rsidR="00AF2508" w:rsidRDefault="00AF2508">
            <w:pPr>
              <w:pStyle w:val="TableText"/>
              <w:jc w:val="center"/>
              <w:rPr>
                <w:sz w:val="20"/>
              </w:rPr>
            </w:pPr>
            <w:r>
              <w:rPr>
                <w:sz w:val="20"/>
              </w:rPr>
              <w:t>11</w:t>
            </w:r>
          </w:p>
        </w:tc>
        <w:tc>
          <w:tcPr>
            <w:tcW w:w="692" w:type="dxa"/>
          </w:tcPr>
          <w:p w:rsidR="00AF2508" w:rsidRDefault="00AF2508">
            <w:pPr>
              <w:pStyle w:val="TableText"/>
              <w:jc w:val="center"/>
              <w:rPr>
                <w:sz w:val="20"/>
              </w:rPr>
            </w:pPr>
            <w:r>
              <w:rPr>
                <w:sz w:val="20"/>
              </w:rPr>
              <w:t>0</w:t>
            </w:r>
          </w:p>
        </w:tc>
        <w:tc>
          <w:tcPr>
            <w:tcW w:w="780" w:type="dxa"/>
            <w:gridSpan w:val="3"/>
            <w:tcBorders>
              <w:left w:val="single" w:sz="6" w:space="0" w:color="auto"/>
            </w:tcBorders>
          </w:tcPr>
          <w:p w:rsidR="00AF2508" w:rsidRDefault="00AF2508">
            <w:pPr>
              <w:pStyle w:val="TableText"/>
              <w:jc w:val="center"/>
              <w:rPr>
                <w:sz w:val="20"/>
              </w:rPr>
            </w:pPr>
            <w:r>
              <w:rPr>
                <w:sz w:val="20"/>
              </w:rPr>
              <w:t>9</w:t>
            </w:r>
          </w:p>
        </w:tc>
        <w:tc>
          <w:tcPr>
            <w:tcW w:w="832" w:type="dxa"/>
          </w:tcPr>
          <w:p w:rsidR="00AF2508" w:rsidRDefault="00AF2508">
            <w:pPr>
              <w:pStyle w:val="TableText"/>
              <w:jc w:val="center"/>
              <w:rPr>
                <w:sz w:val="20"/>
              </w:rPr>
            </w:pPr>
            <w:r>
              <w:rPr>
                <w:sz w:val="20"/>
              </w:rPr>
              <w:t>16</w:t>
            </w:r>
          </w:p>
        </w:tc>
        <w:tc>
          <w:tcPr>
            <w:tcW w:w="768" w:type="dxa"/>
            <w:tcBorders>
              <w:left w:val="single" w:sz="6" w:space="0" w:color="auto"/>
            </w:tcBorders>
          </w:tcPr>
          <w:p w:rsidR="00AF2508" w:rsidRDefault="00AF2508">
            <w:pPr>
              <w:pStyle w:val="TableText"/>
              <w:jc w:val="center"/>
              <w:rPr>
                <w:sz w:val="20"/>
              </w:rPr>
            </w:pPr>
            <w:r>
              <w:rPr>
                <w:sz w:val="20"/>
              </w:rPr>
              <w:t>8</w:t>
            </w:r>
          </w:p>
        </w:tc>
        <w:tc>
          <w:tcPr>
            <w:tcW w:w="780" w:type="dxa"/>
          </w:tcPr>
          <w:p w:rsidR="00AF2508" w:rsidRDefault="00AF2508">
            <w:pPr>
              <w:pStyle w:val="TableText"/>
              <w:jc w:val="center"/>
              <w:rPr>
                <w:sz w:val="20"/>
              </w:rPr>
            </w:pPr>
            <w:r>
              <w:rPr>
                <w:sz w:val="20"/>
              </w:rPr>
              <w:t>0</w:t>
            </w:r>
          </w:p>
        </w:tc>
        <w:tc>
          <w:tcPr>
            <w:tcW w:w="766" w:type="dxa"/>
            <w:tcBorders>
              <w:left w:val="single" w:sz="6" w:space="0" w:color="auto"/>
            </w:tcBorders>
          </w:tcPr>
          <w:p w:rsidR="00AF2508" w:rsidRDefault="00AF2508">
            <w:pPr>
              <w:pStyle w:val="TableText"/>
              <w:jc w:val="center"/>
              <w:rPr>
                <w:sz w:val="20"/>
              </w:rPr>
            </w:pPr>
            <w:r>
              <w:rPr>
                <w:sz w:val="20"/>
              </w:rPr>
              <w:t>5</w:t>
            </w:r>
          </w:p>
        </w:tc>
        <w:tc>
          <w:tcPr>
            <w:tcW w:w="734" w:type="dxa"/>
          </w:tcPr>
          <w:p w:rsidR="00AF2508" w:rsidRDefault="00AF2508">
            <w:pPr>
              <w:pStyle w:val="TableText"/>
              <w:jc w:val="center"/>
              <w:rPr>
                <w:sz w:val="20"/>
              </w:rPr>
            </w:pPr>
            <w:r>
              <w:rPr>
                <w:sz w:val="20"/>
              </w:rPr>
              <w:t>13</w:t>
            </w:r>
          </w:p>
        </w:tc>
        <w:tc>
          <w:tcPr>
            <w:tcW w:w="826" w:type="dxa"/>
            <w:tcBorders>
              <w:left w:val="single" w:sz="6" w:space="0" w:color="auto"/>
            </w:tcBorders>
          </w:tcPr>
          <w:p w:rsidR="00AF2508" w:rsidRDefault="00AF2508">
            <w:pPr>
              <w:pStyle w:val="TableText"/>
              <w:jc w:val="center"/>
              <w:rPr>
                <w:sz w:val="20"/>
              </w:rPr>
            </w:pPr>
            <w:r>
              <w:rPr>
                <w:sz w:val="20"/>
              </w:rPr>
              <w:t>2</w:t>
            </w:r>
          </w:p>
        </w:tc>
        <w:tc>
          <w:tcPr>
            <w:tcW w:w="650" w:type="dxa"/>
          </w:tcPr>
          <w:p w:rsidR="00AF2508" w:rsidRDefault="00AF2508">
            <w:pPr>
              <w:pStyle w:val="TableText"/>
              <w:jc w:val="center"/>
              <w:rPr>
                <w:sz w:val="20"/>
              </w:rPr>
            </w:pPr>
            <w:r>
              <w:rPr>
                <w:sz w:val="20"/>
              </w:rPr>
              <w:t>19</w:t>
            </w:r>
          </w:p>
        </w:tc>
      </w:tr>
      <w:tr w:rsidR="00AF2508">
        <w:trPr>
          <w:cantSplit/>
          <w:trHeight w:val="200"/>
        </w:trPr>
        <w:tc>
          <w:tcPr>
            <w:tcW w:w="968" w:type="dxa"/>
          </w:tcPr>
          <w:p w:rsidR="00AF2508" w:rsidRDefault="00AF2508">
            <w:pPr>
              <w:pStyle w:val="TableText"/>
              <w:jc w:val="center"/>
              <w:rPr>
                <w:sz w:val="20"/>
              </w:rPr>
            </w:pPr>
            <w:r>
              <w:rPr>
                <w:sz w:val="20"/>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672" w:type="dxa"/>
            <w:gridSpan w:val="3"/>
          </w:tcPr>
          <w:p w:rsidR="00AF2508" w:rsidRDefault="00AF2508">
            <w:pPr>
              <w:pStyle w:val="TableText"/>
              <w:jc w:val="center"/>
              <w:rPr>
                <w:sz w:val="20"/>
              </w:rPr>
            </w:pPr>
            <w:r>
              <w:rPr>
                <w:sz w:val="20"/>
              </w:rPr>
              <w:t>6</w:t>
            </w:r>
          </w:p>
        </w:tc>
        <w:tc>
          <w:tcPr>
            <w:tcW w:w="840" w:type="dxa"/>
          </w:tcPr>
          <w:p w:rsidR="00AF2508" w:rsidRDefault="00AF2508">
            <w:pPr>
              <w:pStyle w:val="TableText"/>
              <w:jc w:val="center"/>
              <w:rPr>
                <w:sz w:val="20"/>
              </w:rPr>
            </w:pPr>
            <w:r>
              <w:rPr>
                <w:sz w:val="20"/>
              </w:rPr>
              <w:t>8</w:t>
            </w:r>
          </w:p>
        </w:tc>
        <w:tc>
          <w:tcPr>
            <w:tcW w:w="600" w:type="dxa"/>
            <w:gridSpan w:val="2"/>
            <w:tcBorders>
              <w:left w:val="single" w:sz="6" w:space="0" w:color="auto"/>
            </w:tcBorders>
          </w:tcPr>
          <w:p w:rsidR="00AF2508" w:rsidRDefault="00AF2508">
            <w:pPr>
              <w:pStyle w:val="TableText"/>
              <w:jc w:val="center"/>
              <w:rPr>
                <w:sz w:val="20"/>
              </w:rPr>
            </w:pPr>
            <w:r>
              <w:rPr>
                <w:sz w:val="20"/>
              </w:rPr>
              <w:t>12</w:t>
            </w:r>
          </w:p>
        </w:tc>
        <w:tc>
          <w:tcPr>
            <w:tcW w:w="692" w:type="dxa"/>
          </w:tcPr>
          <w:p w:rsidR="00AF2508" w:rsidRDefault="00AF2508">
            <w:pPr>
              <w:pStyle w:val="TableText"/>
              <w:jc w:val="center"/>
              <w:rPr>
                <w:sz w:val="20"/>
              </w:rPr>
            </w:pPr>
            <w:r>
              <w:rPr>
                <w:sz w:val="20"/>
              </w:rPr>
              <w:t>8</w:t>
            </w:r>
          </w:p>
        </w:tc>
        <w:tc>
          <w:tcPr>
            <w:tcW w:w="780" w:type="dxa"/>
            <w:gridSpan w:val="3"/>
            <w:tcBorders>
              <w:left w:val="single" w:sz="6" w:space="0" w:color="auto"/>
            </w:tcBorders>
          </w:tcPr>
          <w:p w:rsidR="00AF2508" w:rsidRDefault="00AF2508">
            <w:pPr>
              <w:pStyle w:val="TableText"/>
              <w:jc w:val="center"/>
              <w:rPr>
                <w:sz w:val="20"/>
              </w:rPr>
            </w:pPr>
            <w:r>
              <w:rPr>
                <w:sz w:val="20"/>
              </w:rPr>
              <w:t>11</w:t>
            </w:r>
          </w:p>
        </w:tc>
        <w:tc>
          <w:tcPr>
            <w:tcW w:w="832" w:type="dxa"/>
          </w:tcPr>
          <w:p w:rsidR="00AF2508" w:rsidRDefault="00AF2508">
            <w:pPr>
              <w:pStyle w:val="TableText"/>
              <w:jc w:val="center"/>
              <w:rPr>
                <w:sz w:val="20"/>
              </w:rPr>
            </w:pPr>
            <w:r>
              <w:rPr>
                <w:sz w:val="20"/>
              </w:rPr>
              <w:t>2</w:t>
            </w:r>
          </w:p>
        </w:tc>
        <w:tc>
          <w:tcPr>
            <w:tcW w:w="768" w:type="dxa"/>
            <w:tcBorders>
              <w:left w:val="single" w:sz="6" w:space="0" w:color="auto"/>
            </w:tcBorders>
          </w:tcPr>
          <w:p w:rsidR="00AF2508" w:rsidRDefault="00AF2508">
            <w:pPr>
              <w:pStyle w:val="TableText"/>
              <w:jc w:val="center"/>
              <w:rPr>
                <w:sz w:val="20"/>
              </w:rPr>
            </w:pPr>
            <w:r>
              <w:rPr>
                <w:sz w:val="20"/>
              </w:rPr>
              <w:t>9</w:t>
            </w:r>
          </w:p>
        </w:tc>
        <w:tc>
          <w:tcPr>
            <w:tcW w:w="780" w:type="dxa"/>
          </w:tcPr>
          <w:p w:rsidR="00AF2508" w:rsidRDefault="00AF2508">
            <w:pPr>
              <w:pStyle w:val="TableText"/>
              <w:jc w:val="center"/>
              <w:rPr>
                <w:sz w:val="20"/>
              </w:rPr>
            </w:pPr>
            <w:r>
              <w:rPr>
                <w:sz w:val="20"/>
              </w:rPr>
              <w:t>1</w:t>
            </w:r>
          </w:p>
        </w:tc>
        <w:tc>
          <w:tcPr>
            <w:tcW w:w="766" w:type="dxa"/>
            <w:tcBorders>
              <w:left w:val="single" w:sz="6" w:space="0" w:color="auto"/>
            </w:tcBorders>
          </w:tcPr>
          <w:p w:rsidR="00AF2508" w:rsidRDefault="00AF2508">
            <w:pPr>
              <w:pStyle w:val="TableText"/>
              <w:jc w:val="center"/>
              <w:rPr>
                <w:sz w:val="20"/>
              </w:rPr>
            </w:pPr>
            <w:r>
              <w:rPr>
                <w:sz w:val="20"/>
              </w:rPr>
              <w:t>6</w:t>
            </w:r>
          </w:p>
        </w:tc>
        <w:tc>
          <w:tcPr>
            <w:tcW w:w="734" w:type="dxa"/>
          </w:tcPr>
          <w:p w:rsidR="00AF2508" w:rsidRDefault="00AF2508">
            <w:pPr>
              <w:pStyle w:val="TableText"/>
              <w:jc w:val="center"/>
              <w:rPr>
                <w:sz w:val="20"/>
              </w:rPr>
            </w:pPr>
            <w:r>
              <w:rPr>
                <w:sz w:val="20"/>
              </w:rPr>
              <w:t>8</w:t>
            </w:r>
          </w:p>
        </w:tc>
        <w:tc>
          <w:tcPr>
            <w:tcW w:w="826" w:type="dxa"/>
            <w:tcBorders>
              <w:left w:val="single" w:sz="6" w:space="0" w:color="auto"/>
            </w:tcBorders>
          </w:tcPr>
          <w:p w:rsidR="00AF2508" w:rsidRDefault="00AF2508">
            <w:pPr>
              <w:pStyle w:val="TableText"/>
              <w:jc w:val="center"/>
              <w:rPr>
                <w:sz w:val="20"/>
              </w:rPr>
            </w:pPr>
            <w:r>
              <w:rPr>
                <w:sz w:val="20"/>
              </w:rPr>
              <w:t>3</w:t>
            </w:r>
          </w:p>
        </w:tc>
        <w:tc>
          <w:tcPr>
            <w:tcW w:w="650" w:type="dxa"/>
          </w:tcPr>
          <w:p w:rsidR="00AF2508" w:rsidRDefault="00AF2508">
            <w:pPr>
              <w:pStyle w:val="TableText"/>
              <w:jc w:val="center"/>
              <w:rPr>
                <w:sz w:val="20"/>
              </w:rPr>
            </w:pPr>
            <w:r>
              <w:rPr>
                <w:sz w:val="20"/>
              </w:rPr>
              <w:t>6</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672" w:type="dxa"/>
            <w:gridSpan w:val="3"/>
          </w:tcPr>
          <w:p w:rsidR="00AF2508" w:rsidRDefault="00AF2508">
            <w:pPr>
              <w:pStyle w:val="TableText"/>
              <w:jc w:val="center"/>
              <w:rPr>
                <w:sz w:val="20"/>
              </w:rPr>
            </w:pPr>
            <w:r>
              <w:rPr>
                <w:sz w:val="20"/>
              </w:rPr>
              <w:t>7</w:t>
            </w:r>
          </w:p>
        </w:tc>
        <w:tc>
          <w:tcPr>
            <w:tcW w:w="840" w:type="dxa"/>
          </w:tcPr>
          <w:p w:rsidR="00AF2508" w:rsidRDefault="00AF2508">
            <w:pPr>
              <w:pStyle w:val="TableText"/>
              <w:jc w:val="center"/>
              <w:rPr>
                <w:sz w:val="20"/>
              </w:rPr>
            </w:pPr>
            <w:r>
              <w:rPr>
                <w:sz w:val="20"/>
              </w:rPr>
              <w:t>3</w:t>
            </w:r>
          </w:p>
        </w:tc>
        <w:tc>
          <w:tcPr>
            <w:tcW w:w="600" w:type="dxa"/>
            <w:gridSpan w:val="2"/>
            <w:tcBorders>
              <w:left w:val="single" w:sz="6" w:space="0" w:color="auto"/>
            </w:tcBorders>
          </w:tcPr>
          <w:p w:rsidR="00AF2508" w:rsidRDefault="00AF2508">
            <w:pPr>
              <w:pStyle w:val="TableText"/>
              <w:jc w:val="center"/>
              <w:rPr>
                <w:sz w:val="20"/>
              </w:rPr>
            </w:pPr>
            <w:r>
              <w:rPr>
                <w:sz w:val="20"/>
              </w:rPr>
              <w:t>13</w:t>
            </w:r>
          </w:p>
        </w:tc>
        <w:tc>
          <w:tcPr>
            <w:tcW w:w="692" w:type="dxa"/>
          </w:tcPr>
          <w:p w:rsidR="00AF2508" w:rsidRDefault="00AF2508">
            <w:pPr>
              <w:pStyle w:val="TableText"/>
              <w:jc w:val="center"/>
              <w:rPr>
                <w:sz w:val="20"/>
              </w:rPr>
            </w:pPr>
            <w:r>
              <w:rPr>
                <w:sz w:val="20"/>
              </w:rPr>
              <w:t>16</w:t>
            </w:r>
          </w:p>
        </w:tc>
        <w:tc>
          <w:tcPr>
            <w:tcW w:w="780" w:type="dxa"/>
            <w:gridSpan w:val="3"/>
            <w:tcBorders>
              <w:left w:val="single" w:sz="6" w:space="0" w:color="auto"/>
            </w:tcBorders>
          </w:tcPr>
          <w:p w:rsidR="00AF2508" w:rsidRDefault="00AF2508">
            <w:pPr>
              <w:pStyle w:val="TableText"/>
              <w:jc w:val="center"/>
              <w:rPr>
                <w:sz w:val="20"/>
              </w:rPr>
            </w:pPr>
            <w:r>
              <w:rPr>
                <w:sz w:val="20"/>
              </w:rPr>
              <w:t>12</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10</w:t>
            </w:r>
          </w:p>
        </w:tc>
        <w:tc>
          <w:tcPr>
            <w:tcW w:w="780" w:type="dxa"/>
          </w:tcPr>
          <w:p w:rsidR="00AF2508" w:rsidRDefault="00AF2508">
            <w:pPr>
              <w:pStyle w:val="TableText"/>
              <w:jc w:val="center"/>
              <w:rPr>
                <w:sz w:val="20"/>
              </w:rPr>
            </w:pPr>
            <w:r>
              <w:rPr>
                <w:sz w:val="20"/>
              </w:rPr>
              <w:t>2</w:t>
            </w:r>
          </w:p>
        </w:tc>
        <w:tc>
          <w:tcPr>
            <w:tcW w:w="766" w:type="dxa"/>
            <w:tcBorders>
              <w:left w:val="single" w:sz="6" w:space="0" w:color="auto"/>
            </w:tcBorders>
          </w:tcPr>
          <w:p w:rsidR="00AF2508" w:rsidRDefault="00AF2508">
            <w:pPr>
              <w:pStyle w:val="TableText"/>
              <w:jc w:val="center"/>
              <w:rPr>
                <w:sz w:val="20"/>
              </w:rPr>
            </w:pPr>
            <w:r>
              <w:rPr>
                <w:sz w:val="20"/>
              </w:rPr>
              <w:t>7</w:t>
            </w:r>
          </w:p>
        </w:tc>
        <w:tc>
          <w:tcPr>
            <w:tcW w:w="734" w:type="dxa"/>
          </w:tcPr>
          <w:p w:rsidR="00AF2508" w:rsidRDefault="00AF2508">
            <w:pPr>
              <w:pStyle w:val="TableText"/>
              <w:jc w:val="center"/>
              <w:rPr>
                <w:sz w:val="20"/>
              </w:rPr>
            </w:pPr>
            <w:r>
              <w:rPr>
                <w:sz w:val="20"/>
              </w:rPr>
              <w:t>3</w:t>
            </w:r>
          </w:p>
        </w:tc>
        <w:tc>
          <w:tcPr>
            <w:tcW w:w="826" w:type="dxa"/>
            <w:tcBorders>
              <w:left w:val="single" w:sz="6" w:space="0" w:color="auto"/>
            </w:tcBorders>
          </w:tcPr>
          <w:p w:rsidR="00AF2508" w:rsidRDefault="00AF2508">
            <w:pPr>
              <w:pStyle w:val="TableText"/>
              <w:jc w:val="center"/>
              <w:rPr>
                <w:sz w:val="20"/>
              </w:rPr>
            </w:pPr>
            <w:r>
              <w:rPr>
                <w:sz w:val="20"/>
              </w:rPr>
              <w:t>3</w:t>
            </w:r>
          </w:p>
        </w:tc>
        <w:tc>
          <w:tcPr>
            <w:tcW w:w="650" w:type="dxa"/>
          </w:tcPr>
          <w:p w:rsidR="00AF2508" w:rsidRDefault="00AF2508">
            <w:pPr>
              <w:pStyle w:val="TableText"/>
              <w:jc w:val="center"/>
              <w:rPr>
                <w:sz w:val="20"/>
              </w:rPr>
            </w:pPr>
            <w:r>
              <w:rPr>
                <w:sz w:val="20"/>
              </w:rPr>
              <w:t>14</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16</w:t>
            </w:r>
          </w:p>
        </w:tc>
        <w:tc>
          <w:tcPr>
            <w:tcW w:w="672" w:type="dxa"/>
            <w:gridSpan w:val="3"/>
          </w:tcPr>
          <w:p w:rsidR="00AF2508" w:rsidRDefault="00AF2508">
            <w:pPr>
              <w:pStyle w:val="TableText"/>
              <w:jc w:val="center"/>
              <w:rPr>
                <w:sz w:val="20"/>
              </w:rPr>
            </w:pPr>
            <w:r>
              <w:rPr>
                <w:sz w:val="20"/>
              </w:rPr>
              <w:t>8</w:t>
            </w:r>
          </w:p>
        </w:tc>
        <w:tc>
          <w:tcPr>
            <w:tcW w:w="840" w:type="dxa"/>
          </w:tcPr>
          <w:p w:rsidR="00AF2508" w:rsidRDefault="00AF2508">
            <w:pPr>
              <w:pStyle w:val="TableText"/>
              <w:jc w:val="center"/>
              <w:rPr>
                <w:sz w:val="20"/>
              </w:rPr>
            </w:pP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15</w:t>
            </w:r>
          </w:p>
        </w:tc>
        <w:tc>
          <w:tcPr>
            <w:tcW w:w="692" w:type="dxa"/>
          </w:tcPr>
          <w:p w:rsidR="00AF2508" w:rsidRDefault="00AF2508">
            <w:pPr>
              <w:pStyle w:val="TableText"/>
              <w:jc w:val="center"/>
              <w:rPr>
                <w:sz w:val="20"/>
              </w:rPr>
            </w:pPr>
            <w:r>
              <w:rPr>
                <w:sz w:val="20"/>
              </w:rPr>
              <w:t>13</w:t>
            </w:r>
          </w:p>
        </w:tc>
        <w:tc>
          <w:tcPr>
            <w:tcW w:w="780" w:type="dxa"/>
            <w:gridSpan w:val="3"/>
            <w:tcBorders>
              <w:left w:val="single" w:sz="6" w:space="0" w:color="auto"/>
            </w:tcBorders>
          </w:tcPr>
          <w:p w:rsidR="00AF2508" w:rsidRDefault="00AF2508">
            <w:pPr>
              <w:pStyle w:val="TableText"/>
              <w:jc w:val="center"/>
              <w:rPr>
                <w:sz w:val="20"/>
              </w:rPr>
            </w:pPr>
            <w:r>
              <w:rPr>
                <w:sz w:val="20"/>
              </w:rPr>
              <w:t>14</w:t>
            </w:r>
          </w:p>
        </w:tc>
        <w:tc>
          <w:tcPr>
            <w:tcW w:w="832" w:type="dxa"/>
          </w:tcPr>
          <w:p w:rsidR="00AF2508" w:rsidRDefault="00AF2508">
            <w:pPr>
              <w:pStyle w:val="TableText"/>
              <w:jc w:val="center"/>
              <w:rPr>
                <w:sz w:val="20"/>
              </w:rPr>
            </w:pPr>
            <w:r>
              <w:rPr>
                <w:sz w:val="20"/>
              </w:rPr>
              <w:t>1</w:t>
            </w:r>
          </w:p>
        </w:tc>
        <w:tc>
          <w:tcPr>
            <w:tcW w:w="768" w:type="dxa"/>
            <w:tcBorders>
              <w:left w:val="single" w:sz="6" w:space="0" w:color="auto"/>
            </w:tcBorders>
          </w:tcPr>
          <w:p w:rsidR="00AF2508" w:rsidRDefault="00AF2508">
            <w:pPr>
              <w:pStyle w:val="TableText"/>
              <w:jc w:val="center"/>
              <w:rPr>
                <w:sz w:val="20"/>
              </w:rPr>
            </w:pPr>
            <w:r>
              <w:rPr>
                <w:sz w:val="20"/>
              </w:rPr>
              <w:t>11</w:t>
            </w:r>
          </w:p>
        </w:tc>
        <w:tc>
          <w:tcPr>
            <w:tcW w:w="780" w:type="dxa"/>
          </w:tcPr>
          <w:p w:rsidR="00AF2508" w:rsidRDefault="00AF2508">
            <w:pPr>
              <w:pStyle w:val="TableText"/>
              <w:jc w:val="center"/>
              <w:rPr>
                <w:sz w:val="20"/>
              </w:rPr>
            </w:pPr>
            <w:r>
              <w:rPr>
                <w:sz w:val="20"/>
              </w:rPr>
              <w:t>9</w:t>
            </w:r>
          </w:p>
        </w:tc>
        <w:tc>
          <w:tcPr>
            <w:tcW w:w="766" w:type="dxa"/>
            <w:tcBorders>
              <w:left w:val="single" w:sz="6" w:space="0" w:color="auto"/>
            </w:tcBorders>
          </w:tcPr>
          <w:p w:rsidR="00AF2508" w:rsidRDefault="00AF2508">
            <w:pPr>
              <w:pStyle w:val="TableText"/>
              <w:jc w:val="center"/>
              <w:rPr>
                <w:sz w:val="20"/>
              </w:rPr>
            </w:pPr>
            <w:r>
              <w:rPr>
                <w:sz w:val="20"/>
              </w:rPr>
              <w:t>8</w:t>
            </w:r>
          </w:p>
        </w:tc>
        <w:tc>
          <w:tcPr>
            <w:tcW w:w="734" w:type="dxa"/>
          </w:tcPr>
          <w:p w:rsidR="00AF2508" w:rsidRDefault="00AF2508">
            <w:pPr>
              <w:pStyle w:val="TableText"/>
              <w:jc w:val="center"/>
              <w:rPr>
                <w:sz w:val="20"/>
              </w:rPr>
            </w:pPr>
            <w:r>
              <w:rPr>
                <w:sz w:val="20"/>
              </w:rPr>
              <w:t>2</w:t>
            </w:r>
          </w:p>
        </w:tc>
        <w:tc>
          <w:tcPr>
            <w:tcW w:w="826" w:type="dxa"/>
            <w:tcBorders>
              <w:left w:val="single" w:sz="6" w:space="0" w:color="auto"/>
            </w:tcBorders>
          </w:tcPr>
          <w:p w:rsidR="00AF2508" w:rsidRDefault="00AF2508">
            <w:pPr>
              <w:pStyle w:val="TableText"/>
              <w:jc w:val="center"/>
              <w:rPr>
                <w:sz w:val="20"/>
              </w:rPr>
            </w:pPr>
            <w:r>
              <w:rPr>
                <w:sz w:val="20"/>
              </w:rPr>
              <w:t>4</w:t>
            </w:r>
          </w:p>
        </w:tc>
        <w:tc>
          <w:tcPr>
            <w:tcW w:w="650" w:type="dxa"/>
          </w:tcPr>
          <w:p w:rsidR="00AF2508" w:rsidRDefault="00AF2508">
            <w:pPr>
              <w:pStyle w:val="TableText"/>
              <w:jc w:val="center"/>
              <w:rPr>
                <w:sz w:val="20"/>
              </w:rPr>
            </w:pPr>
            <w:r>
              <w:rPr>
                <w:sz w:val="20"/>
              </w:rPr>
              <w:t>4</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672" w:type="dxa"/>
            <w:gridSpan w:val="3"/>
          </w:tcPr>
          <w:p w:rsidR="00AF2508" w:rsidRDefault="00AF2508">
            <w:pPr>
              <w:pStyle w:val="TableText"/>
              <w:jc w:val="center"/>
              <w:rPr>
                <w:sz w:val="20"/>
              </w:rPr>
            </w:pPr>
            <w:r>
              <w:rPr>
                <w:sz w:val="20"/>
              </w:rPr>
              <w:t>9</w:t>
            </w:r>
          </w:p>
        </w:tc>
        <w:tc>
          <w:tcPr>
            <w:tcW w:w="840" w:type="dxa"/>
          </w:tcPr>
          <w:p w:rsidR="00AF2508" w:rsidRDefault="00AF2508">
            <w:pPr>
              <w:pStyle w:val="TableText"/>
              <w:jc w:val="center"/>
              <w:rPr>
                <w:sz w:val="20"/>
              </w:rPr>
            </w:pPr>
            <w:r>
              <w:rPr>
                <w:sz w:val="20"/>
              </w:rPr>
              <w:t>0</w:t>
            </w:r>
          </w:p>
        </w:tc>
        <w:tc>
          <w:tcPr>
            <w:tcW w:w="600" w:type="dxa"/>
            <w:gridSpan w:val="2"/>
            <w:tcBorders>
              <w:left w:val="single" w:sz="6" w:space="0" w:color="auto"/>
            </w:tcBorders>
          </w:tcPr>
          <w:p w:rsidR="00AF2508" w:rsidRDefault="00AF2508">
            <w:pPr>
              <w:pStyle w:val="TableText"/>
              <w:jc w:val="center"/>
              <w:rPr>
                <w:sz w:val="20"/>
              </w:rPr>
            </w:pPr>
            <w:r>
              <w:rPr>
                <w:sz w:val="20"/>
              </w:rPr>
              <w:t>17</w:t>
            </w:r>
          </w:p>
        </w:tc>
        <w:tc>
          <w:tcPr>
            <w:tcW w:w="692" w:type="dxa"/>
          </w:tcPr>
          <w:p w:rsidR="00AF2508" w:rsidRDefault="00AF2508">
            <w:pPr>
              <w:pStyle w:val="TableText"/>
              <w:jc w:val="center"/>
              <w:rPr>
                <w:sz w:val="20"/>
              </w:rPr>
            </w:pPr>
            <w:r>
              <w:rPr>
                <w:sz w:val="20"/>
              </w:rPr>
              <w:t>8</w:t>
            </w:r>
          </w:p>
        </w:tc>
        <w:tc>
          <w:tcPr>
            <w:tcW w:w="780" w:type="dxa"/>
            <w:gridSpan w:val="3"/>
            <w:tcBorders>
              <w:left w:val="single" w:sz="6" w:space="0" w:color="auto"/>
            </w:tcBorders>
          </w:tcPr>
          <w:p w:rsidR="00AF2508" w:rsidRDefault="00AF2508">
            <w:pPr>
              <w:pStyle w:val="TableText"/>
              <w:jc w:val="center"/>
              <w:rPr>
                <w:sz w:val="20"/>
              </w:rPr>
            </w:pPr>
            <w:r>
              <w:rPr>
                <w:sz w:val="20"/>
              </w:rPr>
              <w:t>15</w:t>
            </w:r>
          </w:p>
        </w:tc>
        <w:tc>
          <w:tcPr>
            <w:tcW w:w="832" w:type="dxa"/>
          </w:tcPr>
          <w:p w:rsidR="00AF2508" w:rsidRDefault="00AF2508">
            <w:pPr>
              <w:pStyle w:val="TableText"/>
              <w:jc w:val="center"/>
              <w:rPr>
                <w:sz w:val="20"/>
              </w:rPr>
            </w:pPr>
            <w:r>
              <w:rPr>
                <w:sz w:val="20"/>
              </w:rPr>
              <w:t>12</w:t>
            </w:r>
          </w:p>
        </w:tc>
        <w:tc>
          <w:tcPr>
            <w:tcW w:w="768" w:type="dxa"/>
            <w:tcBorders>
              <w:left w:val="single" w:sz="6" w:space="0" w:color="auto"/>
            </w:tcBorders>
          </w:tcPr>
          <w:p w:rsidR="00AF2508" w:rsidRDefault="00AF2508">
            <w:pPr>
              <w:pStyle w:val="TableText"/>
              <w:jc w:val="center"/>
              <w:rPr>
                <w:sz w:val="20"/>
              </w:rPr>
            </w:pPr>
            <w:r>
              <w:rPr>
                <w:sz w:val="20"/>
              </w:rPr>
              <w:t>12</w:t>
            </w:r>
          </w:p>
        </w:tc>
        <w:tc>
          <w:tcPr>
            <w:tcW w:w="780" w:type="dxa"/>
          </w:tcPr>
          <w:p w:rsidR="00AF2508" w:rsidRDefault="00AF2508">
            <w:pPr>
              <w:pStyle w:val="TableText"/>
              <w:jc w:val="center"/>
              <w:rPr>
                <w:sz w:val="20"/>
              </w:rPr>
            </w:pPr>
            <w:r>
              <w:rPr>
                <w:sz w:val="20"/>
              </w:rPr>
              <w:t>14</w:t>
            </w:r>
          </w:p>
        </w:tc>
        <w:tc>
          <w:tcPr>
            <w:tcW w:w="766" w:type="dxa"/>
            <w:tcBorders>
              <w:left w:val="single" w:sz="6" w:space="0" w:color="auto"/>
            </w:tcBorders>
          </w:tcPr>
          <w:p w:rsidR="00AF2508" w:rsidRDefault="00AF2508">
            <w:pPr>
              <w:pStyle w:val="TableText"/>
              <w:jc w:val="center"/>
              <w:rPr>
                <w:sz w:val="20"/>
              </w:rPr>
            </w:pPr>
            <w:r>
              <w:rPr>
                <w:sz w:val="20"/>
              </w:rPr>
              <w:t>9</w:t>
            </w:r>
          </w:p>
        </w:tc>
        <w:tc>
          <w:tcPr>
            <w:tcW w:w="734" w:type="dxa"/>
          </w:tcPr>
          <w:p w:rsidR="00AF2508" w:rsidRDefault="00AF2508">
            <w:pPr>
              <w:pStyle w:val="TableText"/>
              <w:jc w:val="center"/>
              <w:rPr>
                <w:sz w:val="20"/>
              </w:rPr>
            </w:pPr>
            <w:r>
              <w:rPr>
                <w:sz w:val="20"/>
              </w:rPr>
              <w:t>0</w:t>
            </w:r>
          </w:p>
        </w:tc>
        <w:tc>
          <w:tcPr>
            <w:tcW w:w="826" w:type="dxa"/>
            <w:tcBorders>
              <w:left w:val="single" w:sz="6" w:space="0" w:color="auto"/>
            </w:tcBorders>
          </w:tcPr>
          <w:p w:rsidR="00AF2508" w:rsidRDefault="00AF2508">
            <w:pPr>
              <w:pStyle w:val="TableText"/>
              <w:jc w:val="center"/>
              <w:rPr>
                <w:sz w:val="20"/>
              </w:rPr>
            </w:pPr>
            <w:r>
              <w:rPr>
                <w:sz w:val="20"/>
              </w:rPr>
              <w:t>4</w:t>
            </w:r>
          </w:p>
        </w:tc>
        <w:tc>
          <w:tcPr>
            <w:tcW w:w="650" w:type="dxa"/>
          </w:tcPr>
          <w:p w:rsidR="00AF2508" w:rsidRDefault="00AF2508">
            <w:pPr>
              <w:pStyle w:val="TableText"/>
              <w:jc w:val="center"/>
              <w:rPr>
                <w:sz w:val="20"/>
              </w:rPr>
            </w:pPr>
            <w:r>
              <w:rPr>
                <w:sz w:val="20"/>
              </w:rPr>
              <w:t>13</w:t>
            </w:r>
          </w:p>
        </w:tc>
      </w:tr>
      <w:tr w:rsidR="00AF2508">
        <w:trPr>
          <w:cantSplit/>
          <w:trHeight w:val="200"/>
        </w:trPr>
        <w:tc>
          <w:tcPr>
            <w:tcW w:w="968" w:type="dxa"/>
          </w:tcPr>
          <w:p w:rsidR="00AF2508" w:rsidRDefault="00AF2508">
            <w:pPr>
              <w:pStyle w:val="TableText"/>
              <w:jc w:val="center"/>
              <w:rPr>
                <w:sz w:val="20"/>
              </w:rPr>
            </w:pPr>
            <w:r>
              <w:rPr>
                <w:sz w:val="20"/>
              </w:rPr>
              <w:t>5</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672" w:type="dxa"/>
            <w:gridSpan w:val="3"/>
          </w:tcPr>
          <w:p w:rsidR="00AF2508" w:rsidRDefault="00AF2508">
            <w:pPr>
              <w:pStyle w:val="TableText"/>
              <w:jc w:val="center"/>
              <w:rPr>
                <w:sz w:val="20"/>
              </w:rPr>
            </w:pPr>
            <w:r>
              <w:rPr>
                <w:sz w:val="20"/>
              </w:rPr>
              <w:t>9</w:t>
            </w:r>
          </w:p>
        </w:tc>
        <w:tc>
          <w:tcPr>
            <w:tcW w:w="840" w:type="dxa"/>
          </w:tcPr>
          <w:p w:rsidR="00AF2508" w:rsidRDefault="00AF2508">
            <w:pPr>
              <w:pStyle w:val="TableText"/>
              <w:jc w:val="center"/>
              <w:rPr>
                <w:sz w:val="20"/>
              </w:rPr>
            </w:pPr>
            <w:r>
              <w:rPr>
                <w:sz w:val="20"/>
              </w:rPr>
              <w:t>19</w:t>
            </w:r>
          </w:p>
        </w:tc>
        <w:tc>
          <w:tcPr>
            <w:tcW w:w="600" w:type="dxa"/>
            <w:gridSpan w:val="2"/>
            <w:tcBorders>
              <w:left w:val="single" w:sz="6" w:space="0" w:color="auto"/>
            </w:tcBorders>
          </w:tcPr>
          <w:p w:rsidR="00AF2508" w:rsidRDefault="00AF2508">
            <w:pPr>
              <w:pStyle w:val="TableText"/>
              <w:jc w:val="center"/>
              <w:rPr>
                <w:sz w:val="20"/>
              </w:rPr>
            </w:pPr>
            <w:r>
              <w:rPr>
                <w:sz w:val="20"/>
              </w:rPr>
              <w:t>19</w:t>
            </w:r>
          </w:p>
        </w:tc>
        <w:tc>
          <w:tcPr>
            <w:tcW w:w="692" w:type="dxa"/>
          </w:tcPr>
          <w:p w:rsidR="00AF2508" w:rsidRDefault="00AF2508">
            <w:pPr>
              <w:pStyle w:val="TableText"/>
              <w:jc w:val="center"/>
              <w:rPr>
                <w:sz w:val="20"/>
              </w:rPr>
            </w:pPr>
            <w:r>
              <w:rPr>
                <w:sz w:val="20"/>
              </w:rPr>
              <w:t>4</w:t>
            </w:r>
          </w:p>
        </w:tc>
        <w:tc>
          <w:tcPr>
            <w:tcW w:w="780" w:type="dxa"/>
            <w:gridSpan w:val="3"/>
            <w:tcBorders>
              <w:left w:val="single" w:sz="6" w:space="0" w:color="auto"/>
            </w:tcBorders>
          </w:tcPr>
          <w:p w:rsidR="00AF2508" w:rsidRDefault="00AF2508">
            <w:pPr>
              <w:pStyle w:val="TableText"/>
              <w:jc w:val="center"/>
              <w:rPr>
                <w:sz w:val="20"/>
              </w:rPr>
            </w:pPr>
            <w:r>
              <w:rPr>
                <w:sz w:val="20"/>
              </w:rPr>
              <w:t>17</w:t>
            </w:r>
          </w:p>
        </w:tc>
        <w:tc>
          <w:tcPr>
            <w:tcW w:w="832" w:type="dxa"/>
          </w:tcPr>
          <w:p w:rsidR="00AF2508" w:rsidRDefault="00AF2508">
            <w:pPr>
              <w:pStyle w:val="TableText"/>
              <w:jc w:val="center"/>
              <w:rPr>
                <w:sz w:val="20"/>
              </w:rPr>
            </w:pPr>
            <w:r>
              <w:rPr>
                <w:sz w:val="20"/>
              </w:rPr>
              <w:t>5</w:t>
            </w:r>
          </w:p>
        </w:tc>
        <w:tc>
          <w:tcPr>
            <w:tcW w:w="768" w:type="dxa"/>
            <w:tcBorders>
              <w:left w:val="single" w:sz="6" w:space="0" w:color="auto"/>
            </w:tcBorders>
          </w:tcPr>
          <w:p w:rsidR="00AF2508" w:rsidRDefault="00AF2508">
            <w:pPr>
              <w:pStyle w:val="TableText"/>
              <w:jc w:val="center"/>
              <w:rPr>
                <w:sz w:val="20"/>
              </w:rPr>
            </w:pPr>
            <w:r>
              <w:rPr>
                <w:sz w:val="20"/>
              </w:rPr>
              <w:t>14</w:t>
            </w:r>
          </w:p>
        </w:tc>
        <w:tc>
          <w:tcPr>
            <w:tcW w:w="780" w:type="dxa"/>
          </w:tcPr>
          <w:p w:rsidR="00AF2508" w:rsidRDefault="00AF2508">
            <w:pPr>
              <w:pStyle w:val="TableText"/>
              <w:jc w:val="center"/>
              <w:rPr>
                <w:sz w:val="20"/>
              </w:rPr>
            </w:pPr>
            <w:r>
              <w:rPr>
                <w:sz w:val="20"/>
              </w:rPr>
              <w:t>1</w:t>
            </w:r>
          </w:p>
        </w:tc>
        <w:tc>
          <w:tcPr>
            <w:tcW w:w="766" w:type="dxa"/>
            <w:tcBorders>
              <w:left w:val="single" w:sz="6" w:space="0" w:color="auto"/>
            </w:tcBorders>
          </w:tcPr>
          <w:p w:rsidR="00AF2508" w:rsidRDefault="00AF2508">
            <w:pPr>
              <w:pStyle w:val="TableText"/>
              <w:jc w:val="center"/>
              <w:rPr>
                <w:sz w:val="20"/>
              </w:rPr>
            </w:pPr>
            <w:r>
              <w:rPr>
                <w:sz w:val="20"/>
              </w:rPr>
              <w:t>9</w:t>
            </w:r>
          </w:p>
        </w:tc>
        <w:tc>
          <w:tcPr>
            <w:tcW w:w="734" w:type="dxa"/>
          </w:tcPr>
          <w:p w:rsidR="00AF2508" w:rsidRDefault="00AF2508">
            <w:pPr>
              <w:pStyle w:val="TableText"/>
              <w:jc w:val="center"/>
              <w:rPr>
                <w:sz w:val="20"/>
              </w:rPr>
            </w:pPr>
            <w:r>
              <w:rPr>
                <w:sz w:val="20"/>
              </w:rPr>
              <w:t>19</w:t>
            </w:r>
          </w:p>
        </w:tc>
        <w:tc>
          <w:tcPr>
            <w:tcW w:w="826" w:type="dxa"/>
            <w:tcBorders>
              <w:left w:val="single" w:sz="6" w:space="0" w:color="auto"/>
            </w:tcBorders>
          </w:tcPr>
          <w:p w:rsidR="00AF2508" w:rsidRDefault="00AF2508">
            <w:pPr>
              <w:pStyle w:val="TableText"/>
              <w:jc w:val="center"/>
              <w:rPr>
                <w:sz w:val="20"/>
              </w:rPr>
            </w:pPr>
            <w:r>
              <w:rPr>
                <w:sz w:val="20"/>
              </w:rPr>
              <w:t>5</w:t>
            </w:r>
          </w:p>
        </w:tc>
        <w:tc>
          <w:tcPr>
            <w:tcW w:w="650" w:type="dxa"/>
          </w:tcPr>
          <w:p w:rsidR="00AF2508" w:rsidRDefault="00AF2508">
            <w:pPr>
              <w:pStyle w:val="TableText"/>
              <w:jc w:val="center"/>
              <w:rPr>
                <w:sz w:val="20"/>
              </w:rPr>
            </w:pPr>
            <w:r>
              <w:rPr>
                <w:sz w:val="20"/>
              </w:rPr>
              <w:t>3</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11</w:t>
            </w:r>
            <w:r>
              <w:rPr>
                <w:sz w:val="20"/>
              </w:rPr>
              <w:t>/</w:t>
            </w:r>
            <w:r>
              <w:rPr>
                <w:sz w:val="16"/>
              </w:rPr>
              <w:t>16</w:t>
            </w:r>
          </w:p>
        </w:tc>
        <w:tc>
          <w:tcPr>
            <w:tcW w:w="672" w:type="dxa"/>
            <w:gridSpan w:val="3"/>
          </w:tcPr>
          <w:p w:rsidR="00AF2508" w:rsidRDefault="00AF2508">
            <w:pPr>
              <w:pStyle w:val="TableText"/>
              <w:jc w:val="center"/>
              <w:rPr>
                <w:sz w:val="20"/>
              </w:rPr>
            </w:pPr>
            <w:r>
              <w:rPr>
                <w:sz w:val="20"/>
              </w:rPr>
              <w:t>11</w:t>
            </w:r>
          </w:p>
        </w:tc>
        <w:tc>
          <w:tcPr>
            <w:tcW w:w="840" w:type="dxa"/>
          </w:tcPr>
          <w:p w:rsidR="00AF2508" w:rsidRDefault="00AF2508">
            <w:pPr>
              <w:pStyle w:val="TableText"/>
              <w:jc w:val="center"/>
              <w:rPr>
                <w:sz w:val="20"/>
              </w:rPr>
            </w:pP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21</w:t>
            </w:r>
          </w:p>
        </w:tc>
        <w:tc>
          <w:tcPr>
            <w:tcW w:w="692" w:type="dxa"/>
          </w:tcPr>
          <w:p w:rsidR="00AF2508" w:rsidRDefault="00AF2508">
            <w:pPr>
              <w:pStyle w:val="TableText"/>
              <w:jc w:val="center"/>
              <w:rPr>
                <w:sz w:val="20"/>
              </w:rPr>
            </w:pPr>
            <w:r>
              <w:rPr>
                <w:sz w:val="20"/>
              </w:rPr>
              <w:t>9</w:t>
            </w:r>
          </w:p>
        </w:tc>
        <w:tc>
          <w:tcPr>
            <w:tcW w:w="780" w:type="dxa"/>
            <w:gridSpan w:val="3"/>
            <w:tcBorders>
              <w:left w:val="single" w:sz="6" w:space="0" w:color="auto"/>
            </w:tcBorders>
          </w:tcPr>
          <w:p w:rsidR="00AF2508" w:rsidRDefault="00AF2508">
            <w:pPr>
              <w:pStyle w:val="TableText"/>
              <w:jc w:val="center"/>
              <w:rPr>
                <w:sz w:val="20"/>
              </w:rPr>
            </w:pPr>
            <w:r>
              <w:rPr>
                <w:sz w:val="20"/>
              </w:rPr>
              <w:t>19</w:t>
            </w:r>
          </w:p>
        </w:tc>
        <w:tc>
          <w:tcPr>
            <w:tcW w:w="832" w:type="dxa"/>
          </w:tcPr>
          <w:p w:rsidR="00AF2508" w:rsidRDefault="00AF2508">
            <w:pPr>
              <w:pStyle w:val="TableText"/>
              <w:jc w:val="center"/>
              <w:rPr>
                <w:sz w:val="20"/>
              </w:rPr>
            </w:pPr>
            <w:r>
              <w:rPr>
                <w:sz w:val="20"/>
              </w:rPr>
              <w:t>4</w:t>
            </w:r>
          </w:p>
        </w:tc>
        <w:tc>
          <w:tcPr>
            <w:tcW w:w="768" w:type="dxa"/>
            <w:tcBorders>
              <w:left w:val="single" w:sz="6" w:space="0" w:color="auto"/>
            </w:tcBorders>
          </w:tcPr>
          <w:p w:rsidR="00AF2508" w:rsidRDefault="00AF2508">
            <w:pPr>
              <w:pStyle w:val="TableText"/>
              <w:jc w:val="center"/>
              <w:rPr>
                <w:sz w:val="20"/>
              </w:rPr>
            </w:pPr>
            <w:r>
              <w:rPr>
                <w:sz w:val="20"/>
              </w:rPr>
              <w:t>15</w:t>
            </w:r>
          </w:p>
        </w:tc>
        <w:tc>
          <w:tcPr>
            <w:tcW w:w="780" w:type="dxa"/>
          </w:tcPr>
          <w:p w:rsidR="00AF2508" w:rsidRDefault="00AF2508">
            <w:pPr>
              <w:pStyle w:val="TableText"/>
              <w:jc w:val="center"/>
              <w:rPr>
                <w:sz w:val="20"/>
              </w:rPr>
            </w:pPr>
            <w:r>
              <w:rPr>
                <w:sz w:val="20"/>
              </w:rPr>
              <w:t>14</w:t>
            </w:r>
          </w:p>
        </w:tc>
        <w:tc>
          <w:tcPr>
            <w:tcW w:w="766" w:type="dxa"/>
            <w:tcBorders>
              <w:left w:val="single" w:sz="6" w:space="0" w:color="auto"/>
            </w:tcBorders>
          </w:tcPr>
          <w:p w:rsidR="00AF2508" w:rsidRDefault="00AF2508">
            <w:pPr>
              <w:pStyle w:val="TableText"/>
              <w:jc w:val="center"/>
              <w:rPr>
                <w:sz w:val="20"/>
              </w:rPr>
            </w:pPr>
            <w:r>
              <w:rPr>
                <w:sz w:val="20"/>
              </w:rPr>
              <w:t>11</w:t>
            </w:r>
          </w:p>
        </w:tc>
        <w:tc>
          <w:tcPr>
            <w:tcW w:w="734" w:type="dxa"/>
          </w:tcPr>
          <w:p w:rsidR="00AF2508" w:rsidRDefault="00AF2508">
            <w:pPr>
              <w:pStyle w:val="TableText"/>
              <w:jc w:val="center"/>
              <w:rPr>
                <w:sz w:val="20"/>
              </w:rPr>
            </w:pPr>
            <w:r>
              <w:rPr>
                <w:sz w:val="20"/>
              </w:rPr>
              <w:t>2</w:t>
            </w:r>
          </w:p>
        </w:tc>
        <w:tc>
          <w:tcPr>
            <w:tcW w:w="826" w:type="dxa"/>
            <w:tcBorders>
              <w:left w:val="single" w:sz="6" w:space="0" w:color="auto"/>
            </w:tcBorders>
          </w:tcPr>
          <w:p w:rsidR="00AF2508" w:rsidRDefault="00AF2508">
            <w:pPr>
              <w:pStyle w:val="TableText"/>
              <w:jc w:val="center"/>
              <w:rPr>
                <w:sz w:val="20"/>
              </w:rPr>
            </w:pPr>
            <w:r>
              <w:rPr>
                <w:sz w:val="20"/>
              </w:rPr>
              <w:t>5</w:t>
            </w:r>
          </w:p>
        </w:tc>
        <w:tc>
          <w:tcPr>
            <w:tcW w:w="650" w:type="dxa"/>
          </w:tcPr>
          <w:p w:rsidR="00AF2508" w:rsidRDefault="00AF2508">
            <w:pPr>
              <w:pStyle w:val="TableText"/>
              <w:jc w:val="center"/>
              <w:rPr>
                <w:sz w:val="20"/>
              </w:rPr>
            </w:pPr>
            <w:r>
              <w:rPr>
                <w:sz w:val="20"/>
              </w:rPr>
              <w:t>15</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672" w:type="dxa"/>
            <w:gridSpan w:val="3"/>
          </w:tcPr>
          <w:p w:rsidR="00AF2508" w:rsidRDefault="00AF2508">
            <w:pPr>
              <w:pStyle w:val="TableText"/>
              <w:jc w:val="center"/>
              <w:rPr>
                <w:sz w:val="20"/>
              </w:rPr>
            </w:pPr>
            <w:r>
              <w:rPr>
                <w:sz w:val="20"/>
              </w:rPr>
              <w:t>12</w:t>
            </w:r>
          </w:p>
        </w:tc>
        <w:tc>
          <w:tcPr>
            <w:tcW w:w="840" w:type="dxa"/>
          </w:tcPr>
          <w:p w:rsidR="00AF2508" w:rsidRDefault="00AF2508">
            <w:pPr>
              <w:pStyle w:val="TableText"/>
              <w:jc w:val="center"/>
              <w:rPr>
                <w:sz w:val="20"/>
              </w:rPr>
            </w:pP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23</w:t>
            </w:r>
          </w:p>
        </w:tc>
        <w:tc>
          <w:tcPr>
            <w:tcW w:w="692" w:type="dxa"/>
          </w:tcPr>
          <w:p w:rsidR="00AF2508" w:rsidRDefault="00AF2508">
            <w:pPr>
              <w:pStyle w:val="TableText"/>
              <w:jc w:val="center"/>
              <w:rPr>
                <w:sz w:val="20"/>
              </w:rPr>
            </w:pPr>
            <w:r>
              <w:rPr>
                <w:sz w:val="20"/>
              </w:rPr>
              <w:t>7</w:t>
            </w:r>
          </w:p>
        </w:tc>
        <w:tc>
          <w:tcPr>
            <w:tcW w:w="780" w:type="dxa"/>
            <w:gridSpan w:val="3"/>
            <w:tcBorders>
              <w:left w:val="single" w:sz="6" w:space="0" w:color="auto"/>
            </w:tcBorders>
          </w:tcPr>
          <w:p w:rsidR="00AF2508" w:rsidRDefault="00AF2508">
            <w:pPr>
              <w:pStyle w:val="TableText"/>
              <w:jc w:val="center"/>
              <w:rPr>
                <w:sz w:val="20"/>
              </w:rPr>
            </w:pPr>
            <w:r>
              <w:rPr>
                <w:sz w:val="20"/>
              </w:rPr>
              <w:t>20</w:t>
            </w:r>
          </w:p>
        </w:tc>
        <w:tc>
          <w:tcPr>
            <w:tcW w:w="832" w:type="dxa"/>
          </w:tcPr>
          <w:p w:rsidR="00AF2508" w:rsidRDefault="00AF2508">
            <w:pPr>
              <w:pStyle w:val="TableText"/>
              <w:jc w:val="center"/>
              <w:rPr>
                <w:sz w:val="20"/>
              </w:rPr>
            </w:pPr>
            <w:r>
              <w:rPr>
                <w:sz w:val="20"/>
              </w:rPr>
              <w:t>19</w:t>
            </w:r>
          </w:p>
        </w:tc>
        <w:tc>
          <w:tcPr>
            <w:tcW w:w="768" w:type="dxa"/>
            <w:tcBorders>
              <w:left w:val="single" w:sz="6" w:space="0" w:color="auto"/>
            </w:tcBorders>
          </w:tcPr>
          <w:p w:rsidR="00AF2508" w:rsidRDefault="00AF2508">
            <w:pPr>
              <w:pStyle w:val="TableText"/>
              <w:jc w:val="center"/>
              <w:rPr>
                <w:sz w:val="20"/>
              </w:rPr>
            </w:pPr>
            <w:r>
              <w:rPr>
                <w:sz w:val="20"/>
              </w:rPr>
              <w:t>17</w:t>
            </w:r>
          </w:p>
        </w:tc>
        <w:tc>
          <w:tcPr>
            <w:tcW w:w="780" w:type="dxa"/>
          </w:tcPr>
          <w:p w:rsidR="00AF2508" w:rsidRDefault="00AF2508">
            <w:pPr>
              <w:pStyle w:val="TableText"/>
              <w:jc w:val="center"/>
              <w:rPr>
                <w:sz w:val="20"/>
              </w:rPr>
            </w:pPr>
            <w:r>
              <w:rPr>
                <w:sz w:val="20"/>
              </w:rPr>
              <w:t>2</w:t>
            </w:r>
          </w:p>
        </w:tc>
        <w:tc>
          <w:tcPr>
            <w:tcW w:w="766" w:type="dxa"/>
            <w:tcBorders>
              <w:left w:val="single" w:sz="6" w:space="0" w:color="auto"/>
            </w:tcBorders>
          </w:tcPr>
          <w:p w:rsidR="00AF2508" w:rsidRDefault="00AF2508">
            <w:pPr>
              <w:pStyle w:val="TableText"/>
              <w:jc w:val="center"/>
              <w:rPr>
                <w:sz w:val="20"/>
              </w:rPr>
            </w:pPr>
            <w:r>
              <w:rPr>
                <w:sz w:val="20"/>
              </w:rPr>
              <w:t>12</w:t>
            </w:r>
          </w:p>
        </w:tc>
        <w:tc>
          <w:tcPr>
            <w:tcW w:w="734" w:type="dxa"/>
          </w:tcPr>
          <w:p w:rsidR="00AF2508" w:rsidRDefault="00AF2508">
            <w:pPr>
              <w:pStyle w:val="TableText"/>
              <w:jc w:val="center"/>
              <w:rPr>
                <w:sz w:val="20"/>
              </w:rPr>
            </w:pPr>
            <w:r>
              <w:rPr>
                <w:sz w:val="20"/>
              </w:rPr>
              <w:t>2</w:t>
            </w:r>
          </w:p>
        </w:tc>
        <w:tc>
          <w:tcPr>
            <w:tcW w:w="826" w:type="dxa"/>
            <w:tcBorders>
              <w:left w:val="single" w:sz="6" w:space="0" w:color="auto"/>
            </w:tcBorders>
          </w:tcPr>
          <w:p w:rsidR="00AF2508" w:rsidRDefault="00AF2508">
            <w:pPr>
              <w:pStyle w:val="TableText"/>
              <w:jc w:val="center"/>
              <w:rPr>
                <w:sz w:val="20"/>
              </w:rPr>
            </w:pPr>
            <w:r>
              <w:rPr>
                <w:sz w:val="20"/>
              </w:rPr>
              <w:t>6</w:t>
            </w:r>
          </w:p>
        </w:tc>
        <w:tc>
          <w:tcPr>
            <w:tcW w:w="650" w:type="dxa"/>
          </w:tcPr>
          <w:p w:rsidR="00AF2508" w:rsidRDefault="00AF2508">
            <w:pPr>
              <w:pStyle w:val="TableText"/>
              <w:jc w:val="center"/>
              <w:rPr>
                <w:sz w:val="20"/>
              </w:rPr>
            </w:pPr>
            <w:r>
              <w:rPr>
                <w:sz w:val="20"/>
              </w:rPr>
              <w:t>5</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13</w:t>
            </w:r>
            <w:r>
              <w:rPr>
                <w:sz w:val="20"/>
              </w:rPr>
              <w:t>/</w:t>
            </w:r>
            <w:r>
              <w:rPr>
                <w:sz w:val="16"/>
              </w:rPr>
              <w:t>16</w:t>
            </w:r>
          </w:p>
        </w:tc>
        <w:tc>
          <w:tcPr>
            <w:tcW w:w="672" w:type="dxa"/>
            <w:gridSpan w:val="3"/>
          </w:tcPr>
          <w:p w:rsidR="00AF2508" w:rsidRDefault="00AF2508">
            <w:pPr>
              <w:pStyle w:val="TableText"/>
              <w:jc w:val="center"/>
              <w:rPr>
                <w:sz w:val="20"/>
              </w:rPr>
            </w:pPr>
            <w:r>
              <w:rPr>
                <w:sz w:val="20"/>
              </w:rPr>
              <w:t>13</w:t>
            </w:r>
          </w:p>
        </w:tc>
        <w:tc>
          <w:tcPr>
            <w:tcW w:w="840" w:type="dxa"/>
          </w:tcPr>
          <w:p w:rsidR="00AF2508" w:rsidRDefault="00AF2508">
            <w:pPr>
              <w:pStyle w:val="TableText"/>
              <w:jc w:val="center"/>
              <w:rPr>
                <w:sz w:val="20"/>
              </w:rPr>
            </w:pPr>
            <w:r>
              <w:rPr>
                <w:sz w:val="20"/>
              </w:rPr>
              <w:t>4</w:t>
            </w:r>
          </w:p>
        </w:tc>
        <w:tc>
          <w:tcPr>
            <w:tcW w:w="600" w:type="dxa"/>
            <w:gridSpan w:val="2"/>
            <w:tcBorders>
              <w:left w:val="single" w:sz="6" w:space="0" w:color="auto"/>
            </w:tcBorders>
          </w:tcPr>
          <w:p w:rsidR="00AF2508" w:rsidRDefault="00AF2508">
            <w:pPr>
              <w:pStyle w:val="TableText"/>
              <w:jc w:val="center"/>
              <w:rPr>
                <w:sz w:val="20"/>
              </w:rPr>
            </w:pPr>
            <w:r>
              <w:rPr>
                <w:sz w:val="20"/>
              </w:rPr>
              <w:t>25</w:t>
            </w:r>
          </w:p>
        </w:tc>
        <w:tc>
          <w:tcPr>
            <w:tcW w:w="692" w:type="dxa"/>
          </w:tcPr>
          <w:p w:rsidR="00AF2508" w:rsidRDefault="00AF2508">
            <w:pPr>
              <w:pStyle w:val="TableText"/>
              <w:jc w:val="center"/>
              <w:rPr>
                <w:sz w:val="20"/>
              </w:rPr>
            </w:pPr>
            <w:r>
              <w:rPr>
                <w:sz w:val="20"/>
              </w:rPr>
              <w:t>10</w:t>
            </w:r>
          </w:p>
        </w:tc>
        <w:tc>
          <w:tcPr>
            <w:tcW w:w="780" w:type="dxa"/>
            <w:gridSpan w:val="3"/>
            <w:tcBorders>
              <w:left w:val="single" w:sz="6" w:space="0" w:color="auto"/>
            </w:tcBorders>
          </w:tcPr>
          <w:p w:rsidR="00AF2508" w:rsidRDefault="00AF2508">
            <w:pPr>
              <w:pStyle w:val="TableText"/>
              <w:jc w:val="center"/>
              <w:rPr>
                <w:sz w:val="20"/>
              </w:rPr>
            </w:pPr>
            <w:r>
              <w:rPr>
                <w:sz w:val="20"/>
              </w:rPr>
              <w:t>22</w:t>
            </w:r>
          </w:p>
        </w:tc>
        <w:tc>
          <w:tcPr>
            <w:tcW w:w="832" w:type="dxa"/>
          </w:tcPr>
          <w:p w:rsidR="00AF2508" w:rsidRDefault="00AF2508">
            <w:pPr>
              <w:pStyle w:val="TableText"/>
              <w:jc w:val="center"/>
              <w:rPr>
                <w:sz w:val="20"/>
              </w:rPr>
            </w:pPr>
            <w:r>
              <w:rPr>
                <w:sz w:val="20"/>
              </w:rPr>
              <w:t>17</w:t>
            </w:r>
          </w:p>
        </w:tc>
        <w:tc>
          <w:tcPr>
            <w:tcW w:w="768" w:type="dxa"/>
            <w:tcBorders>
              <w:left w:val="single" w:sz="6" w:space="0" w:color="auto"/>
            </w:tcBorders>
          </w:tcPr>
          <w:p w:rsidR="00AF2508" w:rsidRDefault="00AF2508">
            <w:pPr>
              <w:pStyle w:val="TableText"/>
              <w:jc w:val="center"/>
              <w:rPr>
                <w:sz w:val="20"/>
              </w:rPr>
            </w:pPr>
            <w:r>
              <w:rPr>
                <w:sz w:val="20"/>
              </w:rPr>
              <w:t>18</w:t>
            </w:r>
          </w:p>
        </w:tc>
        <w:tc>
          <w:tcPr>
            <w:tcW w:w="780" w:type="dxa"/>
          </w:tcPr>
          <w:p w:rsidR="00AF2508" w:rsidRDefault="00AF2508">
            <w:pPr>
              <w:pStyle w:val="TableText"/>
              <w:jc w:val="center"/>
              <w:rPr>
                <w:sz w:val="20"/>
              </w:rPr>
            </w:pPr>
            <w:r>
              <w:rPr>
                <w:sz w:val="20"/>
              </w:rPr>
              <w:t>14</w:t>
            </w:r>
          </w:p>
        </w:tc>
        <w:tc>
          <w:tcPr>
            <w:tcW w:w="766" w:type="dxa"/>
            <w:tcBorders>
              <w:left w:val="single" w:sz="6" w:space="0" w:color="auto"/>
            </w:tcBorders>
          </w:tcPr>
          <w:p w:rsidR="00AF2508" w:rsidRDefault="00AF2508">
            <w:pPr>
              <w:pStyle w:val="TableText"/>
              <w:jc w:val="center"/>
              <w:rPr>
                <w:sz w:val="20"/>
              </w:rPr>
            </w:pPr>
            <w:r>
              <w:rPr>
                <w:sz w:val="20"/>
              </w:rPr>
              <w:t>13</w:t>
            </w:r>
          </w:p>
        </w:tc>
        <w:tc>
          <w:tcPr>
            <w:tcW w:w="734" w:type="dxa"/>
          </w:tcPr>
          <w:p w:rsidR="00AF2508" w:rsidRDefault="00AF2508">
            <w:pPr>
              <w:pStyle w:val="TableText"/>
              <w:jc w:val="center"/>
              <w:rPr>
                <w:sz w:val="20"/>
              </w:rPr>
            </w:pPr>
            <w:r>
              <w:rPr>
                <w:sz w:val="20"/>
              </w:rPr>
              <w:t>4</w:t>
            </w:r>
          </w:p>
        </w:tc>
        <w:tc>
          <w:tcPr>
            <w:tcW w:w="826" w:type="dxa"/>
            <w:tcBorders>
              <w:left w:val="single" w:sz="6" w:space="0" w:color="auto"/>
            </w:tcBorders>
          </w:tcPr>
          <w:p w:rsidR="00AF2508" w:rsidRDefault="00AF2508">
            <w:pPr>
              <w:pStyle w:val="TableText"/>
              <w:jc w:val="center"/>
              <w:rPr>
                <w:sz w:val="20"/>
              </w:rPr>
            </w:pPr>
            <w:r>
              <w:rPr>
                <w:sz w:val="20"/>
              </w:rPr>
              <w:t>6</w:t>
            </w:r>
          </w:p>
        </w:tc>
        <w:tc>
          <w:tcPr>
            <w:tcW w:w="650" w:type="dxa"/>
          </w:tcPr>
          <w:p w:rsidR="00AF2508" w:rsidRDefault="00AF2508">
            <w:pPr>
              <w:pStyle w:val="TableText"/>
              <w:jc w:val="center"/>
              <w:rPr>
                <w:sz w:val="20"/>
              </w:rPr>
            </w:pPr>
            <w:r>
              <w:rPr>
                <w:sz w:val="20"/>
              </w:rPr>
              <w:t>17</w:t>
            </w:r>
          </w:p>
        </w:tc>
      </w:tr>
      <w:tr w:rsidR="00AF2508">
        <w:trPr>
          <w:cantSplit/>
          <w:trHeight w:val="200"/>
        </w:trPr>
        <w:tc>
          <w:tcPr>
            <w:tcW w:w="968" w:type="dxa"/>
            <w:tcBorders>
              <w:bottom w:val="single" w:sz="6" w:space="0" w:color="auto"/>
            </w:tcBorders>
          </w:tcPr>
          <w:p w:rsidR="00AF2508" w:rsidRDefault="00AF2508">
            <w:pPr>
              <w:pStyle w:val="TableText"/>
              <w:jc w:val="center"/>
              <w:rPr>
                <w:sz w:val="20"/>
              </w:rPr>
            </w:pPr>
            <w:r>
              <w:rPr>
                <w:sz w:val="20"/>
              </w:rPr>
              <w:t>6</w:t>
            </w:r>
          </w:p>
        </w:tc>
        <w:tc>
          <w:tcPr>
            <w:tcW w:w="948" w:type="dxa"/>
            <w:gridSpan w:val="3"/>
            <w:tcBorders>
              <w:left w:val="single" w:sz="6" w:space="0" w:color="auto"/>
              <w:bottom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672" w:type="dxa"/>
            <w:gridSpan w:val="3"/>
            <w:tcBorders>
              <w:bottom w:val="single" w:sz="6" w:space="0" w:color="auto"/>
            </w:tcBorders>
          </w:tcPr>
          <w:p w:rsidR="00AF2508" w:rsidRDefault="00AF2508">
            <w:pPr>
              <w:pStyle w:val="TableText"/>
              <w:jc w:val="center"/>
              <w:rPr>
                <w:sz w:val="20"/>
              </w:rPr>
            </w:pPr>
            <w:r>
              <w:rPr>
                <w:sz w:val="20"/>
              </w:rPr>
              <w:t>14</w:t>
            </w:r>
          </w:p>
        </w:tc>
        <w:tc>
          <w:tcPr>
            <w:tcW w:w="840" w:type="dxa"/>
            <w:tcBorders>
              <w:bottom w:val="single" w:sz="6" w:space="0" w:color="auto"/>
            </w:tcBorders>
          </w:tcPr>
          <w:p w:rsidR="00AF2508" w:rsidRDefault="00AF2508">
            <w:pPr>
              <w:pStyle w:val="TableText"/>
              <w:jc w:val="center"/>
              <w:rPr>
                <w:sz w:val="20"/>
              </w:rPr>
            </w:pPr>
            <w:r>
              <w:rPr>
                <w:sz w:val="20"/>
              </w:rPr>
              <w:t>10</w:t>
            </w:r>
          </w:p>
        </w:tc>
        <w:tc>
          <w:tcPr>
            <w:tcW w:w="600" w:type="dxa"/>
            <w:gridSpan w:val="2"/>
            <w:tcBorders>
              <w:left w:val="single" w:sz="6" w:space="0" w:color="auto"/>
              <w:bottom w:val="single" w:sz="6" w:space="0" w:color="auto"/>
            </w:tcBorders>
          </w:tcPr>
          <w:p w:rsidR="00AF2508" w:rsidRDefault="00AF2508">
            <w:pPr>
              <w:pStyle w:val="TableText"/>
              <w:jc w:val="center"/>
              <w:rPr>
                <w:sz w:val="20"/>
              </w:rPr>
            </w:pPr>
            <w:r>
              <w:rPr>
                <w:sz w:val="20"/>
              </w:rPr>
              <w:t>28</w:t>
            </w:r>
          </w:p>
        </w:tc>
        <w:tc>
          <w:tcPr>
            <w:tcW w:w="692" w:type="dxa"/>
            <w:tcBorders>
              <w:bottom w:val="single" w:sz="6" w:space="0" w:color="auto"/>
            </w:tcBorders>
          </w:tcPr>
          <w:p w:rsidR="00AF2508" w:rsidRDefault="00AF2508">
            <w:pPr>
              <w:pStyle w:val="TableText"/>
              <w:jc w:val="center"/>
              <w:rPr>
                <w:sz w:val="20"/>
              </w:rPr>
            </w:pPr>
            <w:r>
              <w:rPr>
                <w:sz w:val="20"/>
              </w:rPr>
              <w:t>0</w:t>
            </w:r>
          </w:p>
        </w:tc>
        <w:tc>
          <w:tcPr>
            <w:tcW w:w="780" w:type="dxa"/>
            <w:gridSpan w:val="3"/>
            <w:tcBorders>
              <w:left w:val="single" w:sz="6" w:space="0" w:color="auto"/>
              <w:bottom w:val="single" w:sz="6" w:space="0" w:color="auto"/>
            </w:tcBorders>
          </w:tcPr>
          <w:p w:rsidR="00AF2508" w:rsidRDefault="00AF2508">
            <w:pPr>
              <w:pStyle w:val="TableText"/>
              <w:jc w:val="center"/>
              <w:rPr>
                <w:sz w:val="20"/>
              </w:rPr>
            </w:pPr>
            <w:r>
              <w:rPr>
                <w:sz w:val="20"/>
              </w:rPr>
              <w:t>25</w:t>
            </w:r>
          </w:p>
        </w:tc>
        <w:tc>
          <w:tcPr>
            <w:tcW w:w="832" w:type="dxa"/>
            <w:tcBorders>
              <w:bottom w:val="single" w:sz="6" w:space="0" w:color="auto"/>
            </w:tcBorders>
          </w:tcPr>
          <w:p w:rsidR="00AF2508" w:rsidRDefault="00AF2508">
            <w:pPr>
              <w:pStyle w:val="TableText"/>
              <w:jc w:val="center"/>
              <w:rPr>
                <w:sz w:val="20"/>
              </w:rPr>
            </w:pPr>
            <w:r>
              <w:rPr>
                <w:sz w:val="20"/>
              </w:rPr>
              <w:t>2</w:t>
            </w:r>
          </w:p>
        </w:tc>
        <w:tc>
          <w:tcPr>
            <w:tcW w:w="768" w:type="dxa"/>
            <w:tcBorders>
              <w:left w:val="single" w:sz="6" w:space="0" w:color="auto"/>
              <w:bottom w:val="single" w:sz="6" w:space="0" w:color="auto"/>
            </w:tcBorders>
          </w:tcPr>
          <w:p w:rsidR="00AF2508" w:rsidRDefault="00AF2508">
            <w:pPr>
              <w:pStyle w:val="TableText"/>
              <w:jc w:val="center"/>
              <w:rPr>
                <w:sz w:val="20"/>
              </w:rPr>
            </w:pPr>
            <w:r>
              <w:rPr>
                <w:sz w:val="20"/>
              </w:rPr>
              <w:t>20</w:t>
            </w:r>
          </w:p>
        </w:tc>
        <w:tc>
          <w:tcPr>
            <w:tcW w:w="780" w:type="dxa"/>
            <w:tcBorders>
              <w:bottom w:val="single" w:sz="6" w:space="0" w:color="auto"/>
            </w:tcBorders>
          </w:tcPr>
          <w:p w:rsidR="00AF2508" w:rsidRDefault="00AF2508">
            <w:pPr>
              <w:pStyle w:val="TableText"/>
              <w:jc w:val="center"/>
              <w:rPr>
                <w:sz w:val="20"/>
              </w:rPr>
            </w:pPr>
            <w:r>
              <w:rPr>
                <w:sz w:val="20"/>
              </w:rPr>
              <w:t>10</w:t>
            </w:r>
          </w:p>
        </w:tc>
        <w:tc>
          <w:tcPr>
            <w:tcW w:w="766" w:type="dxa"/>
            <w:tcBorders>
              <w:left w:val="single" w:sz="6" w:space="0" w:color="auto"/>
              <w:bottom w:val="single" w:sz="6" w:space="0" w:color="auto"/>
            </w:tcBorders>
          </w:tcPr>
          <w:p w:rsidR="00AF2508" w:rsidRDefault="00AF2508">
            <w:pPr>
              <w:pStyle w:val="TableText"/>
              <w:jc w:val="center"/>
              <w:rPr>
                <w:sz w:val="20"/>
              </w:rPr>
            </w:pPr>
            <w:r>
              <w:rPr>
                <w:sz w:val="20"/>
              </w:rPr>
              <w:t>14</w:t>
            </w:r>
          </w:p>
        </w:tc>
        <w:tc>
          <w:tcPr>
            <w:tcW w:w="734" w:type="dxa"/>
            <w:tcBorders>
              <w:bottom w:val="single" w:sz="6" w:space="0" w:color="auto"/>
            </w:tcBorders>
          </w:tcPr>
          <w:p w:rsidR="00AF2508" w:rsidRDefault="00AF2508">
            <w:pPr>
              <w:pStyle w:val="TableText"/>
              <w:jc w:val="center"/>
              <w:rPr>
                <w:sz w:val="20"/>
              </w:rPr>
            </w:pPr>
            <w:r>
              <w:rPr>
                <w:sz w:val="20"/>
              </w:rPr>
              <w:t>10</w:t>
            </w:r>
          </w:p>
        </w:tc>
        <w:tc>
          <w:tcPr>
            <w:tcW w:w="826" w:type="dxa"/>
            <w:tcBorders>
              <w:left w:val="single" w:sz="6" w:space="0" w:color="auto"/>
              <w:bottom w:val="single" w:sz="6" w:space="0" w:color="auto"/>
            </w:tcBorders>
          </w:tcPr>
          <w:p w:rsidR="00AF2508" w:rsidRDefault="00AF2508">
            <w:pPr>
              <w:pStyle w:val="TableText"/>
              <w:jc w:val="center"/>
              <w:rPr>
                <w:sz w:val="20"/>
              </w:rPr>
            </w:pPr>
            <w:r>
              <w:rPr>
                <w:sz w:val="20"/>
              </w:rPr>
              <w:t>7</w:t>
            </w:r>
          </w:p>
        </w:tc>
        <w:tc>
          <w:tcPr>
            <w:tcW w:w="650" w:type="dxa"/>
            <w:tcBorders>
              <w:bottom w:val="single" w:sz="6" w:space="0" w:color="auto"/>
            </w:tcBorders>
          </w:tcPr>
          <w:p w:rsidR="00AF2508" w:rsidRDefault="00AF2508">
            <w:pPr>
              <w:pStyle w:val="TableText"/>
              <w:jc w:val="center"/>
              <w:rPr>
                <w:sz w:val="20"/>
              </w:rPr>
            </w:pPr>
            <w:r>
              <w:rPr>
                <w:sz w:val="20"/>
              </w:rPr>
              <w:t>10</w:t>
            </w:r>
          </w:p>
        </w:tc>
      </w:tr>
    </w:tbl>
    <w:p w:rsidR="00AF2508" w:rsidRDefault="00AF2508"/>
    <w:p w:rsidR="00AF2508" w:rsidRDefault="00AF2508">
      <w:pPr>
        <w:pStyle w:val="TableHd"/>
      </w:pPr>
      <w:r>
        <w:t>Maximum safe working load for steel wire rope—Classification 1</w:t>
      </w:r>
    </w:p>
    <w:p w:rsidR="00AF2508" w:rsidRDefault="00AF2508">
      <w:pPr>
        <w:pStyle w:val="TableHd"/>
        <w:ind w:left="0" w:firstLine="0"/>
      </w:pPr>
      <w:r>
        <w:t>Minimum ultimate tensile value of steel of which rope is constructed = 80 tons per square inch</w:t>
      </w:r>
      <w:r>
        <w:br/>
        <w:t>construction: 6 strands each containing 24 wires</w:t>
      </w:r>
    </w:p>
    <w:tbl>
      <w:tblPr>
        <w:tblW w:w="0" w:type="auto"/>
        <w:tblLayout w:type="fixed"/>
        <w:tblCellMar>
          <w:left w:w="80" w:type="dxa"/>
          <w:right w:w="80" w:type="dxa"/>
        </w:tblCellMar>
        <w:tblLook w:val="0000" w:firstRow="0" w:lastRow="0" w:firstColumn="0" w:lastColumn="0" w:noHBand="0" w:noVBand="0"/>
      </w:tblPr>
      <w:tblGrid>
        <w:gridCol w:w="984"/>
        <w:gridCol w:w="924"/>
        <w:gridCol w:w="12"/>
        <w:gridCol w:w="567"/>
        <w:gridCol w:w="93"/>
        <w:gridCol w:w="12"/>
        <w:gridCol w:w="840"/>
        <w:gridCol w:w="592"/>
        <w:gridCol w:w="20"/>
        <w:gridCol w:w="696"/>
        <w:gridCol w:w="12"/>
        <w:gridCol w:w="732"/>
        <w:gridCol w:w="20"/>
        <w:gridCol w:w="808"/>
        <w:gridCol w:w="24"/>
        <w:gridCol w:w="761"/>
        <w:gridCol w:w="7"/>
        <w:gridCol w:w="780"/>
        <w:gridCol w:w="760"/>
        <w:gridCol w:w="6"/>
        <w:gridCol w:w="723"/>
        <w:gridCol w:w="11"/>
        <w:gridCol w:w="826"/>
        <w:gridCol w:w="35"/>
        <w:gridCol w:w="619"/>
        <w:gridCol w:w="12"/>
      </w:tblGrid>
      <w:tr w:rsidR="00AF2508">
        <w:trPr>
          <w:gridAfter w:val="1"/>
          <w:wAfter w:w="12" w:type="dxa"/>
          <w:cantSplit/>
          <w:tblHeader/>
        </w:trPr>
        <w:tc>
          <w:tcPr>
            <w:tcW w:w="984" w:type="dxa"/>
            <w:tcBorders>
              <w:top w:val="single" w:sz="6" w:space="0" w:color="auto"/>
              <w:right w:val="single" w:sz="6" w:space="0" w:color="auto"/>
            </w:tcBorders>
          </w:tcPr>
          <w:p w:rsidR="00AF2508" w:rsidRDefault="00AF2508">
            <w:pPr>
              <w:pStyle w:val="TableColHd"/>
              <w:jc w:val="center"/>
            </w:pPr>
          </w:p>
        </w:tc>
        <w:tc>
          <w:tcPr>
            <w:tcW w:w="924" w:type="dxa"/>
            <w:tcBorders>
              <w:top w:val="single" w:sz="6" w:space="0" w:color="auto"/>
              <w:right w:val="single" w:sz="6" w:space="0" w:color="auto"/>
            </w:tcBorders>
          </w:tcPr>
          <w:p w:rsidR="00AF2508" w:rsidRDefault="00AF2508">
            <w:pPr>
              <w:pStyle w:val="TableColHd"/>
              <w:jc w:val="center"/>
            </w:pPr>
          </w:p>
        </w:tc>
        <w:tc>
          <w:tcPr>
            <w:tcW w:w="579" w:type="dxa"/>
            <w:gridSpan w:val="2"/>
            <w:tcBorders>
              <w:top w:val="single" w:sz="6" w:space="0" w:color="auto"/>
            </w:tcBorders>
          </w:tcPr>
          <w:p w:rsidR="00AF2508" w:rsidRDefault="00AF2508">
            <w:pPr>
              <w:pStyle w:val="TableColHd"/>
              <w:jc w:val="center"/>
            </w:pPr>
          </w:p>
        </w:tc>
        <w:tc>
          <w:tcPr>
            <w:tcW w:w="941" w:type="dxa"/>
            <w:gridSpan w:val="3"/>
            <w:tcBorders>
              <w:top w:val="single" w:sz="6" w:space="0" w:color="auto"/>
            </w:tcBorders>
          </w:tcPr>
          <w:p w:rsidR="00AF2508" w:rsidRDefault="00AF2508">
            <w:pPr>
              <w:pStyle w:val="TableColHd"/>
              <w:jc w:val="center"/>
            </w:pPr>
          </w:p>
        </w:tc>
        <w:tc>
          <w:tcPr>
            <w:tcW w:w="7428" w:type="dxa"/>
            <w:gridSpan w:val="18"/>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gridAfter w:val="1"/>
          <w:wAfter w:w="12" w:type="dxa"/>
          <w:cantSplit/>
          <w:tblHeader/>
        </w:trPr>
        <w:tc>
          <w:tcPr>
            <w:tcW w:w="984" w:type="dxa"/>
            <w:tcBorders>
              <w:right w:val="single" w:sz="6" w:space="0" w:color="auto"/>
            </w:tcBorders>
            <w:vAlign w:val="bottom"/>
          </w:tcPr>
          <w:p w:rsidR="00AF2508" w:rsidRDefault="00AF2508">
            <w:pPr>
              <w:pStyle w:val="TableColHd"/>
            </w:pPr>
            <w:r>
              <w:t>circum-</w:t>
            </w:r>
            <w:r>
              <w:br/>
              <w:t>ference</w:t>
            </w:r>
            <w:r>
              <w:br/>
              <w:t>of rope</w:t>
            </w:r>
          </w:p>
        </w:tc>
        <w:tc>
          <w:tcPr>
            <w:tcW w:w="924" w:type="dxa"/>
            <w:tcBorders>
              <w:right w:val="single" w:sz="6" w:space="0" w:color="auto"/>
            </w:tcBorders>
            <w:vAlign w:val="bottom"/>
          </w:tcPr>
          <w:p w:rsidR="00AF2508" w:rsidRDefault="00AF2508">
            <w:pPr>
              <w:pStyle w:val="TableColHd"/>
            </w:pPr>
            <w:r>
              <w:t>approx.</w:t>
            </w:r>
            <w:r>
              <w:br/>
              <w:t>diameter</w:t>
            </w:r>
            <w:r>
              <w:br/>
              <w:t>of rope</w:t>
            </w:r>
          </w:p>
        </w:tc>
        <w:tc>
          <w:tcPr>
            <w:tcW w:w="1520" w:type="dxa"/>
            <w:gridSpan w:val="5"/>
            <w:vAlign w:val="bottom"/>
          </w:tcPr>
          <w:p w:rsidR="00AF2508" w:rsidRDefault="00AF2508">
            <w:pPr>
              <w:pStyle w:val="TableColHd"/>
            </w:pPr>
            <w:r>
              <w:t>safe load for 1 single fall (part) of rope</w:t>
            </w:r>
          </w:p>
        </w:tc>
        <w:tc>
          <w:tcPr>
            <w:tcW w:w="1320" w:type="dxa"/>
            <w:gridSpan w:val="4"/>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4"/>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3"/>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3"/>
          </w:tcPr>
          <w:p w:rsidR="00AF2508" w:rsidRDefault="00136775">
            <w:pPr>
              <w:rPr>
                <w:color w:val="000000"/>
                <w:sz w:val="18"/>
              </w:rPr>
            </w:pPr>
            <w:r>
              <w:rPr>
                <w:noProof/>
                <w:color w:val="000000"/>
                <w:sz w:val="20"/>
                <w:lang w:eastAsia="en-AU"/>
              </w:rPr>
              <w:drawing>
                <wp:inline distT="0" distB="0" distL="0" distR="0">
                  <wp:extent cx="790575" cy="5238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gridAfter w:val="1"/>
          <w:wAfter w:w="8" w:type="dxa"/>
          <w:cantSplit/>
          <w:trHeight w:val="220"/>
          <w:tblHeader/>
        </w:trPr>
        <w:tc>
          <w:tcPr>
            <w:tcW w:w="98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3"/>
            <w:tcBorders>
              <w:top w:val="single" w:sz="6" w:space="0" w:color="auto"/>
              <w:bottom w:val="single" w:sz="6" w:space="0" w:color="auto"/>
            </w:tcBorders>
            <w:vAlign w:val="bottom"/>
          </w:tcPr>
          <w:p w:rsidR="00AF2508" w:rsidRDefault="00AF2508">
            <w:pPr>
              <w:pStyle w:val="TableColHd"/>
              <w:spacing w:after="0"/>
              <w:jc w:val="center"/>
            </w:pPr>
            <w:r>
              <w:t>tons</w:t>
            </w:r>
          </w:p>
        </w:tc>
        <w:tc>
          <w:tcPr>
            <w:tcW w:w="848"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16"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gridSpan w:val="3"/>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32"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768"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8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826"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80" w:type="dxa"/>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936" w:type="dxa"/>
            <w:gridSpan w:val="2"/>
            <w:tcBorders>
              <w:top w:val="single" w:sz="6" w:space="0" w:color="auto"/>
              <w:right w:val="single" w:sz="6" w:space="0" w:color="auto"/>
            </w:tcBorders>
          </w:tcPr>
          <w:p w:rsidR="00AF2508" w:rsidRDefault="00AF2508">
            <w:pPr>
              <w:pStyle w:val="TableText"/>
              <w:jc w:val="center"/>
              <w:rPr>
                <w:sz w:val="20"/>
              </w:rPr>
            </w:pPr>
            <w:r>
              <w:rPr>
                <w:position w:val="4"/>
                <w:sz w:val="20"/>
              </w:rPr>
              <w:t>3</w:t>
            </w:r>
            <w:r>
              <w:rPr>
                <w:sz w:val="20"/>
              </w:rPr>
              <w:t xml:space="preserve">/16 </w:t>
            </w:r>
          </w:p>
        </w:tc>
        <w:tc>
          <w:tcPr>
            <w:tcW w:w="672" w:type="dxa"/>
            <w:gridSpan w:val="3"/>
            <w:tcBorders>
              <w:top w:val="single" w:sz="6" w:space="0" w:color="auto"/>
            </w:tcBorders>
          </w:tcPr>
          <w:p w:rsidR="00AF2508" w:rsidRDefault="00AF2508">
            <w:pPr>
              <w:pStyle w:val="TableText"/>
              <w:jc w:val="center"/>
              <w:rPr>
                <w:sz w:val="20"/>
              </w:rPr>
            </w:pPr>
            <w:r>
              <w:rPr>
                <w:sz w:val="20"/>
              </w:rPr>
              <w:t>0</w:t>
            </w:r>
          </w:p>
        </w:tc>
        <w:tc>
          <w:tcPr>
            <w:tcW w:w="840" w:type="dxa"/>
            <w:tcBorders>
              <w:top w:val="single" w:sz="6" w:space="0" w:color="auto"/>
            </w:tcBorders>
          </w:tcPr>
          <w:p w:rsidR="00AF2508" w:rsidRDefault="00AF2508">
            <w:pPr>
              <w:pStyle w:val="TableText"/>
              <w:jc w:val="center"/>
              <w:rPr>
                <w:sz w:val="20"/>
              </w:rPr>
            </w:pPr>
            <w:r>
              <w:rPr>
                <w:sz w:val="20"/>
              </w:rPr>
              <w:t>3</w:t>
            </w:r>
          </w:p>
        </w:tc>
        <w:tc>
          <w:tcPr>
            <w:tcW w:w="612"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708" w:type="dxa"/>
            <w:gridSpan w:val="2"/>
            <w:tcBorders>
              <w:top w:val="single" w:sz="6" w:space="0" w:color="auto"/>
            </w:tcBorders>
          </w:tcPr>
          <w:p w:rsidR="00AF2508" w:rsidRDefault="00AF2508">
            <w:pPr>
              <w:pStyle w:val="TableText"/>
              <w:jc w:val="center"/>
              <w:rPr>
                <w:sz w:val="20"/>
              </w:rPr>
            </w:pPr>
            <w:r>
              <w:rPr>
                <w:sz w:val="20"/>
              </w:rPr>
              <w:t>6</w:t>
            </w:r>
          </w:p>
        </w:tc>
        <w:tc>
          <w:tcPr>
            <w:tcW w:w="732"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8" w:type="dxa"/>
            <w:gridSpan w:val="2"/>
            <w:tcBorders>
              <w:top w:val="single" w:sz="6" w:space="0" w:color="auto"/>
            </w:tcBorders>
          </w:tcPr>
          <w:p w:rsidR="00AF2508" w:rsidRDefault="00AF2508">
            <w:pPr>
              <w:pStyle w:val="TableText"/>
              <w:jc w:val="center"/>
              <w:rPr>
                <w:sz w:val="20"/>
              </w:rPr>
            </w:pPr>
            <w:r>
              <w:rPr>
                <w:sz w:val="20"/>
              </w:rPr>
              <w:t>5</w:t>
            </w:r>
          </w:p>
        </w:tc>
        <w:tc>
          <w:tcPr>
            <w:tcW w:w="785"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786" w:type="dxa"/>
            <w:gridSpan w:val="2"/>
            <w:tcBorders>
              <w:top w:val="single" w:sz="6" w:space="0" w:color="auto"/>
            </w:tcBorders>
          </w:tcPr>
          <w:p w:rsidR="00AF2508" w:rsidRDefault="00AF2508">
            <w:pPr>
              <w:pStyle w:val="TableText"/>
              <w:jc w:val="center"/>
              <w:rPr>
                <w:sz w:val="20"/>
              </w:rPr>
            </w:pPr>
            <w:r>
              <w:rPr>
                <w:sz w:val="20"/>
              </w:rPr>
              <w:t>4</w:t>
            </w:r>
          </w:p>
        </w:tc>
        <w:tc>
          <w:tcPr>
            <w:tcW w:w="76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9" w:type="dxa"/>
            <w:gridSpan w:val="2"/>
            <w:tcBorders>
              <w:top w:val="single" w:sz="6" w:space="0" w:color="auto"/>
              <w:right w:val="single" w:sz="6" w:space="0" w:color="auto"/>
            </w:tcBorders>
          </w:tcPr>
          <w:p w:rsidR="00AF2508" w:rsidRDefault="00AF2508">
            <w:pPr>
              <w:pStyle w:val="TableText"/>
              <w:jc w:val="center"/>
              <w:rPr>
                <w:sz w:val="20"/>
              </w:rPr>
            </w:pPr>
            <w:r>
              <w:rPr>
                <w:sz w:val="20"/>
              </w:rPr>
              <w:t>3</w:t>
            </w:r>
          </w:p>
        </w:tc>
        <w:tc>
          <w:tcPr>
            <w:tcW w:w="872" w:type="dxa"/>
            <w:gridSpan w:val="3"/>
            <w:tcBorders>
              <w:top w:val="single" w:sz="6" w:space="0" w:color="auto"/>
            </w:tcBorders>
          </w:tcPr>
          <w:p w:rsidR="00AF2508" w:rsidRDefault="00AF2508">
            <w:pPr>
              <w:pStyle w:val="TableText"/>
              <w:jc w:val="center"/>
              <w:rPr>
                <w:sz w:val="20"/>
              </w:rPr>
            </w:pPr>
            <w:r>
              <w:rPr>
                <w:sz w:val="20"/>
              </w:rPr>
              <w:t>0</w:t>
            </w:r>
          </w:p>
        </w:tc>
        <w:tc>
          <w:tcPr>
            <w:tcW w:w="628" w:type="dxa"/>
            <w:gridSpan w:val="2"/>
            <w:tcBorders>
              <w:top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3</w:t>
            </w:r>
            <w:r>
              <w:rPr>
                <w:sz w:val="20"/>
              </w:rPr>
              <w:t xml:space="preserve">/4 </w:t>
            </w:r>
          </w:p>
        </w:tc>
        <w:tc>
          <w:tcPr>
            <w:tcW w:w="936" w:type="dxa"/>
            <w:gridSpan w:val="2"/>
            <w:tcBorders>
              <w:right w:val="single" w:sz="6" w:space="0" w:color="auto"/>
            </w:tcBorders>
          </w:tcPr>
          <w:p w:rsidR="00AF2508" w:rsidRDefault="00AF2508">
            <w:pPr>
              <w:pStyle w:val="TableText"/>
              <w:jc w:val="center"/>
              <w:rPr>
                <w:sz w:val="20"/>
              </w:rPr>
            </w:pPr>
            <w:r>
              <w:rPr>
                <w:position w:val="4"/>
                <w:sz w:val="20"/>
              </w:rPr>
              <w:t>1</w:t>
            </w:r>
            <w:r>
              <w:rPr>
                <w:sz w:val="20"/>
              </w:rPr>
              <w:t xml:space="preserve">/4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4</w:t>
            </w:r>
            <w:r>
              <w:rPr>
                <w:position w:val="4"/>
                <w:sz w:val="20"/>
              </w:rPr>
              <w:t>1</w:t>
            </w:r>
            <w:r>
              <w:rPr>
                <w:sz w:val="20"/>
              </w:rPr>
              <w:t>/2</w:t>
            </w:r>
          </w:p>
        </w:tc>
        <w:tc>
          <w:tcPr>
            <w:tcW w:w="612" w:type="dxa"/>
            <w:gridSpan w:val="2"/>
            <w:tcBorders>
              <w:left w:val="single" w:sz="6" w:space="0" w:color="auto"/>
            </w:tcBorders>
          </w:tcPr>
          <w:p w:rsidR="00AF2508" w:rsidRDefault="00AF2508">
            <w:pPr>
              <w:pStyle w:val="TableText"/>
              <w:jc w:val="center"/>
              <w:rPr>
                <w:sz w:val="20"/>
              </w:rPr>
            </w:pPr>
            <w:r>
              <w:rPr>
                <w:sz w:val="20"/>
              </w:rPr>
              <w:t>0</w:t>
            </w:r>
          </w:p>
        </w:tc>
        <w:tc>
          <w:tcPr>
            <w:tcW w:w="708" w:type="dxa"/>
            <w:gridSpan w:val="2"/>
          </w:tcPr>
          <w:p w:rsidR="00AF2508" w:rsidRDefault="00AF2508">
            <w:pPr>
              <w:pStyle w:val="TableText"/>
              <w:jc w:val="center"/>
              <w:rPr>
                <w:sz w:val="20"/>
              </w:rPr>
            </w:pPr>
            <w:r>
              <w:rPr>
                <w:sz w:val="20"/>
              </w:rPr>
              <w:t>8</w:t>
            </w:r>
            <w:r>
              <w:rPr>
                <w:position w:val="4"/>
                <w:sz w:val="20"/>
              </w:rPr>
              <w:t>1</w:t>
            </w:r>
            <w:r>
              <w:rPr>
                <w:sz w:val="20"/>
              </w:rPr>
              <w:t>/2</w:t>
            </w:r>
          </w:p>
        </w:tc>
        <w:tc>
          <w:tcPr>
            <w:tcW w:w="732" w:type="dxa"/>
            <w:tcBorders>
              <w:left w:val="single" w:sz="6" w:space="0" w:color="auto"/>
            </w:tcBorders>
          </w:tcPr>
          <w:p w:rsidR="00AF2508" w:rsidRDefault="00AF2508">
            <w:pPr>
              <w:pStyle w:val="TableText"/>
              <w:jc w:val="center"/>
              <w:rPr>
                <w:sz w:val="20"/>
              </w:rPr>
            </w:pPr>
            <w:r>
              <w:rPr>
                <w:sz w:val="20"/>
              </w:rPr>
              <w:t>0</w:t>
            </w:r>
          </w:p>
        </w:tc>
        <w:tc>
          <w:tcPr>
            <w:tcW w:w="828" w:type="dxa"/>
            <w:gridSpan w:val="2"/>
          </w:tcPr>
          <w:p w:rsidR="00AF2508" w:rsidRDefault="00AF2508">
            <w:pPr>
              <w:pStyle w:val="TableText"/>
              <w:jc w:val="center"/>
              <w:rPr>
                <w:sz w:val="20"/>
              </w:rPr>
            </w:pPr>
            <w:r>
              <w:rPr>
                <w:sz w:val="20"/>
              </w:rPr>
              <w:t>8</w:t>
            </w:r>
          </w:p>
        </w:tc>
        <w:tc>
          <w:tcPr>
            <w:tcW w:w="785"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6</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4</w:t>
            </w:r>
            <w:r>
              <w:rPr>
                <w:position w:val="4"/>
                <w:sz w:val="20"/>
              </w:rPr>
              <w:t>1</w:t>
            </w:r>
            <w:r>
              <w:rPr>
                <w:sz w:val="20"/>
              </w:rPr>
              <w:t>/2</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2</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936" w:type="dxa"/>
            <w:gridSpan w:val="2"/>
            <w:tcBorders>
              <w:right w:val="single" w:sz="6" w:space="0" w:color="auto"/>
            </w:tcBorders>
          </w:tcPr>
          <w:p w:rsidR="00AF2508" w:rsidRDefault="00AF2508">
            <w:pPr>
              <w:pStyle w:val="TableText"/>
              <w:jc w:val="center"/>
              <w:rPr>
                <w:sz w:val="20"/>
              </w:rPr>
            </w:pPr>
            <w:r>
              <w:rPr>
                <w:position w:val="4"/>
                <w:sz w:val="20"/>
              </w:rPr>
              <w:t>9</w:t>
            </w:r>
            <w:r>
              <w:rPr>
                <w:sz w:val="20"/>
              </w:rPr>
              <w:t xml:space="preserve">/32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6</w:t>
            </w:r>
          </w:p>
        </w:tc>
        <w:tc>
          <w:tcPr>
            <w:tcW w:w="612" w:type="dxa"/>
            <w:gridSpan w:val="2"/>
            <w:tcBorders>
              <w:left w:val="single" w:sz="6" w:space="0" w:color="auto"/>
            </w:tcBorders>
          </w:tcPr>
          <w:p w:rsidR="00AF2508" w:rsidRDefault="00AF2508">
            <w:pPr>
              <w:pStyle w:val="TableText"/>
              <w:jc w:val="center"/>
              <w:rPr>
                <w:sz w:val="20"/>
              </w:rPr>
            </w:pPr>
            <w:r>
              <w:rPr>
                <w:sz w:val="20"/>
              </w:rPr>
              <w:t>0</w:t>
            </w:r>
          </w:p>
        </w:tc>
        <w:tc>
          <w:tcPr>
            <w:tcW w:w="708" w:type="dxa"/>
            <w:gridSpan w:val="2"/>
          </w:tcPr>
          <w:p w:rsidR="00AF2508" w:rsidRDefault="00AF2508">
            <w:pPr>
              <w:pStyle w:val="TableText"/>
              <w:jc w:val="center"/>
              <w:rPr>
                <w:sz w:val="20"/>
              </w:rPr>
            </w:pPr>
            <w:r>
              <w:rPr>
                <w:sz w:val="20"/>
              </w:rPr>
              <w:t>11</w:t>
            </w:r>
            <w:r>
              <w:rPr>
                <w:position w:val="4"/>
                <w:sz w:val="20"/>
              </w:rPr>
              <w:t>1</w:t>
            </w:r>
            <w:r>
              <w:rPr>
                <w:sz w:val="20"/>
              </w:rPr>
              <w:t>/2</w:t>
            </w:r>
          </w:p>
        </w:tc>
        <w:tc>
          <w:tcPr>
            <w:tcW w:w="732" w:type="dxa"/>
            <w:tcBorders>
              <w:left w:val="single" w:sz="6" w:space="0" w:color="auto"/>
            </w:tcBorders>
          </w:tcPr>
          <w:p w:rsidR="00AF2508" w:rsidRDefault="00AF2508">
            <w:pPr>
              <w:pStyle w:val="TableText"/>
              <w:jc w:val="center"/>
              <w:rPr>
                <w:sz w:val="20"/>
              </w:rPr>
            </w:pPr>
            <w:r>
              <w:rPr>
                <w:sz w:val="20"/>
              </w:rPr>
              <w:t>0</w:t>
            </w:r>
          </w:p>
        </w:tc>
        <w:tc>
          <w:tcPr>
            <w:tcW w:w="828" w:type="dxa"/>
            <w:gridSpan w:val="2"/>
          </w:tcPr>
          <w:p w:rsidR="00AF2508" w:rsidRDefault="00AF2508">
            <w:pPr>
              <w:pStyle w:val="TableText"/>
              <w:jc w:val="center"/>
              <w:rPr>
                <w:sz w:val="20"/>
              </w:rPr>
            </w:pPr>
            <w:r>
              <w:rPr>
                <w:sz w:val="20"/>
              </w:rPr>
              <w:t>10</w:t>
            </w:r>
            <w:r>
              <w:rPr>
                <w:position w:val="4"/>
                <w:sz w:val="20"/>
              </w:rPr>
              <w:t>1</w:t>
            </w:r>
            <w:r>
              <w:rPr>
                <w:sz w:val="20"/>
              </w:rPr>
              <w:t>/2</w:t>
            </w:r>
          </w:p>
        </w:tc>
        <w:tc>
          <w:tcPr>
            <w:tcW w:w="785"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8</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6</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3</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p>
        </w:tc>
        <w:tc>
          <w:tcPr>
            <w:tcW w:w="936" w:type="dxa"/>
            <w:gridSpan w:val="2"/>
            <w:tcBorders>
              <w:right w:val="single" w:sz="6" w:space="0" w:color="auto"/>
            </w:tcBorders>
          </w:tcPr>
          <w:p w:rsidR="00AF2508" w:rsidRDefault="00AF2508">
            <w:pPr>
              <w:pStyle w:val="TableText"/>
              <w:jc w:val="center"/>
              <w:rPr>
                <w:sz w:val="20"/>
              </w:rPr>
            </w:pPr>
            <w:r>
              <w:rPr>
                <w:position w:val="4"/>
                <w:sz w:val="20"/>
              </w:rPr>
              <w:t>5</w:t>
            </w:r>
            <w:r>
              <w:rPr>
                <w:sz w:val="20"/>
              </w:rPr>
              <w:t xml:space="preserve">/16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8</w:t>
            </w:r>
          </w:p>
        </w:tc>
        <w:tc>
          <w:tcPr>
            <w:tcW w:w="612" w:type="dxa"/>
            <w:gridSpan w:val="2"/>
            <w:tcBorders>
              <w:left w:val="single" w:sz="6" w:space="0" w:color="auto"/>
            </w:tcBorders>
          </w:tcPr>
          <w:p w:rsidR="00AF2508" w:rsidRDefault="00AF2508">
            <w:pPr>
              <w:pStyle w:val="TableText"/>
              <w:jc w:val="center"/>
              <w:rPr>
                <w:sz w:val="20"/>
              </w:rPr>
            </w:pPr>
            <w:r>
              <w:rPr>
                <w:sz w:val="20"/>
              </w:rPr>
              <w:t>0</w:t>
            </w:r>
          </w:p>
        </w:tc>
        <w:tc>
          <w:tcPr>
            <w:tcW w:w="708" w:type="dxa"/>
            <w:gridSpan w:val="2"/>
          </w:tcPr>
          <w:p w:rsidR="00AF2508" w:rsidRDefault="00AF2508">
            <w:pPr>
              <w:pStyle w:val="TableText"/>
              <w:jc w:val="center"/>
              <w:rPr>
                <w:sz w:val="20"/>
              </w:rPr>
            </w:pPr>
            <w:r>
              <w:rPr>
                <w:sz w:val="20"/>
              </w:rPr>
              <w:t>15</w:t>
            </w:r>
          </w:p>
        </w:tc>
        <w:tc>
          <w:tcPr>
            <w:tcW w:w="732" w:type="dxa"/>
            <w:tcBorders>
              <w:left w:val="single" w:sz="6" w:space="0" w:color="auto"/>
            </w:tcBorders>
          </w:tcPr>
          <w:p w:rsidR="00AF2508" w:rsidRDefault="00AF2508">
            <w:pPr>
              <w:pStyle w:val="TableText"/>
              <w:jc w:val="center"/>
              <w:rPr>
                <w:sz w:val="20"/>
              </w:rPr>
            </w:pPr>
            <w:r>
              <w:rPr>
                <w:sz w:val="20"/>
              </w:rPr>
              <w:t>0</w:t>
            </w:r>
          </w:p>
        </w:tc>
        <w:tc>
          <w:tcPr>
            <w:tcW w:w="828" w:type="dxa"/>
            <w:gridSpan w:val="2"/>
          </w:tcPr>
          <w:p w:rsidR="00AF2508" w:rsidRDefault="00AF2508">
            <w:pPr>
              <w:pStyle w:val="TableText"/>
              <w:jc w:val="center"/>
              <w:rPr>
                <w:sz w:val="20"/>
              </w:rPr>
            </w:pPr>
            <w:r>
              <w:rPr>
                <w:sz w:val="20"/>
              </w:rPr>
              <w:t>14</w:t>
            </w:r>
          </w:p>
        </w:tc>
        <w:tc>
          <w:tcPr>
            <w:tcW w:w="785"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11</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8</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4</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1</w:t>
            </w:r>
            <w:r>
              <w:rPr>
                <w:sz w:val="20"/>
              </w:rPr>
              <w:t>/8 1</w:t>
            </w:r>
          </w:p>
        </w:tc>
        <w:tc>
          <w:tcPr>
            <w:tcW w:w="936" w:type="dxa"/>
            <w:gridSpan w:val="2"/>
            <w:tcBorders>
              <w:right w:val="single" w:sz="6" w:space="0" w:color="auto"/>
            </w:tcBorders>
          </w:tcPr>
          <w:p w:rsidR="00AF2508" w:rsidRDefault="00AF2508">
            <w:pPr>
              <w:pStyle w:val="TableText"/>
              <w:jc w:val="center"/>
              <w:rPr>
                <w:sz w:val="20"/>
              </w:rPr>
            </w:pPr>
            <w:r>
              <w:rPr>
                <w:position w:val="4"/>
                <w:sz w:val="20"/>
              </w:rPr>
              <w:t>3</w:t>
            </w:r>
            <w:r>
              <w:rPr>
                <w:sz w:val="20"/>
              </w:rPr>
              <w:t xml:space="preserve">/8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11</w:t>
            </w:r>
          </w:p>
        </w:tc>
        <w:tc>
          <w:tcPr>
            <w:tcW w:w="612" w:type="dxa"/>
            <w:gridSpan w:val="2"/>
            <w:tcBorders>
              <w:left w:val="single" w:sz="6" w:space="0" w:color="auto"/>
            </w:tcBorders>
          </w:tcPr>
          <w:p w:rsidR="00AF2508" w:rsidRDefault="00AF2508">
            <w:pPr>
              <w:pStyle w:val="TableText"/>
              <w:jc w:val="center"/>
              <w:rPr>
                <w:sz w:val="20"/>
              </w:rPr>
            </w:pPr>
            <w:r>
              <w:rPr>
                <w:sz w:val="20"/>
              </w:rPr>
              <w:t>1</w:t>
            </w:r>
          </w:p>
        </w:tc>
        <w:tc>
          <w:tcPr>
            <w:tcW w:w="708" w:type="dxa"/>
            <w:gridSpan w:val="2"/>
          </w:tcPr>
          <w:p w:rsidR="00AF2508" w:rsidRDefault="00AF2508">
            <w:pPr>
              <w:pStyle w:val="TableText"/>
              <w:jc w:val="center"/>
              <w:rPr>
                <w:sz w:val="20"/>
              </w:rPr>
            </w:pPr>
            <w:r>
              <w:rPr>
                <w:sz w:val="20"/>
              </w:rPr>
              <w:t>1</w:t>
            </w:r>
          </w:p>
        </w:tc>
        <w:tc>
          <w:tcPr>
            <w:tcW w:w="732" w:type="dxa"/>
            <w:tcBorders>
              <w:left w:val="single" w:sz="6" w:space="0" w:color="auto"/>
            </w:tcBorders>
          </w:tcPr>
          <w:p w:rsidR="00AF2508" w:rsidRDefault="00AF2508">
            <w:pPr>
              <w:pStyle w:val="TableText"/>
              <w:jc w:val="center"/>
              <w:rPr>
                <w:sz w:val="20"/>
              </w:rPr>
            </w:pPr>
            <w:r>
              <w:rPr>
                <w:sz w:val="20"/>
              </w:rPr>
              <w:t>0</w:t>
            </w:r>
          </w:p>
        </w:tc>
        <w:tc>
          <w:tcPr>
            <w:tcW w:w="828" w:type="dxa"/>
            <w:gridSpan w:val="2"/>
          </w:tcPr>
          <w:p w:rsidR="00AF2508" w:rsidRDefault="00AF2508">
            <w:pPr>
              <w:pStyle w:val="TableText"/>
              <w:jc w:val="center"/>
              <w:rPr>
                <w:sz w:val="20"/>
              </w:rPr>
            </w:pPr>
            <w:r>
              <w:rPr>
                <w:sz w:val="20"/>
              </w:rPr>
              <w:t>19</w:t>
            </w:r>
          </w:p>
        </w:tc>
        <w:tc>
          <w:tcPr>
            <w:tcW w:w="785"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11</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5</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936" w:type="dxa"/>
            <w:gridSpan w:val="2"/>
            <w:tcBorders>
              <w:right w:val="single" w:sz="6" w:space="0" w:color="auto"/>
            </w:tcBorders>
          </w:tcPr>
          <w:p w:rsidR="00AF2508" w:rsidRDefault="00AF2508">
            <w:pPr>
              <w:pStyle w:val="TableText"/>
              <w:jc w:val="center"/>
              <w:rPr>
                <w:sz w:val="20"/>
              </w:rPr>
            </w:pPr>
            <w:r>
              <w:rPr>
                <w:position w:val="4"/>
                <w:sz w:val="20"/>
              </w:rPr>
              <w:t>13</w:t>
            </w:r>
            <w:r>
              <w:rPr>
                <w:sz w:val="20"/>
              </w:rPr>
              <w:t xml:space="preserve">/32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13</w:t>
            </w:r>
          </w:p>
        </w:tc>
        <w:tc>
          <w:tcPr>
            <w:tcW w:w="612" w:type="dxa"/>
            <w:gridSpan w:val="2"/>
            <w:tcBorders>
              <w:left w:val="single" w:sz="6" w:space="0" w:color="auto"/>
            </w:tcBorders>
          </w:tcPr>
          <w:p w:rsidR="00AF2508" w:rsidRDefault="00AF2508">
            <w:pPr>
              <w:pStyle w:val="TableText"/>
              <w:jc w:val="center"/>
              <w:rPr>
                <w:sz w:val="20"/>
              </w:rPr>
            </w:pPr>
            <w:r>
              <w:rPr>
                <w:sz w:val="20"/>
              </w:rPr>
              <w:t>1</w:t>
            </w:r>
          </w:p>
        </w:tc>
        <w:tc>
          <w:tcPr>
            <w:tcW w:w="708" w:type="dxa"/>
            <w:gridSpan w:val="2"/>
          </w:tcPr>
          <w:p w:rsidR="00AF2508" w:rsidRDefault="00AF2508">
            <w:pPr>
              <w:pStyle w:val="TableText"/>
              <w:jc w:val="center"/>
              <w:rPr>
                <w:sz w:val="20"/>
              </w:rPr>
            </w:pPr>
            <w:r>
              <w:rPr>
                <w:sz w:val="20"/>
              </w:rPr>
              <w:t>5</w:t>
            </w:r>
          </w:p>
        </w:tc>
        <w:tc>
          <w:tcPr>
            <w:tcW w:w="732" w:type="dxa"/>
            <w:tcBorders>
              <w:left w:val="single" w:sz="6" w:space="0" w:color="auto"/>
            </w:tcBorders>
          </w:tcPr>
          <w:p w:rsidR="00AF2508" w:rsidRDefault="00AF2508">
            <w:pPr>
              <w:pStyle w:val="TableText"/>
              <w:jc w:val="center"/>
              <w:rPr>
                <w:sz w:val="20"/>
              </w:rPr>
            </w:pPr>
            <w:r>
              <w:rPr>
                <w:sz w:val="20"/>
              </w:rPr>
              <w:t>1</w:t>
            </w:r>
          </w:p>
        </w:tc>
        <w:tc>
          <w:tcPr>
            <w:tcW w:w="828" w:type="dxa"/>
            <w:gridSpan w:val="2"/>
          </w:tcPr>
          <w:p w:rsidR="00AF2508" w:rsidRDefault="00AF2508">
            <w:pPr>
              <w:pStyle w:val="TableText"/>
              <w:jc w:val="center"/>
              <w:rPr>
                <w:sz w:val="20"/>
              </w:rPr>
            </w:pPr>
            <w:r>
              <w:rPr>
                <w:sz w:val="20"/>
              </w:rPr>
              <w:t>3</w:t>
            </w:r>
          </w:p>
        </w:tc>
        <w:tc>
          <w:tcPr>
            <w:tcW w:w="785"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13</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7</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3</w:t>
            </w:r>
            <w:r>
              <w:rPr>
                <w:sz w:val="20"/>
              </w:rPr>
              <w:t>/8 1</w:t>
            </w:r>
          </w:p>
        </w:tc>
        <w:tc>
          <w:tcPr>
            <w:tcW w:w="936" w:type="dxa"/>
            <w:gridSpan w:val="2"/>
            <w:tcBorders>
              <w:right w:val="single" w:sz="6" w:space="0" w:color="auto"/>
            </w:tcBorders>
          </w:tcPr>
          <w:p w:rsidR="00AF2508" w:rsidRDefault="00AF2508">
            <w:pPr>
              <w:pStyle w:val="TableText"/>
              <w:jc w:val="center"/>
              <w:rPr>
                <w:sz w:val="20"/>
              </w:rPr>
            </w:pPr>
            <w:r>
              <w:rPr>
                <w:position w:val="4"/>
                <w:sz w:val="20"/>
              </w:rPr>
              <w:t>7</w:t>
            </w:r>
            <w:r>
              <w:rPr>
                <w:sz w:val="20"/>
              </w:rPr>
              <w:t xml:space="preserve">/16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16</w:t>
            </w:r>
          </w:p>
        </w:tc>
        <w:tc>
          <w:tcPr>
            <w:tcW w:w="612" w:type="dxa"/>
            <w:gridSpan w:val="2"/>
            <w:tcBorders>
              <w:left w:val="single" w:sz="6" w:space="0" w:color="auto"/>
            </w:tcBorders>
          </w:tcPr>
          <w:p w:rsidR="00AF2508" w:rsidRDefault="00AF2508">
            <w:pPr>
              <w:pStyle w:val="TableText"/>
              <w:jc w:val="center"/>
              <w:rPr>
                <w:sz w:val="20"/>
              </w:rPr>
            </w:pPr>
            <w:r>
              <w:rPr>
                <w:sz w:val="20"/>
              </w:rPr>
              <w:t>1</w:t>
            </w:r>
          </w:p>
        </w:tc>
        <w:tc>
          <w:tcPr>
            <w:tcW w:w="708" w:type="dxa"/>
            <w:gridSpan w:val="2"/>
          </w:tcPr>
          <w:p w:rsidR="00AF2508" w:rsidRDefault="00AF2508">
            <w:pPr>
              <w:pStyle w:val="TableText"/>
              <w:jc w:val="center"/>
              <w:rPr>
                <w:sz w:val="20"/>
              </w:rPr>
            </w:pPr>
            <w:r>
              <w:rPr>
                <w:sz w:val="20"/>
              </w:rPr>
              <w:t>11</w:t>
            </w:r>
          </w:p>
        </w:tc>
        <w:tc>
          <w:tcPr>
            <w:tcW w:w="732" w:type="dxa"/>
            <w:tcBorders>
              <w:left w:val="single" w:sz="6" w:space="0" w:color="auto"/>
            </w:tcBorders>
          </w:tcPr>
          <w:p w:rsidR="00AF2508" w:rsidRDefault="00AF2508">
            <w:pPr>
              <w:pStyle w:val="TableText"/>
              <w:jc w:val="center"/>
              <w:rPr>
                <w:sz w:val="20"/>
              </w:rPr>
            </w:pPr>
            <w:r>
              <w:rPr>
                <w:sz w:val="20"/>
              </w:rPr>
              <w:t>1</w:t>
            </w:r>
          </w:p>
        </w:tc>
        <w:tc>
          <w:tcPr>
            <w:tcW w:w="828" w:type="dxa"/>
            <w:gridSpan w:val="2"/>
          </w:tcPr>
          <w:p w:rsidR="00AF2508" w:rsidRDefault="00AF2508">
            <w:pPr>
              <w:pStyle w:val="TableText"/>
              <w:jc w:val="center"/>
              <w:rPr>
                <w:sz w:val="20"/>
              </w:rPr>
            </w:pPr>
            <w:r>
              <w:rPr>
                <w:sz w:val="20"/>
              </w:rPr>
              <w:t>8</w:t>
            </w:r>
          </w:p>
        </w:tc>
        <w:tc>
          <w:tcPr>
            <w:tcW w:w="785"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3</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16</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8</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936" w:type="dxa"/>
            <w:gridSpan w:val="2"/>
            <w:tcBorders>
              <w:right w:val="single" w:sz="6" w:space="0" w:color="auto"/>
            </w:tcBorders>
          </w:tcPr>
          <w:p w:rsidR="00AF2508" w:rsidRDefault="00AF2508">
            <w:pPr>
              <w:pStyle w:val="TableText"/>
              <w:jc w:val="center"/>
              <w:rPr>
                <w:sz w:val="20"/>
              </w:rPr>
            </w:pPr>
            <w:r>
              <w:rPr>
                <w:position w:val="4"/>
                <w:sz w:val="20"/>
              </w:rPr>
              <w:t>15</w:t>
            </w:r>
            <w:r>
              <w:rPr>
                <w:sz w:val="20"/>
              </w:rPr>
              <w:t xml:space="preserve">/32 </w:t>
            </w:r>
          </w:p>
        </w:tc>
        <w:tc>
          <w:tcPr>
            <w:tcW w:w="672" w:type="dxa"/>
            <w:gridSpan w:val="3"/>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19</w:t>
            </w:r>
          </w:p>
        </w:tc>
        <w:tc>
          <w:tcPr>
            <w:tcW w:w="612" w:type="dxa"/>
            <w:gridSpan w:val="2"/>
            <w:tcBorders>
              <w:left w:val="single" w:sz="6" w:space="0" w:color="auto"/>
            </w:tcBorders>
          </w:tcPr>
          <w:p w:rsidR="00AF2508" w:rsidRDefault="00AF2508">
            <w:pPr>
              <w:pStyle w:val="TableText"/>
              <w:jc w:val="center"/>
              <w:rPr>
                <w:sz w:val="20"/>
              </w:rPr>
            </w:pPr>
            <w:r>
              <w:rPr>
                <w:sz w:val="20"/>
              </w:rPr>
              <w:t>1</w:t>
            </w:r>
          </w:p>
        </w:tc>
        <w:tc>
          <w:tcPr>
            <w:tcW w:w="708" w:type="dxa"/>
            <w:gridSpan w:val="2"/>
          </w:tcPr>
          <w:p w:rsidR="00AF2508" w:rsidRDefault="00AF2508">
            <w:pPr>
              <w:pStyle w:val="TableText"/>
              <w:jc w:val="center"/>
              <w:rPr>
                <w:sz w:val="20"/>
              </w:rPr>
            </w:pPr>
            <w:r>
              <w:rPr>
                <w:sz w:val="20"/>
              </w:rPr>
              <w:t>17</w:t>
            </w:r>
          </w:p>
        </w:tc>
        <w:tc>
          <w:tcPr>
            <w:tcW w:w="732" w:type="dxa"/>
            <w:tcBorders>
              <w:left w:val="single" w:sz="6" w:space="0" w:color="auto"/>
            </w:tcBorders>
          </w:tcPr>
          <w:p w:rsidR="00AF2508" w:rsidRDefault="00AF2508">
            <w:pPr>
              <w:pStyle w:val="TableText"/>
              <w:jc w:val="center"/>
              <w:rPr>
                <w:sz w:val="20"/>
              </w:rPr>
            </w:pPr>
            <w:r>
              <w:rPr>
                <w:sz w:val="20"/>
              </w:rPr>
              <w:t>1</w:t>
            </w:r>
          </w:p>
        </w:tc>
        <w:tc>
          <w:tcPr>
            <w:tcW w:w="828" w:type="dxa"/>
            <w:gridSpan w:val="2"/>
          </w:tcPr>
          <w:p w:rsidR="00AF2508" w:rsidRDefault="00AF2508">
            <w:pPr>
              <w:pStyle w:val="TableText"/>
              <w:jc w:val="center"/>
              <w:rPr>
                <w:sz w:val="20"/>
              </w:rPr>
            </w:pPr>
            <w:r>
              <w:rPr>
                <w:sz w:val="20"/>
              </w:rPr>
              <w:t>13</w:t>
            </w:r>
          </w:p>
        </w:tc>
        <w:tc>
          <w:tcPr>
            <w:tcW w:w="785"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0</w:t>
            </w:r>
          </w:p>
        </w:tc>
        <w:tc>
          <w:tcPr>
            <w:tcW w:w="729" w:type="dxa"/>
            <w:gridSpan w:val="2"/>
            <w:tcBorders>
              <w:right w:val="single" w:sz="6" w:space="0" w:color="auto"/>
            </w:tcBorders>
          </w:tcPr>
          <w:p w:rsidR="00AF2508" w:rsidRDefault="00AF2508">
            <w:pPr>
              <w:pStyle w:val="TableText"/>
              <w:jc w:val="center"/>
              <w:rPr>
                <w:sz w:val="20"/>
              </w:rPr>
            </w:pPr>
            <w:r>
              <w:rPr>
                <w:sz w:val="20"/>
              </w:rPr>
              <w:t>19</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10</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5</w:t>
            </w:r>
            <w:r>
              <w:rPr>
                <w:sz w:val="20"/>
              </w:rPr>
              <w:t>/8 1</w:t>
            </w:r>
          </w:p>
        </w:tc>
        <w:tc>
          <w:tcPr>
            <w:tcW w:w="936" w:type="dxa"/>
            <w:gridSpan w:val="2"/>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2</w:t>
            </w:r>
          </w:p>
        </w:tc>
        <w:tc>
          <w:tcPr>
            <w:tcW w:w="612" w:type="dxa"/>
            <w:gridSpan w:val="2"/>
            <w:tcBorders>
              <w:left w:val="single" w:sz="6" w:space="0" w:color="auto"/>
            </w:tcBorders>
          </w:tcPr>
          <w:p w:rsidR="00AF2508" w:rsidRDefault="00AF2508">
            <w:pPr>
              <w:pStyle w:val="TableText"/>
              <w:jc w:val="center"/>
              <w:rPr>
                <w:sz w:val="20"/>
              </w:rPr>
            </w:pPr>
            <w:r>
              <w:rPr>
                <w:sz w:val="20"/>
              </w:rPr>
              <w:t>2</w:t>
            </w:r>
          </w:p>
        </w:tc>
        <w:tc>
          <w:tcPr>
            <w:tcW w:w="708" w:type="dxa"/>
            <w:gridSpan w:val="2"/>
          </w:tcPr>
          <w:p w:rsidR="00AF2508" w:rsidRDefault="00AF2508">
            <w:pPr>
              <w:pStyle w:val="TableText"/>
              <w:jc w:val="center"/>
              <w:rPr>
                <w:sz w:val="20"/>
              </w:rPr>
            </w:pPr>
            <w:r>
              <w:rPr>
                <w:sz w:val="20"/>
              </w:rPr>
              <w:t>3</w:t>
            </w:r>
          </w:p>
        </w:tc>
        <w:tc>
          <w:tcPr>
            <w:tcW w:w="732" w:type="dxa"/>
            <w:tcBorders>
              <w:left w:val="single" w:sz="6" w:space="0" w:color="auto"/>
            </w:tcBorders>
          </w:tcPr>
          <w:p w:rsidR="00AF2508" w:rsidRDefault="00AF2508">
            <w:pPr>
              <w:pStyle w:val="TableText"/>
              <w:jc w:val="center"/>
              <w:rPr>
                <w:sz w:val="20"/>
              </w:rPr>
            </w:pPr>
            <w:r>
              <w:rPr>
                <w:sz w:val="20"/>
              </w:rPr>
              <w:t>1</w:t>
            </w:r>
          </w:p>
        </w:tc>
        <w:tc>
          <w:tcPr>
            <w:tcW w:w="828" w:type="dxa"/>
            <w:gridSpan w:val="2"/>
          </w:tcPr>
          <w:p w:rsidR="00AF2508" w:rsidRDefault="00AF2508">
            <w:pPr>
              <w:pStyle w:val="TableText"/>
              <w:jc w:val="center"/>
              <w:rPr>
                <w:sz w:val="20"/>
              </w:rPr>
            </w:pPr>
            <w:r>
              <w:rPr>
                <w:sz w:val="20"/>
              </w:rPr>
              <w:t>18</w:t>
            </w:r>
          </w:p>
        </w:tc>
        <w:tc>
          <w:tcPr>
            <w:tcW w:w="785"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11</w:t>
            </w:r>
          </w:p>
        </w:tc>
        <w:tc>
          <w:tcPr>
            <w:tcW w:w="760" w:type="dxa"/>
            <w:tcBorders>
              <w:left w:val="single" w:sz="6" w:space="0" w:color="auto"/>
            </w:tcBorders>
          </w:tcPr>
          <w:p w:rsidR="00AF2508" w:rsidRDefault="00AF2508">
            <w:pPr>
              <w:pStyle w:val="TableText"/>
              <w:jc w:val="center"/>
              <w:rPr>
                <w:sz w:val="20"/>
              </w:rPr>
            </w:pPr>
            <w:r>
              <w:rPr>
                <w:sz w:val="20"/>
              </w:rPr>
              <w:t>1</w:t>
            </w:r>
          </w:p>
        </w:tc>
        <w:tc>
          <w:tcPr>
            <w:tcW w:w="729" w:type="dxa"/>
            <w:gridSpan w:val="2"/>
            <w:tcBorders>
              <w:right w:val="single" w:sz="6" w:space="0" w:color="auto"/>
            </w:tcBorders>
          </w:tcPr>
          <w:p w:rsidR="00AF2508" w:rsidRDefault="00AF2508">
            <w:pPr>
              <w:pStyle w:val="TableText"/>
              <w:jc w:val="center"/>
              <w:rPr>
                <w:sz w:val="20"/>
              </w:rPr>
            </w:pPr>
            <w:r>
              <w:rPr>
                <w:sz w:val="20"/>
              </w:rPr>
              <w:t>2</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11</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/4</w:t>
            </w:r>
          </w:p>
        </w:tc>
        <w:tc>
          <w:tcPr>
            <w:tcW w:w="936" w:type="dxa"/>
            <w:gridSpan w:val="2"/>
            <w:tcBorders>
              <w:right w:val="single" w:sz="6" w:space="0" w:color="auto"/>
            </w:tcBorders>
          </w:tcPr>
          <w:p w:rsidR="00AF2508" w:rsidRDefault="00AF2508">
            <w:pPr>
              <w:pStyle w:val="TableText"/>
              <w:jc w:val="center"/>
              <w:rPr>
                <w:sz w:val="20"/>
              </w:rPr>
            </w:pPr>
            <w:r>
              <w:rPr>
                <w:position w:val="4"/>
                <w:sz w:val="20"/>
              </w:rPr>
              <w:t>9</w:t>
            </w:r>
            <w:r>
              <w:rPr>
                <w:sz w:val="20"/>
              </w:rPr>
              <w:t xml:space="preserve">/16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5</w:t>
            </w:r>
          </w:p>
        </w:tc>
        <w:tc>
          <w:tcPr>
            <w:tcW w:w="612" w:type="dxa"/>
            <w:gridSpan w:val="2"/>
            <w:tcBorders>
              <w:left w:val="single" w:sz="6" w:space="0" w:color="auto"/>
            </w:tcBorders>
          </w:tcPr>
          <w:p w:rsidR="00AF2508" w:rsidRDefault="00AF2508">
            <w:pPr>
              <w:pStyle w:val="TableText"/>
              <w:jc w:val="center"/>
              <w:rPr>
                <w:sz w:val="20"/>
              </w:rPr>
            </w:pPr>
            <w:r>
              <w:rPr>
                <w:sz w:val="20"/>
              </w:rPr>
              <w:t>2</w:t>
            </w:r>
          </w:p>
        </w:tc>
        <w:tc>
          <w:tcPr>
            <w:tcW w:w="708" w:type="dxa"/>
            <w:gridSpan w:val="2"/>
          </w:tcPr>
          <w:p w:rsidR="00AF2508" w:rsidRDefault="00AF2508">
            <w:pPr>
              <w:pStyle w:val="TableText"/>
              <w:jc w:val="center"/>
              <w:rPr>
                <w:sz w:val="20"/>
              </w:rPr>
            </w:pPr>
            <w:r>
              <w:rPr>
                <w:sz w:val="20"/>
              </w:rPr>
              <w:t>8</w:t>
            </w:r>
          </w:p>
        </w:tc>
        <w:tc>
          <w:tcPr>
            <w:tcW w:w="732" w:type="dxa"/>
            <w:tcBorders>
              <w:left w:val="single" w:sz="6" w:space="0" w:color="auto"/>
            </w:tcBorders>
          </w:tcPr>
          <w:p w:rsidR="00AF2508" w:rsidRDefault="00AF2508">
            <w:pPr>
              <w:pStyle w:val="TableText"/>
              <w:jc w:val="center"/>
              <w:rPr>
                <w:sz w:val="20"/>
              </w:rPr>
            </w:pPr>
            <w:r>
              <w:rPr>
                <w:sz w:val="20"/>
              </w:rPr>
              <w:t>2</w:t>
            </w:r>
          </w:p>
        </w:tc>
        <w:tc>
          <w:tcPr>
            <w:tcW w:w="828" w:type="dxa"/>
            <w:gridSpan w:val="2"/>
          </w:tcPr>
          <w:p w:rsidR="00AF2508" w:rsidRDefault="00AF2508">
            <w:pPr>
              <w:pStyle w:val="TableText"/>
              <w:jc w:val="center"/>
              <w:rPr>
                <w:sz w:val="20"/>
              </w:rPr>
            </w:pPr>
            <w:r>
              <w:rPr>
                <w:sz w:val="20"/>
              </w:rPr>
              <w:t>3</w:t>
            </w:r>
          </w:p>
        </w:tc>
        <w:tc>
          <w:tcPr>
            <w:tcW w:w="785"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15</w:t>
            </w:r>
          </w:p>
        </w:tc>
        <w:tc>
          <w:tcPr>
            <w:tcW w:w="760" w:type="dxa"/>
            <w:tcBorders>
              <w:left w:val="single" w:sz="6" w:space="0" w:color="auto"/>
            </w:tcBorders>
          </w:tcPr>
          <w:p w:rsidR="00AF2508" w:rsidRDefault="00AF2508">
            <w:pPr>
              <w:pStyle w:val="TableText"/>
              <w:jc w:val="center"/>
              <w:rPr>
                <w:sz w:val="20"/>
              </w:rPr>
            </w:pPr>
            <w:r>
              <w:rPr>
                <w:sz w:val="20"/>
              </w:rPr>
              <w:t>1</w:t>
            </w:r>
          </w:p>
        </w:tc>
        <w:tc>
          <w:tcPr>
            <w:tcW w:w="729" w:type="dxa"/>
            <w:gridSpan w:val="2"/>
            <w:tcBorders>
              <w:right w:val="single" w:sz="6" w:space="0" w:color="auto"/>
            </w:tcBorders>
          </w:tcPr>
          <w:p w:rsidR="00AF2508" w:rsidRDefault="00AF2508">
            <w:pPr>
              <w:pStyle w:val="TableText"/>
              <w:jc w:val="center"/>
              <w:rPr>
                <w:sz w:val="20"/>
              </w:rPr>
            </w:pPr>
            <w:r>
              <w:rPr>
                <w:sz w:val="20"/>
              </w:rPr>
              <w:t>5</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13</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7</w:t>
            </w:r>
            <w:r>
              <w:rPr>
                <w:sz w:val="20"/>
              </w:rPr>
              <w:t>/8 1</w:t>
            </w:r>
          </w:p>
        </w:tc>
        <w:tc>
          <w:tcPr>
            <w:tcW w:w="936" w:type="dxa"/>
            <w:gridSpan w:val="2"/>
            <w:tcBorders>
              <w:right w:val="single" w:sz="6" w:space="0" w:color="auto"/>
            </w:tcBorders>
          </w:tcPr>
          <w:p w:rsidR="00AF2508" w:rsidRDefault="00AF2508">
            <w:pPr>
              <w:pStyle w:val="TableText"/>
              <w:jc w:val="center"/>
              <w:rPr>
                <w:sz w:val="20"/>
              </w:rPr>
            </w:pPr>
            <w:r>
              <w:rPr>
                <w:position w:val="4"/>
                <w:sz w:val="20"/>
              </w:rPr>
              <w:t>19</w:t>
            </w:r>
            <w:r>
              <w:rPr>
                <w:sz w:val="20"/>
              </w:rPr>
              <w:t xml:space="preserve">/32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9</w:t>
            </w:r>
          </w:p>
        </w:tc>
        <w:tc>
          <w:tcPr>
            <w:tcW w:w="612" w:type="dxa"/>
            <w:gridSpan w:val="2"/>
            <w:tcBorders>
              <w:left w:val="single" w:sz="6" w:space="0" w:color="auto"/>
            </w:tcBorders>
          </w:tcPr>
          <w:p w:rsidR="00AF2508" w:rsidRDefault="00AF2508">
            <w:pPr>
              <w:pStyle w:val="TableText"/>
              <w:jc w:val="center"/>
              <w:rPr>
                <w:sz w:val="20"/>
              </w:rPr>
            </w:pPr>
            <w:r>
              <w:rPr>
                <w:sz w:val="20"/>
              </w:rPr>
              <w:t>2</w:t>
            </w:r>
          </w:p>
        </w:tc>
        <w:tc>
          <w:tcPr>
            <w:tcW w:w="708" w:type="dxa"/>
            <w:gridSpan w:val="2"/>
          </w:tcPr>
          <w:p w:rsidR="00AF2508" w:rsidRDefault="00AF2508">
            <w:pPr>
              <w:pStyle w:val="TableText"/>
              <w:jc w:val="center"/>
              <w:rPr>
                <w:sz w:val="20"/>
              </w:rPr>
            </w:pPr>
            <w:r>
              <w:rPr>
                <w:sz w:val="20"/>
              </w:rPr>
              <w:t>16</w:t>
            </w:r>
          </w:p>
        </w:tc>
        <w:tc>
          <w:tcPr>
            <w:tcW w:w="732" w:type="dxa"/>
            <w:tcBorders>
              <w:left w:val="single" w:sz="6" w:space="0" w:color="auto"/>
            </w:tcBorders>
          </w:tcPr>
          <w:p w:rsidR="00AF2508" w:rsidRDefault="00AF2508">
            <w:pPr>
              <w:pStyle w:val="TableText"/>
              <w:jc w:val="center"/>
              <w:rPr>
                <w:sz w:val="20"/>
              </w:rPr>
            </w:pPr>
            <w:r>
              <w:rPr>
                <w:sz w:val="20"/>
              </w:rPr>
              <w:t>2</w:t>
            </w:r>
          </w:p>
        </w:tc>
        <w:tc>
          <w:tcPr>
            <w:tcW w:w="828" w:type="dxa"/>
            <w:gridSpan w:val="2"/>
          </w:tcPr>
          <w:p w:rsidR="00AF2508" w:rsidRDefault="00AF2508">
            <w:pPr>
              <w:pStyle w:val="TableText"/>
              <w:jc w:val="center"/>
              <w:rPr>
                <w:sz w:val="20"/>
              </w:rPr>
            </w:pPr>
            <w:r>
              <w:rPr>
                <w:sz w:val="20"/>
              </w:rPr>
              <w:t>10</w:t>
            </w:r>
          </w:p>
        </w:tc>
        <w:tc>
          <w:tcPr>
            <w:tcW w:w="785" w:type="dxa"/>
            <w:gridSpan w:val="2"/>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w:t>
            </w:r>
          </w:p>
        </w:tc>
        <w:tc>
          <w:tcPr>
            <w:tcW w:w="760" w:type="dxa"/>
            <w:tcBorders>
              <w:left w:val="single" w:sz="6" w:space="0" w:color="auto"/>
            </w:tcBorders>
          </w:tcPr>
          <w:p w:rsidR="00AF2508" w:rsidRDefault="00AF2508">
            <w:pPr>
              <w:pStyle w:val="TableText"/>
              <w:jc w:val="center"/>
              <w:rPr>
                <w:sz w:val="20"/>
              </w:rPr>
            </w:pPr>
            <w:r>
              <w:rPr>
                <w:sz w:val="20"/>
              </w:rPr>
              <w:t>1</w:t>
            </w:r>
          </w:p>
        </w:tc>
        <w:tc>
          <w:tcPr>
            <w:tcW w:w="729" w:type="dxa"/>
            <w:gridSpan w:val="2"/>
            <w:tcBorders>
              <w:right w:val="single" w:sz="6" w:space="0" w:color="auto"/>
            </w:tcBorders>
          </w:tcPr>
          <w:p w:rsidR="00AF2508" w:rsidRDefault="00AF2508">
            <w:pPr>
              <w:pStyle w:val="TableText"/>
              <w:jc w:val="center"/>
              <w:rPr>
                <w:sz w:val="20"/>
              </w:rPr>
            </w:pPr>
            <w:r>
              <w:rPr>
                <w:sz w:val="20"/>
              </w:rPr>
              <w:t>9</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15</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p>
        </w:tc>
        <w:tc>
          <w:tcPr>
            <w:tcW w:w="936" w:type="dxa"/>
            <w:gridSpan w:val="2"/>
            <w:tcBorders>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14</w:t>
            </w:r>
          </w:p>
        </w:tc>
        <w:tc>
          <w:tcPr>
            <w:tcW w:w="612" w:type="dxa"/>
            <w:gridSpan w:val="2"/>
            <w:tcBorders>
              <w:left w:val="single" w:sz="6" w:space="0" w:color="auto"/>
            </w:tcBorders>
          </w:tcPr>
          <w:p w:rsidR="00AF2508" w:rsidRDefault="00AF2508">
            <w:pPr>
              <w:pStyle w:val="TableText"/>
              <w:jc w:val="center"/>
              <w:rPr>
                <w:sz w:val="20"/>
              </w:rPr>
            </w:pPr>
            <w:r>
              <w:rPr>
                <w:sz w:val="20"/>
              </w:rPr>
              <w:t>3</w:t>
            </w:r>
          </w:p>
        </w:tc>
        <w:tc>
          <w:tcPr>
            <w:tcW w:w="708" w:type="dxa"/>
            <w:gridSpan w:val="2"/>
          </w:tcPr>
          <w:p w:rsidR="00AF2508" w:rsidRDefault="00AF2508">
            <w:pPr>
              <w:pStyle w:val="TableText"/>
              <w:jc w:val="center"/>
              <w:rPr>
                <w:sz w:val="20"/>
              </w:rPr>
            </w:pPr>
            <w:r>
              <w:rPr>
                <w:sz w:val="20"/>
              </w:rPr>
              <w:t>6</w:t>
            </w:r>
          </w:p>
        </w:tc>
        <w:tc>
          <w:tcPr>
            <w:tcW w:w="732" w:type="dxa"/>
            <w:tcBorders>
              <w:left w:val="single" w:sz="6" w:space="0" w:color="auto"/>
            </w:tcBorders>
          </w:tcPr>
          <w:p w:rsidR="00AF2508" w:rsidRDefault="00AF2508">
            <w:pPr>
              <w:pStyle w:val="TableText"/>
              <w:jc w:val="center"/>
              <w:rPr>
                <w:sz w:val="20"/>
              </w:rPr>
            </w:pPr>
            <w:r>
              <w:rPr>
                <w:sz w:val="20"/>
              </w:rPr>
              <w:t>2</w:t>
            </w:r>
          </w:p>
        </w:tc>
        <w:tc>
          <w:tcPr>
            <w:tcW w:w="828" w:type="dxa"/>
            <w:gridSpan w:val="2"/>
          </w:tcPr>
          <w:p w:rsidR="00AF2508" w:rsidRDefault="00AF2508">
            <w:pPr>
              <w:pStyle w:val="TableText"/>
              <w:jc w:val="center"/>
              <w:rPr>
                <w:sz w:val="20"/>
              </w:rPr>
            </w:pPr>
            <w:r>
              <w:rPr>
                <w:sz w:val="20"/>
              </w:rPr>
              <w:t>19</w:t>
            </w:r>
          </w:p>
        </w:tc>
        <w:tc>
          <w:tcPr>
            <w:tcW w:w="785" w:type="dxa"/>
            <w:gridSpan w:val="2"/>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8</w:t>
            </w:r>
          </w:p>
        </w:tc>
        <w:tc>
          <w:tcPr>
            <w:tcW w:w="760" w:type="dxa"/>
            <w:tcBorders>
              <w:left w:val="single" w:sz="6" w:space="0" w:color="auto"/>
            </w:tcBorders>
          </w:tcPr>
          <w:p w:rsidR="00AF2508" w:rsidRDefault="00AF2508">
            <w:pPr>
              <w:pStyle w:val="TableText"/>
              <w:jc w:val="center"/>
              <w:rPr>
                <w:sz w:val="20"/>
              </w:rPr>
            </w:pPr>
            <w:r>
              <w:rPr>
                <w:sz w:val="20"/>
              </w:rPr>
              <w:t>1</w:t>
            </w:r>
          </w:p>
        </w:tc>
        <w:tc>
          <w:tcPr>
            <w:tcW w:w="729" w:type="dxa"/>
            <w:gridSpan w:val="2"/>
            <w:tcBorders>
              <w:right w:val="single" w:sz="6" w:space="0" w:color="auto"/>
            </w:tcBorders>
          </w:tcPr>
          <w:p w:rsidR="00AF2508" w:rsidRDefault="00AF2508">
            <w:pPr>
              <w:pStyle w:val="TableText"/>
              <w:jc w:val="center"/>
              <w:rPr>
                <w:sz w:val="20"/>
              </w:rPr>
            </w:pPr>
            <w:r>
              <w:rPr>
                <w:sz w:val="20"/>
              </w:rPr>
              <w:t>14</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17</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/8</w:t>
            </w:r>
          </w:p>
        </w:tc>
        <w:tc>
          <w:tcPr>
            <w:tcW w:w="936" w:type="dxa"/>
            <w:gridSpan w:val="2"/>
            <w:tcBorders>
              <w:right w:val="single" w:sz="6" w:space="0" w:color="auto"/>
            </w:tcBorders>
          </w:tcPr>
          <w:p w:rsidR="00AF2508" w:rsidRDefault="00AF2508">
            <w:pPr>
              <w:pStyle w:val="TableText"/>
              <w:jc w:val="center"/>
              <w:rPr>
                <w:sz w:val="20"/>
              </w:rPr>
            </w:pPr>
            <w:r>
              <w:rPr>
                <w:position w:val="4"/>
                <w:sz w:val="20"/>
              </w:rPr>
              <w:t>11</w:t>
            </w:r>
            <w:r>
              <w:rPr>
                <w:sz w:val="20"/>
              </w:rPr>
              <w:t xml:space="preserve">/16 </w:t>
            </w:r>
          </w:p>
        </w:tc>
        <w:tc>
          <w:tcPr>
            <w:tcW w:w="672" w:type="dxa"/>
            <w:gridSpan w:val="3"/>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18</w:t>
            </w:r>
          </w:p>
        </w:tc>
        <w:tc>
          <w:tcPr>
            <w:tcW w:w="612" w:type="dxa"/>
            <w:gridSpan w:val="2"/>
            <w:tcBorders>
              <w:left w:val="single" w:sz="6" w:space="0" w:color="auto"/>
            </w:tcBorders>
          </w:tcPr>
          <w:p w:rsidR="00AF2508" w:rsidRDefault="00AF2508">
            <w:pPr>
              <w:pStyle w:val="TableText"/>
              <w:jc w:val="center"/>
              <w:rPr>
                <w:sz w:val="20"/>
              </w:rPr>
            </w:pPr>
            <w:r>
              <w:rPr>
                <w:sz w:val="20"/>
              </w:rPr>
              <w:t>3</w:t>
            </w:r>
          </w:p>
        </w:tc>
        <w:tc>
          <w:tcPr>
            <w:tcW w:w="708" w:type="dxa"/>
            <w:gridSpan w:val="2"/>
          </w:tcPr>
          <w:p w:rsidR="00AF2508" w:rsidRDefault="00AF2508">
            <w:pPr>
              <w:pStyle w:val="TableText"/>
              <w:jc w:val="center"/>
              <w:rPr>
                <w:sz w:val="20"/>
              </w:rPr>
            </w:pPr>
            <w:r>
              <w:rPr>
                <w:sz w:val="20"/>
              </w:rPr>
              <w:t>13</w:t>
            </w:r>
          </w:p>
        </w:tc>
        <w:tc>
          <w:tcPr>
            <w:tcW w:w="732" w:type="dxa"/>
            <w:tcBorders>
              <w:left w:val="single" w:sz="6" w:space="0" w:color="auto"/>
            </w:tcBorders>
          </w:tcPr>
          <w:p w:rsidR="00AF2508" w:rsidRDefault="00AF2508">
            <w:pPr>
              <w:pStyle w:val="TableText"/>
              <w:jc w:val="center"/>
              <w:rPr>
                <w:sz w:val="20"/>
              </w:rPr>
            </w:pPr>
            <w:r>
              <w:rPr>
                <w:sz w:val="20"/>
              </w:rPr>
              <w:t>3</w:t>
            </w:r>
          </w:p>
        </w:tc>
        <w:tc>
          <w:tcPr>
            <w:tcW w:w="828" w:type="dxa"/>
            <w:gridSpan w:val="2"/>
          </w:tcPr>
          <w:p w:rsidR="00AF2508" w:rsidRDefault="00AF2508">
            <w:pPr>
              <w:pStyle w:val="TableText"/>
              <w:jc w:val="center"/>
              <w:rPr>
                <w:sz w:val="20"/>
              </w:rPr>
            </w:pPr>
            <w:r>
              <w:rPr>
                <w:sz w:val="20"/>
              </w:rPr>
              <w:t>6</w:t>
            </w:r>
          </w:p>
        </w:tc>
        <w:tc>
          <w:tcPr>
            <w:tcW w:w="785" w:type="dxa"/>
            <w:gridSpan w:val="2"/>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1</w:t>
            </w:r>
          </w:p>
        </w:tc>
        <w:tc>
          <w:tcPr>
            <w:tcW w:w="729" w:type="dxa"/>
            <w:gridSpan w:val="2"/>
            <w:tcBorders>
              <w:right w:val="single" w:sz="6" w:space="0" w:color="auto"/>
            </w:tcBorders>
          </w:tcPr>
          <w:p w:rsidR="00AF2508" w:rsidRDefault="00AF2508">
            <w:pPr>
              <w:pStyle w:val="TableText"/>
              <w:jc w:val="center"/>
              <w:rPr>
                <w:sz w:val="20"/>
              </w:rPr>
            </w:pPr>
            <w:r>
              <w:rPr>
                <w:sz w:val="20"/>
              </w:rPr>
              <w:t>18</w:t>
            </w:r>
          </w:p>
        </w:tc>
        <w:tc>
          <w:tcPr>
            <w:tcW w:w="872" w:type="dxa"/>
            <w:gridSpan w:val="3"/>
          </w:tcPr>
          <w:p w:rsidR="00AF2508" w:rsidRDefault="00AF2508">
            <w:pPr>
              <w:pStyle w:val="TableText"/>
              <w:jc w:val="center"/>
              <w:rPr>
                <w:sz w:val="20"/>
              </w:rPr>
            </w:pPr>
            <w:r>
              <w:rPr>
                <w:sz w:val="20"/>
              </w:rPr>
              <w:t>0</w:t>
            </w:r>
          </w:p>
        </w:tc>
        <w:tc>
          <w:tcPr>
            <w:tcW w:w="628" w:type="dxa"/>
            <w:gridSpan w:val="2"/>
          </w:tcPr>
          <w:p w:rsidR="00AF2508" w:rsidRDefault="00AF2508">
            <w:pPr>
              <w:pStyle w:val="TableText"/>
              <w:jc w:val="center"/>
              <w:rPr>
                <w:sz w:val="20"/>
              </w:rPr>
            </w:pPr>
            <w:r>
              <w:rPr>
                <w:sz w:val="20"/>
              </w:rPr>
              <w:t>19</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/4</w:t>
            </w:r>
          </w:p>
        </w:tc>
        <w:tc>
          <w:tcPr>
            <w:tcW w:w="936" w:type="dxa"/>
            <w:gridSpan w:val="2"/>
            <w:tcBorders>
              <w:right w:val="single" w:sz="6" w:space="0" w:color="auto"/>
            </w:tcBorders>
          </w:tcPr>
          <w:p w:rsidR="00AF2508" w:rsidRDefault="00AF2508">
            <w:pPr>
              <w:pStyle w:val="TableText"/>
              <w:jc w:val="center"/>
              <w:rPr>
                <w:sz w:val="20"/>
              </w:rPr>
            </w:pPr>
            <w:r>
              <w:rPr>
                <w:position w:val="4"/>
                <w:sz w:val="20"/>
              </w:rPr>
              <w:t>23</w:t>
            </w:r>
            <w:r>
              <w:rPr>
                <w:sz w:val="20"/>
              </w:rPr>
              <w:t xml:space="preserve">/32 </w:t>
            </w:r>
          </w:p>
        </w:tc>
        <w:tc>
          <w:tcPr>
            <w:tcW w:w="672" w:type="dxa"/>
            <w:gridSpan w:val="3"/>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2</w:t>
            </w:r>
          </w:p>
        </w:tc>
        <w:tc>
          <w:tcPr>
            <w:tcW w:w="612" w:type="dxa"/>
            <w:gridSpan w:val="2"/>
            <w:tcBorders>
              <w:left w:val="single" w:sz="6" w:space="0" w:color="auto"/>
            </w:tcBorders>
          </w:tcPr>
          <w:p w:rsidR="00AF2508" w:rsidRDefault="00AF2508">
            <w:pPr>
              <w:pStyle w:val="TableText"/>
              <w:jc w:val="center"/>
              <w:rPr>
                <w:sz w:val="20"/>
              </w:rPr>
            </w:pPr>
            <w:r>
              <w:rPr>
                <w:sz w:val="20"/>
              </w:rPr>
              <w:t>4</w:t>
            </w:r>
          </w:p>
        </w:tc>
        <w:tc>
          <w:tcPr>
            <w:tcW w:w="708" w:type="dxa"/>
            <w:gridSpan w:val="2"/>
          </w:tcPr>
          <w:p w:rsidR="00AF2508" w:rsidRDefault="00AF2508">
            <w:pPr>
              <w:pStyle w:val="TableText"/>
              <w:jc w:val="center"/>
              <w:rPr>
                <w:sz w:val="20"/>
              </w:rPr>
            </w:pPr>
            <w:r>
              <w:rPr>
                <w:sz w:val="20"/>
              </w:rPr>
              <w:t>2</w:t>
            </w:r>
          </w:p>
        </w:tc>
        <w:tc>
          <w:tcPr>
            <w:tcW w:w="732" w:type="dxa"/>
            <w:tcBorders>
              <w:left w:val="single" w:sz="6" w:space="0" w:color="auto"/>
            </w:tcBorders>
          </w:tcPr>
          <w:p w:rsidR="00AF2508" w:rsidRDefault="00AF2508">
            <w:pPr>
              <w:pStyle w:val="TableText"/>
              <w:jc w:val="center"/>
              <w:rPr>
                <w:sz w:val="20"/>
              </w:rPr>
            </w:pPr>
            <w:r>
              <w:rPr>
                <w:sz w:val="20"/>
              </w:rPr>
              <w:t>3</w:t>
            </w:r>
          </w:p>
        </w:tc>
        <w:tc>
          <w:tcPr>
            <w:tcW w:w="828" w:type="dxa"/>
            <w:gridSpan w:val="2"/>
          </w:tcPr>
          <w:p w:rsidR="00AF2508" w:rsidRDefault="00AF2508">
            <w:pPr>
              <w:pStyle w:val="TableText"/>
              <w:jc w:val="center"/>
              <w:rPr>
                <w:sz w:val="20"/>
              </w:rPr>
            </w:pPr>
            <w:r>
              <w:rPr>
                <w:sz w:val="20"/>
              </w:rPr>
              <w:t>14</w:t>
            </w:r>
          </w:p>
        </w:tc>
        <w:tc>
          <w:tcPr>
            <w:tcW w:w="785" w:type="dxa"/>
            <w:gridSpan w:val="2"/>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0</w:t>
            </w:r>
          </w:p>
        </w:tc>
        <w:tc>
          <w:tcPr>
            <w:tcW w:w="760" w:type="dxa"/>
            <w:tcBorders>
              <w:left w:val="single" w:sz="6" w:space="0" w:color="auto"/>
            </w:tcBorders>
          </w:tcPr>
          <w:p w:rsidR="00AF2508" w:rsidRDefault="00AF2508">
            <w:pPr>
              <w:pStyle w:val="TableText"/>
              <w:jc w:val="center"/>
              <w:rPr>
                <w:sz w:val="20"/>
              </w:rPr>
            </w:pPr>
            <w:r>
              <w:rPr>
                <w:sz w:val="20"/>
              </w:rPr>
              <w:t>2</w:t>
            </w:r>
          </w:p>
        </w:tc>
        <w:tc>
          <w:tcPr>
            <w:tcW w:w="729" w:type="dxa"/>
            <w:gridSpan w:val="2"/>
            <w:tcBorders>
              <w:right w:val="single" w:sz="6" w:space="0" w:color="auto"/>
            </w:tcBorders>
          </w:tcPr>
          <w:p w:rsidR="00AF2508" w:rsidRDefault="00AF2508">
            <w:pPr>
              <w:pStyle w:val="TableText"/>
              <w:jc w:val="center"/>
              <w:rPr>
                <w:sz w:val="20"/>
              </w:rPr>
            </w:pPr>
            <w:r>
              <w:rPr>
                <w:sz w:val="20"/>
              </w:rPr>
              <w:t>2</w:t>
            </w:r>
          </w:p>
        </w:tc>
        <w:tc>
          <w:tcPr>
            <w:tcW w:w="872" w:type="dxa"/>
            <w:gridSpan w:val="3"/>
          </w:tcPr>
          <w:p w:rsidR="00AF2508" w:rsidRDefault="00AF2508">
            <w:pPr>
              <w:pStyle w:val="TableText"/>
              <w:jc w:val="center"/>
              <w:rPr>
                <w:sz w:val="20"/>
              </w:rPr>
            </w:pPr>
            <w:r>
              <w:rPr>
                <w:sz w:val="20"/>
              </w:rPr>
              <w:t>1</w:t>
            </w:r>
          </w:p>
        </w:tc>
        <w:tc>
          <w:tcPr>
            <w:tcW w:w="628" w:type="dxa"/>
            <w:gridSpan w:val="2"/>
          </w:tcPr>
          <w:p w:rsidR="00AF2508" w:rsidRDefault="00AF2508">
            <w:pPr>
              <w:pStyle w:val="TableText"/>
              <w:jc w:val="center"/>
              <w:rPr>
                <w:sz w:val="20"/>
              </w:rPr>
            </w:pP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/8</w:t>
            </w:r>
          </w:p>
        </w:tc>
        <w:tc>
          <w:tcPr>
            <w:tcW w:w="936" w:type="dxa"/>
            <w:gridSpan w:val="2"/>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672" w:type="dxa"/>
            <w:gridSpan w:val="3"/>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7</w:t>
            </w:r>
          </w:p>
        </w:tc>
        <w:tc>
          <w:tcPr>
            <w:tcW w:w="612" w:type="dxa"/>
            <w:gridSpan w:val="2"/>
            <w:tcBorders>
              <w:left w:val="single" w:sz="6" w:space="0" w:color="auto"/>
            </w:tcBorders>
          </w:tcPr>
          <w:p w:rsidR="00AF2508" w:rsidRDefault="00AF2508">
            <w:pPr>
              <w:pStyle w:val="TableText"/>
              <w:jc w:val="center"/>
              <w:rPr>
                <w:sz w:val="20"/>
              </w:rPr>
            </w:pPr>
            <w:r>
              <w:rPr>
                <w:sz w:val="20"/>
              </w:rPr>
              <w:t>4</w:t>
            </w:r>
          </w:p>
        </w:tc>
        <w:tc>
          <w:tcPr>
            <w:tcW w:w="708" w:type="dxa"/>
            <w:gridSpan w:val="2"/>
          </w:tcPr>
          <w:p w:rsidR="00AF2508" w:rsidRDefault="00AF2508">
            <w:pPr>
              <w:pStyle w:val="TableText"/>
              <w:jc w:val="center"/>
              <w:rPr>
                <w:sz w:val="20"/>
              </w:rPr>
            </w:pPr>
            <w:r>
              <w:rPr>
                <w:sz w:val="20"/>
              </w:rPr>
              <w:t>11</w:t>
            </w:r>
          </w:p>
        </w:tc>
        <w:tc>
          <w:tcPr>
            <w:tcW w:w="732" w:type="dxa"/>
            <w:tcBorders>
              <w:left w:val="single" w:sz="6" w:space="0" w:color="auto"/>
            </w:tcBorders>
          </w:tcPr>
          <w:p w:rsidR="00AF2508" w:rsidRDefault="00AF2508">
            <w:pPr>
              <w:pStyle w:val="TableText"/>
              <w:jc w:val="center"/>
              <w:rPr>
                <w:sz w:val="20"/>
              </w:rPr>
            </w:pPr>
            <w:r>
              <w:rPr>
                <w:sz w:val="20"/>
              </w:rPr>
              <w:t>4</w:t>
            </w:r>
          </w:p>
        </w:tc>
        <w:tc>
          <w:tcPr>
            <w:tcW w:w="828" w:type="dxa"/>
            <w:gridSpan w:val="2"/>
          </w:tcPr>
          <w:p w:rsidR="00AF2508" w:rsidRDefault="00AF2508">
            <w:pPr>
              <w:pStyle w:val="TableText"/>
              <w:jc w:val="center"/>
              <w:rPr>
                <w:sz w:val="20"/>
              </w:rPr>
            </w:pPr>
            <w:r>
              <w:rPr>
                <w:sz w:val="20"/>
              </w:rPr>
              <w:t>1</w:t>
            </w:r>
          </w:p>
        </w:tc>
        <w:tc>
          <w:tcPr>
            <w:tcW w:w="785" w:type="dxa"/>
            <w:gridSpan w:val="2"/>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6</w:t>
            </w:r>
          </w:p>
        </w:tc>
        <w:tc>
          <w:tcPr>
            <w:tcW w:w="760" w:type="dxa"/>
            <w:tcBorders>
              <w:left w:val="single" w:sz="6" w:space="0" w:color="auto"/>
            </w:tcBorders>
          </w:tcPr>
          <w:p w:rsidR="00AF2508" w:rsidRDefault="00AF2508">
            <w:pPr>
              <w:pStyle w:val="TableText"/>
              <w:jc w:val="center"/>
              <w:rPr>
                <w:sz w:val="20"/>
              </w:rPr>
            </w:pPr>
            <w:r>
              <w:rPr>
                <w:sz w:val="20"/>
              </w:rPr>
              <w:t>2</w:t>
            </w:r>
          </w:p>
        </w:tc>
        <w:tc>
          <w:tcPr>
            <w:tcW w:w="729" w:type="dxa"/>
            <w:gridSpan w:val="2"/>
            <w:tcBorders>
              <w:right w:val="single" w:sz="6" w:space="0" w:color="auto"/>
            </w:tcBorders>
          </w:tcPr>
          <w:p w:rsidR="00AF2508" w:rsidRDefault="00AF2508">
            <w:pPr>
              <w:pStyle w:val="TableText"/>
              <w:jc w:val="center"/>
              <w:rPr>
                <w:sz w:val="20"/>
              </w:rPr>
            </w:pPr>
            <w:r>
              <w:rPr>
                <w:sz w:val="20"/>
              </w:rPr>
              <w:t>7</w:t>
            </w:r>
          </w:p>
        </w:tc>
        <w:tc>
          <w:tcPr>
            <w:tcW w:w="872" w:type="dxa"/>
            <w:gridSpan w:val="3"/>
          </w:tcPr>
          <w:p w:rsidR="00AF2508" w:rsidRDefault="00AF2508">
            <w:pPr>
              <w:pStyle w:val="TableText"/>
              <w:jc w:val="center"/>
              <w:rPr>
                <w:sz w:val="20"/>
              </w:rPr>
            </w:pPr>
            <w:r>
              <w:rPr>
                <w:sz w:val="20"/>
              </w:rPr>
              <w:t>1</w:t>
            </w:r>
          </w:p>
        </w:tc>
        <w:tc>
          <w:tcPr>
            <w:tcW w:w="628" w:type="dxa"/>
            <w:gridSpan w:val="2"/>
          </w:tcPr>
          <w:p w:rsidR="00AF2508" w:rsidRDefault="00AF2508">
            <w:pPr>
              <w:pStyle w:val="TableText"/>
              <w:jc w:val="center"/>
              <w:rPr>
                <w:sz w:val="20"/>
              </w:rPr>
            </w:pPr>
            <w:r>
              <w:rPr>
                <w:sz w:val="20"/>
              </w:rPr>
              <w:t>4</w:t>
            </w:r>
          </w:p>
        </w:tc>
      </w:tr>
      <w:tr w:rsidR="00AF2508">
        <w:trPr>
          <w:cantSplit/>
          <w:trHeight w:val="200"/>
        </w:trPr>
        <w:tc>
          <w:tcPr>
            <w:tcW w:w="980" w:type="dxa"/>
          </w:tcPr>
          <w:p w:rsidR="00AF2508" w:rsidRDefault="00AF2508">
            <w:pPr>
              <w:pStyle w:val="TableText"/>
              <w:jc w:val="center"/>
              <w:rPr>
                <w:sz w:val="20"/>
              </w:rPr>
            </w:pPr>
            <w:r>
              <w:rPr>
                <w:sz w:val="20"/>
              </w:rPr>
              <w:t>2</w:t>
            </w:r>
            <w:r>
              <w:rPr>
                <w:position w:val="4"/>
                <w:sz w:val="20"/>
              </w:rPr>
              <w:t>1</w:t>
            </w:r>
            <w:r>
              <w:rPr>
                <w:sz w:val="20"/>
              </w:rPr>
              <w:t>/2</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position w:val="4"/>
                <w:sz w:val="20"/>
              </w:rPr>
              <w:t>13</w:t>
            </w:r>
            <w:r>
              <w:rPr>
                <w:sz w:val="20"/>
              </w:rPr>
              <w:t xml:space="preserve">/16 </w:t>
            </w:r>
          </w:p>
        </w:tc>
        <w:tc>
          <w:tcPr>
            <w:tcW w:w="672" w:type="dxa"/>
            <w:gridSpan w:val="3"/>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14</w:t>
            </w:r>
          </w:p>
        </w:tc>
        <w:tc>
          <w:tcPr>
            <w:tcW w:w="612" w:type="dxa"/>
            <w:gridSpan w:val="2"/>
            <w:tcBorders>
              <w:left w:val="single" w:sz="6" w:space="0" w:color="auto"/>
            </w:tcBorders>
          </w:tcPr>
          <w:p w:rsidR="00AF2508" w:rsidRDefault="00AF2508">
            <w:pPr>
              <w:pStyle w:val="TableText"/>
              <w:jc w:val="center"/>
              <w:rPr>
                <w:sz w:val="20"/>
              </w:rPr>
            </w:pPr>
            <w:r>
              <w:rPr>
                <w:sz w:val="20"/>
              </w:rPr>
              <w:t>5</w:t>
            </w:r>
          </w:p>
        </w:tc>
        <w:tc>
          <w:tcPr>
            <w:tcW w:w="708" w:type="dxa"/>
            <w:gridSpan w:val="2"/>
          </w:tcPr>
          <w:p w:rsidR="00AF2508" w:rsidRDefault="00AF2508">
            <w:pPr>
              <w:pStyle w:val="TableText"/>
              <w:jc w:val="center"/>
              <w:rPr>
                <w:sz w:val="20"/>
              </w:rPr>
            </w:pPr>
            <w:r>
              <w:rPr>
                <w:sz w:val="20"/>
              </w:rPr>
              <w:t>5</w:t>
            </w:r>
          </w:p>
        </w:tc>
        <w:tc>
          <w:tcPr>
            <w:tcW w:w="732" w:type="dxa"/>
            <w:tcBorders>
              <w:left w:val="single" w:sz="6" w:space="0" w:color="auto"/>
            </w:tcBorders>
          </w:tcPr>
          <w:p w:rsidR="00AF2508" w:rsidRDefault="00AF2508">
            <w:pPr>
              <w:pStyle w:val="TableText"/>
              <w:jc w:val="center"/>
              <w:rPr>
                <w:sz w:val="20"/>
              </w:rPr>
            </w:pPr>
            <w:r>
              <w:rPr>
                <w:sz w:val="20"/>
              </w:rPr>
              <w:t>4</w:t>
            </w:r>
          </w:p>
        </w:tc>
        <w:tc>
          <w:tcPr>
            <w:tcW w:w="828" w:type="dxa"/>
            <w:gridSpan w:val="2"/>
          </w:tcPr>
          <w:p w:rsidR="00AF2508" w:rsidRDefault="00AF2508">
            <w:pPr>
              <w:pStyle w:val="TableText"/>
              <w:jc w:val="center"/>
              <w:rPr>
                <w:sz w:val="20"/>
              </w:rPr>
            </w:pPr>
            <w:r>
              <w:rPr>
                <w:sz w:val="20"/>
              </w:rPr>
              <w:t>14</w:t>
            </w:r>
          </w:p>
        </w:tc>
        <w:tc>
          <w:tcPr>
            <w:tcW w:w="785" w:type="dxa"/>
            <w:gridSpan w:val="2"/>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2</w:t>
            </w:r>
          </w:p>
        </w:tc>
        <w:tc>
          <w:tcPr>
            <w:tcW w:w="729" w:type="dxa"/>
            <w:gridSpan w:val="2"/>
          </w:tcPr>
          <w:p w:rsidR="00AF2508" w:rsidRDefault="00AF2508">
            <w:pPr>
              <w:pStyle w:val="TableText"/>
              <w:jc w:val="center"/>
              <w:rPr>
                <w:sz w:val="20"/>
              </w:rPr>
            </w:pPr>
            <w:r>
              <w:rPr>
                <w:sz w:val="20"/>
              </w:rPr>
              <w:t>14</w:t>
            </w:r>
          </w:p>
        </w:tc>
        <w:tc>
          <w:tcPr>
            <w:tcW w:w="872" w:type="dxa"/>
            <w:gridSpan w:val="3"/>
            <w:tcBorders>
              <w:left w:val="single" w:sz="6" w:space="0" w:color="auto"/>
            </w:tcBorders>
          </w:tcPr>
          <w:p w:rsidR="00AF2508" w:rsidRDefault="00AF2508">
            <w:pPr>
              <w:pStyle w:val="TableText"/>
              <w:jc w:val="center"/>
              <w:rPr>
                <w:sz w:val="20"/>
              </w:rPr>
            </w:pPr>
            <w:r>
              <w:rPr>
                <w:sz w:val="20"/>
              </w:rPr>
              <w:t>1</w:t>
            </w:r>
          </w:p>
        </w:tc>
        <w:tc>
          <w:tcPr>
            <w:tcW w:w="628" w:type="dxa"/>
            <w:gridSpan w:val="2"/>
          </w:tcPr>
          <w:p w:rsidR="00AF2508" w:rsidRDefault="00AF2508">
            <w:pPr>
              <w:pStyle w:val="TableText"/>
              <w:jc w:val="center"/>
              <w:rPr>
                <w:sz w:val="20"/>
              </w:rPr>
            </w:pPr>
            <w:r>
              <w:rPr>
                <w:sz w:val="20"/>
              </w:rPr>
              <w:t>8</w:t>
            </w:r>
          </w:p>
        </w:tc>
      </w:tr>
      <w:tr w:rsidR="00AF2508">
        <w:trPr>
          <w:cantSplit/>
          <w:trHeight w:val="200"/>
        </w:trPr>
        <w:tc>
          <w:tcPr>
            <w:tcW w:w="980" w:type="dxa"/>
          </w:tcPr>
          <w:p w:rsidR="00AF2508" w:rsidRDefault="00AF2508">
            <w:pPr>
              <w:pStyle w:val="TableText"/>
              <w:jc w:val="center"/>
              <w:rPr>
                <w:sz w:val="20"/>
              </w:rPr>
            </w:pPr>
            <w:r>
              <w:rPr>
                <w:sz w:val="20"/>
              </w:rPr>
              <w:t>2</w:t>
            </w:r>
            <w:r>
              <w:rPr>
                <w:position w:val="4"/>
                <w:sz w:val="20"/>
              </w:rPr>
              <w:t>3</w:t>
            </w:r>
            <w:r>
              <w:rPr>
                <w:sz w:val="20"/>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672" w:type="dxa"/>
            <w:gridSpan w:val="3"/>
          </w:tcPr>
          <w:p w:rsidR="00AF2508" w:rsidRDefault="00AF2508">
            <w:pPr>
              <w:pStyle w:val="TableText"/>
              <w:jc w:val="center"/>
              <w:rPr>
                <w:sz w:val="20"/>
              </w:rPr>
            </w:pPr>
            <w:r>
              <w:rPr>
                <w:sz w:val="20"/>
              </w:rPr>
              <w:t>3</w:t>
            </w:r>
          </w:p>
        </w:tc>
        <w:tc>
          <w:tcPr>
            <w:tcW w:w="840" w:type="dxa"/>
          </w:tcPr>
          <w:p w:rsidR="00AF2508" w:rsidRDefault="00AF2508">
            <w:pPr>
              <w:pStyle w:val="TableText"/>
              <w:jc w:val="center"/>
              <w:rPr>
                <w:sz w:val="20"/>
              </w:rPr>
            </w:pPr>
            <w:r>
              <w:rPr>
                <w:sz w:val="20"/>
              </w:rPr>
              <w:t>4</w:t>
            </w:r>
          </w:p>
        </w:tc>
        <w:tc>
          <w:tcPr>
            <w:tcW w:w="612" w:type="dxa"/>
            <w:gridSpan w:val="2"/>
            <w:tcBorders>
              <w:left w:val="single" w:sz="6" w:space="0" w:color="auto"/>
            </w:tcBorders>
          </w:tcPr>
          <w:p w:rsidR="00AF2508" w:rsidRDefault="00AF2508">
            <w:pPr>
              <w:pStyle w:val="TableText"/>
              <w:jc w:val="center"/>
              <w:rPr>
                <w:sz w:val="20"/>
              </w:rPr>
            </w:pPr>
            <w:r>
              <w:rPr>
                <w:sz w:val="20"/>
              </w:rPr>
              <w:t>6</w:t>
            </w:r>
          </w:p>
        </w:tc>
        <w:tc>
          <w:tcPr>
            <w:tcW w:w="708" w:type="dxa"/>
            <w:gridSpan w:val="2"/>
          </w:tcPr>
          <w:p w:rsidR="00AF2508" w:rsidRDefault="00AF2508">
            <w:pPr>
              <w:pStyle w:val="TableText"/>
              <w:jc w:val="center"/>
              <w:rPr>
                <w:sz w:val="20"/>
              </w:rPr>
            </w:pPr>
            <w:r>
              <w:rPr>
                <w:sz w:val="20"/>
              </w:rPr>
              <w:t>4</w:t>
            </w:r>
          </w:p>
        </w:tc>
        <w:tc>
          <w:tcPr>
            <w:tcW w:w="732" w:type="dxa"/>
            <w:tcBorders>
              <w:left w:val="single" w:sz="6" w:space="0" w:color="auto"/>
            </w:tcBorders>
          </w:tcPr>
          <w:p w:rsidR="00AF2508" w:rsidRDefault="00AF2508">
            <w:pPr>
              <w:pStyle w:val="TableText"/>
              <w:jc w:val="center"/>
              <w:rPr>
                <w:sz w:val="20"/>
              </w:rPr>
            </w:pPr>
            <w:r>
              <w:rPr>
                <w:sz w:val="20"/>
              </w:rPr>
              <w:t>5</w:t>
            </w:r>
          </w:p>
        </w:tc>
        <w:tc>
          <w:tcPr>
            <w:tcW w:w="828" w:type="dxa"/>
            <w:gridSpan w:val="2"/>
          </w:tcPr>
          <w:p w:rsidR="00AF2508" w:rsidRDefault="00AF2508">
            <w:pPr>
              <w:pStyle w:val="TableText"/>
              <w:jc w:val="center"/>
              <w:rPr>
                <w:sz w:val="20"/>
              </w:rPr>
            </w:pPr>
            <w:r>
              <w:rPr>
                <w:sz w:val="20"/>
              </w:rPr>
              <w:t>11</w:t>
            </w:r>
          </w:p>
        </w:tc>
        <w:tc>
          <w:tcPr>
            <w:tcW w:w="785" w:type="dxa"/>
            <w:gridSpan w:val="2"/>
            <w:tcBorders>
              <w:left w:val="single" w:sz="6" w:space="0" w:color="auto"/>
            </w:tcBorders>
          </w:tcPr>
          <w:p w:rsidR="00AF2508" w:rsidRDefault="00AF2508">
            <w:pPr>
              <w:pStyle w:val="TableText"/>
              <w:jc w:val="center"/>
              <w:rPr>
                <w:sz w:val="20"/>
              </w:rPr>
            </w:pPr>
            <w:r>
              <w:rPr>
                <w:sz w:val="20"/>
              </w:rPr>
              <w:t>4</w:t>
            </w:r>
          </w:p>
        </w:tc>
        <w:tc>
          <w:tcPr>
            <w:tcW w:w="786" w:type="dxa"/>
            <w:gridSpan w:val="2"/>
          </w:tcPr>
          <w:p w:rsidR="00AF2508" w:rsidRDefault="00AF2508">
            <w:pPr>
              <w:pStyle w:val="TableText"/>
              <w:jc w:val="center"/>
              <w:rPr>
                <w:sz w:val="20"/>
              </w:rPr>
            </w:pPr>
            <w:r>
              <w:rPr>
                <w:sz w:val="20"/>
              </w:rPr>
              <w:t>11</w:t>
            </w:r>
          </w:p>
        </w:tc>
        <w:tc>
          <w:tcPr>
            <w:tcW w:w="760" w:type="dxa"/>
            <w:tcBorders>
              <w:left w:val="single" w:sz="6" w:space="0" w:color="auto"/>
            </w:tcBorders>
          </w:tcPr>
          <w:p w:rsidR="00AF2508" w:rsidRDefault="00AF2508">
            <w:pPr>
              <w:pStyle w:val="TableText"/>
              <w:jc w:val="center"/>
              <w:rPr>
                <w:sz w:val="20"/>
              </w:rPr>
            </w:pPr>
            <w:r>
              <w:rPr>
                <w:sz w:val="20"/>
              </w:rPr>
              <w:t>3</w:t>
            </w:r>
          </w:p>
        </w:tc>
        <w:tc>
          <w:tcPr>
            <w:tcW w:w="729" w:type="dxa"/>
            <w:gridSpan w:val="2"/>
          </w:tcPr>
          <w:p w:rsidR="00AF2508" w:rsidRDefault="00AF2508">
            <w:pPr>
              <w:pStyle w:val="TableText"/>
              <w:jc w:val="center"/>
              <w:rPr>
                <w:sz w:val="20"/>
              </w:rPr>
            </w:pPr>
            <w:r>
              <w:rPr>
                <w:sz w:val="20"/>
              </w:rPr>
              <w:t>4</w:t>
            </w:r>
          </w:p>
        </w:tc>
        <w:tc>
          <w:tcPr>
            <w:tcW w:w="872" w:type="dxa"/>
            <w:gridSpan w:val="3"/>
            <w:tcBorders>
              <w:left w:val="single" w:sz="6" w:space="0" w:color="auto"/>
            </w:tcBorders>
          </w:tcPr>
          <w:p w:rsidR="00AF2508" w:rsidRDefault="00AF2508">
            <w:pPr>
              <w:pStyle w:val="TableText"/>
              <w:jc w:val="center"/>
              <w:rPr>
                <w:sz w:val="20"/>
              </w:rPr>
            </w:pPr>
            <w:r>
              <w:rPr>
                <w:sz w:val="20"/>
              </w:rPr>
              <w:t>1</w:t>
            </w:r>
          </w:p>
        </w:tc>
        <w:tc>
          <w:tcPr>
            <w:tcW w:w="628" w:type="dxa"/>
            <w:gridSpan w:val="2"/>
          </w:tcPr>
          <w:p w:rsidR="00AF2508" w:rsidRDefault="00AF2508">
            <w:pPr>
              <w:pStyle w:val="TableText"/>
              <w:jc w:val="center"/>
              <w:rPr>
                <w:sz w:val="20"/>
              </w:rPr>
            </w:pPr>
            <w:r>
              <w:rPr>
                <w:sz w:val="20"/>
              </w:rPr>
              <w:t>13</w:t>
            </w:r>
          </w:p>
        </w:tc>
      </w:tr>
      <w:tr w:rsidR="00AF2508">
        <w:trPr>
          <w:cantSplit/>
          <w:trHeight w:val="200"/>
        </w:trPr>
        <w:tc>
          <w:tcPr>
            <w:tcW w:w="980" w:type="dxa"/>
          </w:tcPr>
          <w:p w:rsidR="00AF2508" w:rsidRDefault="00AF2508">
            <w:pPr>
              <w:pStyle w:val="TableText"/>
              <w:jc w:val="center"/>
              <w:rPr>
                <w:sz w:val="20"/>
              </w:rPr>
            </w:pPr>
            <w:r>
              <w:rPr>
                <w:sz w:val="20"/>
              </w:rPr>
              <w:t>3</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position w:val="4"/>
                <w:sz w:val="16"/>
              </w:rPr>
              <w:t>15</w:t>
            </w:r>
            <w:r>
              <w:rPr>
                <w:sz w:val="20"/>
              </w:rPr>
              <w:t>/</w:t>
            </w:r>
            <w:r>
              <w:rPr>
                <w:sz w:val="16"/>
              </w:rPr>
              <w:t>16</w:t>
            </w:r>
            <w:r>
              <w:rPr>
                <w:sz w:val="20"/>
              </w:rPr>
              <w:t xml:space="preserve"> </w:t>
            </w:r>
          </w:p>
        </w:tc>
        <w:tc>
          <w:tcPr>
            <w:tcW w:w="672" w:type="dxa"/>
            <w:gridSpan w:val="3"/>
          </w:tcPr>
          <w:p w:rsidR="00AF2508" w:rsidRDefault="00AF2508">
            <w:pPr>
              <w:pStyle w:val="TableText"/>
              <w:jc w:val="center"/>
              <w:rPr>
                <w:sz w:val="20"/>
              </w:rPr>
            </w:pPr>
            <w:r>
              <w:rPr>
                <w:sz w:val="20"/>
              </w:rPr>
              <w:t>3</w:t>
            </w:r>
          </w:p>
        </w:tc>
        <w:tc>
          <w:tcPr>
            <w:tcW w:w="840" w:type="dxa"/>
          </w:tcPr>
          <w:p w:rsidR="00AF2508" w:rsidRDefault="00AF2508">
            <w:pPr>
              <w:pStyle w:val="TableText"/>
              <w:jc w:val="center"/>
              <w:rPr>
                <w:sz w:val="20"/>
              </w:rPr>
            </w:pPr>
            <w:r>
              <w:rPr>
                <w:sz w:val="20"/>
              </w:rPr>
              <w:t>15</w:t>
            </w:r>
          </w:p>
        </w:tc>
        <w:tc>
          <w:tcPr>
            <w:tcW w:w="612" w:type="dxa"/>
            <w:gridSpan w:val="2"/>
            <w:tcBorders>
              <w:left w:val="single" w:sz="6" w:space="0" w:color="auto"/>
            </w:tcBorders>
          </w:tcPr>
          <w:p w:rsidR="00AF2508" w:rsidRDefault="00AF2508">
            <w:pPr>
              <w:pStyle w:val="TableText"/>
              <w:jc w:val="center"/>
              <w:rPr>
                <w:sz w:val="20"/>
              </w:rPr>
            </w:pPr>
            <w:r>
              <w:rPr>
                <w:sz w:val="20"/>
              </w:rPr>
              <w:t>7</w:t>
            </w:r>
          </w:p>
        </w:tc>
        <w:tc>
          <w:tcPr>
            <w:tcW w:w="708" w:type="dxa"/>
            <w:gridSpan w:val="2"/>
          </w:tcPr>
          <w:p w:rsidR="00AF2508" w:rsidRDefault="00AF2508">
            <w:pPr>
              <w:pStyle w:val="TableText"/>
              <w:jc w:val="center"/>
              <w:rPr>
                <w:sz w:val="20"/>
              </w:rPr>
            </w:pPr>
            <w:r>
              <w:rPr>
                <w:sz w:val="20"/>
              </w:rPr>
              <w:t>6</w:t>
            </w:r>
          </w:p>
        </w:tc>
        <w:tc>
          <w:tcPr>
            <w:tcW w:w="732" w:type="dxa"/>
            <w:tcBorders>
              <w:left w:val="single" w:sz="6" w:space="0" w:color="auto"/>
            </w:tcBorders>
          </w:tcPr>
          <w:p w:rsidR="00AF2508" w:rsidRDefault="00AF2508">
            <w:pPr>
              <w:pStyle w:val="TableText"/>
              <w:jc w:val="center"/>
              <w:rPr>
                <w:sz w:val="20"/>
              </w:rPr>
            </w:pPr>
            <w:r>
              <w:rPr>
                <w:sz w:val="20"/>
              </w:rPr>
              <w:t>6</w:t>
            </w:r>
          </w:p>
        </w:tc>
        <w:tc>
          <w:tcPr>
            <w:tcW w:w="828" w:type="dxa"/>
            <w:gridSpan w:val="2"/>
          </w:tcPr>
          <w:p w:rsidR="00AF2508" w:rsidRDefault="00AF2508">
            <w:pPr>
              <w:pStyle w:val="TableText"/>
              <w:jc w:val="center"/>
              <w:rPr>
                <w:sz w:val="20"/>
              </w:rPr>
            </w:pPr>
            <w:r>
              <w:rPr>
                <w:sz w:val="20"/>
              </w:rPr>
              <w:t>11</w:t>
            </w:r>
          </w:p>
        </w:tc>
        <w:tc>
          <w:tcPr>
            <w:tcW w:w="785" w:type="dxa"/>
            <w:gridSpan w:val="2"/>
            <w:tcBorders>
              <w:left w:val="single" w:sz="6" w:space="0" w:color="auto"/>
            </w:tcBorders>
          </w:tcPr>
          <w:p w:rsidR="00AF2508" w:rsidRDefault="00AF2508">
            <w:pPr>
              <w:pStyle w:val="TableText"/>
              <w:jc w:val="center"/>
              <w:rPr>
                <w:sz w:val="20"/>
              </w:rPr>
            </w:pPr>
            <w:r>
              <w:rPr>
                <w:sz w:val="20"/>
              </w:rPr>
              <w:t>5</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3</w:t>
            </w:r>
          </w:p>
        </w:tc>
        <w:tc>
          <w:tcPr>
            <w:tcW w:w="729" w:type="dxa"/>
            <w:gridSpan w:val="2"/>
          </w:tcPr>
          <w:p w:rsidR="00AF2508" w:rsidRDefault="00AF2508">
            <w:pPr>
              <w:pStyle w:val="TableText"/>
              <w:jc w:val="center"/>
              <w:rPr>
                <w:sz w:val="20"/>
              </w:rPr>
            </w:pPr>
            <w:r>
              <w:rPr>
                <w:sz w:val="20"/>
              </w:rPr>
              <w:t>15</w:t>
            </w:r>
          </w:p>
        </w:tc>
        <w:tc>
          <w:tcPr>
            <w:tcW w:w="872" w:type="dxa"/>
            <w:gridSpan w:val="3"/>
            <w:tcBorders>
              <w:left w:val="single" w:sz="6" w:space="0" w:color="auto"/>
            </w:tcBorders>
          </w:tcPr>
          <w:p w:rsidR="00AF2508" w:rsidRDefault="00AF2508">
            <w:pPr>
              <w:pStyle w:val="TableText"/>
              <w:jc w:val="center"/>
              <w:rPr>
                <w:sz w:val="20"/>
              </w:rPr>
            </w:pPr>
            <w:r>
              <w:rPr>
                <w:sz w:val="20"/>
              </w:rPr>
              <w:t>1</w:t>
            </w:r>
          </w:p>
        </w:tc>
        <w:tc>
          <w:tcPr>
            <w:tcW w:w="628" w:type="dxa"/>
            <w:gridSpan w:val="2"/>
          </w:tcPr>
          <w:p w:rsidR="00AF2508" w:rsidRDefault="00AF2508">
            <w:pPr>
              <w:pStyle w:val="TableText"/>
              <w:jc w:val="center"/>
              <w:rPr>
                <w:sz w:val="20"/>
              </w:rPr>
            </w:pPr>
            <w:r>
              <w:rPr>
                <w:sz w:val="20"/>
              </w:rPr>
              <w:t>19</w:t>
            </w:r>
          </w:p>
        </w:tc>
      </w:tr>
      <w:tr w:rsidR="00AF2508">
        <w:trPr>
          <w:cantSplit/>
          <w:trHeight w:val="200"/>
        </w:trPr>
        <w:tc>
          <w:tcPr>
            <w:tcW w:w="980" w:type="dxa"/>
          </w:tcPr>
          <w:p w:rsidR="00AF2508" w:rsidRDefault="00AF2508">
            <w:pPr>
              <w:pStyle w:val="TableText"/>
              <w:jc w:val="center"/>
              <w:rPr>
                <w:sz w:val="20"/>
              </w:rPr>
            </w:pPr>
            <w:r>
              <w:rPr>
                <w:sz w:val="20"/>
              </w:rPr>
              <w:t>3</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16</w:t>
            </w:r>
          </w:p>
        </w:tc>
        <w:tc>
          <w:tcPr>
            <w:tcW w:w="672" w:type="dxa"/>
            <w:gridSpan w:val="3"/>
          </w:tcPr>
          <w:p w:rsidR="00AF2508" w:rsidRDefault="00AF2508">
            <w:pPr>
              <w:pStyle w:val="TableText"/>
              <w:jc w:val="center"/>
              <w:rPr>
                <w:sz w:val="20"/>
              </w:rPr>
            </w:pPr>
            <w:r>
              <w:rPr>
                <w:sz w:val="20"/>
              </w:rPr>
              <w:t>4</w:t>
            </w:r>
          </w:p>
        </w:tc>
        <w:tc>
          <w:tcPr>
            <w:tcW w:w="840" w:type="dxa"/>
          </w:tcPr>
          <w:p w:rsidR="00AF2508" w:rsidRDefault="00AF2508">
            <w:pPr>
              <w:pStyle w:val="TableText"/>
              <w:jc w:val="center"/>
              <w:rPr>
                <w:sz w:val="20"/>
              </w:rPr>
            </w:pPr>
            <w:r>
              <w:rPr>
                <w:sz w:val="20"/>
              </w:rPr>
              <w:t>11</w:t>
            </w:r>
          </w:p>
        </w:tc>
        <w:tc>
          <w:tcPr>
            <w:tcW w:w="612" w:type="dxa"/>
            <w:gridSpan w:val="2"/>
            <w:tcBorders>
              <w:left w:val="single" w:sz="6" w:space="0" w:color="auto"/>
            </w:tcBorders>
          </w:tcPr>
          <w:p w:rsidR="00AF2508" w:rsidRDefault="00AF2508">
            <w:pPr>
              <w:pStyle w:val="TableText"/>
              <w:jc w:val="center"/>
              <w:rPr>
                <w:sz w:val="20"/>
              </w:rPr>
            </w:pPr>
            <w:r>
              <w:rPr>
                <w:sz w:val="20"/>
              </w:rPr>
              <w:t>8</w:t>
            </w:r>
          </w:p>
        </w:tc>
        <w:tc>
          <w:tcPr>
            <w:tcW w:w="708" w:type="dxa"/>
            <w:gridSpan w:val="2"/>
          </w:tcPr>
          <w:p w:rsidR="00AF2508" w:rsidRDefault="00AF2508">
            <w:pPr>
              <w:pStyle w:val="TableText"/>
              <w:jc w:val="center"/>
              <w:rPr>
                <w:sz w:val="20"/>
              </w:rPr>
            </w:pPr>
            <w:r>
              <w:rPr>
                <w:sz w:val="20"/>
              </w:rPr>
              <w:t>16</w:t>
            </w:r>
          </w:p>
        </w:tc>
        <w:tc>
          <w:tcPr>
            <w:tcW w:w="732" w:type="dxa"/>
            <w:tcBorders>
              <w:left w:val="single" w:sz="6" w:space="0" w:color="auto"/>
            </w:tcBorders>
          </w:tcPr>
          <w:p w:rsidR="00AF2508" w:rsidRDefault="00AF2508">
            <w:pPr>
              <w:pStyle w:val="TableText"/>
              <w:jc w:val="center"/>
              <w:rPr>
                <w:sz w:val="20"/>
              </w:rPr>
            </w:pPr>
            <w:r>
              <w:rPr>
                <w:sz w:val="20"/>
              </w:rPr>
              <w:t>7</w:t>
            </w:r>
          </w:p>
        </w:tc>
        <w:tc>
          <w:tcPr>
            <w:tcW w:w="828" w:type="dxa"/>
            <w:gridSpan w:val="2"/>
          </w:tcPr>
          <w:p w:rsidR="00AF2508" w:rsidRDefault="00AF2508">
            <w:pPr>
              <w:pStyle w:val="TableText"/>
              <w:jc w:val="center"/>
              <w:rPr>
                <w:sz w:val="20"/>
              </w:rPr>
            </w:pPr>
            <w:r>
              <w:rPr>
                <w:sz w:val="20"/>
              </w:rPr>
              <w:t>17</w:t>
            </w:r>
          </w:p>
        </w:tc>
        <w:tc>
          <w:tcPr>
            <w:tcW w:w="785" w:type="dxa"/>
            <w:gridSpan w:val="2"/>
            <w:tcBorders>
              <w:left w:val="single" w:sz="6" w:space="0" w:color="auto"/>
            </w:tcBorders>
          </w:tcPr>
          <w:p w:rsidR="00AF2508" w:rsidRDefault="00AF2508">
            <w:pPr>
              <w:pStyle w:val="TableText"/>
              <w:jc w:val="center"/>
              <w:rPr>
                <w:sz w:val="20"/>
              </w:rPr>
            </w:pPr>
            <w:r>
              <w:rPr>
                <w:sz w:val="20"/>
              </w:rPr>
              <w:t>6</w:t>
            </w:r>
          </w:p>
        </w:tc>
        <w:tc>
          <w:tcPr>
            <w:tcW w:w="786" w:type="dxa"/>
            <w:gridSpan w:val="2"/>
          </w:tcPr>
          <w:p w:rsidR="00AF2508" w:rsidRDefault="00AF2508">
            <w:pPr>
              <w:pStyle w:val="TableText"/>
              <w:jc w:val="center"/>
              <w:rPr>
                <w:sz w:val="20"/>
              </w:rPr>
            </w:pPr>
            <w:r>
              <w:rPr>
                <w:sz w:val="20"/>
              </w:rPr>
              <w:t>8</w:t>
            </w:r>
          </w:p>
        </w:tc>
        <w:tc>
          <w:tcPr>
            <w:tcW w:w="760" w:type="dxa"/>
            <w:tcBorders>
              <w:left w:val="single" w:sz="6" w:space="0" w:color="auto"/>
            </w:tcBorders>
          </w:tcPr>
          <w:p w:rsidR="00AF2508" w:rsidRDefault="00AF2508">
            <w:pPr>
              <w:pStyle w:val="TableText"/>
              <w:jc w:val="center"/>
              <w:rPr>
                <w:sz w:val="20"/>
              </w:rPr>
            </w:pPr>
            <w:r>
              <w:rPr>
                <w:sz w:val="20"/>
              </w:rPr>
              <w:t>4</w:t>
            </w:r>
          </w:p>
        </w:tc>
        <w:tc>
          <w:tcPr>
            <w:tcW w:w="729" w:type="dxa"/>
            <w:gridSpan w:val="2"/>
          </w:tcPr>
          <w:p w:rsidR="00AF2508" w:rsidRDefault="00AF2508">
            <w:pPr>
              <w:pStyle w:val="TableText"/>
              <w:jc w:val="center"/>
              <w:rPr>
                <w:sz w:val="20"/>
              </w:rPr>
            </w:pPr>
            <w:r>
              <w:rPr>
                <w:sz w:val="20"/>
              </w:rPr>
              <w:t>11</w:t>
            </w:r>
          </w:p>
        </w:tc>
        <w:tc>
          <w:tcPr>
            <w:tcW w:w="872" w:type="dxa"/>
            <w:gridSpan w:val="3"/>
            <w:tcBorders>
              <w:left w:val="single" w:sz="6" w:space="0" w:color="auto"/>
            </w:tcBorders>
          </w:tcPr>
          <w:p w:rsidR="00AF2508" w:rsidRDefault="00AF2508">
            <w:pPr>
              <w:pStyle w:val="TableText"/>
              <w:jc w:val="center"/>
              <w:rPr>
                <w:sz w:val="20"/>
              </w:rPr>
            </w:pPr>
            <w:r>
              <w:rPr>
                <w:sz w:val="20"/>
              </w:rPr>
              <w:t>2</w:t>
            </w:r>
          </w:p>
        </w:tc>
        <w:tc>
          <w:tcPr>
            <w:tcW w:w="628" w:type="dxa"/>
            <w:gridSpan w:val="2"/>
          </w:tcPr>
          <w:p w:rsidR="00AF2508" w:rsidRDefault="00AF2508">
            <w:pPr>
              <w:pStyle w:val="TableText"/>
              <w:jc w:val="center"/>
              <w:rPr>
                <w:sz w:val="20"/>
              </w:rPr>
            </w:pPr>
            <w:r>
              <w:rPr>
                <w:sz w:val="20"/>
              </w:rPr>
              <w:t>7</w:t>
            </w:r>
          </w:p>
        </w:tc>
      </w:tr>
      <w:tr w:rsidR="00AF2508">
        <w:trPr>
          <w:cantSplit/>
          <w:trHeight w:val="200"/>
        </w:trPr>
        <w:tc>
          <w:tcPr>
            <w:tcW w:w="980" w:type="dxa"/>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672" w:type="dxa"/>
            <w:gridSpan w:val="3"/>
          </w:tcPr>
          <w:p w:rsidR="00AF2508" w:rsidRDefault="00AF2508">
            <w:pPr>
              <w:pStyle w:val="TableText"/>
              <w:jc w:val="center"/>
              <w:rPr>
                <w:sz w:val="20"/>
              </w:rPr>
            </w:pPr>
            <w:r>
              <w:rPr>
                <w:sz w:val="20"/>
              </w:rPr>
              <w:t>5</w:t>
            </w:r>
          </w:p>
        </w:tc>
        <w:tc>
          <w:tcPr>
            <w:tcW w:w="840" w:type="dxa"/>
          </w:tcPr>
          <w:p w:rsidR="00AF2508" w:rsidRDefault="00AF2508">
            <w:pPr>
              <w:pStyle w:val="TableText"/>
              <w:jc w:val="center"/>
              <w:rPr>
                <w:sz w:val="20"/>
              </w:rPr>
            </w:pPr>
            <w:r>
              <w:rPr>
                <w:sz w:val="20"/>
              </w:rPr>
              <w:t>4</w:t>
            </w:r>
          </w:p>
        </w:tc>
        <w:tc>
          <w:tcPr>
            <w:tcW w:w="612" w:type="dxa"/>
            <w:gridSpan w:val="2"/>
            <w:tcBorders>
              <w:left w:val="single" w:sz="6" w:space="0" w:color="auto"/>
            </w:tcBorders>
          </w:tcPr>
          <w:p w:rsidR="00AF2508" w:rsidRDefault="00AF2508">
            <w:pPr>
              <w:pStyle w:val="TableText"/>
              <w:jc w:val="center"/>
              <w:rPr>
                <w:sz w:val="20"/>
              </w:rPr>
            </w:pPr>
            <w:r>
              <w:rPr>
                <w:sz w:val="20"/>
              </w:rPr>
              <w:t>10</w:t>
            </w:r>
          </w:p>
        </w:tc>
        <w:tc>
          <w:tcPr>
            <w:tcW w:w="708" w:type="dxa"/>
            <w:gridSpan w:val="2"/>
          </w:tcPr>
          <w:p w:rsidR="00AF2508" w:rsidRDefault="00AF2508">
            <w:pPr>
              <w:pStyle w:val="TableText"/>
              <w:jc w:val="center"/>
              <w:rPr>
                <w:sz w:val="20"/>
              </w:rPr>
            </w:pPr>
            <w:r>
              <w:rPr>
                <w:sz w:val="20"/>
              </w:rPr>
              <w:t>1</w:t>
            </w:r>
          </w:p>
        </w:tc>
        <w:tc>
          <w:tcPr>
            <w:tcW w:w="732" w:type="dxa"/>
            <w:tcBorders>
              <w:left w:val="single" w:sz="6" w:space="0" w:color="auto"/>
            </w:tcBorders>
          </w:tcPr>
          <w:p w:rsidR="00AF2508" w:rsidRDefault="00AF2508">
            <w:pPr>
              <w:pStyle w:val="TableText"/>
              <w:jc w:val="center"/>
              <w:rPr>
                <w:sz w:val="20"/>
              </w:rPr>
            </w:pPr>
            <w:r>
              <w:rPr>
                <w:sz w:val="20"/>
              </w:rPr>
              <w:t>9</w:t>
            </w:r>
          </w:p>
        </w:tc>
        <w:tc>
          <w:tcPr>
            <w:tcW w:w="828" w:type="dxa"/>
            <w:gridSpan w:val="2"/>
          </w:tcPr>
          <w:p w:rsidR="00AF2508" w:rsidRDefault="00AF2508">
            <w:pPr>
              <w:pStyle w:val="TableText"/>
              <w:jc w:val="center"/>
              <w:rPr>
                <w:sz w:val="20"/>
              </w:rPr>
            </w:pPr>
            <w:r>
              <w:rPr>
                <w:sz w:val="20"/>
              </w:rPr>
              <w:t>0</w:t>
            </w:r>
          </w:p>
        </w:tc>
        <w:tc>
          <w:tcPr>
            <w:tcW w:w="785" w:type="dxa"/>
            <w:gridSpan w:val="2"/>
            <w:tcBorders>
              <w:left w:val="single" w:sz="6" w:space="0" w:color="auto"/>
            </w:tcBorders>
          </w:tcPr>
          <w:p w:rsidR="00AF2508" w:rsidRDefault="00AF2508">
            <w:pPr>
              <w:pStyle w:val="TableText"/>
              <w:jc w:val="center"/>
              <w:rPr>
                <w:sz w:val="20"/>
              </w:rPr>
            </w:pPr>
            <w:r>
              <w:rPr>
                <w:sz w:val="20"/>
              </w:rPr>
              <w:t>7</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5</w:t>
            </w:r>
          </w:p>
        </w:tc>
        <w:tc>
          <w:tcPr>
            <w:tcW w:w="729" w:type="dxa"/>
            <w:gridSpan w:val="2"/>
          </w:tcPr>
          <w:p w:rsidR="00AF2508" w:rsidRDefault="00AF2508">
            <w:pPr>
              <w:pStyle w:val="TableText"/>
              <w:jc w:val="center"/>
              <w:rPr>
                <w:sz w:val="20"/>
              </w:rPr>
            </w:pPr>
            <w:r>
              <w:rPr>
                <w:sz w:val="20"/>
              </w:rPr>
              <w:t>4</w:t>
            </w:r>
          </w:p>
        </w:tc>
        <w:tc>
          <w:tcPr>
            <w:tcW w:w="872" w:type="dxa"/>
            <w:gridSpan w:val="3"/>
            <w:tcBorders>
              <w:left w:val="single" w:sz="6" w:space="0" w:color="auto"/>
            </w:tcBorders>
          </w:tcPr>
          <w:p w:rsidR="00AF2508" w:rsidRDefault="00AF2508">
            <w:pPr>
              <w:pStyle w:val="TableText"/>
              <w:jc w:val="center"/>
              <w:rPr>
                <w:sz w:val="20"/>
              </w:rPr>
            </w:pPr>
            <w:r>
              <w:rPr>
                <w:sz w:val="20"/>
              </w:rPr>
              <w:t>2</w:t>
            </w:r>
          </w:p>
        </w:tc>
        <w:tc>
          <w:tcPr>
            <w:tcW w:w="628" w:type="dxa"/>
            <w:gridSpan w:val="2"/>
          </w:tcPr>
          <w:p w:rsidR="00AF2508" w:rsidRDefault="00AF2508">
            <w:pPr>
              <w:pStyle w:val="TableText"/>
              <w:jc w:val="center"/>
              <w:rPr>
                <w:sz w:val="20"/>
              </w:rPr>
            </w:pPr>
            <w:r>
              <w:rPr>
                <w:sz w:val="20"/>
              </w:rPr>
              <w:t>12</w:t>
            </w:r>
          </w:p>
        </w:tc>
      </w:tr>
      <w:tr w:rsidR="00AF2508">
        <w:trPr>
          <w:cantSplit/>
          <w:trHeight w:val="200"/>
        </w:trPr>
        <w:tc>
          <w:tcPr>
            <w:tcW w:w="980" w:type="dxa"/>
          </w:tcPr>
          <w:p w:rsidR="00AF2508" w:rsidRDefault="00AF2508">
            <w:pPr>
              <w:pStyle w:val="TableText"/>
              <w:jc w:val="center"/>
              <w:rPr>
                <w:sz w:val="20"/>
              </w:rPr>
            </w:pPr>
            <w:r>
              <w:rPr>
                <w:sz w:val="20"/>
              </w:rPr>
              <w:t>3</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16</w:t>
            </w:r>
          </w:p>
        </w:tc>
        <w:tc>
          <w:tcPr>
            <w:tcW w:w="672" w:type="dxa"/>
            <w:gridSpan w:val="3"/>
          </w:tcPr>
          <w:p w:rsidR="00AF2508" w:rsidRDefault="00AF2508">
            <w:pPr>
              <w:pStyle w:val="TableText"/>
              <w:jc w:val="center"/>
              <w:rPr>
                <w:sz w:val="20"/>
              </w:rPr>
            </w:pPr>
            <w:r>
              <w:rPr>
                <w:sz w:val="20"/>
              </w:rPr>
              <w:t>5</w:t>
            </w:r>
          </w:p>
        </w:tc>
        <w:tc>
          <w:tcPr>
            <w:tcW w:w="840" w:type="dxa"/>
          </w:tcPr>
          <w:p w:rsidR="00AF2508" w:rsidRDefault="00AF2508">
            <w:pPr>
              <w:pStyle w:val="TableText"/>
              <w:jc w:val="center"/>
              <w:rPr>
                <w:sz w:val="20"/>
              </w:rPr>
            </w:pPr>
            <w:r>
              <w:rPr>
                <w:sz w:val="20"/>
              </w:rPr>
              <w:t>18</w:t>
            </w:r>
          </w:p>
        </w:tc>
        <w:tc>
          <w:tcPr>
            <w:tcW w:w="612" w:type="dxa"/>
            <w:gridSpan w:val="2"/>
            <w:tcBorders>
              <w:left w:val="single" w:sz="6" w:space="0" w:color="auto"/>
            </w:tcBorders>
          </w:tcPr>
          <w:p w:rsidR="00AF2508" w:rsidRDefault="00AF2508">
            <w:pPr>
              <w:pStyle w:val="TableText"/>
              <w:jc w:val="center"/>
              <w:rPr>
                <w:sz w:val="20"/>
              </w:rPr>
            </w:pPr>
            <w:r>
              <w:rPr>
                <w:sz w:val="20"/>
              </w:rPr>
              <w:t>11</w:t>
            </w:r>
          </w:p>
        </w:tc>
        <w:tc>
          <w:tcPr>
            <w:tcW w:w="708" w:type="dxa"/>
            <w:gridSpan w:val="2"/>
          </w:tcPr>
          <w:p w:rsidR="00AF2508" w:rsidRDefault="00AF2508">
            <w:pPr>
              <w:pStyle w:val="TableText"/>
              <w:jc w:val="center"/>
              <w:rPr>
                <w:sz w:val="20"/>
              </w:rPr>
            </w:pPr>
            <w:r>
              <w:rPr>
                <w:sz w:val="20"/>
              </w:rPr>
              <w:t>8</w:t>
            </w:r>
          </w:p>
        </w:tc>
        <w:tc>
          <w:tcPr>
            <w:tcW w:w="732" w:type="dxa"/>
            <w:tcBorders>
              <w:left w:val="single" w:sz="6" w:space="0" w:color="auto"/>
            </w:tcBorders>
          </w:tcPr>
          <w:p w:rsidR="00AF2508" w:rsidRDefault="00AF2508">
            <w:pPr>
              <w:pStyle w:val="TableText"/>
              <w:jc w:val="center"/>
              <w:rPr>
                <w:sz w:val="20"/>
              </w:rPr>
            </w:pPr>
            <w:r>
              <w:rPr>
                <w:sz w:val="20"/>
              </w:rPr>
              <w:t>10</w:t>
            </w:r>
          </w:p>
        </w:tc>
        <w:tc>
          <w:tcPr>
            <w:tcW w:w="828" w:type="dxa"/>
            <w:gridSpan w:val="2"/>
          </w:tcPr>
          <w:p w:rsidR="00AF2508" w:rsidRDefault="00AF2508">
            <w:pPr>
              <w:pStyle w:val="TableText"/>
              <w:jc w:val="center"/>
              <w:rPr>
                <w:sz w:val="20"/>
              </w:rPr>
            </w:pPr>
            <w:r>
              <w:rPr>
                <w:sz w:val="20"/>
              </w:rPr>
              <w:t>5</w:t>
            </w:r>
          </w:p>
        </w:tc>
        <w:tc>
          <w:tcPr>
            <w:tcW w:w="785" w:type="dxa"/>
            <w:gridSpan w:val="2"/>
            <w:tcBorders>
              <w:left w:val="single" w:sz="6" w:space="0" w:color="auto"/>
            </w:tcBorders>
          </w:tcPr>
          <w:p w:rsidR="00AF2508" w:rsidRDefault="00AF2508">
            <w:pPr>
              <w:pStyle w:val="TableText"/>
              <w:jc w:val="center"/>
              <w:rPr>
                <w:sz w:val="20"/>
              </w:rPr>
            </w:pPr>
            <w:r>
              <w:rPr>
                <w:sz w:val="20"/>
              </w:rPr>
              <w:t>8</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5</w:t>
            </w:r>
          </w:p>
        </w:tc>
        <w:tc>
          <w:tcPr>
            <w:tcW w:w="729" w:type="dxa"/>
            <w:gridSpan w:val="2"/>
          </w:tcPr>
          <w:p w:rsidR="00AF2508" w:rsidRDefault="00AF2508">
            <w:pPr>
              <w:pStyle w:val="TableText"/>
              <w:jc w:val="center"/>
              <w:rPr>
                <w:sz w:val="20"/>
              </w:rPr>
            </w:pPr>
            <w:r>
              <w:rPr>
                <w:sz w:val="20"/>
              </w:rPr>
              <w:t>18</w:t>
            </w:r>
          </w:p>
        </w:tc>
        <w:tc>
          <w:tcPr>
            <w:tcW w:w="872" w:type="dxa"/>
            <w:gridSpan w:val="3"/>
            <w:tcBorders>
              <w:left w:val="single" w:sz="6" w:space="0" w:color="auto"/>
            </w:tcBorders>
          </w:tcPr>
          <w:p w:rsidR="00AF2508" w:rsidRDefault="00AF2508">
            <w:pPr>
              <w:pStyle w:val="TableText"/>
              <w:jc w:val="center"/>
              <w:rPr>
                <w:sz w:val="20"/>
              </w:rPr>
            </w:pPr>
            <w:r>
              <w:rPr>
                <w:sz w:val="20"/>
              </w:rPr>
              <w:t>3</w:t>
            </w:r>
          </w:p>
        </w:tc>
        <w:tc>
          <w:tcPr>
            <w:tcW w:w="628" w:type="dxa"/>
            <w:gridSpan w:val="2"/>
          </w:tcPr>
          <w:p w:rsidR="00AF2508" w:rsidRDefault="00AF2508">
            <w:pPr>
              <w:pStyle w:val="TableText"/>
              <w:jc w:val="center"/>
              <w:rPr>
                <w:sz w:val="20"/>
              </w:rPr>
            </w:pPr>
            <w:r>
              <w:rPr>
                <w:sz w:val="20"/>
              </w:rPr>
              <w:t>1</w:t>
            </w:r>
          </w:p>
        </w:tc>
      </w:tr>
      <w:tr w:rsidR="00AF2508">
        <w:trPr>
          <w:cantSplit/>
          <w:trHeight w:val="200"/>
        </w:trPr>
        <w:tc>
          <w:tcPr>
            <w:tcW w:w="980" w:type="dxa"/>
          </w:tcPr>
          <w:p w:rsidR="00AF2508" w:rsidRDefault="00AF2508">
            <w:pPr>
              <w:pStyle w:val="TableText"/>
              <w:jc w:val="center"/>
              <w:rPr>
                <w:sz w:val="20"/>
              </w:rPr>
            </w:pPr>
            <w:r>
              <w:rPr>
                <w:sz w:val="20"/>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672" w:type="dxa"/>
            <w:gridSpan w:val="3"/>
          </w:tcPr>
          <w:p w:rsidR="00AF2508" w:rsidRDefault="00AF2508">
            <w:pPr>
              <w:pStyle w:val="TableText"/>
              <w:jc w:val="center"/>
              <w:rPr>
                <w:sz w:val="20"/>
              </w:rPr>
            </w:pPr>
            <w:r>
              <w:rPr>
                <w:sz w:val="20"/>
              </w:rPr>
              <w:t>6</w:t>
            </w:r>
          </w:p>
        </w:tc>
        <w:tc>
          <w:tcPr>
            <w:tcW w:w="840" w:type="dxa"/>
          </w:tcPr>
          <w:p w:rsidR="00AF2508" w:rsidRDefault="00AF2508">
            <w:pPr>
              <w:pStyle w:val="TableText"/>
              <w:jc w:val="center"/>
              <w:rPr>
                <w:sz w:val="20"/>
              </w:rPr>
            </w:pPr>
            <w:r>
              <w:rPr>
                <w:sz w:val="20"/>
              </w:rPr>
              <w:t>17</w:t>
            </w:r>
          </w:p>
        </w:tc>
        <w:tc>
          <w:tcPr>
            <w:tcW w:w="612" w:type="dxa"/>
            <w:gridSpan w:val="2"/>
            <w:tcBorders>
              <w:left w:val="single" w:sz="6" w:space="0" w:color="auto"/>
            </w:tcBorders>
          </w:tcPr>
          <w:p w:rsidR="00AF2508" w:rsidRDefault="00AF2508">
            <w:pPr>
              <w:pStyle w:val="TableText"/>
              <w:jc w:val="center"/>
              <w:rPr>
                <w:sz w:val="20"/>
              </w:rPr>
            </w:pPr>
            <w:r>
              <w:rPr>
                <w:sz w:val="20"/>
              </w:rPr>
              <w:t>13</w:t>
            </w:r>
          </w:p>
        </w:tc>
        <w:tc>
          <w:tcPr>
            <w:tcW w:w="708" w:type="dxa"/>
            <w:gridSpan w:val="2"/>
          </w:tcPr>
          <w:p w:rsidR="00AF2508" w:rsidRDefault="00AF2508">
            <w:pPr>
              <w:pStyle w:val="TableText"/>
              <w:jc w:val="center"/>
              <w:rPr>
                <w:sz w:val="20"/>
              </w:rPr>
            </w:pPr>
            <w:r>
              <w:rPr>
                <w:sz w:val="20"/>
              </w:rPr>
              <w:t>5</w:t>
            </w:r>
          </w:p>
        </w:tc>
        <w:tc>
          <w:tcPr>
            <w:tcW w:w="732" w:type="dxa"/>
            <w:tcBorders>
              <w:left w:val="single" w:sz="6" w:space="0" w:color="auto"/>
            </w:tcBorders>
          </w:tcPr>
          <w:p w:rsidR="00AF2508" w:rsidRDefault="00AF2508">
            <w:pPr>
              <w:pStyle w:val="TableText"/>
              <w:jc w:val="center"/>
              <w:rPr>
                <w:sz w:val="20"/>
              </w:rPr>
            </w:pPr>
            <w:r>
              <w:rPr>
                <w:sz w:val="20"/>
              </w:rPr>
              <w:t>11</w:t>
            </w:r>
          </w:p>
        </w:tc>
        <w:tc>
          <w:tcPr>
            <w:tcW w:w="828" w:type="dxa"/>
            <w:gridSpan w:val="2"/>
          </w:tcPr>
          <w:p w:rsidR="00AF2508" w:rsidRDefault="00AF2508">
            <w:pPr>
              <w:pStyle w:val="TableText"/>
              <w:jc w:val="center"/>
              <w:rPr>
                <w:sz w:val="20"/>
              </w:rPr>
            </w:pPr>
            <w:r>
              <w:rPr>
                <w:sz w:val="20"/>
              </w:rPr>
              <w:t>18</w:t>
            </w:r>
          </w:p>
        </w:tc>
        <w:tc>
          <w:tcPr>
            <w:tcW w:w="785" w:type="dxa"/>
            <w:gridSpan w:val="2"/>
            <w:tcBorders>
              <w:left w:val="single" w:sz="6" w:space="0" w:color="auto"/>
            </w:tcBorders>
          </w:tcPr>
          <w:p w:rsidR="00AF2508" w:rsidRDefault="00AF2508">
            <w:pPr>
              <w:pStyle w:val="TableText"/>
              <w:jc w:val="center"/>
              <w:rPr>
                <w:sz w:val="20"/>
              </w:rPr>
            </w:pPr>
            <w:r>
              <w:rPr>
                <w:sz w:val="20"/>
              </w:rPr>
              <w:t>9</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6</w:t>
            </w:r>
          </w:p>
        </w:tc>
        <w:tc>
          <w:tcPr>
            <w:tcW w:w="729" w:type="dxa"/>
            <w:gridSpan w:val="2"/>
          </w:tcPr>
          <w:p w:rsidR="00AF2508" w:rsidRDefault="00AF2508">
            <w:pPr>
              <w:pStyle w:val="TableText"/>
              <w:jc w:val="center"/>
              <w:rPr>
                <w:sz w:val="20"/>
              </w:rPr>
            </w:pPr>
            <w:r>
              <w:rPr>
                <w:sz w:val="20"/>
              </w:rPr>
              <w:t>17</w:t>
            </w:r>
          </w:p>
        </w:tc>
        <w:tc>
          <w:tcPr>
            <w:tcW w:w="872" w:type="dxa"/>
            <w:gridSpan w:val="3"/>
            <w:tcBorders>
              <w:left w:val="single" w:sz="6" w:space="0" w:color="auto"/>
            </w:tcBorders>
          </w:tcPr>
          <w:p w:rsidR="00AF2508" w:rsidRDefault="00AF2508">
            <w:pPr>
              <w:pStyle w:val="TableText"/>
              <w:jc w:val="center"/>
              <w:rPr>
                <w:sz w:val="20"/>
              </w:rPr>
            </w:pPr>
            <w:r>
              <w:rPr>
                <w:sz w:val="20"/>
              </w:rPr>
              <w:t>3</w:t>
            </w:r>
          </w:p>
        </w:tc>
        <w:tc>
          <w:tcPr>
            <w:tcW w:w="628" w:type="dxa"/>
            <w:gridSpan w:val="2"/>
          </w:tcPr>
          <w:p w:rsidR="00AF2508" w:rsidRDefault="00AF2508">
            <w:pPr>
              <w:pStyle w:val="TableText"/>
              <w:jc w:val="center"/>
              <w:rPr>
                <w:sz w:val="20"/>
              </w:rPr>
            </w:pPr>
            <w:r>
              <w:rPr>
                <w:sz w:val="20"/>
              </w:rPr>
              <w:t>11</w:t>
            </w:r>
          </w:p>
        </w:tc>
      </w:tr>
      <w:tr w:rsidR="00AF2508">
        <w:trPr>
          <w:cantSplit/>
          <w:trHeight w:val="200"/>
        </w:trPr>
        <w:tc>
          <w:tcPr>
            <w:tcW w:w="980" w:type="dxa"/>
          </w:tcPr>
          <w:p w:rsidR="00AF2508" w:rsidRDefault="00AF2508">
            <w:pPr>
              <w:pStyle w:val="TableText"/>
              <w:jc w:val="center"/>
              <w:rPr>
                <w:sz w:val="20"/>
              </w:rPr>
            </w:pPr>
            <w:r>
              <w:rPr>
                <w:sz w:val="20"/>
              </w:rPr>
              <w:t>4</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672" w:type="dxa"/>
            <w:gridSpan w:val="3"/>
          </w:tcPr>
          <w:p w:rsidR="00AF2508" w:rsidRDefault="00AF2508">
            <w:pPr>
              <w:pStyle w:val="TableText"/>
              <w:jc w:val="center"/>
              <w:rPr>
                <w:sz w:val="20"/>
              </w:rPr>
            </w:pPr>
            <w:r>
              <w:rPr>
                <w:sz w:val="20"/>
              </w:rPr>
              <w:t>7</w:t>
            </w:r>
          </w:p>
        </w:tc>
        <w:tc>
          <w:tcPr>
            <w:tcW w:w="840" w:type="dxa"/>
          </w:tcPr>
          <w:p w:rsidR="00AF2508" w:rsidRDefault="00AF2508">
            <w:pPr>
              <w:pStyle w:val="TableText"/>
              <w:jc w:val="center"/>
              <w:rPr>
                <w:sz w:val="20"/>
              </w:rPr>
            </w:pPr>
            <w:r>
              <w:rPr>
                <w:sz w:val="20"/>
              </w:rPr>
              <w:t>13</w:t>
            </w:r>
          </w:p>
        </w:tc>
        <w:tc>
          <w:tcPr>
            <w:tcW w:w="612" w:type="dxa"/>
            <w:gridSpan w:val="2"/>
            <w:tcBorders>
              <w:left w:val="single" w:sz="6" w:space="0" w:color="auto"/>
            </w:tcBorders>
          </w:tcPr>
          <w:p w:rsidR="00AF2508" w:rsidRDefault="00AF2508">
            <w:pPr>
              <w:pStyle w:val="TableText"/>
              <w:jc w:val="center"/>
              <w:rPr>
                <w:sz w:val="20"/>
              </w:rPr>
            </w:pPr>
            <w:r>
              <w:rPr>
                <w:sz w:val="20"/>
              </w:rPr>
              <w:t>14</w:t>
            </w:r>
          </w:p>
        </w:tc>
        <w:tc>
          <w:tcPr>
            <w:tcW w:w="708" w:type="dxa"/>
            <w:gridSpan w:val="2"/>
          </w:tcPr>
          <w:p w:rsidR="00AF2508" w:rsidRDefault="00AF2508">
            <w:pPr>
              <w:pStyle w:val="TableText"/>
              <w:jc w:val="center"/>
              <w:rPr>
                <w:sz w:val="20"/>
              </w:rPr>
            </w:pPr>
            <w:r>
              <w:rPr>
                <w:sz w:val="20"/>
              </w:rPr>
              <w:t>16</w:t>
            </w:r>
          </w:p>
        </w:tc>
        <w:tc>
          <w:tcPr>
            <w:tcW w:w="732" w:type="dxa"/>
            <w:tcBorders>
              <w:left w:val="single" w:sz="6" w:space="0" w:color="auto"/>
            </w:tcBorders>
          </w:tcPr>
          <w:p w:rsidR="00AF2508" w:rsidRDefault="00AF2508">
            <w:pPr>
              <w:pStyle w:val="TableText"/>
              <w:jc w:val="center"/>
              <w:rPr>
                <w:sz w:val="20"/>
              </w:rPr>
            </w:pPr>
            <w:r>
              <w:rPr>
                <w:sz w:val="20"/>
              </w:rPr>
              <w:t>13</w:t>
            </w:r>
          </w:p>
        </w:tc>
        <w:tc>
          <w:tcPr>
            <w:tcW w:w="828" w:type="dxa"/>
            <w:gridSpan w:val="2"/>
          </w:tcPr>
          <w:p w:rsidR="00AF2508" w:rsidRDefault="00AF2508">
            <w:pPr>
              <w:pStyle w:val="TableText"/>
              <w:jc w:val="center"/>
              <w:rPr>
                <w:sz w:val="20"/>
              </w:rPr>
            </w:pPr>
            <w:r>
              <w:rPr>
                <w:sz w:val="20"/>
              </w:rPr>
              <w:t>5</w:t>
            </w:r>
          </w:p>
        </w:tc>
        <w:tc>
          <w:tcPr>
            <w:tcW w:w="785" w:type="dxa"/>
            <w:gridSpan w:val="2"/>
            <w:tcBorders>
              <w:left w:val="single" w:sz="6" w:space="0" w:color="auto"/>
            </w:tcBorders>
          </w:tcPr>
          <w:p w:rsidR="00AF2508" w:rsidRDefault="00AF2508">
            <w:pPr>
              <w:pStyle w:val="TableText"/>
              <w:jc w:val="center"/>
              <w:rPr>
                <w:sz w:val="20"/>
              </w:rPr>
            </w:pPr>
            <w:r>
              <w:rPr>
                <w:sz w:val="20"/>
              </w:rPr>
              <w:t>10</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7</w:t>
            </w:r>
          </w:p>
        </w:tc>
        <w:tc>
          <w:tcPr>
            <w:tcW w:w="729" w:type="dxa"/>
            <w:gridSpan w:val="2"/>
          </w:tcPr>
          <w:p w:rsidR="00AF2508" w:rsidRDefault="00AF2508">
            <w:pPr>
              <w:pStyle w:val="TableText"/>
              <w:jc w:val="center"/>
              <w:rPr>
                <w:sz w:val="20"/>
              </w:rPr>
            </w:pPr>
            <w:r>
              <w:rPr>
                <w:sz w:val="20"/>
              </w:rPr>
              <w:t>13</w:t>
            </w:r>
          </w:p>
        </w:tc>
        <w:tc>
          <w:tcPr>
            <w:tcW w:w="872" w:type="dxa"/>
            <w:gridSpan w:val="3"/>
            <w:tcBorders>
              <w:left w:val="single" w:sz="6" w:space="0" w:color="auto"/>
            </w:tcBorders>
          </w:tcPr>
          <w:p w:rsidR="00AF2508" w:rsidRDefault="00AF2508">
            <w:pPr>
              <w:pStyle w:val="TableText"/>
              <w:jc w:val="center"/>
              <w:rPr>
                <w:sz w:val="20"/>
              </w:rPr>
            </w:pPr>
            <w:r>
              <w:rPr>
                <w:sz w:val="20"/>
              </w:rPr>
              <w:t>3</w:t>
            </w:r>
          </w:p>
        </w:tc>
        <w:tc>
          <w:tcPr>
            <w:tcW w:w="628" w:type="dxa"/>
            <w:gridSpan w:val="2"/>
          </w:tcPr>
          <w:p w:rsidR="00AF2508" w:rsidRDefault="00AF2508">
            <w:pPr>
              <w:pStyle w:val="TableText"/>
              <w:jc w:val="center"/>
              <w:rPr>
                <w:sz w:val="20"/>
              </w:rPr>
            </w:pPr>
            <w:r>
              <w:rPr>
                <w:sz w:val="20"/>
              </w:rPr>
              <w:t>19</w:t>
            </w:r>
          </w:p>
        </w:tc>
      </w:tr>
      <w:tr w:rsidR="00AF2508">
        <w:trPr>
          <w:cantSplit/>
          <w:trHeight w:val="200"/>
        </w:trPr>
        <w:tc>
          <w:tcPr>
            <w:tcW w:w="980" w:type="dxa"/>
          </w:tcPr>
          <w:p w:rsidR="00AF2508" w:rsidRDefault="00AF2508">
            <w:pPr>
              <w:pStyle w:val="TableText"/>
              <w:jc w:val="center"/>
              <w:rPr>
                <w:sz w:val="20"/>
              </w:rPr>
            </w:pPr>
            <w:r>
              <w:rPr>
                <w:sz w:val="20"/>
              </w:rPr>
              <w:t>4</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16</w:t>
            </w:r>
          </w:p>
        </w:tc>
        <w:tc>
          <w:tcPr>
            <w:tcW w:w="672" w:type="dxa"/>
            <w:gridSpan w:val="3"/>
          </w:tcPr>
          <w:p w:rsidR="00AF2508" w:rsidRDefault="00AF2508">
            <w:pPr>
              <w:pStyle w:val="TableText"/>
              <w:jc w:val="center"/>
              <w:rPr>
                <w:sz w:val="20"/>
              </w:rPr>
            </w:pPr>
            <w:r>
              <w:rPr>
                <w:sz w:val="20"/>
              </w:rPr>
              <w:t>8</w:t>
            </w:r>
          </w:p>
        </w:tc>
        <w:tc>
          <w:tcPr>
            <w:tcW w:w="840" w:type="dxa"/>
          </w:tcPr>
          <w:p w:rsidR="00AF2508" w:rsidRDefault="00AF2508">
            <w:pPr>
              <w:pStyle w:val="TableText"/>
              <w:jc w:val="center"/>
              <w:rPr>
                <w:sz w:val="20"/>
              </w:rPr>
            </w:pPr>
            <w:r>
              <w:rPr>
                <w:sz w:val="20"/>
              </w:rPr>
              <w:t>10</w:t>
            </w:r>
          </w:p>
        </w:tc>
        <w:tc>
          <w:tcPr>
            <w:tcW w:w="612" w:type="dxa"/>
            <w:gridSpan w:val="2"/>
            <w:tcBorders>
              <w:left w:val="single" w:sz="6" w:space="0" w:color="auto"/>
            </w:tcBorders>
          </w:tcPr>
          <w:p w:rsidR="00AF2508" w:rsidRDefault="00AF2508">
            <w:pPr>
              <w:pStyle w:val="TableText"/>
              <w:jc w:val="center"/>
              <w:rPr>
                <w:sz w:val="20"/>
              </w:rPr>
            </w:pPr>
            <w:r>
              <w:rPr>
                <w:sz w:val="20"/>
              </w:rPr>
              <w:t>16</w:t>
            </w:r>
          </w:p>
        </w:tc>
        <w:tc>
          <w:tcPr>
            <w:tcW w:w="708" w:type="dxa"/>
            <w:gridSpan w:val="2"/>
          </w:tcPr>
          <w:p w:rsidR="00AF2508" w:rsidRDefault="00AF2508">
            <w:pPr>
              <w:pStyle w:val="TableText"/>
              <w:jc w:val="center"/>
              <w:rPr>
                <w:sz w:val="20"/>
              </w:rPr>
            </w:pPr>
            <w:r>
              <w:rPr>
                <w:sz w:val="20"/>
              </w:rPr>
              <w:t>10</w:t>
            </w:r>
          </w:p>
        </w:tc>
        <w:tc>
          <w:tcPr>
            <w:tcW w:w="732" w:type="dxa"/>
            <w:tcBorders>
              <w:left w:val="single" w:sz="6" w:space="0" w:color="auto"/>
            </w:tcBorders>
          </w:tcPr>
          <w:p w:rsidR="00AF2508" w:rsidRDefault="00AF2508">
            <w:pPr>
              <w:pStyle w:val="TableText"/>
              <w:jc w:val="center"/>
              <w:rPr>
                <w:sz w:val="20"/>
              </w:rPr>
            </w:pPr>
            <w:r>
              <w:rPr>
                <w:sz w:val="20"/>
              </w:rPr>
              <w:t>14</w:t>
            </w:r>
          </w:p>
        </w:tc>
        <w:tc>
          <w:tcPr>
            <w:tcW w:w="828" w:type="dxa"/>
            <w:gridSpan w:val="2"/>
          </w:tcPr>
          <w:p w:rsidR="00AF2508" w:rsidRDefault="00AF2508">
            <w:pPr>
              <w:pStyle w:val="TableText"/>
              <w:jc w:val="center"/>
              <w:rPr>
                <w:sz w:val="20"/>
              </w:rPr>
            </w:pPr>
            <w:r>
              <w:rPr>
                <w:sz w:val="20"/>
              </w:rPr>
              <w:t>15</w:t>
            </w:r>
          </w:p>
        </w:tc>
        <w:tc>
          <w:tcPr>
            <w:tcW w:w="785" w:type="dxa"/>
            <w:gridSpan w:val="2"/>
            <w:tcBorders>
              <w:left w:val="single" w:sz="6" w:space="0" w:color="auto"/>
            </w:tcBorders>
          </w:tcPr>
          <w:p w:rsidR="00AF2508" w:rsidRDefault="00AF2508">
            <w:pPr>
              <w:pStyle w:val="TableText"/>
              <w:jc w:val="center"/>
              <w:rPr>
                <w:sz w:val="20"/>
              </w:rPr>
            </w:pPr>
            <w:r>
              <w:rPr>
                <w:sz w:val="20"/>
              </w:rPr>
              <w:t>12</w:t>
            </w:r>
          </w:p>
        </w:tc>
        <w:tc>
          <w:tcPr>
            <w:tcW w:w="786" w:type="dxa"/>
            <w:gridSpan w:val="2"/>
          </w:tcPr>
          <w:p w:rsidR="00AF2508" w:rsidRDefault="00AF2508">
            <w:pPr>
              <w:pStyle w:val="TableText"/>
              <w:jc w:val="center"/>
              <w:rPr>
                <w:sz w:val="20"/>
              </w:rPr>
            </w:pPr>
            <w:r>
              <w:rPr>
                <w:sz w:val="20"/>
              </w:rPr>
              <w:t>1</w:t>
            </w:r>
          </w:p>
        </w:tc>
        <w:tc>
          <w:tcPr>
            <w:tcW w:w="760" w:type="dxa"/>
            <w:tcBorders>
              <w:left w:val="single" w:sz="6" w:space="0" w:color="auto"/>
            </w:tcBorders>
          </w:tcPr>
          <w:p w:rsidR="00AF2508" w:rsidRDefault="00AF2508">
            <w:pPr>
              <w:pStyle w:val="TableText"/>
              <w:jc w:val="center"/>
              <w:rPr>
                <w:sz w:val="20"/>
              </w:rPr>
            </w:pPr>
            <w:r>
              <w:rPr>
                <w:sz w:val="20"/>
              </w:rPr>
              <w:t>8</w:t>
            </w:r>
          </w:p>
        </w:tc>
        <w:tc>
          <w:tcPr>
            <w:tcW w:w="729" w:type="dxa"/>
            <w:gridSpan w:val="2"/>
          </w:tcPr>
          <w:p w:rsidR="00AF2508" w:rsidRDefault="00AF2508">
            <w:pPr>
              <w:pStyle w:val="TableText"/>
              <w:jc w:val="center"/>
              <w:rPr>
                <w:sz w:val="20"/>
              </w:rPr>
            </w:pPr>
            <w:r>
              <w:rPr>
                <w:sz w:val="20"/>
              </w:rPr>
              <w:t>10</w:t>
            </w:r>
          </w:p>
        </w:tc>
        <w:tc>
          <w:tcPr>
            <w:tcW w:w="872" w:type="dxa"/>
            <w:gridSpan w:val="3"/>
            <w:tcBorders>
              <w:left w:val="single" w:sz="6" w:space="0" w:color="auto"/>
            </w:tcBorders>
          </w:tcPr>
          <w:p w:rsidR="00AF2508" w:rsidRDefault="00AF2508">
            <w:pPr>
              <w:pStyle w:val="TableText"/>
              <w:jc w:val="center"/>
              <w:rPr>
                <w:sz w:val="20"/>
              </w:rPr>
            </w:pPr>
            <w:r>
              <w:rPr>
                <w:sz w:val="20"/>
              </w:rPr>
              <w:t>4</w:t>
            </w:r>
          </w:p>
        </w:tc>
        <w:tc>
          <w:tcPr>
            <w:tcW w:w="628" w:type="dxa"/>
            <w:gridSpan w:val="2"/>
          </w:tcPr>
          <w:p w:rsidR="00AF2508" w:rsidRDefault="00AF2508">
            <w:pPr>
              <w:pStyle w:val="TableText"/>
              <w:jc w:val="center"/>
              <w:rPr>
                <w:sz w:val="20"/>
              </w:rPr>
            </w:pPr>
            <w:r>
              <w:rPr>
                <w:sz w:val="20"/>
              </w:rPr>
              <w:t>8</w:t>
            </w:r>
          </w:p>
        </w:tc>
      </w:tr>
      <w:tr w:rsidR="00AF2508">
        <w:trPr>
          <w:cantSplit/>
          <w:trHeight w:val="200"/>
        </w:trPr>
        <w:tc>
          <w:tcPr>
            <w:tcW w:w="980" w:type="dxa"/>
          </w:tcPr>
          <w:p w:rsidR="00AF2508" w:rsidRDefault="00AF2508">
            <w:pPr>
              <w:pStyle w:val="TableText"/>
              <w:jc w:val="center"/>
              <w:rPr>
                <w:sz w:val="20"/>
              </w:rPr>
            </w:pPr>
            <w:r>
              <w:rPr>
                <w:sz w:val="20"/>
              </w:rPr>
              <w:t>4</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672" w:type="dxa"/>
            <w:gridSpan w:val="3"/>
          </w:tcPr>
          <w:p w:rsidR="00AF2508" w:rsidRDefault="00AF2508">
            <w:pPr>
              <w:pStyle w:val="TableText"/>
              <w:jc w:val="center"/>
              <w:rPr>
                <w:sz w:val="20"/>
              </w:rPr>
            </w:pPr>
            <w:r>
              <w:rPr>
                <w:sz w:val="20"/>
              </w:rPr>
              <w:t>9</w:t>
            </w:r>
          </w:p>
        </w:tc>
        <w:tc>
          <w:tcPr>
            <w:tcW w:w="840" w:type="dxa"/>
          </w:tcPr>
          <w:p w:rsidR="00AF2508" w:rsidRDefault="00AF2508">
            <w:pPr>
              <w:pStyle w:val="TableText"/>
              <w:jc w:val="center"/>
              <w:rPr>
                <w:sz w:val="20"/>
              </w:rPr>
            </w:pPr>
            <w:r>
              <w:rPr>
                <w:sz w:val="20"/>
              </w:rPr>
              <w:t>13</w:t>
            </w:r>
          </w:p>
        </w:tc>
        <w:tc>
          <w:tcPr>
            <w:tcW w:w="612" w:type="dxa"/>
            <w:gridSpan w:val="2"/>
            <w:tcBorders>
              <w:left w:val="single" w:sz="6" w:space="0" w:color="auto"/>
            </w:tcBorders>
          </w:tcPr>
          <w:p w:rsidR="00AF2508" w:rsidRDefault="00AF2508">
            <w:pPr>
              <w:pStyle w:val="TableText"/>
              <w:jc w:val="center"/>
              <w:rPr>
                <w:sz w:val="20"/>
              </w:rPr>
            </w:pPr>
            <w:r>
              <w:rPr>
                <w:sz w:val="20"/>
              </w:rPr>
              <w:t>18</w:t>
            </w:r>
          </w:p>
        </w:tc>
        <w:tc>
          <w:tcPr>
            <w:tcW w:w="708" w:type="dxa"/>
            <w:gridSpan w:val="2"/>
          </w:tcPr>
          <w:p w:rsidR="00AF2508" w:rsidRDefault="00AF2508">
            <w:pPr>
              <w:pStyle w:val="TableText"/>
              <w:jc w:val="center"/>
              <w:rPr>
                <w:sz w:val="20"/>
              </w:rPr>
            </w:pPr>
            <w:r>
              <w:rPr>
                <w:sz w:val="20"/>
              </w:rPr>
              <w:t>13</w:t>
            </w:r>
          </w:p>
        </w:tc>
        <w:tc>
          <w:tcPr>
            <w:tcW w:w="732" w:type="dxa"/>
            <w:tcBorders>
              <w:left w:val="single" w:sz="6" w:space="0" w:color="auto"/>
            </w:tcBorders>
          </w:tcPr>
          <w:p w:rsidR="00AF2508" w:rsidRDefault="00AF2508">
            <w:pPr>
              <w:pStyle w:val="TableText"/>
              <w:jc w:val="center"/>
              <w:rPr>
                <w:sz w:val="20"/>
              </w:rPr>
            </w:pPr>
            <w:r>
              <w:rPr>
                <w:sz w:val="20"/>
              </w:rPr>
              <w:t>16</w:t>
            </w:r>
          </w:p>
        </w:tc>
        <w:tc>
          <w:tcPr>
            <w:tcW w:w="828" w:type="dxa"/>
            <w:gridSpan w:val="2"/>
          </w:tcPr>
          <w:p w:rsidR="00AF2508" w:rsidRDefault="00AF2508">
            <w:pPr>
              <w:pStyle w:val="TableText"/>
              <w:jc w:val="center"/>
              <w:rPr>
                <w:sz w:val="20"/>
              </w:rPr>
            </w:pPr>
            <w:r>
              <w:rPr>
                <w:sz w:val="20"/>
              </w:rPr>
              <w:t>14</w:t>
            </w:r>
          </w:p>
        </w:tc>
        <w:tc>
          <w:tcPr>
            <w:tcW w:w="785" w:type="dxa"/>
            <w:gridSpan w:val="2"/>
            <w:tcBorders>
              <w:left w:val="single" w:sz="6" w:space="0" w:color="auto"/>
            </w:tcBorders>
          </w:tcPr>
          <w:p w:rsidR="00AF2508" w:rsidRDefault="00AF2508">
            <w:pPr>
              <w:pStyle w:val="TableText"/>
              <w:jc w:val="center"/>
              <w:rPr>
                <w:sz w:val="20"/>
              </w:rPr>
            </w:pPr>
            <w:r>
              <w:rPr>
                <w:sz w:val="20"/>
              </w:rPr>
              <w:t>13</w:t>
            </w:r>
          </w:p>
        </w:tc>
        <w:tc>
          <w:tcPr>
            <w:tcW w:w="786" w:type="dxa"/>
            <w:gridSpan w:val="2"/>
          </w:tcPr>
          <w:p w:rsidR="00AF2508" w:rsidRDefault="00AF2508">
            <w:pPr>
              <w:pStyle w:val="TableText"/>
              <w:jc w:val="center"/>
              <w:rPr>
                <w:sz w:val="20"/>
              </w:rPr>
            </w:pPr>
            <w:r>
              <w:rPr>
                <w:sz w:val="20"/>
              </w:rPr>
              <w:t>13</w:t>
            </w:r>
          </w:p>
        </w:tc>
        <w:tc>
          <w:tcPr>
            <w:tcW w:w="760" w:type="dxa"/>
            <w:tcBorders>
              <w:left w:val="single" w:sz="6" w:space="0" w:color="auto"/>
            </w:tcBorders>
          </w:tcPr>
          <w:p w:rsidR="00AF2508" w:rsidRDefault="00AF2508">
            <w:pPr>
              <w:pStyle w:val="TableText"/>
              <w:jc w:val="center"/>
              <w:rPr>
                <w:sz w:val="20"/>
              </w:rPr>
            </w:pPr>
            <w:r>
              <w:rPr>
                <w:sz w:val="20"/>
              </w:rPr>
              <w:t>9</w:t>
            </w:r>
          </w:p>
        </w:tc>
        <w:tc>
          <w:tcPr>
            <w:tcW w:w="729" w:type="dxa"/>
            <w:gridSpan w:val="2"/>
          </w:tcPr>
          <w:p w:rsidR="00AF2508" w:rsidRDefault="00AF2508">
            <w:pPr>
              <w:pStyle w:val="TableText"/>
              <w:jc w:val="center"/>
              <w:rPr>
                <w:sz w:val="20"/>
              </w:rPr>
            </w:pPr>
            <w:r>
              <w:rPr>
                <w:sz w:val="20"/>
              </w:rPr>
              <w:t>13</w:t>
            </w:r>
          </w:p>
        </w:tc>
        <w:tc>
          <w:tcPr>
            <w:tcW w:w="872" w:type="dxa"/>
            <w:gridSpan w:val="3"/>
            <w:tcBorders>
              <w:left w:val="single" w:sz="6" w:space="0" w:color="auto"/>
            </w:tcBorders>
          </w:tcPr>
          <w:p w:rsidR="00AF2508" w:rsidRDefault="00AF2508">
            <w:pPr>
              <w:pStyle w:val="TableText"/>
              <w:jc w:val="center"/>
              <w:rPr>
                <w:sz w:val="20"/>
              </w:rPr>
            </w:pPr>
            <w:r>
              <w:rPr>
                <w:sz w:val="20"/>
              </w:rPr>
              <w:t>5</w:t>
            </w:r>
          </w:p>
        </w:tc>
        <w:tc>
          <w:tcPr>
            <w:tcW w:w="628" w:type="dxa"/>
            <w:gridSpan w:val="2"/>
          </w:tcPr>
          <w:p w:rsidR="00AF2508" w:rsidRDefault="00AF2508">
            <w:pPr>
              <w:pStyle w:val="TableText"/>
              <w:jc w:val="center"/>
              <w:rPr>
                <w:sz w:val="20"/>
              </w:rPr>
            </w:pPr>
            <w:r>
              <w:rPr>
                <w:sz w:val="20"/>
              </w:rPr>
              <w:t>0</w:t>
            </w:r>
          </w:p>
        </w:tc>
      </w:tr>
      <w:tr w:rsidR="00AF2508">
        <w:trPr>
          <w:cantSplit/>
          <w:trHeight w:val="200"/>
        </w:trPr>
        <w:tc>
          <w:tcPr>
            <w:tcW w:w="980" w:type="dxa"/>
          </w:tcPr>
          <w:p w:rsidR="00AF2508" w:rsidRDefault="00AF2508">
            <w:pPr>
              <w:pStyle w:val="TableText"/>
              <w:jc w:val="center"/>
              <w:rPr>
                <w:sz w:val="20"/>
              </w:rPr>
            </w:pPr>
            <w:r>
              <w:rPr>
                <w:sz w:val="20"/>
              </w:rPr>
              <w:t>5</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672" w:type="dxa"/>
            <w:gridSpan w:val="3"/>
          </w:tcPr>
          <w:p w:rsidR="00AF2508" w:rsidRDefault="00AF2508">
            <w:pPr>
              <w:pStyle w:val="TableText"/>
              <w:jc w:val="center"/>
              <w:rPr>
                <w:sz w:val="20"/>
              </w:rPr>
            </w:pPr>
            <w:r>
              <w:rPr>
                <w:sz w:val="20"/>
              </w:rPr>
              <w:t>10</w:t>
            </w:r>
          </w:p>
        </w:tc>
        <w:tc>
          <w:tcPr>
            <w:tcW w:w="840" w:type="dxa"/>
          </w:tcPr>
          <w:p w:rsidR="00AF2508" w:rsidRDefault="00AF2508">
            <w:pPr>
              <w:pStyle w:val="TableText"/>
              <w:jc w:val="center"/>
              <w:rPr>
                <w:sz w:val="20"/>
              </w:rPr>
            </w:pPr>
            <w:r>
              <w:rPr>
                <w:sz w:val="20"/>
              </w:rPr>
              <w:t>12</w:t>
            </w:r>
          </w:p>
        </w:tc>
        <w:tc>
          <w:tcPr>
            <w:tcW w:w="612" w:type="dxa"/>
            <w:gridSpan w:val="2"/>
            <w:tcBorders>
              <w:left w:val="single" w:sz="6" w:space="0" w:color="auto"/>
            </w:tcBorders>
          </w:tcPr>
          <w:p w:rsidR="00AF2508" w:rsidRDefault="00AF2508">
            <w:pPr>
              <w:pStyle w:val="TableText"/>
              <w:jc w:val="center"/>
              <w:rPr>
                <w:sz w:val="20"/>
              </w:rPr>
            </w:pPr>
            <w:r>
              <w:rPr>
                <w:sz w:val="20"/>
              </w:rPr>
              <w:t>20</w:t>
            </w:r>
          </w:p>
        </w:tc>
        <w:tc>
          <w:tcPr>
            <w:tcW w:w="708" w:type="dxa"/>
            <w:gridSpan w:val="2"/>
          </w:tcPr>
          <w:p w:rsidR="00AF2508" w:rsidRDefault="00AF2508">
            <w:pPr>
              <w:pStyle w:val="TableText"/>
              <w:jc w:val="center"/>
              <w:rPr>
                <w:sz w:val="20"/>
              </w:rPr>
            </w:pPr>
            <w:r>
              <w:rPr>
                <w:sz w:val="20"/>
              </w:rPr>
              <w:t>9</w:t>
            </w:r>
          </w:p>
        </w:tc>
        <w:tc>
          <w:tcPr>
            <w:tcW w:w="732" w:type="dxa"/>
            <w:tcBorders>
              <w:left w:val="single" w:sz="6" w:space="0" w:color="auto"/>
            </w:tcBorders>
          </w:tcPr>
          <w:p w:rsidR="00AF2508" w:rsidRDefault="00AF2508">
            <w:pPr>
              <w:pStyle w:val="TableText"/>
              <w:jc w:val="center"/>
              <w:rPr>
                <w:sz w:val="20"/>
              </w:rPr>
            </w:pPr>
            <w:r>
              <w:rPr>
                <w:sz w:val="20"/>
              </w:rPr>
              <w:t>18</w:t>
            </w:r>
          </w:p>
        </w:tc>
        <w:tc>
          <w:tcPr>
            <w:tcW w:w="828" w:type="dxa"/>
            <w:gridSpan w:val="2"/>
          </w:tcPr>
          <w:p w:rsidR="00AF2508" w:rsidRDefault="00AF2508">
            <w:pPr>
              <w:pStyle w:val="TableText"/>
              <w:jc w:val="center"/>
              <w:rPr>
                <w:sz w:val="20"/>
              </w:rPr>
            </w:pPr>
            <w:r>
              <w:rPr>
                <w:sz w:val="20"/>
              </w:rPr>
              <w:t>7</w:t>
            </w:r>
          </w:p>
        </w:tc>
        <w:tc>
          <w:tcPr>
            <w:tcW w:w="785" w:type="dxa"/>
            <w:gridSpan w:val="2"/>
            <w:tcBorders>
              <w:left w:val="single" w:sz="6" w:space="0" w:color="auto"/>
            </w:tcBorders>
          </w:tcPr>
          <w:p w:rsidR="00AF2508" w:rsidRDefault="00AF2508">
            <w:pPr>
              <w:pStyle w:val="TableText"/>
              <w:jc w:val="center"/>
              <w:rPr>
                <w:sz w:val="20"/>
              </w:rPr>
            </w:pPr>
            <w:r>
              <w:rPr>
                <w:sz w:val="20"/>
              </w:rPr>
              <w:t>15</w:t>
            </w:r>
          </w:p>
        </w:tc>
        <w:tc>
          <w:tcPr>
            <w:tcW w:w="786" w:type="dxa"/>
            <w:gridSpan w:val="2"/>
          </w:tcPr>
          <w:p w:rsidR="00AF2508" w:rsidRDefault="00AF2508">
            <w:pPr>
              <w:pStyle w:val="TableText"/>
              <w:jc w:val="center"/>
              <w:rPr>
                <w:sz w:val="20"/>
              </w:rPr>
            </w:pPr>
            <w:r>
              <w:rPr>
                <w:sz w:val="20"/>
              </w:rPr>
              <w:t>0</w:t>
            </w:r>
          </w:p>
        </w:tc>
        <w:tc>
          <w:tcPr>
            <w:tcW w:w="760" w:type="dxa"/>
            <w:tcBorders>
              <w:left w:val="single" w:sz="6" w:space="0" w:color="auto"/>
            </w:tcBorders>
          </w:tcPr>
          <w:p w:rsidR="00AF2508" w:rsidRDefault="00AF2508">
            <w:pPr>
              <w:pStyle w:val="TableText"/>
              <w:jc w:val="center"/>
              <w:rPr>
                <w:sz w:val="20"/>
              </w:rPr>
            </w:pPr>
            <w:r>
              <w:rPr>
                <w:sz w:val="20"/>
              </w:rPr>
              <w:t>10</w:t>
            </w:r>
          </w:p>
        </w:tc>
        <w:tc>
          <w:tcPr>
            <w:tcW w:w="729" w:type="dxa"/>
            <w:gridSpan w:val="2"/>
          </w:tcPr>
          <w:p w:rsidR="00AF2508" w:rsidRDefault="00AF2508">
            <w:pPr>
              <w:pStyle w:val="TableText"/>
              <w:jc w:val="center"/>
              <w:rPr>
                <w:sz w:val="20"/>
              </w:rPr>
            </w:pPr>
            <w:r>
              <w:rPr>
                <w:sz w:val="20"/>
              </w:rPr>
              <w:t>12</w:t>
            </w:r>
          </w:p>
        </w:tc>
        <w:tc>
          <w:tcPr>
            <w:tcW w:w="872" w:type="dxa"/>
            <w:gridSpan w:val="3"/>
            <w:tcBorders>
              <w:left w:val="single" w:sz="6" w:space="0" w:color="auto"/>
            </w:tcBorders>
          </w:tcPr>
          <w:p w:rsidR="00AF2508" w:rsidRDefault="00AF2508">
            <w:pPr>
              <w:pStyle w:val="TableText"/>
              <w:jc w:val="center"/>
              <w:rPr>
                <w:sz w:val="20"/>
              </w:rPr>
            </w:pPr>
            <w:r>
              <w:rPr>
                <w:sz w:val="20"/>
              </w:rPr>
              <w:t>5</w:t>
            </w:r>
          </w:p>
        </w:tc>
        <w:tc>
          <w:tcPr>
            <w:tcW w:w="628" w:type="dxa"/>
            <w:gridSpan w:val="2"/>
          </w:tcPr>
          <w:p w:rsidR="00AF2508" w:rsidRDefault="00AF2508">
            <w:pPr>
              <w:pStyle w:val="TableText"/>
              <w:jc w:val="center"/>
              <w:rPr>
                <w:sz w:val="20"/>
              </w:rPr>
            </w:pPr>
            <w:r>
              <w:rPr>
                <w:sz w:val="20"/>
              </w:rPr>
              <w:t>9</w:t>
            </w:r>
          </w:p>
        </w:tc>
      </w:tr>
      <w:tr w:rsidR="00AF2508">
        <w:trPr>
          <w:cantSplit/>
          <w:trHeight w:val="200"/>
        </w:trPr>
        <w:tc>
          <w:tcPr>
            <w:tcW w:w="980" w:type="dxa"/>
          </w:tcPr>
          <w:p w:rsidR="00AF2508" w:rsidRDefault="00AF2508">
            <w:pPr>
              <w:pStyle w:val="TableText"/>
              <w:jc w:val="center"/>
              <w:rPr>
                <w:sz w:val="20"/>
              </w:rPr>
            </w:pPr>
            <w:r>
              <w:rPr>
                <w:sz w:val="20"/>
              </w:rPr>
              <w:t>5</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11</w:t>
            </w:r>
            <w:r>
              <w:rPr>
                <w:sz w:val="20"/>
              </w:rPr>
              <w:t>/</w:t>
            </w:r>
            <w:r>
              <w:rPr>
                <w:sz w:val="16"/>
              </w:rPr>
              <w:t>16</w:t>
            </w:r>
          </w:p>
        </w:tc>
        <w:tc>
          <w:tcPr>
            <w:tcW w:w="672" w:type="dxa"/>
            <w:gridSpan w:val="3"/>
          </w:tcPr>
          <w:p w:rsidR="00AF2508" w:rsidRDefault="00AF2508">
            <w:pPr>
              <w:pStyle w:val="TableText"/>
              <w:jc w:val="center"/>
              <w:rPr>
                <w:sz w:val="20"/>
              </w:rPr>
            </w:pPr>
            <w:r>
              <w:rPr>
                <w:sz w:val="20"/>
              </w:rPr>
              <w:t>11</w:t>
            </w:r>
          </w:p>
        </w:tc>
        <w:tc>
          <w:tcPr>
            <w:tcW w:w="840" w:type="dxa"/>
          </w:tcPr>
          <w:p w:rsidR="00AF2508" w:rsidRDefault="00AF2508">
            <w:pPr>
              <w:pStyle w:val="TableText"/>
              <w:jc w:val="center"/>
              <w:rPr>
                <w:sz w:val="20"/>
              </w:rPr>
            </w:pPr>
            <w:r>
              <w:rPr>
                <w:sz w:val="20"/>
              </w:rPr>
              <w:t>12</w:t>
            </w:r>
          </w:p>
        </w:tc>
        <w:tc>
          <w:tcPr>
            <w:tcW w:w="612" w:type="dxa"/>
            <w:gridSpan w:val="2"/>
            <w:tcBorders>
              <w:left w:val="single" w:sz="6" w:space="0" w:color="auto"/>
            </w:tcBorders>
          </w:tcPr>
          <w:p w:rsidR="00AF2508" w:rsidRDefault="00AF2508">
            <w:pPr>
              <w:pStyle w:val="TableText"/>
              <w:jc w:val="center"/>
              <w:rPr>
                <w:sz w:val="20"/>
              </w:rPr>
            </w:pPr>
            <w:r>
              <w:rPr>
                <w:sz w:val="20"/>
              </w:rPr>
              <w:t>22</w:t>
            </w:r>
          </w:p>
        </w:tc>
        <w:tc>
          <w:tcPr>
            <w:tcW w:w="708" w:type="dxa"/>
            <w:gridSpan w:val="2"/>
          </w:tcPr>
          <w:p w:rsidR="00AF2508" w:rsidRDefault="00AF2508">
            <w:pPr>
              <w:pStyle w:val="TableText"/>
              <w:jc w:val="center"/>
              <w:rPr>
                <w:sz w:val="20"/>
              </w:rPr>
            </w:pPr>
            <w:r>
              <w:rPr>
                <w:sz w:val="20"/>
              </w:rPr>
              <w:t>8</w:t>
            </w:r>
          </w:p>
        </w:tc>
        <w:tc>
          <w:tcPr>
            <w:tcW w:w="732" w:type="dxa"/>
            <w:tcBorders>
              <w:left w:val="single" w:sz="6" w:space="0" w:color="auto"/>
            </w:tcBorders>
          </w:tcPr>
          <w:p w:rsidR="00AF2508" w:rsidRDefault="00AF2508">
            <w:pPr>
              <w:pStyle w:val="TableText"/>
              <w:jc w:val="center"/>
              <w:rPr>
                <w:sz w:val="20"/>
              </w:rPr>
            </w:pPr>
            <w:r>
              <w:rPr>
                <w:sz w:val="20"/>
              </w:rPr>
              <w:t>20</w:t>
            </w:r>
          </w:p>
        </w:tc>
        <w:tc>
          <w:tcPr>
            <w:tcW w:w="828" w:type="dxa"/>
            <w:gridSpan w:val="2"/>
          </w:tcPr>
          <w:p w:rsidR="00AF2508" w:rsidRDefault="00AF2508">
            <w:pPr>
              <w:pStyle w:val="TableText"/>
              <w:jc w:val="center"/>
              <w:rPr>
                <w:sz w:val="20"/>
              </w:rPr>
            </w:pPr>
            <w:r>
              <w:rPr>
                <w:sz w:val="20"/>
              </w:rPr>
              <w:t>2</w:t>
            </w:r>
          </w:p>
        </w:tc>
        <w:tc>
          <w:tcPr>
            <w:tcW w:w="785" w:type="dxa"/>
            <w:gridSpan w:val="2"/>
            <w:tcBorders>
              <w:left w:val="single" w:sz="6" w:space="0" w:color="auto"/>
            </w:tcBorders>
          </w:tcPr>
          <w:p w:rsidR="00AF2508" w:rsidRDefault="00AF2508">
            <w:pPr>
              <w:pStyle w:val="TableText"/>
              <w:jc w:val="center"/>
              <w:rPr>
                <w:sz w:val="20"/>
              </w:rPr>
            </w:pPr>
            <w:r>
              <w:rPr>
                <w:sz w:val="20"/>
              </w:rPr>
              <w:t>16</w:t>
            </w:r>
          </w:p>
        </w:tc>
        <w:tc>
          <w:tcPr>
            <w:tcW w:w="786" w:type="dxa"/>
            <w:gridSpan w:val="2"/>
          </w:tcPr>
          <w:p w:rsidR="00AF2508" w:rsidRDefault="00AF2508">
            <w:pPr>
              <w:pStyle w:val="TableText"/>
              <w:jc w:val="center"/>
              <w:rPr>
                <w:sz w:val="20"/>
              </w:rPr>
            </w:pPr>
            <w:r>
              <w:rPr>
                <w:sz w:val="20"/>
              </w:rPr>
              <w:t>8</w:t>
            </w:r>
          </w:p>
        </w:tc>
        <w:tc>
          <w:tcPr>
            <w:tcW w:w="760" w:type="dxa"/>
            <w:tcBorders>
              <w:left w:val="single" w:sz="6" w:space="0" w:color="auto"/>
            </w:tcBorders>
          </w:tcPr>
          <w:p w:rsidR="00AF2508" w:rsidRDefault="00AF2508">
            <w:pPr>
              <w:pStyle w:val="TableText"/>
              <w:jc w:val="center"/>
              <w:rPr>
                <w:sz w:val="20"/>
              </w:rPr>
            </w:pPr>
            <w:r>
              <w:rPr>
                <w:sz w:val="20"/>
              </w:rPr>
              <w:t>11</w:t>
            </w:r>
          </w:p>
        </w:tc>
        <w:tc>
          <w:tcPr>
            <w:tcW w:w="729" w:type="dxa"/>
            <w:gridSpan w:val="2"/>
          </w:tcPr>
          <w:p w:rsidR="00AF2508" w:rsidRDefault="00AF2508">
            <w:pPr>
              <w:pStyle w:val="TableText"/>
              <w:jc w:val="center"/>
              <w:rPr>
                <w:sz w:val="20"/>
              </w:rPr>
            </w:pPr>
            <w:r>
              <w:rPr>
                <w:sz w:val="20"/>
              </w:rPr>
              <w:t>12</w:t>
            </w:r>
          </w:p>
        </w:tc>
        <w:tc>
          <w:tcPr>
            <w:tcW w:w="872" w:type="dxa"/>
            <w:gridSpan w:val="3"/>
            <w:tcBorders>
              <w:left w:val="single" w:sz="6" w:space="0" w:color="auto"/>
            </w:tcBorders>
          </w:tcPr>
          <w:p w:rsidR="00AF2508" w:rsidRDefault="00AF2508">
            <w:pPr>
              <w:pStyle w:val="TableText"/>
              <w:jc w:val="center"/>
              <w:rPr>
                <w:sz w:val="20"/>
              </w:rPr>
            </w:pPr>
            <w:r>
              <w:rPr>
                <w:sz w:val="20"/>
              </w:rPr>
              <w:t>6</w:t>
            </w:r>
          </w:p>
        </w:tc>
        <w:tc>
          <w:tcPr>
            <w:tcW w:w="628" w:type="dxa"/>
            <w:gridSpan w:val="2"/>
          </w:tcPr>
          <w:p w:rsidR="00AF2508" w:rsidRDefault="00AF2508">
            <w:pPr>
              <w:pStyle w:val="TableText"/>
              <w:jc w:val="center"/>
              <w:rPr>
                <w:sz w:val="20"/>
              </w:rPr>
            </w:pPr>
            <w:r>
              <w:rPr>
                <w:sz w:val="20"/>
              </w:rPr>
              <w:t>0</w:t>
            </w:r>
          </w:p>
        </w:tc>
      </w:tr>
      <w:tr w:rsidR="00AF2508">
        <w:trPr>
          <w:cantSplit/>
          <w:trHeight w:val="200"/>
        </w:trPr>
        <w:tc>
          <w:tcPr>
            <w:tcW w:w="980"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672" w:type="dxa"/>
            <w:gridSpan w:val="3"/>
          </w:tcPr>
          <w:p w:rsidR="00AF2508" w:rsidRDefault="00AF2508">
            <w:pPr>
              <w:pStyle w:val="TableText"/>
              <w:jc w:val="center"/>
              <w:rPr>
                <w:sz w:val="20"/>
              </w:rPr>
            </w:pPr>
            <w:r>
              <w:rPr>
                <w:sz w:val="20"/>
              </w:rPr>
              <w:t>12</w:t>
            </w:r>
          </w:p>
        </w:tc>
        <w:tc>
          <w:tcPr>
            <w:tcW w:w="840" w:type="dxa"/>
          </w:tcPr>
          <w:p w:rsidR="00AF2508" w:rsidRDefault="00AF2508">
            <w:pPr>
              <w:pStyle w:val="TableText"/>
              <w:jc w:val="center"/>
              <w:rPr>
                <w:sz w:val="20"/>
              </w:rPr>
            </w:pPr>
            <w:r>
              <w:rPr>
                <w:sz w:val="20"/>
              </w:rPr>
              <w:t>12</w:t>
            </w:r>
          </w:p>
        </w:tc>
        <w:tc>
          <w:tcPr>
            <w:tcW w:w="612" w:type="dxa"/>
            <w:gridSpan w:val="2"/>
            <w:tcBorders>
              <w:left w:val="single" w:sz="6" w:space="0" w:color="auto"/>
            </w:tcBorders>
          </w:tcPr>
          <w:p w:rsidR="00AF2508" w:rsidRDefault="00AF2508">
            <w:pPr>
              <w:pStyle w:val="TableText"/>
              <w:jc w:val="center"/>
              <w:rPr>
                <w:sz w:val="20"/>
              </w:rPr>
            </w:pPr>
            <w:r>
              <w:rPr>
                <w:sz w:val="20"/>
              </w:rPr>
              <w:t>24</w:t>
            </w:r>
          </w:p>
        </w:tc>
        <w:tc>
          <w:tcPr>
            <w:tcW w:w="708" w:type="dxa"/>
            <w:gridSpan w:val="2"/>
          </w:tcPr>
          <w:p w:rsidR="00AF2508" w:rsidRDefault="00AF2508">
            <w:pPr>
              <w:pStyle w:val="TableText"/>
              <w:jc w:val="center"/>
              <w:rPr>
                <w:sz w:val="20"/>
              </w:rPr>
            </w:pPr>
            <w:r>
              <w:rPr>
                <w:sz w:val="20"/>
              </w:rPr>
              <w:t>8</w:t>
            </w:r>
          </w:p>
        </w:tc>
        <w:tc>
          <w:tcPr>
            <w:tcW w:w="732" w:type="dxa"/>
            <w:tcBorders>
              <w:left w:val="single" w:sz="6" w:space="0" w:color="auto"/>
            </w:tcBorders>
          </w:tcPr>
          <w:p w:rsidR="00AF2508" w:rsidRDefault="00AF2508">
            <w:pPr>
              <w:pStyle w:val="TableText"/>
              <w:jc w:val="center"/>
              <w:rPr>
                <w:sz w:val="20"/>
              </w:rPr>
            </w:pPr>
            <w:r>
              <w:rPr>
                <w:sz w:val="20"/>
              </w:rPr>
              <w:t>21</w:t>
            </w:r>
          </w:p>
        </w:tc>
        <w:tc>
          <w:tcPr>
            <w:tcW w:w="828" w:type="dxa"/>
            <w:gridSpan w:val="2"/>
          </w:tcPr>
          <w:p w:rsidR="00AF2508" w:rsidRDefault="00AF2508">
            <w:pPr>
              <w:pStyle w:val="TableText"/>
              <w:jc w:val="center"/>
              <w:rPr>
                <w:sz w:val="20"/>
              </w:rPr>
            </w:pPr>
            <w:r>
              <w:rPr>
                <w:sz w:val="20"/>
              </w:rPr>
              <w:t>17</w:t>
            </w:r>
          </w:p>
        </w:tc>
        <w:tc>
          <w:tcPr>
            <w:tcW w:w="785" w:type="dxa"/>
            <w:gridSpan w:val="2"/>
            <w:tcBorders>
              <w:left w:val="single" w:sz="6" w:space="0" w:color="auto"/>
            </w:tcBorders>
          </w:tcPr>
          <w:p w:rsidR="00AF2508" w:rsidRDefault="00AF2508">
            <w:pPr>
              <w:pStyle w:val="TableText"/>
              <w:jc w:val="center"/>
              <w:rPr>
                <w:sz w:val="20"/>
              </w:rPr>
            </w:pPr>
            <w:r>
              <w:rPr>
                <w:sz w:val="20"/>
              </w:rPr>
              <w:t>17</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12</w:t>
            </w:r>
          </w:p>
        </w:tc>
        <w:tc>
          <w:tcPr>
            <w:tcW w:w="729" w:type="dxa"/>
            <w:gridSpan w:val="2"/>
          </w:tcPr>
          <w:p w:rsidR="00AF2508" w:rsidRDefault="00AF2508">
            <w:pPr>
              <w:pStyle w:val="TableText"/>
              <w:jc w:val="center"/>
              <w:rPr>
                <w:sz w:val="20"/>
              </w:rPr>
            </w:pPr>
            <w:r>
              <w:rPr>
                <w:sz w:val="20"/>
              </w:rPr>
              <w:t>12</w:t>
            </w:r>
          </w:p>
        </w:tc>
        <w:tc>
          <w:tcPr>
            <w:tcW w:w="872" w:type="dxa"/>
            <w:gridSpan w:val="3"/>
            <w:tcBorders>
              <w:left w:val="single" w:sz="6" w:space="0" w:color="auto"/>
            </w:tcBorders>
          </w:tcPr>
          <w:p w:rsidR="00AF2508" w:rsidRDefault="00AF2508">
            <w:pPr>
              <w:pStyle w:val="TableText"/>
              <w:jc w:val="center"/>
              <w:rPr>
                <w:sz w:val="20"/>
              </w:rPr>
            </w:pPr>
            <w:r>
              <w:rPr>
                <w:sz w:val="20"/>
              </w:rPr>
              <w:t>6</w:t>
            </w:r>
          </w:p>
        </w:tc>
        <w:tc>
          <w:tcPr>
            <w:tcW w:w="628" w:type="dxa"/>
            <w:gridSpan w:val="2"/>
          </w:tcPr>
          <w:p w:rsidR="00AF2508" w:rsidRDefault="00AF2508">
            <w:pPr>
              <w:pStyle w:val="TableText"/>
              <w:jc w:val="center"/>
              <w:rPr>
                <w:sz w:val="20"/>
              </w:rPr>
            </w:pPr>
            <w:r>
              <w:rPr>
                <w:sz w:val="20"/>
              </w:rPr>
              <w:t>10</w:t>
            </w:r>
          </w:p>
        </w:tc>
      </w:tr>
      <w:tr w:rsidR="00AF2508">
        <w:trPr>
          <w:cantSplit/>
          <w:trHeight w:val="200"/>
        </w:trPr>
        <w:tc>
          <w:tcPr>
            <w:tcW w:w="980" w:type="dxa"/>
          </w:tcPr>
          <w:p w:rsidR="00AF2508" w:rsidRDefault="00AF2508">
            <w:pPr>
              <w:pStyle w:val="TableText"/>
              <w:jc w:val="center"/>
              <w:rPr>
                <w:sz w:val="20"/>
              </w:rPr>
            </w:pPr>
            <w:r>
              <w:rPr>
                <w:sz w:val="20"/>
              </w:rPr>
              <w:t>5</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13</w:t>
            </w:r>
            <w:r>
              <w:rPr>
                <w:sz w:val="20"/>
              </w:rPr>
              <w:t>/</w:t>
            </w:r>
            <w:r>
              <w:rPr>
                <w:sz w:val="16"/>
              </w:rPr>
              <w:t>16</w:t>
            </w:r>
          </w:p>
        </w:tc>
        <w:tc>
          <w:tcPr>
            <w:tcW w:w="672" w:type="dxa"/>
            <w:gridSpan w:val="3"/>
          </w:tcPr>
          <w:p w:rsidR="00AF2508" w:rsidRDefault="00AF2508">
            <w:pPr>
              <w:pStyle w:val="TableText"/>
              <w:jc w:val="center"/>
              <w:rPr>
                <w:sz w:val="20"/>
              </w:rPr>
            </w:pPr>
            <w:r>
              <w:rPr>
                <w:sz w:val="20"/>
              </w:rPr>
              <w:t>14</w:t>
            </w:r>
          </w:p>
        </w:tc>
        <w:tc>
          <w:tcPr>
            <w:tcW w:w="840" w:type="dxa"/>
          </w:tcPr>
          <w:p w:rsidR="00AF2508" w:rsidRDefault="00AF2508">
            <w:pPr>
              <w:pStyle w:val="TableText"/>
              <w:jc w:val="center"/>
              <w:rPr>
                <w:sz w:val="20"/>
              </w:rPr>
            </w:pPr>
            <w:r>
              <w:rPr>
                <w:sz w:val="20"/>
              </w:rPr>
              <w:t>0</w:t>
            </w:r>
          </w:p>
        </w:tc>
        <w:tc>
          <w:tcPr>
            <w:tcW w:w="612" w:type="dxa"/>
            <w:gridSpan w:val="2"/>
            <w:tcBorders>
              <w:left w:val="single" w:sz="6" w:space="0" w:color="auto"/>
            </w:tcBorders>
          </w:tcPr>
          <w:p w:rsidR="00AF2508" w:rsidRDefault="00AF2508">
            <w:pPr>
              <w:pStyle w:val="TableText"/>
              <w:jc w:val="center"/>
              <w:rPr>
                <w:sz w:val="20"/>
              </w:rPr>
            </w:pPr>
            <w:r>
              <w:rPr>
                <w:sz w:val="20"/>
              </w:rPr>
              <w:t>27</w:t>
            </w:r>
          </w:p>
        </w:tc>
        <w:tc>
          <w:tcPr>
            <w:tcW w:w="708" w:type="dxa"/>
            <w:gridSpan w:val="2"/>
          </w:tcPr>
          <w:p w:rsidR="00AF2508" w:rsidRDefault="00AF2508">
            <w:pPr>
              <w:pStyle w:val="TableText"/>
              <w:jc w:val="center"/>
              <w:rPr>
                <w:sz w:val="20"/>
              </w:rPr>
            </w:pPr>
            <w:r>
              <w:rPr>
                <w:sz w:val="20"/>
              </w:rPr>
              <w:t>1</w:t>
            </w:r>
          </w:p>
        </w:tc>
        <w:tc>
          <w:tcPr>
            <w:tcW w:w="732" w:type="dxa"/>
            <w:tcBorders>
              <w:left w:val="single" w:sz="6" w:space="0" w:color="auto"/>
            </w:tcBorders>
          </w:tcPr>
          <w:p w:rsidR="00AF2508" w:rsidRDefault="00AF2508">
            <w:pPr>
              <w:pStyle w:val="TableText"/>
              <w:jc w:val="center"/>
              <w:rPr>
                <w:sz w:val="20"/>
              </w:rPr>
            </w:pPr>
            <w:r>
              <w:rPr>
                <w:sz w:val="20"/>
              </w:rPr>
              <w:t>24</w:t>
            </w:r>
          </w:p>
        </w:tc>
        <w:tc>
          <w:tcPr>
            <w:tcW w:w="828" w:type="dxa"/>
            <w:gridSpan w:val="2"/>
          </w:tcPr>
          <w:p w:rsidR="00AF2508" w:rsidRDefault="00AF2508">
            <w:pPr>
              <w:pStyle w:val="TableText"/>
              <w:jc w:val="center"/>
              <w:rPr>
                <w:sz w:val="20"/>
              </w:rPr>
            </w:pPr>
            <w:r>
              <w:rPr>
                <w:sz w:val="20"/>
              </w:rPr>
              <w:t>5</w:t>
            </w:r>
          </w:p>
        </w:tc>
        <w:tc>
          <w:tcPr>
            <w:tcW w:w="785" w:type="dxa"/>
            <w:gridSpan w:val="2"/>
            <w:tcBorders>
              <w:left w:val="single" w:sz="6" w:space="0" w:color="auto"/>
            </w:tcBorders>
          </w:tcPr>
          <w:p w:rsidR="00AF2508" w:rsidRDefault="00AF2508">
            <w:pPr>
              <w:pStyle w:val="TableText"/>
              <w:jc w:val="center"/>
              <w:rPr>
                <w:sz w:val="20"/>
              </w:rPr>
            </w:pPr>
            <w:r>
              <w:rPr>
                <w:sz w:val="20"/>
              </w:rPr>
              <w:t>19</w:t>
            </w:r>
          </w:p>
        </w:tc>
        <w:tc>
          <w:tcPr>
            <w:tcW w:w="786" w:type="dxa"/>
            <w:gridSpan w:val="2"/>
          </w:tcPr>
          <w:p w:rsidR="00AF2508" w:rsidRDefault="00AF2508">
            <w:pPr>
              <w:pStyle w:val="TableText"/>
              <w:jc w:val="center"/>
              <w:rPr>
                <w:sz w:val="20"/>
              </w:rPr>
            </w:pPr>
            <w:r>
              <w:rPr>
                <w:sz w:val="20"/>
              </w:rPr>
              <w:t>16</w:t>
            </w:r>
          </w:p>
        </w:tc>
        <w:tc>
          <w:tcPr>
            <w:tcW w:w="760" w:type="dxa"/>
            <w:tcBorders>
              <w:left w:val="single" w:sz="6" w:space="0" w:color="auto"/>
            </w:tcBorders>
          </w:tcPr>
          <w:p w:rsidR="00AF2508" w:rsidRDefault="00AF2508">
            <w:pPr>
              <w:pStyle w:val="TableText"/>
              <w:jc w:val="center"/>
              <w:rPr>
                <w:sz w:val="20"/>
              </w:rPr>
            </w:pPr>
            <w:r>
              <w:rPr>
                <w:sz w:val="20"/>
              </w:rPr>
              <w:t>14</w:t>
            </w:r>
          </w:p>
        </w:tc>
        <w:tc>
          <w:tcPr>
            <w:tcW w:w="729" w:type="dxa"/>
            <w:gridSpan w:val="2"/>
          </w:tcPr>
          <w:p w:rsidR="00AF2508" w:rsidRDefault="00AF2508">
            <w:pPr>
              <w:pStyle w:val="TableText"/>
              <w:jc w:val="center"/>
              <w:rPr>
                <w:sz w:val="20"/>
              </w:rPr>
            </w:pPr>
            <w:r>
              <w:rPr>
                <w:sz w:val="20"/>
              </w:rPr>
              <w:t>0</w:t>
            </w:r>
          </w:p>
        </w:tc>
        <w:tc>
          <w:tcPr>
            <w:tcW w:w="872" w:type="dxa"/>
            <w:gridSpan w:val="3"/>
            <w:tcBorders>
              <w:left w:val="single" w:sz="6" w:space="0" w:color="auto"/>
            </w:tcBorders>
          </w:tcPr>
          <w:p w:rsidR="00AF2508" w:rsidRDefault="00AF2508">
            <w:pPr>
              <w:pStyle w:val="TableText"/>
              <w:jc w:val="center"/>
              <w:rPr>
                <w:sz w:val="20"/>
              </w:rPr>
            </w:pPr>
            <w:r>
              <w:rPr>
                <w:sz w:val="20"/>
              </w:rPr>
              <w:t>7</w:t>
            </w:r>
          </w:p>
        </w:tc>
        <w:tc>
          <w:tcPr>
            <w:tcW w:w="628" w:type="dxa"/>
            <w:gridSpan w:val="2"/>
          </w:tcPr>
          <w:p w:rsidR="00AF2508" w:rsidRDefault="00AF2508">
            <w:pPr>
              <w:pStyle w:val="TableText"/>
              <w:jc w:val="center"/>
              <w:rPr>
                <w:sz w:val="20"/>
              </w:rPr>
            </w:pPr>
            <w:r>
              <w:rPr>
                <w:sz w:val="20"/>
              </w:rPr>
              <w:t>5</w:t>
            </w:r>
          </w:p>
        </w:tc>
      </w:tr>
      <w:tr w:rsidR="00AF2508">
        <w:trPr>
          <w:cantSplit/>
          <w:trHeight w:val="200"/>
        </w:trPr>
        <w:tc>
          <w:tcPr>
            <w:tcW w:w="980" w:type="dxa"/>
            <w:tcBorders>
              <w:bottom w:val="single" w:sz="6" w:space="0" w:color="auto"/>
            </w:tcBorders>
          </w:tcPr>
          <w:p w:rsidR="00AF2508" w:rsidRDefault="00AF2508">
            <w:pPr>
              <w:pStyle w:val="TableText"/>
              <w:jc w:val="center"/>
              <w:rPr>
                <w:sz w:val="20"/>
              </w:rPr>
            </w:pPr>
            <w:r>
              <w:rPr>
                <w:sz w:val="20"/>
              </w:rPr>
              <w:t>6</w:t>
            </w:r>
          </w:p>
        </w:tc>
        <w:tc>
          <w:tcPr>
            <w:tcW w:w="936" w:type="dxa"/>
            <w:gridSpan w:val="2"/>
            <w:tcBorders>
              <w:left w:val="single" w:sz="6" w:space="0" w:color="auto"/>
              <w:bottom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672" w:type="dxa"/>
            <w:gridSpan w:val="3"/>
            <w:tcBorders>
              <w:bottom w:val="single" w:sz="6" w:space="0" w:color="auto"/>
            </w:tcBorders>
          </w:tcPr>
          <w:p w:rsidR="00AF2508" w:rsidRDefault="00AF2508">
            <w:pPr>
              <w:pStyle w:val="TableText"/>
              <w:jc w:val="center"/>
              <w:rPr>
                <w:sz w:val="20"/>
              </w:rPr>
            </w:pPr>
            <w:r>
              <w:rPr>
                <w:sz w:val="20"/>
              </w:rPr>
              <w:t>15</w:t>
            </w:r>
          </w:p>
        </w:tc>
        <w:tc>
          <w:tcPr>
            <w:tcW w:w="840" w:type="dxa"/>
            <w:tcBorders>
              <w:bottom w:val="single" w:sz="6" w:space="0" w:color="auto"/>
            </w:tcBorders>
          </w:tcPr>
          <w:p w:rsidR="00AF2508" w:rsidRDefault="00AF2508">
            <w:pPr>
              <w:pStyle w:val="TableText"/>
              <w:jc w:val="center"/>
              <w:rPr>
                <w:sz w:val="20"/>
              </w:rPr>
            </w:pPr>
            <w:r>
              <w:rPr>
                <w:sz w:val="20"/>
              </w:rPr>
              <w:t>3</w:t>
            </w:r>
          </w:p>
        </w:tc>
        <w:tc>
          <w:tcPr>
            <w:tcW w:w="612" w:type="dxa"/>
            <w:gridSpan w:val="2"/>
            <w:tcBorders>
              <w:left w:val="single" w:sz="6" w:space="0" w:color="auto"/>
              <w:bottom w:val="single" w:sz="6" w:space="0" w:color="auto"/>
            </w:tcBorders>
          </w:tcPr>
          <w:p w:rsidR="00AF2508" w:rsidRDefault="00AF2508">
            <w:pPr>
              <w:pStyle w:val="TableText"/>
              <w:jc w:val="center"/>
              <w:rPr>
                <w:sz w:val="20"/>
              </w:rPr>
            </w:pPr>
            <w:r>
              <w:rPr>
                <w:sz w:val="20"/>
              </w:rPr>
              <w:t>29</w:t>
            </w:r>
          </w:p>
        </w:tc>
        <w:tc>
          <w:tcPr>
            <w:tcW w:w="708" w:type="dxa"/>
            <w:gridSpan w:val="2"/>
            <w:tcBorders>
              <w:bottom w:val="single" w:sz="6" w:space="0" w:color="auto"/>
            </w:tcBorders>
          </w:tcPr>
          <w:p w:rsidR="00AF2508" w:rsidRDefault="00AF2508">
            <w:pPr>
              <w:pStyle w:val="TableText"/>
              <w:jc w:val="center"/>
              <w:rPr>
                <w:sz w:val="20"/>
              </w:rPr>
            </w:pPr>
            <w:r>
              <w:rPr>
                <w:sz w:val="20"/>
              </w:rPr>
              <w:t>6</w:t>
            </w:r>
          </w:p>
        </w:tc>
        <w:tc>
          <w:tcPr>
            <w:tcW w:w="732" w:type="dxa"/>
            <w:tcBorders>
              <w:left w:val="single" w:sz="6" w:space="0" w:color="auto"/>
              <w:bottom w:val="single" w:sz="6" w:space="0" w:color="auto"/>
            </w:tcBorders>
          </w:tcPr>
          <w:p w:rsidR="00AF2508" w:rsidRDefault="00AF2508">
            <w:pPr>
              <w:pStyle w:val="TableText"/>
              <w:jc w:val="center"/>
              <w:rPr>
                <w:sz w:val="20"/>
              </w:rPr>
            </w:pPr>
            <w:r>
              <w:rPr>
                <w:sz w:val="20"/>
              </w:rPr>
              <w:t>26</w:t>
            </w:r>
          </w:p>
        </w:tc>
        <w:tc>
          <w:tcPr>
            <w:tcW w:w="828" w:type="dxa"/>
            <w:gridSpan w:val="2"/>
            <w:tcBorders>
              <w:bottom w:val="single" w:sz="6" w:space="0" w:color="auto"/>
            </w:tcBorders>
          </w:tcPr>
          <w:p w:rsidR="00AF2508" w:rsidRDefault="00AF2508">
            <w:pPr>
              <w:pStyle w:val="TableText"/>
              <w:jc w:val="center"/>
              <w:rPr>
                <w:sz w:val="20"/>
              </w:rPr>
            </w:pPr>
            <w:r>
              <w:rPr>
                <w:sz w:val="20"/>
              </w:rPr>
              <w:t>5</w:t>
            </w:r>
          </w:p>
        </w:tc>
        <w:tc>
          <w:tcPr>
            <w:tcW w:w="785" w:type="dxa"/>
            <w:gridSpan w:val="2"/>
            <w:tcBorders>
              <w:left w:val="single" w:sz="6" w:space="0" w:color="auto"/>
              <w:bottom w:val="single" w:sz="6" w:space="0" w:color="auto"/>
            </w:tcBorders>
          </w:tcPr>
          <w:p w:rsidR="00AF2508" w:rsidRDefault="00AF2508">
            <w:pPr>
              <w:pStyle w:val="TableText"/>
              <w:jc w:val="center"/>
              <w:rPr>
                <w:sz w:val="20"/>
              </w:rPr>
            </w:pPr>
            <w:r>
              <w:rPr>
                <w:sz w:val="20"/>
              </w:rPr>
              <w:t>21</w:t>
            </w:r>
          </w:p>
        </w:tc>
        <w:tc>
          <w:tcPr>
            <w:tcW w:w="786" w:type="dxa"/>
            <w:gridSpan w:val="2"/>
            <w:tcBorders>
              <w:bottom w:val="single" w:sz="6" w:space="0" w:color="auto"/>
            </w:tcBorders>
          </w:tcPr>
          <w:p w:rsidR="00AF2508" w:rsidRDefault="00AF2508">
            <w:pPr>
              <w:pStyle w:val="TableText"/>
              <w:jc w:val="center"/>
              <w:rPr>
                <w:sz w:val="20"/>
              </w:rPr>
            </w:pPr>
            <w:r>
              <w:rPr>
                <w:sz w:val="20"/>
              </w:rPr>
              <w:t>9</w:t>
            </w:r>
          </w:p>
        </w:tc>
        <w:tc>
          <w:tcPr>
            <w:tcW w:w="760" w:type="dxa"/>
            <w:tcBorders>
              <w:left w:val="single" w:sz="6" w:space="0" w:color="auto"/>
              <w:bottom w:val="single" w:sz="6" w:space="0" w:color="auto"/>
            </w:tcBorders>
          </w:tcPr>
          <w:p w:rsidR="00AF2508" w:rsidRDefault="00AF2508">
            <w:pPr>
              <w:pStyle w:val="TableText"/>
              <w:jc w:val="center"/>
              <w:rPr>
                <w:sz w:val="20"/>
              </w:rPr>
            </w:pPr>
            <w:r>
              <w:rPr>
                <w:sz w:val="20"/>
              </w:rPr>
              <w:t>15</w:t>
            </w:r>
          </w:p>
        </w:tc>
        <w:tc>
          <w:tcPr>
            <w:tcW w:w="729" w:type="dxa"/>
            <w:gridSpan w:val="2"/>
            <w:tcBorders>
              <w:bottom w:val="single" w:sz="6" w:space="0" w:color="auto"/>
            </w:tcBorders>
          </w:tcPr>
          <w:p w:rsidR="00AF2508" w:rsidRDefault="00AF2508">
            <w:pPr>
              <w:pStyle w:val="TableText"/>
              <w:jc w:val="center"/>
              <w:rPr>
                <w:sz w:val="20"/>
              </w:rPr>
            </w:pPr>
            <w:r>
              <w:rPr>
                <w:sz w:val="20"/>
              </w:rPr>
              <w:t>3</w:t>
            </w:r>
          </w:p>
        </w:tc>
        <w:tc>
          <w:tcPr>
            <w:tcW w:w="872" w:type="dxa"/>
            <w:gridSpan w:val="3"/>
            <w:tcBorders>
              <w:left w:val="single" w:sz="6" w:space="0" w:color="auto"/>
              <w:bottom w:val="single" w:sz="6" w:space="0" w:color="auto"/>
            </w:tcBorders>
          </w:tcPr>
          <w:p w:rsidR="00AF2508" w:rsidRDefault="00AF2508">
            <w:pPr>
              <w:pStyle w:val="TableText"/>
              <w:jc w:val="center"/>
              <w:rPr>
                <w:sz w:val="20"/>
              </w:rPr>
            </w:pPr>
            <w:r>
              <w:rPr>
                <w:sz w:val="20"/>
              </w:rPr>
              <w:t>7</w:t>
            </w:r>
          </w:p>
        </w:tc>
        <w:tc>
          <w:tcPr>
            <w:tcW w:w="628" w:type="dxa"/>
            <w:gridSpan w:val="2"/>
            <w:tcBorders>
              <w:bottom w:val="single" w:sz="6" w:space="0" w:color="auto"/>
            </w:tcBorders>
          </w:tcPr>
          <w:p w:rsidR="00AF2508" w:rsidRDefault="00AF2508">
            <w:pPr>
              <w:pStyle w:val="TableText"/>
              <w:jc w:val="center"/>
              <w:rPr>
                <w:sz w:val="20"/>
              </w:rPr>
            </w:pPr>
            <w:r>
              <w:rPr>
                <w:sz w:val="20"/>
              </w:rPr>
              <w:t>16</w:t>
            </w:r>
          </w:p>
        </w:tc>
      </w:tr>
    </w:tbl>
    <w:p w:rsidR="00AF2508" w:rsidRDefault="00AF2508"/>
    <w:p w:rsidR="00AF2508" w:rsidRDefault="00AF2508">
      <w:pPr>
        <w:pStyle w:val="TableHd"/>
      </w:pPr>
      <w:r>
        <w:t>Maximum safe working load for steel wire rope—Classification 2</w:t>
      </w:r>
    </w:p>
    <w:p w:rsidR="00AF2508" w:rsidRDefault="00AF2508">
      <w:pPr>
        <w:pStyle w:val="TableHd"/>
        <w:ind w:left="0" w:firstLine="0"/>
      </w:pPr>
      <w:r>
        <w:t>Minimum ultimate tensile value of steel of which rope is constructed = 80 tons per square inch</w:t>
      </w:r>
      <w:r>
        <w:br/>
        <w:t>construction:  6 strands each containing 24 wires</w:t>
      </w:r>
    </w:p>
    <w:tbl>
      <w:tblPr>
        <w:tblW w:w="0" w:type="auto"/>
        <w:tblLayout w:type="fixed"/>
        <w:tblCellMar>
          <w:left w:w="80" w:type="dxa"/>
          <w:right w:w="80" w:type="dxa"/>
        </w:tblCellMar>
        <w:tblLook w:val="0000" w:firstRow="0" w:lastRow="0" w:firstColumn="0" w:lastColumn="0" w:noHBand="0" w:noVBand="0"/>
      </w:tblPr>
      <w:tblGrid>
        <w:gridCol w:w="984"/>
        <w:gridCol w:w="912"/>
        <w:gridCol w:w="12"/>
        <w:gridCol w:w="579"/>
        <w:gridCol w:w="93"/>
        <w:gridCol w:w="12"/>
        <w:gridCol w:w="840"/>
        <w:gridCol w:w="592"/>
        <w:gridCol w:w="8"/>
        <w:gridCol w:w="708"/>
        <w:gridCol w:w="12"/>
        <w:gridCol w:w="752"/>
        <w:gridCol w:w="832"/>
        <w:gridCol w:w="768"/>
        <w:gridCol w:w="780"/>
        <w:gridCol w:w="6"/>
        <w:gridCol w:w="760"/>
        <w:gridCol w:w="722"/>
        <w:gridCol w:w="12"/>
        <w:gridCol w:w="826"/>
        <w:gridCol w:w="654"/>
        <w:gridCol w:w="36"/>
      </w:tblGrid>
      <w:tr w:rsidR="00AF2508">
        <w:trPr>
          <w:gridAfter w:val="1"/>
          <w:wAfter w:w="36" w:type="dxa"/>
          <w:cantSplit/>
          <w:tblHeader/>
        </w:trPr>
        <w:tc>
          <w:tcPr>
            <w:tcW w:w="984" w:type="dxa"/>
            <w:tcBorders>
              <w:top w:val="single" w:sz="6" w:space="0" w:color="auto"/>
              <w:right w:val="single" w:sz="6" w:space="0" w:color="auto"/>
            </w:tcBorders>
          </w:tcPr>
          <w:p w:rsidR="00AF2508" w:rsidRDefault="00AF2508">
            <w:pPr>
              <w:pStyle w:val="TableColHd"/>
              <w:jc w:val="center"/>
            </w:pPr>
          </w:p>
        </w:tc>
        <w:tc>
          <w:tcPr>
            <w:tcW w:w="924" w:type="dxa"/>
            <w:gridSpan w:val="2"/>
            <w:tcBorders>
              <w:top w:val="single" w:sz="6" w:space="0" w:color="auto"/>
              <w:right w:val="single" w:sz="6" w:space="0" w:color="auto"/>
            </w:tcBorders>
          </w:tcPr>
          <w:p w:rsidR="00AF2508" w:rsidRDefault="00AF2508">
            <w:pPr>
              <w:pStyle w:val="TableColHd"/>
              <w:jc w:val="center"/>
            </w:pPr>
          </w:p>
        </w:tc>
        <w:tc>
          <w:tcPr>
            <w:tcW w:w="579" w:type="dxa"/>
            <w:tcBorders>
              <w:top w:val="single" w:sz="6" w:space="0" w:color="auto"/>
            </w:tcBorders>
          </w:tcPr>
          <w:p w:rsidR="00AF2508" w:rsidRDefault="00AF2508">
            <w:pPr>
              <w:pStyle w:val="TableColHd"/>
              <w:jc w:val="center"/>
            </w:pPr>
          </w:p>
        </w:tc>
        <w:tc>
          <w:tcPr>
            <w:tcW w:w="941" w:type="dxa"/>
            <w:gridSpan w:val="3"/>
            <w:tcBorders>
              <w:top w:val="single" w:sz="6" w:space="0" w:color="auto"/>
            </w:tcBorders>
          </w:tcPr>
          <w:p w:rsidR="00AF2508" w:rsidRDefault="00AF2508">
            <w:pPr>
              <w:pStyle w:val="TableColHd"/>
              <w:jc w:val="center"/>
            </w:pPr>
          </w:p>
        </w:tc>
        <w:tc>
          <w:tcPr>
            <w:tcW w:w="7428" w:type="dxa"/>
            <w:gridSpan w:val="14"/>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gridAfter w:val="1"/>
          <w:wAfter w:w="36" w:type="dxa"/>
          <w:cantSplit/>
          <w:tblHeader/>
        </w:trPr>
        <w:tc>
          <w:tcPr>
            <w:tcW w:w="984" w:type="dxa"/>
            <w:tcBorders>
              <w:right w:val="single" w:sz="6" w:space="0" w:color="auto"/>
            </w:tcBorders>
            <w:vAlign w:val="bottom"/>
          </w:tcPr>
          <w:p w:rsidR="00AF2508" w:rsidRDefault="00AF2508">
            <w:pPr>
              <w:pStyle w:val="TableColHd"/>
            </w:pPr>
            <w:r>
              <w:t>circum-</w:t>
            </w:r>
            <w:r>
              <w:br/>
              <w:t>ference</w:t>
            </w:r>
            <w:r>
              <w:br/>
              <w:t>of rope</w:t>
            </w:r>
          </w:p>
        </w:tc>
        <w:tc>
          <w:tcPr>
            <w:tcW w:w="924" w:type="dxa"/>
            <w:gridSpan w:val="2"/>
            <w:tcBorders>
              <w:right w:val="single" w:sz="6" w:space="0" w:color="auto"/>
            </w:tcBorders>
            <w:vAlign w:val="bottom"/>
          </w:tcPr>
          <w:p w:rsidR="00AF2508" w:rsidRDefault="00AF2508">
            <w:pPr>
              <w:pStyle w:val="TableColHd"/>
            </w:pPr>
            <w:r>
              <w:t>approx.</w:t>
            </w:r>
            <w:r>
              <w:br/>
              <w:t>diameter</w:t>
            </w:r>
            <w:r>
              <w:br/>
              <w:t>of rope</w:t>
            </w:r>
          </w:p>
        </w:tc>
        <w:tc>
          <w:tcPr>
            <w:tcW w:w="1520" w:type="dxa"/>
            <w:gridSpan w:val="4"/>
            <w:vAlign w:val="bottom"/>
          </w:tcPr>
          <w:p w:rsidR="00AF2508" w:rsidRDefault="00AF2508">
            <w:pPr>
              <w:pStyle w:val="TableColHd"/>
            </w:pPr>
            <w:r>
              <w:t>safe load for 1 single fall (part) of rope</w:t>
            </w:r>
          </w:p>
        </w:tc>
        <w:tc>
          <w:tcPr>
            <w:tcW w:w="1320" w:type="dxa"/>
            <w:gridSpan w:val="4"/>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AF2508" w:rsidRDefault="00136775">
            <w:pPr>
              <w:rPr>
                <w:color w:val="000000"/>
                <w:sz w:val="18"/>
              </w:rPr>
            </w:pPr>
            <w:r>
              <w:rPr>
                <w:noProof/>
                <w:color w:val="000000"/>
                <w:sz w:val="20"/>
                <w:lang w:eastAsia="en-AU"/>
              </w:rPr>
              <w:drawing>
                <wp:inline distT="0" distB="0" distL="0" distR="0">
                  <wp:extent cx="790575" cy="5238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gridAfter w:val="1"/>
          <w:wAfter w:w="32" w:type="dxa"/>
          <w:cantSplit/>
          <w:trHeight w:val="220"/>
          <w:tblHeader/>
        </w:trPr>
        <w:tc>
          <w:tcPr>
            <w:tcW w:w="984" w:type="dxa"/>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2"/>
            <w:tcBorders>
              <w:top w:val="single" w:sz="6" w:space="0" w:color="auto"/>
              <w:bottom w:val="single" w:sz="6" w:space="0" w:color="auto"/>
            </w:tcBorders>
            <w:vAlign w:val="bottom"/>
          </w:tcPr>
          <w:p w:rsidR="00AF2508" w:rsidRDefault="00AF2508">
            <w:pPr>
              <w:pStyle w:val="TableColHd"/>
              <w:spacing w:after="0"/>
              <w:jc w:val="center"/>
            </w:pPr>
            <w:r>
              <w:t>tons</w:t>
            </w:r>
          </w:p>
        </w:tc>
        <w:tc>
          <w:tcPr>
            <w:tcW w:w="848"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16"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32"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8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826"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80" w:type="dxa"/>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912" w:type="dxa"/>
            <w:tcBorders>
              <w:top w:val="single" w:sz="6" w:space="0" w:color="auto"/>
              <w:right w:val="single" w:sz="6" w:space="0" w:color="auto"/>
            </w:tcBorders>
          </w:tcPr>
          <w:p w:rsidR="00AF2508" w:rsidRDefault="00AF2508">
            <w:pPr>
              <w:pStyle w:val="TableText"/>
              <w:jc w:val="center"/>
              <w:rPr>
                <w:sz w:val="20"/>
              </w:rPr>
            </w:pPr>
            <w:r>
              <w:rPr>
                <w:position w:val="4"/>
                <w:sz w:val="20"/>
              </w:rPr>
              <w:t>3</w:t>
            </w:r>
            <w:r>
              <w:rPr>
                <w:sz w:val="20"/>
              </w:rPr>
              <w:t xml:space="preserve">/16 </w:t>
            </w:r>
          </w:p>
        </w:tc>
        <w:tc>
          <w:tcPr>
            <w:tcW w:w="696" w:type="dxa"/>
            <w:gridSpan w:val="4"/>
            <w:tcBorders>
              <w:top w:val="single" w:sz="6" w:space="0" w:color="auto"/>
            </w:tcBorders>
          </w:tcPr>
          <w:p w:rsidR="00AF2508" w:rsidRDefault="00AF2508">
            <w:pPr>
              <w:pStyle w:val="TableText"/>
              <w:jc w:val="center"/>
              <w:rPr>
                <w:sz w:val="20"/>
              </w:rPr>
            </w:pPr>
            <w:r>
              <w:rPr>
                <w:sz w:val="20"/>
              </w:rPr>
              <w:t>0</w:t>
            </w:r>
          </w:p>
        </w:tc>
        <w:tc>
          <w:tcPr>
            <w:tcW w:w="840" w:type="dxa"/>
            <w:tcBorders>
              <w:top w:val="single" w:sz="6" w:space="0" w:color="auto"/>
            </w:tcBorders>
          </w:tcPr>
          <w:p w:rsidR="00AF2508" w:rsidRDefault="00AF2508">
            <w:pPr>
              <w:pStyle w:val="TableText"/>
              <w:jc w:val="center"/>
              <w:rPr>
                <w:sz w:val="20"/>
              </w:rPr>
            </w:pPr>
            <w:r>
              <w:rPr>
                <w:sz w:val="20"/>
              </w:rPr>
              <w:t>2</w:t>
            </w:r>
            <w:r>
              <w:rPr>
                <w:position w:val="4"/>
                <w:sz w:val="20"/>
              </w:rPr>
              <w:t>1</w:t>
            </w:r>
            <w:r>
              <w:rPr>
                <w:sz w:val="20"/>
              </w:rPr>
              <w:t>/2</w:t>
            </w:r>
          </w:p>
        </w:tc>
        <w:tc>
          <w:tcPr>
            <w:tcW w:w="600"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720" w:type="dxa"/>
            <w:gridSpan w:val="2"/>
            <w:tcBorders>
              <w:top w:val="single" w:sz="6" w:space="0" w:color="auto"/>
            </w:tcBorders>
          </w:tcPr>
          <w:p w:rsidR="00AF2508" w:rsidRDefault="00AF2508">
            <w:pPr>
              <w:pStyle w:val="TableText"/>
              <w:jc w:val="center"/>
              <w:rPr>
                <w:sz w:val="20"/>
              </w:rPr>
            </w:pPr>
            <w:r>
              <w:rPr>
                <w:sz w:val="20"/>
              </w:rPr>
              <w:t>5</w:t>
            </w:r>
          </w:p>
        </w:tc>
        <w:tc>
          <w:tcPr>
            <w:tcW w:w="752"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32" w:type="dxa"/>
            <w:tcBorders>
              <w:top w:val="single" w:sz="6" w:space="0" w:color="auto"/>
            </w:tcBorders>
          </w:tcPr>
          <w:p w:rsidR="00AF2508" w:rsidRDefault="00AF2508">
            <w:pPr>
              <w:pStyle w:val="TableText"/>
              <w:jc w:val="center"/>
              <w:rPr>
                <w:sz w:val="20"/>
              </w:rPr>
            </w:pPr>
            <w:r>
              <w:rPr>
                <w:sz w:val="20"/>
              </w:rPr>
              <w:t>4</w:t>
            </w:r>
            <w:r>
              <w:rPr>
                <w:position w:val="4"/>
                <w:sz w:val="20"/>
              </w:rPr>
              <w:t>1</w:t>
            </w:r>
            <w:r>
              <w:rPr>
                <w:sz w:val="20"/>
              </w:rPr>
              <w:t>/2</w:t>
            </w:r>
          </w:p>
        </w:tc>
        <w:tc>
          <w:tcPr>
            <w:tcW w:w="768"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86" w:type="dxa"/>
            <w:gridSpan w:val="2"/>
            <w:tcBorders>
              <w:top w:val="single" w:sz="6" w:space="0" w:color="auto"/>
            </w:tcBorders>
          </w:tcPr>
          <w:p w:rsidR="00AF2508" w:rsidRDefault="00AF2508">
            <w:pPr>
              <w:pStyle w:val="TableText"/>
              <w:jc w:val="center"/>
              <w:rPr>
                <w:sz w:val="20"/>
              </w:rPr>
            </w:pPr>
            <w:r>
              <w:rPr>
                <w:sz w:val="20"/>
              </w:rPr>
              <w:t>3</w:t>
            </w:r>
            <w:r>
              <w:rPr>
                <w:position w:val="4"/>
                <w:sz w:val="20"/>
              </w:rPr>
              <w:t>1</w:t>
            </w:r>
            <w:r>
              <w:rPr>
                <w:sz w:val="20"/>
              </w:rPr>
              <w:t>/2</w:t>
            </w:r>
          </w:p>
        </w:tc>
        <w:tc>
          <w:tcPr>
            <w:tcW w:w="76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2" w:type="dxa"/>
            <w:tcBorders>
              <w:top w:val="single" w:sz="6" w:space="0" w:color="auto"/>
              <w:right w:val="single" w:sz="6" w:space="0" w:color="auto"/>
            </w:tcBorders>
          </w:tcPr>
          <w:p w:rsidR="00AF2508" w:rsidRDefault="00AF2508">
            <w:pPr>
              <w:pStyle w:val="TableText"/>
              <w:jc w:val="center"/>
              <w:rPr>
                <w:sz w:val="20"/>
              </w:rPr>
            </w:pPr>
            <w:r>
              <w:rPr>
                <w:sz w:val="20"/>
              </w:rPr>
              <w:t>2</w:t>
            </w:r>
            <w:r>
              <w:rPr>
                <w:position w:val="4"/>
                <w:sz w:val="20"/>
              </w:rPr>
              <w:t>1</w:t>
            </w:r>
            <w:r>
              <w:rPr>
                <w:sz w:val="20"/>
              </w:rPr>
              <w:t>/2</w:t>
            </w:r>
          </w:p>
        </w:tc>
        <w:tc>
          <w:tcPr>
            <w:tcW w:w="838" w:type="dxa"/>
            <w:gridSpan w:val="2"/>
            <w:tcBorders>
              <w:top w:val="single" w:sz="6" w:space="0" w:color="auto"/>
            </w:tcBorders>
          </w:tcPr>
          <w:p w:rsidR="00AF2508" w:rsidRDefault="00AF2508">
            <w:pPr>
              <w:pStyle w:val="TableText"/>
              <w:jc w:val="center"/>
              <w:rPr>
                <w:sz w:val="20"/>
              </w:rPr>
            </w:pPr>
            <w:r>
              <w:rPr>
                <w:sz w:val="20"/>
              </w:rPr>
              <w:t>0</w:t>
            </w:r>
          </w:p>
        </w:tc>
        <w:tc>
          <w:tcPr>
            <w:tcW w:w="686" w:type="dxa"/>
            <w:gridSpan w:val="2"/>
            <w:tcBorders>
              <w:top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3</w:t>
            </w:r>
            <w:r>
              <w:rPr>
                <w:sz w:val="20"/>
              </w:rPr>
              <w:t xml:space="preserve">/4 </w:t>
            </w:r>
          </w:p>
        </w:tc>
        <w:tc>
          <w:tcPr>
            <w:tcW w:w="912" w:type="dxa"/>
            <w:tcBorders>
              <w:right w:val="single" w:sz="6" w:space="0" w:color="auto"/>
            </w:tcBorders>
          </w:tcPr>
          <w:p w:rsidR="00AF2508" w:rsidRDefault="00AF2508">
            <w:pPr>
              <w:pStyle w:val="TableText"/>
              <w:jc w:val="center"/>
              <w:rPr>
                <w:sz w:val="20"/>
              </w:rPr>
            </w:pPr>
            <w:r>
              <w:rPr>
                <w:position w:val="4"/>
                <w:sz w:val="20"/>
              </w:rPr>
              <w:t>1</w:t>
            </w:r>
            <w:r>
              <w:rPr>
                <w:sz w:val="20"/>
              </w:rPr>
              <w:t xml:space="preserve">/4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4</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720" w:type="dxa"/>
            <w:gridSpan w:val="2"/>
          </w:tcPr>
          <w:p w:rsidR="00AF2508" w:rsidRDefault="00AF2508">
            <w:pPr>
              <w:pStyle w:val="TableText"/>
              <w:jc w:val="center"/>
              <w:rPr>
                <w:sz w:val="20"/>
              </w:rPr>
            </w:pPr>
            <w:r>
              <w:rPr>
                <w:sz w:val="20"/>
              </w:rPr>
              <w:t>7</w:t>
            </w:r>
            <w:r>
              <w:rPr>
                <w:position w:val="4"/>
                <w:sz w:val="20"/>
              </w:rPr>
              <w:t>1</w:t>
            </w:r>
            <w:r>
              <w:rPr>
                <w:sz w:val="20"/>
              </w:rPr>
              <w:t>/2</w:t>
            </w:r>
          </w:p>
        </w:tc>
        <w:tc>
          <w:tcPr>
            <w:tcW w:w="752" w:type="dxa"/>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7</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5</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4</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912" w:type="dxa"/>
            <w:tcBorders>
              <w:right w:val="single" w:sz="6" w:space="0" w:color="auto"/>
            </w:tcBorders>
          </w:tcPr>
          <w:p w:rsidR="00AF2508" w:rsidRDefault="00AF2508">
            <w:pPr>
              <w:pStyle w:val="TableText"/>
              <w:jc w:val="center"/>
              <w:rPr>
                <w:sz w:val="20"/>
              </w:rPr>
            </w:pPr>
            <w:r>
              <w:rPr>
                <w:position w:val="4"/>
                <w:sz w:val="20"/>
              </w:rPr>
              <w:t>9</w:t>
            </w:r>
            <w:r>
              <w:rPr>
                <w:sz w:val="20"/>
              </w:rPr>
              <w:t xml:space="preserve">/32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5</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720" w:type="dxa"/>
            <w:gridSpan w:val="2"/>
          </w:tcPr>
          <w:p w:rsidR="00AF2508" w:rsidRDefault="00AF2508">
            <w:pPr>
              <w:pStyle w:val="TableText"/>
              <w:jc w:val="center"/>
              <w:rPr>
                <w:sz w:val="20"/>
              </w:rPr>
            </w:pPr>
            <w:r>
              <w:rPr>
                <w:sz w:val="20"/>
              </w:rPr>
              <w:t>9</w:t>
            </w:r>
            <w:r>
              <w:rPr>
                <w:position w:val="4"/>
                <w:sz w:val="20"/>
              </w:rPr>
              <w:t>1</w:t>
            </w:r>
            <w:r>
              <w:rPr>
                <w:sz w:val="20"/>
              </w:rPr>
              <w:t>/2</w:t>
            </w:r>
          </w:p>
        </w:tc>
        <w:tc>
          <w:tcPr>
            <w:tcW w:w="752" w:type="dxa"/>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8</w:t>
            </w:r>
            <w:r>
              <w:rPr>
                <w:position w:val="4"/>
                <w:sz w:val="20"/>
              </w:rPr>
              <w:t>1</w:t>
            </w:r>
            <w:r>
              <w:rPr>
                <w:sz w:val="20"/>
              </w:rPr>
              <w:t>/2</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5</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2</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p>
        </w:tc>
        <w:tc>
          <w:tcPr>
            <w:tcW w:w="912" w:type="dxa"/>
            <w:tcBorders>
              <w:right w:val="single" w:sz="6" w:space="0" w:color="auto"/>
            </w:tcBorders>
          </w:tcPr>
          <w:p w:rsidR="00AF2508" w:rsidRDefault="00AF2508">
            <w:pPr>
              <w:pStyle w:val="TableText"/>
              <w:jc w:val="center"/>
              <w:rPr>
                <w:sz w:val="20"/>
              </w:rPr>
            </w:pPr>
            <w:r>
              <w:rPr>
                <w:position w:val="4"/>
                <w:sz w:val="20"/>
              </w:rPr>
              <w:t>5</w:t>
            </w:r>
            <w:r>
              <w:rPr>
                <w:sz w:val="20"/>
              </w:rPr>
              <w:t xml:space="preserve">/16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7</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720" w:type="dxa"/>
            <w:gridSpan w:val="2"/>
          </w:tcPr>
          <w:p w:rsidR="00AF2508" w:rsidRDefault="00AF2508">
            <w:pPr>
              <w:pStyle w:val="TableText"/>
              <w:jc w:val="center"/>
              <w:rPr>
                <w:sz w:val="20"/>
              </w:rPr>
            </w:pPr>
            <w:r>
              <w:rPr>
                <w:sz w:val="20"/>
              </w:rPr>
              <w:t>13</w:t>
            </w:r>
            <w:r>
              <w:rPr>
                <w:position w:val="4"/>
                <w:sz w:val="20"/>
              </w:rPr>
              <w:t>1</w:t>
            </w:r>
            <w:r>
              <w:rPr>
                <w:sz w:val="20"/>
              </w:rPr>
              <w:t>/2</w:t>
            </w:r>
          </w:p>
        </w:tc>
        <w:tc>
          <w:tcPr>
            <w:tcW w:w="752" w:type="dxa"/>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12</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10</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7</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3</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1</w:t>
            </w:r>
            <w:r>
              <w:rPr>
                <w:sz w:val="20"/>
              </w:rPr>
              <w:t>/8 1</w:t>
            </w:r>
          </w:p>
        </w:tc>
        <w:tc>
          <w:tcPr>
            <w:tcW w:w="912" w:type="dxa"/>
            <w:tcBorders>
              <w:right w:val="single" w:sz="6" w:space="0" w:color="auto"/>
            </w:tcBorders>
          </w:tcPr>
          <w:p w:rsidR="00AF2508" w:rsidRDefault="00AF2508">
            <w:pPr>
              <w:pStyle w:val="TableText"/>
              <w:jc w:val="center"/>
              <w:rPr>
                <w:sz w:val="20"/>
              </w:rPr>
            </w:pPr>
            <w:r>
              <w:rPr>
                <w:position w:val="4"/>
                <w:sz w:val="20"/>
              </w:rPr>
              <w:t>3</w:t>
            </w:r>
            <w:r>
              <w:rPr>
                <w:sz w:val="20"/>
              </w:rPr>
              <w:t xml:space="preserve">/8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9</w:t>
            </w:r>
            <w:r>
              <w:rPr>
                <w:position w:val="4"/>
                <w:sz w:val="20"/>
              </w:rPr>
              <w:t>1</w:t>
            </w: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0</w:t>
            </w:r>
          </w:p>
        </w:tc>
        <w:tc>
          <w:tcPr>
            <w:tcW w:w="720" w:type="dxa"/>
            <w:gridSpan w:val="2"/>
          </w:tcPr>
          <w:p w:rsidR="00AF2508" w:rsidRDefault="00AF2508">
            <w:pPr>
              <w:pStyle w:val="TableText"/>
              <w:jc w:val="center"/>
              <w:rPr>
                <w:sz w:val="20"/>
              </w:rPr>
            </w:pPr>
            <w:r>
              <w:rPr>
                <w:sz w:val="20"/>
              </w:rPr>
              <w:t>18</w:t>
            </w:r>
            <w:r>
              <w:rPr>
                <w:position w:val="4"/>
                <w:sz w:val="20"/>
              </w:rPr>
              <w:t>1</w:t>
            </w:r>
            <w:r>
              <w:rPr>
                <w:sz w:val="20"/>
              </w:rPr>
              <w:t>/2</w:t>
            </w:r>
          </w:p>
        </w:tc>
        <w:tc>
          <w:tcPr>
            <w:tcW w:w="752" w:type="dxa"/>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16</w:t>
            </w:r>
            <w:r>
              <w:rPr>
                <w:position w:val="4"/>
                <w:sz w:val="20"/>
              </w:rPr>
              <w:t>1</w:t>
            </w:r>
            <w:r>
              <w:rPr>
                <w:sz w:val="20"/>
              </w:rPr>
              <w:t>/2</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13</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9</w:t>
            </w:r>
            <w:r>
              <w:rPr>
                <w:position w:val="4"/>
                <w:sz w:val="20"/>
              </w:rPr>
              <w:t>1</w:t>
            </w:r>
            <w:r>
              <w:rPr>
                <w:sz w:val="20"/>
              </w:rPr>
              <w:t>/2</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5</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912" w:type="dxa"/>
            <w:tcBorders>
              <w:right w:val="single" w:sz="6" w:space="0" w:color="auto"/>
            </w:tcBorders>
          </w:tcPr>
          <w:p w:rsidR="00AF2508" w:rsidRDefault="00AF2508">
            <w:pPr>
              <w:pStyle w:val="TableText"/>
              <w:jc w:val="center"/>
              <w:rPr>
                <w:sz w:val="20"/>
              </w:rPr>
            </w:pPr>
            <w:r>
              <w:rPr>
                <w:position w:val="4"/>
                <w:sz w:val="20"/>
              </w:rPr>
              <w:t>13</w:t>
            </w:r>
            <w:r>
              <w:rPr>
                <w:sz w:val="20"/>
              </w:rPr>
              <w:t xml:space="preserve">/32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11</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w:t>
            </w:r>
          </w:p>
        </w:tc>
        <w:tc>
          <w:tcPr>
            <w:tcW w:w="752" w:type="dxa"/>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19</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11</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5</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3</w:t>
            </w:r>
            <w:r>
              <w:rPr>
                <w:sz w:val="20"/>
              </w:rPr>
              <w:t>/8 1</w:t>
            </w:r>
          </w:p>
        </w:tc>
        <w:tc>
          <w:tcPr>
            <w:tcW w:w="912" w:type="dxa"/>
            <w:tcBorders>
              <w:right w:val="single" w:sz="6" w:space="0" w:color="auto"/>
            </w:tcBorders>
          </w:tcPr>
          <w:p w:rsidR="00AF2508" w:rsidRDefault="00AF2508">
            <w:pPr>
              <w:pStyle w:val="TableText"/>
              <w:jc w:val="center"/>
              <w:rPr>
                <w:sz w:val="20"/>
              </w:rPr>
            </w:pPr>
            <w:r>
              <w:rPr>
                <w:position w:val="4"/>
                <w:sz w:val="20"/>
              </w:rPr>
              <w:t>7</w:t>
            </w:r>
            <w:r>
              <w:rPr>
                <w:sz w:val="20"/>
              </w:rPr>
              <w:t xml:space="preserve">/16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13</w:t>
            </w:r>
            <w:r>
              <w:rPr>
                <w:position w:val="4"/>
                <w:sz w:val="20"/>
              </w:rPr>
              <w:t>1</w:t>
            </w:r>
            <w:r>
              <w:rPr>
                <w:sz w:val="20"/>
              </w:rPr>
              <w:t>/2</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6</w:t>
            </w:r>
          </w:p>
        </w:tc>
        <w:tc>
          <w:tcPr>
            <w:tcW w:w="752" w:type="dxa"/>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3</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19</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13</w:t>
            </w:r>
            <w:r>
              <w:rPr>
                <w:position w:val="4"/>
                <w:sz w:val="20"/>
              </w:rPr>
              <w:t>1</w:t>
            </w:r>
            <w:r>
              <w:rPr>
                <w:sz w:val="20"/>
              </w:rPr>
              <w:t>/2</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7</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912" w:type="dxa"/>
            <w:tcBorders>
              <w:right w:val="single" w:sz="6" w:space="0" w:color="auto"/>
            </w:tcBorders>
          </w:tcPr>
          <w:p w:rsidR="00AF2508" w:rsidRDefault="00AF2508">
            <w:pPr>
              <w:pStyle w:val="TableText"/>
              <w:jc w:val="center"/>
              <w:rPr>
                <w:sz w:val="20"/>
              </w:rPr>
            </w:pPr>
            <w:r>
              <w:rPr>
                <w:position w:val="4"/>
                <w:sz w:val="20"/>
              </w:rPr>
              <w:t>15</w:t>
            </w:r>
            <w:r>
              <w:rPr>
                <w:sz w:val="20"/>
              </w:rPr>
              <w:t xml:space="preserve">/32 </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16</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11</w:t>
            </w:r>
          </w:p>
        </w:tc>
        <w:tc>
          <w:tcPr>
            <w:tcW w:w="752" w:type="dxa"/>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3</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16</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8</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5</w:t>
            </w:r>
            <w:r>
              <w:rPr>
                <w:sz w:val="20"/>
              </w:rPr>
              <w:t>/8 1</w:t>
            </w:r>
          </w:p>
        </w:tc>
        <w:tc>
          <w:tcPr>
            <w:tcW w:w="912" w:type="dxa"/>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696" w:type="dxa"/>
            <w:gridSpan w:val="4"/>
          </w:tcPr>
          <w:p w:rsidR="00AF2508" w:rsidRDefault="00AF2508">
            <w:pPr>
              <w:pStyle w:val="TableText"/>
              <w:jc w:val="center"/>
              <w:rPr>
                <w:sz w:val="20"/>
              </w:rPr>
            </w:pPr>
            <w:r>
              <w:rPr>
                <w:sz w:val="20"/>
              </w:rPr>
              <w:t>0</w:t>
            </w:r>
          </w:p>
        </w:tc>
        <w:tc>
          <w:tcPr>
            <w:tcW w:w="840" w:type="dxa"/>
          </w:tcPr>
          <w:p w:rsidR="00AF2508" w:rsidRDefault="00AF2508">
            <w:pPr>
              <w:pStyle w:val="TableText"/>
              <w:jc w:val="center"/>
              <w:rPr>
                <w:sz w:val="20"/>
              </w:rPr>
            </w:pPr>
            <w:r>
              <w:rPr>
                <w:sz w:val="20"/>
              </w:rPr>
              <w:t>19</w:t>
            </w:r>
          </w:p>
        </w:tc>
        <w:tc>
          <w:tcPr>
            <w:tcW w:w="600" w:type="dxa"/>
            <w:gridSpan w:val="2"/>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17</w:t>
            </w:r>
          </w:p>
        </w:tc>
        <w:tc>
          <w:tcPr>
            <w:tcW w:w="752" w:type="dxa"/>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19</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10</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/4</w:t>
            </w:r>
          </w:p>
        </w:tc>
        <w:tc>
          <w:tcPr>
            <w:tcW w:w="912" w:type="dxa"/>
            <w:tcBorders>
              <w:right w:val="single" w:sz="6" w:space="0" w:color="auto"/>
            </w:tcBorders>
          </w:tcPr>
          <w:p w:rsidR="00AF2508" w:rsidRDefault="00AF2508">
            <w:pPr>
              <w:pStyle w:val="TableText"/>
              <w:jc w:val="center"/>
              <w:rPr>
                <w:sz w:val="20"/>
              </w:rPr>
            </w:pPr>
            <w:r>
              <w:rPr>
                <w:position w:val="4"/>
                <w:sz w:val="20"/>
              </w:rPr>
              <w:t>9</w:t>
            </w:r>
            <w:r>
              <w:rPr>
                <w:sz w:val="20"/>
              </w:rPr>
              <w:t xml:space="preserve">/16 </w:t>
            </w:r>
          </w:p>
        </w:tc>
        <w:tc>
          <w:tcPr>
            <w:tcW w:w="696" w:type="dxa"/>
            <w:gridSpan w:val="4"/>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w:t>
            </w:r>
          </w:p>
        </w:tc>
        <w:tc>
          <w:tcPr>
            <w:tcW w:w="600" w:type="dxa"/>
            <w:gridSpan w:val="2"/>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1</w:t>
            </w:r>
          </w:p>
        </w:tc>
        <w:tc>
          <w:tcPr>
            <w:tcW w:w="752" w:type="dxa"/>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16</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10</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11</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position w:val="4"/>
                <w:sz w:val="20"/>
              </w:rPr>
              <w:t>7</w:t>
            </w:r>
            <w:r>
              <w:rPr>
                <w:sz w:val="20"/>
              </w:rPr>
              <w:t>/8 1</w:t>
            </w:r>
          </w:p>
        </w:tc>
        <w:tc>
          <w:tcPr>
            <w:tcW w:w="912" w:type="dxa"/>
            <w:tcBorders>
              <w:right w:val="single" w:sz="6" w:space="0" w:color="auto"/>
            </w:tcBorders>
          </w:tcPr>
          <w:p w:rsidR="00AF2508" w:rsidRDefault="00AF2508">
            <w:pPr>
              <w:pStyle w:val="TableText"/>
              <w:jc w:val="center"/>
              <w:rPr>
                <w:sz w:val="20"/>
              </w:rPr>
            </w:pPr>
            <w:r>
              <w:rPr>
                <w:position w:val="4"/>
                <w:sz w:val="20"/>
              </w:rPr>
              <w:t>19</w:t>
            </w:r>
            <w:r>
              <w:rPr>
                <w:sz w:val="20"/>
              </w:rPr>
              <w:t xml:space="preserve">/32 </w:t>
            </w:r>
          </w:p>
        </w:tc>
        <w:tc>
          <w:tcPr>
            <w:tcW w:w="696" w:type="dxa"/>
            <w:gridSpan w:val="4"/>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5</w:t>
            </w:r>
          </w:p>
        </w:tc>
        <w:tc>
          <w:tcPr>
            <w:tcW w:w="600" w:type="dxa"/>
            <w:gridSpan w:val="2"/>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8</w:t>
            </w:r>
          </w:p>
        </w:tc>
        <w:tc>
          <w:tcPr>
            <w:tcW w:w="752" w:type="dxa"/>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3</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15</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5</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13</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p>
        </w:tc>
        <w:tc>
          <w:tcPr>
            <w:tcW w:w="912" w:type="dxa"/>
            <w:tcBorders>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696" w:type="dxa"/>
            <w:gridSpan w:val="4"/>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9</w:t>
            </w:r>
          </w:p>
        </w:tc>
        <w:tc>
          <w:tcPr>
            <w:tcW w:w="600" w:type="dxa"/>
            <w:gridSpan w:val="2"/>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16</w:t>
            </w:r>
          </w:p>
        </w:tc>
        <w:tc>
          <w:tcPr>
            <w:tcW w:w="752" w:type="dxa"/>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10</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9</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15</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/8</w:t>
            </w:r>
          </w:p>
        </w:tc>
        <w:tc>
          <w:tcPr>
            <w:tcW w:w="912" w:type="dxa"/>
            <w:tcBorders>
              <w:right w:val="single" w:sz="6" w:space="0" w:color="auto"/>
            </w:tcBorders>
          </w:tcPr>
          <w:p w:rsidR="00AF2508" w:rsidRDefault="00AF2508">
            <w:pPr>
              <w:pStyle w:val="TableText"/>
              <w:jc w:val="center"/>
              <w:rPr>
                <w:sz w:val="20"/>
              </w:rPr>
            </w:pPr>
            <w:r>
              <w:rPr>
                <w:position w:val="4"/>
                <w:sz w:val="20"/>
              </w:rPr>
              <w:t>11</w:t>
            </w:r>
            <w:r>
              <w:rPr>
                <w:sz w:val="20"/>
              </w:rPr>
              <w:t xml:space="preserve">/16 </w:t>
            </w:r>
          </w:p>
        </w:tc>
        <w:tc>
          <w:tcPr>
            <w:tcW w:w="696" w:type="dxa"/>
            <w:gridSpan w:val="4"/>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12</w:t>
            </w:r>
          </w:p>
        </w:tc>
        <w:tc>
          <w:tcPr>
            <w:tcW w:w="600" w:type="dxa"/>
            <w:gridSpan w:val="2"/>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2</w:t>
            </w:r>
          </w:p>
        </w:tc>
        <w:tc>
          <w:tcPr>
            <w:tcW w:w="752" w:type="dxa"/>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15</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5</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12</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16</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/4</w:t>
            </w:r>
          </w:p>
        </w:tc>
        <w:tc>
          <w:tcPr>
            <w:tcW w:w="912" w:type="dxa"/>
            <w:tcBorders>
              <w:right w:val="single" w:sz="6" w:space="0" w:color="auto"/>
            </w:tcBorders>
          </w:tcPr>
          <w:p w:rsidR="00AF2508" w:rsidRDefault="00AF2508">
            <w:pPr>
              <w:pStyle w:val="TableText"/>
              <w:jc w:val="center"/>
              <w:rPr>
                <w:sz w:val="20"/>
              </w:rPr>
            </w:pPr>
            <w:r>
              <w:rPr>
                <w:position w:val="4"/>
                <w:sz w:val="20"/>
              </w:rPr>
              <w:t>23</w:t>
            </w:r>
            <w:r>
              <w:rPr>
                <w:sz w:val="20"/>
              </w:rPr>
              <w:t xml:space="preserve">/32 </w:t>
            </w:r>
          </w:p>
        </w:tc>
        <w:tc>
          <w:tcPr>
            <w:tcW w:w="696" w:type="dxa"/>
            <w:gridSpan w:val="4"/>
          </w:tcPr>
          <w:p w:rsidR="00AF2508" w:rsidRDefault="00AF2508">
            <w:pPr>
              <w:pStyle w:val="TableText"/>
              <w:jc w:val="center"/>
              <w:rPr>
                <w:sz w:val="20"/>
              </w:rPr>
            </w:pPr>
            <w:r>
              <w:rPr>
                <w:sz w:val="20"/>
              </w:rPr>
              <w:t>1</w:t>
            </w:r>
          </w:p>
        </w:tc>
        <w:tc>
          <w:tcPr>
            <w:tcW w:w="840" w:type="dxa"/>
          </w:tcPr>
          <w:p w:rsidR="00AF2508" w:rsidRDefault="00AF2508">
            <w:pPr>
              <w:pStyle w:val="TableText"/>
              <w:jc w:val="center"/>
              <w:rPr>
                <w:sz w:val="20"/>
              </w:rPr>
            </w:pPr>
            <w:r>
              <w:rPr>
                <w:sz w:val="20"/>
              </w:rPr>
              <w:t>16</w:t>
            </w:r>
          </w:p>
        </w:tc>
        <w:tc>
          <w:tcPr>
            <w:tcW w:w="600" w:type="dxa"/>
            <w:gridSpan w:val="2"/>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10</w:t>
            </w:r>
          </w:p>
        </w:tc>
        <w:tc>
          <w:tcPr>
            <w:tcW w:w="752" w:type="dxa"/>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2</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11</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16</w:t>
            </w:r>
          </w:p>
        </w:tc>
        <w:tc>
          <w:tcPr>
            <w:tcW w:w="838" w:type="dxa"/>
            <w:gridSpan w:val="2"/>
          </w:tcPr>
          <w:p w:rsidR="00AF2508" w:rsidRDefault="00AF2508">
            <w:pPr>
              <w:pStyle w:val="TableText"/>
              <w:jc w:val="center"/>
              <w:rPr>
                <w:sz w:val="20"/>
              </w:rPr>
            </w:pPr>
            <w:r>
              <w:rPr>
                <w:sz w:val="20"/>
              </w:rPr>
              <w:t>0</w:t>
            </w:r>
          </w:p>
        </w:tc>
        <w:tc>
          <w:tcPr>
            <w:tcW w:w="686" w:type="dxa"/>
            <w:gridSpan w:val="2"/>
          </w:tcPr>
          <w:p w:rsidR="00AF2508" w:rsidRDefault="00AF2508">
            <w:pPr>
              <w:pStyle w:val="TableText"/>
              <w:jc w:val="center"/>
              <w:rPr>
                <w:sz w:val="20"/>
              </w:rPr>
            </w:pPr>
            <w:r>
              <w:rPr>
                <w:sz w:val="20"/>
              </w:rPr>
              <w:t>18</w:t>
            </w:r>
            <w:r>
              <w:rPr>
                <w:position w:val="4"/>
                <w:sz w:val="20"/>
              </w:rPr>
              <w:t>1</w:t>
            </w:r>
            <w:r>
              <w:rPr>
                <w:sz w:val="20"/>
              </w:rPr>
              <w:t>/2</w:t>
            </w:r>
          </w:p>
        </w:tc>
      </w:tr>
      <w:tr w:rsidR="00AF2508">
        <w:trPr>
          <w:cantSplit/>
          <w:trHeight w:val="200"/>
        </w:trPr>
        <w:tc>
          <w:tcPr>
            <w:tcW w:w="980"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/8</w:t>
            </w:r>
          </w:p>
        </w:tc>
        <w:tc>
          <w:tcPr>
            <w:tcW w:w="912" w:type="dxa"/>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696" w:type="dxa"/>
            <w:gridSpan w:val="4"/>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0</w:t>
            </w:r>
          </w:p>
        </w:tc>
        <w:tc>
          <w:tcPr>
            <w:tcW w:w="600" w:type="dxa"/>
            <w:gridSpan w:val="2"/>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17</w:t>
            </w:r>
          </w:p>
        </w:tc>
        <w:tc>
          <w:tcPr>
            <w:tcW w:w="752" w:type="dxa"/>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9</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0</w:t>
            </w:r>
          </w:p>
        </w:tc>
        <w:tc>
          <w:tcPr>
            <w:tcW w:w="838" w:type="dxa"/>
            <w:gridSpan w:val="2"/>
          </w:tcPr>
          <w:p w:rsidR="00AF2508" w:rsidRDefault="00AF2508">
            <w:pPr>
              <w:pStyle w:val="TableText"/>
              <w:jc w:val="center"/>
              <w:rPr>
                <w:sz w:val="20"/>
              </w:rPr>
            </w:pPr>
            <w:r>
              <w:rPr>
                <w:sz w:val="20"/>
              </w:rPr>
              <w:t>1</w:t>
            </w:r>
          </w:p>
        </w:tc>
        <w:tc>
          <w:tcPr>
            <w:tcW w:w="686" w:type="dxa"/>
            <w:gridSpan w:val="2"/>
          </w:tcPr>
          <w:p w:rsidR="00AF2508" w:rsidRDefault="00AF2508">
            <w:pPr>
              <w:pStyle w:val="TableText"/>
              <w:jc w:val="center"/>
              <w:rPr>
                <w:sz w:val="20"/>
              </w:rPr>
            </w:pPr>
            <w:r>
              <w:rPr>
                <w:sz w:val="20"/>
              </w:rPr>
              <w:t>1</w:t>
            </w:r>
          </w:p>
        </w:tc>
      </w:tr>
      <w:tr w:rsidR="00AF2508">
        <w:trPr>
          <w:cantSplit/>
          <w:trHeight w:val="200"/>
        </w:trPr>
        <w:tc>
          <w:tcPr>
            <w:tcW w:w="980" w:type="dxa"/>
          </w:tcPr>
          <w:p w:rsidR="00AF2508" w:rsidRDefault="00AF2508">
            <w:pPr>
              <w:pStyle w:val="TableText"/>
              <w:jc w:val="center"/>
              <w:rPr>
                <w:sz w:val="20"/>
              </w:rPr>
            </w:pPr>
            <w:r>
              <w:rPr>
                <w:sz w:val="20"/>
              </w:rPr>
              <w:t>2</w:t>
            </w:r>
            <w:r>
              <w:rPr>
                <w:position w:val="4"/>
                <w:sz w:val="20"/>
              </w:rPr>
              <w:t>1</w:t>
            </w:r>
            <w:r>
              <w:rPr>
                <w:sz w:val="20"/>
              </w:rPr>
              <w:t>/2</w:t>
            </w:r>
          </w:p>
        </w:tc>
        <w:tc>
          <w:tcPr>
            <w:tcW w:w="912" w:type="dxa"/>
            <w:tcBorders>
              <w:left w:val="single" w:sz="6" w:space="0" w:color="auto"/>
              <w:right w:val="single" w:sz="6" w:space="0" w:color="auto"/>
            </w:tcBorders>
          </w:tcPr>
          <w:p w:rsidR="00AF2508" w:rsidRDefault="00AF2508">
            <w:pPr>
              <w:pStyle w:val="TableText"/>
              <w:jc w:val="center"/>
              <w:rPr>
                <w:sz w:val="20"/>
              </w:rPr>
            </w:pPr>
            <w:r>
              <w:rPr>
                <w:position w:val="4"/>
                <w:sz w:val="20"/>
              </w:rPr>
              <w:t>13</w:t>
            </w:r>
            <w:r>
              <w:rPr>
                <w:sz w:val="20"/>
              </w:rPr>
              <w:t xml:space="preserve">/16 </w:t>
            </w:r>
          </w:p>
        </w:tc>
        <w:tc>
          <w:tcPr>
            <w:tcW w:w="696" w:type="dxa"/>
            <w:gridSpan w:val="4"/>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6</w:t>
            </w:r>
          </w:p>
        </w:tc>
        <w:tc>
          <w:tcPr>
            <w:tcW w:w="600" w:type="dxa"/>
            <w:gridSpan w:val="2"/>
            <w:tcBorders>
              <w:left w:val="single" w:sz="6" w:space="0" w:color="auto"/>
            </w:tcBorders>
          </w:tcPr>
          <w:p w:rsidR="00AF2508" w:rsidRDefault="00AF2508">
            <w:pPr>
              <w:pStyle w:val="TableText"/>
              <w:jc w:val="center"/>
              <w:rPr>
                <w:sz w:val="20"/>
              </w:rPr>
            </w:pPr>
            <w:r>
              <w:rPr>
                <w:sz w:val="20"/>
              </w:rPr>
              <w:t>4</w:t>
            </w:r>
          </w:p>
        </w:tc>
        <w:tc>
          <w:tcPr>
            <w:tcW w:w="720" w:type="dxa"/>
            <w:gridSpan w:val="2"/>
          </w:tcPr>
          <w:p w:rsidR="00AF2508" w:rsidRDefault="00AF2508">
            <w:pPr>
              <w:pStyle w:val="TableText"/>
              <w:jc w:val="center"/>
              <w:rPr>
                <w:sz w:val="20"/>
              </w:rPr>
            </w:pPr>
            <w:r>
              <w:rPr>
                <w:sz w:val="20"/>
              </w:rPr>
              <w:t>9</w:t>
            </w:r>
          </w:p>
        </w:tc>
        <w:tc>
          <w:tcPr>
            <w:tcW w:w="752" w:type="dxa"/>
            <w:tcBorders>
              <w:left w:val="single" w:sz="6" w:space="0" w:color="auto"/>
            </w:tcBorders>
          </w:tcPr>
          <w:p w:rsidR="00AF2508" w:rsidRDefault="00AF2508">
            <w:pPr>
              <w:pStyle w:val="TableText"/>
              <w:jc w:val="center"/>
              <w:rPr>
                <w:sz w:val="20"/>
              </w:rPr>
            </w:pPr>
            <w:r>
              <w:rPr>
                <w:sz w:val="20"/>
              </w:rPr>
              <w:t>4</w:t>
            </w:r>
          </w:p>
        </w:tc>
        <w:tc>
          <w:tcPr>
            <w:tcW w:w="832" w:type="dxa"/>
          </w:tcPr>
          <w:p w:rsidR="00AF2508" w:rsidRDefault="00AF2508">
            <w:pPr>
              <w:pStyle w:val="TableText"/>
              <w:jc w:val="center"/>
              <w:rPr>
                <w:sz w:val="20"/>
              </w:rPr>
            </w:pPr>
            <w:r>
              <w:rPr>
                <w:sz w:val="20"/>
              </w:rPr>
              <w:t>0</w:t>
            </w:r>
          </w:p>
        </w:tc>
        <w:tc>
          <w:tcPr>
            <w:tcW w:w="768" w:type="dxa"/>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5</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Pr>
          <w:p w:rsidR="00AF2508" w:rsidRDefault="00AF2508">
            <w:pPr>
              <w:pStyle w:val="TableText"/>
              <w:jc w:val="center"/>
              <w:rPr>
                <w:sz w:val="20"/>
              </w:rPr>
            </w:pPr>
            <w:r>
              <w:rPr>
                <w:sz w:val="20"/>
              </w:rPr>
              <w:t>6</w:t>
            </w:r>
          </w:p>
        </w:tc>
        <w:tc>
          <w:tcPr>
            <w:tcW w:w="838" w:type="dxa"/>
            <w:gridSpan w:val="2"/>
            <w:tcBorders>
              <w:left w:val="single" w:sz="6" w:space="0" w:color="auto"/>
            </w:tcBorders>
          </w:tcPr>
          <w:p w:rsidR="00AF2508" w:rsidRDefault="00AF2508">
            <w:pPr>
              <w:pStyle w:val="TableText"/>
              <w:jc w:val="center"/>
              <w:rPr>
                <w:sz w:val="20"/>
              </w:rPr>
            </w:pPr>
            <w:r>
              <w:rPr>
                <w:sz w:val="20"/>
              </w:rPr>
              <w:t>1</w:t>
            </w:r>
          </w:p>
        </w:tc>
        <w:tc>
          <w:tcPr>
            <w:tcW w:w="686" w:type="dxa"/>
            <w:gridSpan w:val="2"/>
          </w:tcPr>
          <w:p w:rsidR="00AF2508" w:rsidRDefault="00AF2508">
            <w:pPr>
              <w:pStyle w:val="TableText"/>
              <w:jc w:val="center"/>
              <w:rPr>
                <w:sz w:val="20"/>
              </w:rPr>
            </w:pPr>
            <w:r>
              <w:rPr>
                <w:sz w:val="20"/>
              </w:rPr>
              <w:t>4</w:t>
            </w:r>
          </w:p>
        </w:tc>
      </w:tr>
      <w:tr w:rsidR="00AF2508">
        <w:trPr>
          <w:cantSplit/>
          <w:trHeight w:val="200"/>
        </w:trPr>
        <w:tc>
          <w:tcPr>
            <w:tcW w:w="980" w:type="dxa"/>
          </w:tcPr>
          <w:p w:rsidR="00AF2508" w:rsidRDefault="00AF2508">
            <w:pPr>
              <w:pStyle w:val="TableText"/>
              <w:jc w:val="center"/>
              <w:rPr>
                <w:sz w:val="20"/>
              </w:rPr>
            </w:pPr>
            <w:r>
              <w:rPr>
                <w:sz w:val="20"/>
              </w:rPr>
              <w:t>2</w:t>
            </w:r>
            <w:r>
              <w:rPr>
                <w:position w:val="4"/>
                <w:sz w:val="20"/>
              </w:rPr>
              <w:t>3</w:t>
            </w:r>
            <w:r>
              <w:rPr>
                <w:sz w:val="20"/>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696" w:type="dxa"/>
            <w:gridSpan w:val="4"/>
          </w:tcPr>
          <w:p w:rsidR="00AF2508" w:rsidRDefault="00AF2508">
            <w:pPr>
              <w:pStyle w:val="TableText"/>
              <w:jc w:val="center"/>
              <w:rPr>
                <w:sz w:val="20"/>
              </w:rPr>
            </w:pPr>
            <w:r>
              <w:rPr>
                <w:sz w:val="20"/>
              </w:rPr>
              <w:t>2</w:t>
            </w:r>
          </w:p>
        </w:tc>
        <w:tc>
          <w:tcPr>
            <w:tcW w:w="840" w:type="dxa"/>
          </w:tcPr>
          <w:p w:rsidR="00AF2508" w:rsidRDefault="00AF2508">
            <w:pPr>
              <w:pStyle w:val="TableText"/>
              <w:jc w:val="center"/>
              <w:rPr>
                <w:sz w:val="20"/>
              </w:rPr>
            </w:pPr>
            <w:r>
              <w:rPr>
                <w:sz w:val="20"/>
              </w:rPr>
              <w:t>14</w:t>
            </w:r>
          </w:p>
        </w:tc>
        <w:tc>
          <w:tcPr>
            <w:tcW w:w="600" w:type="dxa"/>
            <w:gridSpan w:val="2"/>
            <w:tcBorders>
              <w:left w:val="single" w:sz="6" w:space="0" w:color="auto"/>
            </w:tcBorders>
          </w:tcPr>
          <w:p w:rsidR="00AF2508" w:rsidRDefault="00AF2508">
            <w:pPr>
              <w:pStyle w:val="TableText"/>
              <w:jc w:val="center"/>
              <w:rPr>
                <w:sz w:val="20"/>
              </w:rPr>
            </w:pPr>
            <w:r>
              <w:rPr>
                <w:sz w:val="20"/>
              </w:rPr>
              <w:t>5</w:t>
            </w:r>
          </w:p>
        </w:tc>
        <w:tc>
          <w:tcPr>
            <w:tcW w:w="720" w:type="dxa"/>
            <w:gridSpan w:val="2"/>
          </w:tcPr>
          <w:p w:rsidR="00AF2508" w:rsidRDefault="00AF2508">
            <w:pPr>
              <w:pStyle w:val="TableText"/>
              <w:jc w:val="center"/>
              <w:rPr>
                <w:sz w:val="20"/>
              </w:rPr>
            </w:pPr>
            <w:r>
              <w:rPr>
                <w:sz w:val="20"/>
              </w:rPr>
              <w:t>4</w:t>
            </w:r>
          </w:p>
        </w:tc>
        <w:tc>
          <w:tcPr>
            <w:tcW w:w="752" w:type="dxa"/>
            <w:tcBorders>
              <w:left w:val="single" w:sz="6" w:space="0" w:color="auto"/>
            </w:tcBorders>
          </w:tcPr>
          <w:p w:rsidR="00AF2508" w:rsidRDefault="00AF2508">
            <w:pPr>
              <w:pStyle w:val="TableText"/>
              <w:jc w:val="center"/>
              <w:rPr>
                <w:sz w:val="20"/>
              </w:rPr>
            </w:pPr>
            <w:r>
              <w:rPr>
                <w:sz w:val="20"/>
              </w:rPr>
              <w:t>4</w:t>
            </w:r>
          </w:p>
        </w:tc>
        <w:tc>
          <w:tcPr>
            <w:tcW w:w="832" w:type="dxa"/>
          </w:tcPr>
          <w:p w:rsidR="00AF2508" w:rsidRDefault="00AF2508">
            <w:pPr>
              <w:pStyle w:val="TableText"/>
              <w:jc w:val="center"/>
              <w:rPr>
                <w:sz w:val="20"/>
              </w:rPr>
            </w:pPr>
            <w:r>
              <w:rPr>
                <w:sz w:val="20"/>
              </w:rPr>
              <w:t>14</w:t>
            </w:r>
          </w:p>
        </w:tc>
        <w:tc>
          <w:tcPr>
            <w:tcW w:w="768" w:type="dxa"/>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16</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Pr>
          <w:p w:rsidR="00AF2508" w:rsidRDefault="00AF2508">
            <w:pPr>
              <w:pStyle w:val="TableText"/>
              <w:jc w:val="center"/>
              <w:rPr>
                <w:sz w:val="20"/>
              </w:rPr>
            </w:pPr>
            <w:r>
              <w:rPr>
                <w:sz w:val="20"/>
              </w:rPr>
              <w:t>14</w:t>
            </w:r>
          </w:p>
        </w:tc>
        <w:tc>
          <w:tcPr>
            <w:tcW w:w="838" w:type="dxa"/>
            <w:gridSpan w:val="2"/>
            <w:tcBorders>
              <w:left w:val="single" w:sz="6" w:space="0" w:color="auto"/>
            </w:tcBorders>
          </w:tcPr>
          <w:p w:rsidR="00AF2508" w:rsidRDefault="00AF2508">
            <w:pPr>
              <w:pStyle w:val="TableText"/>
              <w:jc w:val="center"/>
              <w:rPr>
                <w:sz w:val="20"/>
              </w:rPr>
            </w:pPr>
            <w:r>
              <w:rPr>
                <w:sz w:val="20"/>
              </w:rPr>
              <w:t>1</w:t>
            </w:r>
          </w:p>
        </w:tc>
        <w:tc>
          <w:tcPr>
            <w:tcW w:w="686" w:type="dxa"/>
            <w:gridSpan w:val="2"/>
          </w:tcPr>
          <w:p w:rsidR="00AF2508" w:rsidRDefault="00AF2508">
            <w:pPr>
              <w:pStyle w:val="TableText"/>
              <w:jc w:val="center"/>
              <w:rPr>
                <w:sz w:val="20"/>
              </w:rPr>
            </w:pPr>
            <w:r>
              <w:rPr>
                <w:sz w:val="20"/>
              </w:rPr>
              <w:t>8</w:t>
            </w:r>
          </w:p>
        </w:tc>
      </w:tr>
      <w:tr w:rsidR="00AF2508">
        <w:trPr>
          <w:cantSplit/>
          <w:trHeight w:val="200"/>
        </w:trPr>
        <w:tc>
          <w:tcPr>
            <w:tcW w:w="980" w:type="dxa"/>
          </w:tcPr>
          <w:p w:rsidR="00AF2508" w:rsidRDefault="00AF2508">
            <w:pPr>
              <w:pStyle w:val="TableText"/>
              <w:jc w:val="center"/>
              <w:rPr>
                <w:sz w:val="20"/>
              </w:rPr>
            </w:pPr>
            <w:r>
              <w:rPr>
                <w:sz w:val="20"/>
              </w:rPr>
              <w:t>3</w:t>
            </w:r>
          </w:p>
        </w:tc>
        <w:tc>
          <w:tcPr>
            <w:tcW w:w="912" w:type="dxa"/>
            <w:tcBorders>
              <w:left w:val="single" w:sz="6" w:space="0" w:color="auto"/>
              <w:right w:val="single" w:sz="6" w:space="0" w:color="auto"/>
            </w:tcBorders>
          </w:tcPr>
          <w:p w:rsidR="00AF2508" w:rsidRDefault="00AF2508">
            <w:pPr>
              <w:pStyle w:val="TableText"/>
              <w:jc w:val="center"/>
              <w:rPr>
                <w:sz w:val="20"/>
              </w:rPr>
            </w:pPr>
            <w:r>
              <w:rPr>
                <w:position w:val="4"/>
                <w:sz w:val="16"/>
              </w:rPr>
              <w:t>15</w:t>
            </w:r>
            <w:r>
              <w:rPr>
                <w:sz w:val="20"/>
              </w:rPr>
              <w:t>/</w:t>
            </w:r>
            <w:r>
              <w:rPr>
                <w:sz w:val="16"/>
              </w:rPr>
              <w:t>16</w:t>
            </w:r>
            <w:r>
              <w:rPr>
                <w:sz w:val="20"/>
              </w:rPr>
              <w:t xml:space="preserve"> </w:t>
            </w:r>
          </w:p>
        </w:tc>
        <w:tc>
          <w:tcPr>
            <w:tcW w:w="696" w:type="dxa"/>
            <w:gridSpan w:val="4"/>
          </w:tcPr>
          <w:p w:rsidR="00AF2508" w:rsidRDefault="00AF2508">
            <w:pPr>
              <w:pStyle w:val="TableText"/>
              <w:jc w:val="center"/>
              <w:rPr>
                <w:sz w:val="20"/>
              </w:rPr>
            </w:pPr>
            <w:r>
              <w:rPr>
                <w:sz w:val="20"/>
              </w:rPr>
              <w:t>3</w:t>
            </w:r>
          </w:p>
        </w:tc>
        <w:tc>
          <w:tcPr>
            <w:tcW w:w="840" w:type="dxa"/>
          </w:tcPr>
          <w:p w:rsidR="00AF2508" w:rsidRDefault="00AF2508">
            <w:pPr>
              <w:pStyle w:val="TableText"/>
              <w:jc w:val="center"/>
              <w:rPr>
                <w:sz w:val="20"/>
              </w:rPr>
            </w:pPr>
            <w:r>
              <w:rPr>
                <w:sz w:val="20"/>
              </w:rPr>
              <w:t>3</w:t>
            </w:r>
          </w:p>
        </w:tc>
        <w:tc>
          <w:tcPr>
            <w:tcW w:w="600" w:type="dxa"/>
            <w:gridSpan w:val="2"/>
            <w:tcBorders>
              <w:left w:val="single" w:sz="6" w:space="0" w:color="auto"/>
            </w:tcBorders>
          </w:tcPr>
          <w:p w:rsidR="00AF2508" w:rsidRDefault="00AF2508">
            <w:pPr>
              <w:pStyle w:val="TableText"/>
              <w:jc w:val="center"/>
              <w:rPr>
                <w:sz w:val="20"/>
              </w:rPr>
            </w:pPr>
            <w:r>
              <w:rPr>
                <w:sz w:val="20"/>
              </w:rPr>
              <w:t>6</w:t>
            </w:r>
          </w:p>
        </w:tc>
        <w:tc>
          <w:tcPr>
            <w:tcW w:w="720" w:type="dxa"/>
            <w:gridSpan w:val="2"/>
          </w:tcPr>
          <w:p w:rsidR="00AF2508" w:rsidRDefault="00AF2508">
            <w:pPr>
              <w:pStyle w:val="TableText"/>
              <w:jc w:val="center"/>
              <w:rPr>
                <w:sz w:val="20"/>
              </w:rPr>
            </w:pPr>
            <w:r>
              <w:rPr>
                <w:sz w:val="20"/>
              </w:rPr>
              <w:t>2</w:t>
            </w:r>
          </w:p>
        </w:tc>
        <w:tc>
          <w:tcPr>
            <w:tcW w:w="752" w:type="dxa"/>
            <w:tcBorders>
              <w:left w:val="single" w:sz="6" w:space="0" w:color="auto"/>
            </w:tcBorders>
          </w:tcPr>
          <w:p w:rsidR="00AF2508" w:rsidRDefault="00AF2508">
            <w:pPr>
              <w:pStyle w:val="TableText"/>
              <w:jc w:val="center"/>
              <w:rPr>
                <w:sz w:val="20"/>
              </w:rPr>
            </w:pPr>
            <w:r>
              <w:rPr>
                <w:sz w:val="20"/>
              </w:rPr>
              <w:t>5</w:t>
            </w:r>
          </w:p>
        </w:tc>
        <w:tc>
          <w:tcPr>
            <w:tcW w:w="832" w:type="dxa"/>
          </w:tcPr>
          <w:p w:rsidR="00AF2508" w:rsidRDefault="00AF2508">
            <w:pPr>
              <w:pStyle w:val="TableText"/>
              <w:jc w:val="center"/>
              <w:rPr>
                <w:sz w:val="20"/>
              </w:rPr>
            </w:pPr>
            <w:r>
              <w:rPr>
                <w:sz w:val="20"/>
              </w:rPr>
              <w:t>9</w:t>
            </w:r>
          </w:p>
        </w:tc>
        <w:tc>
          <w:tcPr>
            <w:tcW w:w="768" w:type="dxa"/>
            <w:tcBorders>
              <w:left w:val="single" w:sz="6" w:space="0" w:color="auto"/>
            </w:tcBorders>
          </w:tcPr>
          <w:p w:rsidR="00AF2508" w:rsidRDefault="00AF2508">
            <w:pPr>
              <w:pStyle w:val="TableText"/>
              <w:jc w:val="center"/>
              <w:rPr>
                <w:sz w:val="20"/>
              </w:rPr>
            </w:pPr>
            <w:r>
              <w:rPr>
                <w:sz w:val="20"/>
              </w:rPr>
              <w:t>4</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3</w:t>
            </w:r>
          </w:p>
        </w:tc>
        <w:tc>
          <w:tcPr>
            <w:tcW w:w="722" w:type="dxa"/>
          </w:tcPr>
          <w:p w:rsidR="00AF2508" w:rsidRDefault="00AF2508">
            <w:pPr>
              <w:pStyle w:val="TableText"/>
              <w:jc w:val="center"/>
              <w:rPr>
                <w:sz w:val="20"/>
              </w:rPr>
            </w:pPr>
            <w:r>
              <w:rPr>
                <w:sz w:val="20"/>
              </w:rPr>
              <w:t>3</w:t>
            </w:r>
          </w:p>
        </w:tc>
        <w:tc>
          <w:tcPr>
            <w:tcW w:w="838" w:type="dxa"/>
            <w:gridSpan w:val="2"/>
            <w:tcBorders>
              <w:left w:val="single" w:sz="6" w:space="0" w:color="auto"/>
            </w:tcBorders>
          </w:tcPr>
          <w:p w:rsidR="00AF2508" w:rsidRDefault="00AF2508">
            <w:pPr>
              <w:pStyle w:val="TableText"/>
              <w:jc w:val="center"/>
              <w:rPr>
                <w:sz w:val="20"/>
              </w:rPr>
            </w:pPr>
            <w:r>
              <w:rPr>
                <w:sz w:val="20"/>
              </w:rPr>
              <w:t>1</w:t>
            </w:r>
          </w:p>
        </w:tc>
        <w:tc>
          <w:tcPr>
            <w:tcW w:w="686" w:type="dxa"/>
            <w:gridSpan w:val="2"/>
          </w:tcPr>
          <w:p w:rsidR="00AF2508" w:rsidRDefault="00AF2508">
            <w:pPr>
              <w:pStyle w:val="TableText"/>
              <w:jc w:val="center"/>
              <w:rPr>
                <w:sz w:val="20"/>
              </w:rPr>
            </w:pPr>
            <w:r>
              <w:rPr>
                <w:sz w:val="20"/>
              </w:rPr>
              <w:t>13</w:t>
            </w:r>
          </w:p>
        </w:tc>
      </w:tr>
      <w:tr w:rsidR="00AF2508">
        <w:trPr>
          <w:cantSplit/>
          <w:trHeight w:val="200"/>
        </w:trPr>
        <w:tc>
          <w:tcPr>
            <w:tcW w:w="980" w:type="dxa"/>
          </w:tcPr>
          <w:p w:rsidR="00AF2508" w:rsidRDefault="00AF2508">
            <w:pPr>
              <w:pStyle w:val="TableText"/>
              <w:jc w:val="center"/>
              <w:rPr>
                <w:sz w:val="20"/>
              </w:rPr>
            </w:pPr>
            <w:r>
              <w:rPr>
                <w:sz w:val="20"/>
              </w:rPr>
              <w:t>3</w:t>
            </w:r>
            <w:r>
              <w:rPr>
                <w:position w:val="4"/>
                <w:sz w:val="16"/>
              </w:rPr>
              <w:t>1</w:t>
            </w:r>
            <w:r>
              <w:rPr>
                <w:sz w:val="20"/>
              </w:rPr>
              <w:t>/</w:t>
            </w:r>
            <w:r>
              <w:rPr>
                <w:sz w:val="16"/>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16</w:t>
            </w:r>
          </w:p>
        </w:tc>
        <w:tc>
          <w:tcPr>
            <w:tcW w:w="696" w:type="dxa"/>
            <w:gridSpan w:val="4"/>
          </w:tcPr>
          <w:p w:rsidR="00AF2508" w:rsidRDefault="00AF2508">
            <w:pPr>
              <w:pStyle w:val="TableText"/>
              <w:jc w:val="center"/>
              <w:rPr>
                <w:sz w:val="20"/>
              </w:rPr>
            </w:pPr>
            <w:r>
              <w:rPr>
                <w:sz w:val="20"/>
              </w:rPr>
              <w:t>3</w:t>
            </w:r>
          </w:p>
        </w:tc>
        <w:tc>
          <w:tcPr>
            <w:tcW w:w="840" w:type="dxa"/>
          </w:tcPr>
          <w:p w:rsidR="00AF2508" w:rsidRDefault="00AF2508">
            <w:pPr>
              <w:pStyle w:val="TableText"/>
              <w:jc w:val="center"/>
              <w:rPr>
                <w:sz w:val="20"/>
              </w:rPr>
            </w:pPr>
            <w:r>
              <w:rPr>
                <w:sz w:val="20"/>
              </w:rPr>
              <w:t>17</w:t>
            </w:r>
          </w:p>
        </w:tc>
        <w:tc>
          <w:tcPr>
            <w:tcW w:w="600" w:type="dxa"/>
            <w:gridSpan w:val="2"/>
            <w:tcBorders>
              <w:left w:val="single" w:sz="6" w:space="0" w:color="auto"/>
            </w:tcBorders>
          </w:tcPr>
          <w:p w:rsidR="00AF2508" w:rsidRDefault="00AF2508">
            <w:pPr>
              <w:pStyle w:val="TableText"/>
              <w:jc w:val="center"/>
              <w:rPr>
                <w:sz w:val="20"/>
              </w:rPr>
            </w:pPr>
            <w:r>
              <w:rPr>
                <w:sz w:val="20"/>
              </w:rPr>
              <w:t>7</w:t>
            </w:r>
          </w:p>
        </w:tc>
        <w:tc>
          <w:tcPr>
            <w:tcW w:w="720" w:type="dxa"/>
            <w:gridSpan w:val="2"/>
          </w:tcPr>
          <w:p w:rsidR="00AF2508" w:rsidRDefault="00AF2508">
            <w:pPr>
              <w:pStyle w:val="TableText"/>
              <w:jc w:val="center"/>
              <w:rPr>
                <w:sz w:val="20"/>
              </w:rPr>
            </w:pPr>
            <w:r>
              <w:rPr>
                <w:sz w:val="20"/>
              </w:rPr>
              <w:t>9</w:t>
            </w:r>
          </w:p>
        </w:tc>
        <w:tc>
          <w:tcPr>
            <w:tcW w:w="752" w:type="dxa"/>
            <w:tcBorders>
              <w:left w:val="single" w:sz="6" w:space="0" w:color="auto"/>
            </w:tcBorders>
          </w:tcPr>
          <w:p w:rsidR="00AF2508" w:rsidRDefault="00AF2508">
            <w:pPr>
              <w:pStyle w:val="TableText"/>
              <w:jc w:val="center"/>
              <w:rPr>
                <w:sz w:val="20"/>
              </w:rPr>
            </w:pPr>
            <w:r>
              <w:rPr>
                <w:sz w:val="20"/>
              </w:rPr>
              <w:t>6</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5</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3</w:t>
            </w:r>
          </w:p>
        </w:tc>
        <w:tc>
          <w:tcPr>
            <w:tcW w:w="722" w:type="dxa"/>
          </w:tcPr>
          <w:p w:rsidR="00AF2508" w:rsidRDefault="00AF2508">
            <w:pPr>
              <w:pStyle w:val="TableText"/>
              <w:jc w:val="center"/>
              <w:rPr>
                <w:sz w:val="20"/>
              </w:rPr>
            </w:pPr>
            <w:r>
              <w:rPr>
                <w:sz w:val="20"/>
              </w:rPr>
              <w:t>17</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86" w:type="dxa"/>
            <w:gridSpan w:val="2"/>
          </w:tcPr>
          <w:p w:rsidR="00AF2508" w:rsidRDefault="00AF2508">
            <w:pPr>
              <w:pStyle w:val="TableText"/>
              <w:jc w:val="center"/>
              <w:rPr>
                <w:sz w:val="20"/>
              </w:rPr>
            </w:pPr>
            <w:r>
              <w:rPr>
                <w:sz w:val="20"/>
              </w:rPr>
              <w:t>0</w:t>
            </w:r>
          </w:p>
        </w:tc>
      </w:tr>
      <w:tr w:rsidR="00AF2508">
        <w:trPr>
          <w:cantSplit/>
          <w:trHeight w:val="200"/>
        </w:trPr>
        <w:tc>
          <w:tcPr>
            <w:tcW w:w="980" w:type="dxa"/>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696" w:type="dxa"/>
            <w:gridSpan w:val="4"/>
          </w:tcPr>
          <w:p w:rsidR="00AF2508" w:rsidRDefault="00AF2508">
            <w:pPr>
              <w:pStyle w:val="TableText"/>
              <w:jc w:val="center"/>
              <w:rPr>
                <w:sz w:val="20"/>
              </w:rPr>
            </w:pPr>
            <w:r>
              <w:rPr>
                <w:sz w:val="20"/>
              </w:rPr>
              <w:t>4</w:t>
            </w:r>
          </w:p>
        </w:tc>
        <w:tc>
          <w:tcPr>
            <w:tcW w:w="840" w:type="dxa"/>
          </w:tcPr>
          <w:p w:rsidR="00AF2508" w:rsidRDefault="00AF2508">
            <w:pPr>
              <w:pStyle w:val="TableText"/>
              <w:jc w:val="center"/>
              <w:rPr>
                <w:sz w:val="20"/>
              </w:rPr>
            </w:pPr>
            <w:r>
              <w:rPr>
                <w:sz w:val="20"/>
              </w:rPr>
              <w:t>8</w:t>
            </w:r>
          </w:p>
        </w:tc>
        <w:tc>
          <w:tcPr>
            <w:tcW w:w="600" w:type="dxa"/>
            <w:gridSpan w:val="2"/>
            <w:tcBorders>
              <w:left w:val="single" w:sz="6" w:space="0" w:color="auto"/>
            </w:tcBorders>
          </w:tcPr>
          <w:p w:rsidR="00AF2508" w:rsidRDefault="00AF2508">
            <w:pPr>
              <w:pStyle w:val="TableText"/>
              <w:jc w:val="center"/>
              <w:rPr>
                <w:sz w:val="20"/>
              </w:rPr>
            </w:pPr>
            <w:r>
              <w:rPr>
                <w:sz w:val="20"/>
              </w:rPr>
              <w:t>8</w:t>
            </w:r>
          </w:p>
        </w:tc>
        <w:tc>
          <w:tcPr>
            <w:tcW w:w="720" w:type="dxa"/>
            <w:gridSpan w:val="2"/>
          </w:tcPr>
          <w:p w:rsidR="00AF2508" w:rsidRDefault="00AF2508">
            <w:pPr>
              <w:pStyle w:val="TableText"/>
              <w:jc w:val="center"/>
              <w:rPr>
                <w:sz w:val="20"/>
              </w:rPr>
            </w:pPr>
            <w:r>
              <w:rPr>
                <w:sz w:val="20"/>
              </w:rPr>
              <w:t>10</w:t>
            </w:r>
          </w:p>
        </w:tc>
        <w:tc>
          <w:tcPr>
            <w:tcW w:w="752" w:type="dxa"/>
            <w:tcBorders>
              <w:left w:val="single" w:sz="6" w:space="0" w:color="auto"/>
            </w:tcBorders>
          </w:tcPr>
          <w:p w:rsidR="00AF2508" w:rsidRDefault="00AF2508">
            <w:pPr>
              <w:pStyle w:val="TableText"/>
              <w:jc w:val="center"/>
              <w:rPr>
                <w:sz w:val="20"/>
              </w:rPr>
            </w:pPr>
            <w:r>
              <w:rPr>
                <w:sz w:val="20"/>
              </w:rPr>
              <w:t>7</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6</w:t>
            </w:r>
          </w:p>
        </w:tc>
        <w:tc>
          <w:tcPr>
            <w:tcW w:w="786" w:type="dxa"/>
            <w:gridSpan w:val="2"/>
          </w:tcPr>
          <w:p w:rsidR="00AF2508" w:rsidRDefault="00AF2508">
            <w:pPr>
              <w:pStyle w:val="TableText"/>
              <w:jc w:val="center"/>
              <w:rPr>
                <w:sz w:val="20"/>
              </w:rPr>
            </w:pPr>
            <w:r>
              <w:rPr>
                <w:sz w:val="20"/>
              </w:rPr>
              <w:t>4</w:t>
            </w:r>
          </w:p>
        </w:tc>
        <w:tc>
          <w:tcPr>
            <w:tcW w:w="760" w:type="dxa"/>
            <w:tcBorders>
              <w:left w:val="single" w:sz="6" w:space="0" w:color="auto"/>
            </w:tcBorders>
          </w:tcPr>
          <w:p w:rsidR="00AF2508" w:rsidRDefault="00AF2508">
            <w:pPr>
              <w:pStyle w:val="TableText"/>
              <w:jc w:val="center"/>
              <w:rPr>
                <w:sz w:val="20"/>
              </w:rPr>
            </w:pPr>
            <w:r>
              <w:rPr>
                <w:sz w:val="20"/>
              </w:rPr>
              <w:t>4</w:t>
            </w:r>
          </w:p>
        </w:tc>
        <w:tc>
          <w:tcPr>
            <w:tcW w:w="722" w:type="dxa"/>
          </w:tcPr>
          <w:p w:rsidR="00AF2508" w:rsidRDefault="00AF2508">
            <w:pPr>
              <w:pStyle w:val="TableText"/>
              <w:jc w:val="center"/>
              <w:rPr>
                <w:sz w:val="20"/>
              </w:rPr>
            </w:pPr>
            <w:r>
              <w:rPr>
                <w:sz w:val="20"/>
              </w:rPr>
              <w:t>8</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86" w:type="dxa"/>
            <w:gridSpan w:val="2"/>
          </w:tcPr>
          <w:p w:rsidR="00AF2508" w:rsidRDefault="00AF2508">
            <w:pPr>
              <w:pStyle w:val="TableText"/>
              <w:jc w:val="center"/>
              <w:rPr>
                <w:sz w:val="20"/>
              </w:rPr>
            </w:pPr>
            <w:r>
              <w:rPr>
                <w:sz w:val="20"/>
              </w:rPr>
              <w:t>6</w:t>
            </w:r>
          </w:p>
        </w:tc>
      </w:tr>
      <w:tr w:rsidR="00AF2508">
        <w:trPr>
          <w:cantSplit/>
          <w:trHeight w:val="200"/>
        </w:trPr>
        <w:tc>
          <w:tcPr>
            <w:tcW w:w="980" w:type="dxa"/>
          </w:tcPr>
          <w:p w:rsidR="00AF2508" w:rsidRDefault="00AF2508">
            <w:pPr>
              <w:pStyle w:val="TableText"/>
              <w:jc w:val="center"/>
              <w:rPr>
                <w:sz w:val="20"/>
              </w:rPr>
            </w:pPr>
            <w:r>
              <w:rPr>
                <w:sz w:val="20"/>
              </w:rPr>
              <w:t>3</w:t>
            </w:r>
            <w:r>
              <w:rPr>
                <w:position w:val="4"/>
                <w:sz w:val="16"/>
              </w:rPr>
              <w:t>3</w:t>
            </w:r>
            <w:r>
              <w:rPr>
                <w:sz w:val="20"/>
              </w:rPr>
              <w:t>/</w:t>
            </w:r>
            <w:r>
              <w:rPr>
                <w:sz w:val="16"/>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16</w:t>
            </w:r>
          </w:p>
        </w:tc>
        <w:tc>
          <w:tcPr>
            <w:tcW w:w="696" w:type="dxa"/>
            <w:gridSpan w:val="4"/>
          </w:tcPr>
          <w:p w:rsidR="00AF2508" w:rsidRDefault="00AF2508">
            <w:pPr>
              <w:pStyle w:val="TableText"/>
              <w:jc w:val="center"/>
              <w:rPr>
                <w:sz w:val="20"/>
              </w:rPr>
            </w:pPr>
            <w:r>
              <w:rPr>
                <w:sz w:val="20"/>
              </w:rPr>
              <w:t>5</w:t>
            </w:r>
          </w:p>
        </w:tc>
        <w:tc>
          <w:tcPr>
            <w:tcW w:w="840" w:type="dxa"/>
          </w:tcPr>
          <w:p w:rsidR="00AF2508" w:rsidRDefault="00AF2508">
            <w:pPr>
              <w:pStyle w:val="TableText"/>
              <w:jc w:val="center"/>
              <w:rPr>
                <w:sz w:val="20"/>
              </w:rPr>
            </w:pPr>
            <w:r>
              <w:rPr>
                <w:sz w:val="20"/>
              </w:rPr>
              <w:t>0</w:t>
            </w:r>
          </w:p>
        </w:tc>
        <w:tc>
          <w:tcPr>
            <w:tcW w:w="600" w:type="dxa"/>
            <w:gridSpan w:val="2"/>
            <w:tcBorders>
              <w:left w:val="single" w:sz="6" w:space="0" w:color="auto"/>
            </w:tcBorders>
          </w:tcPr>
          <w:p w:rsidR="00AF2508" w:rsidRDefault="00AF2508">
            <w:pPr>
              <w:pStyle w:val="TableText"/>
              <w:jc w:val="center"/>
              <w:rPr>
                <w:sz w:val="20"/>
              </w:rPr>
            </w:pPr>
            <w:r>
              <w:rPr>
                <w:sz w:val="20"/>
              </w:rPr>
              <w:t>9</w:t>
            </w:r>
          </w:p>
        </w:tc>
        <w:tc>
          <w:tcPr>
            <w:tcW w:w="720" w:type="dxa"/>
            <w:gridSpan w:val="2"/>
          </w:tcPr>
          <w:p w:rsidR="00AF2508" w:rsidRDefault="00AF2508">
            <w:pPr>
              <w:pStyle w:val="TableText"/>
              <w:jc w:val="center"/>
              <w:rPr>
                <w:sz w:val="20"/>
              </w:rPr>
            </w:pPr>
            <w:r>
              <w:rPr>
                <w:sz w:val="20"/>
              </w:rPr>
              <w:t>13</w:t>
            </w:r>
          </w:p>
        </w:tc>
        <w:tc>
          <w:tcPr>
            <w:tcW w:w="752" w:type="dxa"/>
            <w:tcBorders>
              <w:left w:val="single" w:sz="6" w:space="0" w:color="auto"/>
            </w:tcBorders>
          </w:tcPr>
          <w:p w:rsidR="00AF2508" w:rsidRDefault="00AF2508">
            <w:pPr>
              <w:pStyle w:val="TableText"/>
              <w:jc w:val="center"/>
              <w:rPr>
                <w:sz w:val="20"/>
              </w:rPr>
            </w:pPr>
            <w:r>
              <w:rPr>
                <w:sz w:val="20"/>
              </w:rPr>
              <w:t>8</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7</w:t>
            </w:r>
          </w:p>
        </w:tc>
        <w:tc>
          <w:tcPr>
            <w:tcW w:w="786" w:type="dxa"/>
            <w:gridSpan w:val="2"/>
          </w:tcPr>
          <w:p w:rsidR="00AF2508" w:rsidRDefault="00AF2508">
            <w:pPr>
              <w:pStyle w:val="TableText"/>
              <w:jc w:val="center"/>
              <w:rPr>
                <w:sz w:val="20"/>
              </w:rPr>
            </w:pPr>
            <w:r>
              <w:rPr>
                <w:sz w:val="20"/>
              </w:rPr>
              <w:t>1</w:t>
            </w:r>
          </w:p>
        </w:tc>
        <w:tc>
          <w:tcPr>
            <w:tcW w:w="760" w:type="dxa"/>
            <w:tcBorders>
              <w:left w:val="single" w:sz="6" w:space="0" w:color="auto"/>
            </w:tcBorders>
          </w:tcPr>
          <w:p w:rsidR="00AF2508" w:rsidRDefault="00AF2508">
            <w:pPr>
              <w:pStyle w:val="TableText"/>
              <w:jc w:val="center"/>
              <w:rPr>
                <w:sz w:val="20"/>
              </w:rPr>
            </w:pPr>
            <w:r>
              <w:rPr>
                <w:sz w:val="20"/>
              </w:rPr>
              <w:t>5</w:t>
            </w:r>
          </w:p>
        </w:tc>
        <w:tc>
          <w:tcPr>
            <w:tcW w:w="722" w:type="dxa"/>
          </w:tcPr>
          <w:p w:rsidR="00AF2508" w:rsidRDefault="00AF2508">
            <w:pPr>
              <w:pStyle w:val="TableText"/>
              <w:jc w:val="center"/>
              <w:rPr>
                <w:sz w:val="20"/>
              </w:rPr>
            </w:pPr>
            <w:r>
              <w:rPr>
                <w:sz w:val="20"/>
              </w:rPr>
              <w:t>0</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86" w:type="dxa"/>
            <w:gridSpan w:val="2"/>
          </w:tcPr>
          <w:p w:rsidR="00AF2508" w:rsidRDefault="00AF2508">
            <w:pPr>
              <w:pStyle w:val="TableText"/>
              <w:jc w:val="center"/>
              <w:rPr>
                <w:sz w:val="20"/>
              </w:rPr>
            </w:pPr>
            <w:r>
              <w:rPr>
                <w:sz w:val="20"/>
              </w:rPr>
              <w:t>12</w:t>
            </w:r>
          </w:p>
        </w:tc>
      </w:tr>
      <w:tr w:rsidR="00AF2508">
        <w:trPr>
          <w:cantSplit/>
          <w:trHeight w:val="200"/>
        </w:trPr>
        <w:tc>
          <w:tcPr>
            <w:tcW w:w="980" w:type="dxa"/>
          </w:tcPr>
          <w:p w:rsidR="00AF2508" w:rsidRDefault="00AF2508">
            <w:pPr>
              <w:pStyle w:val="TableText"/>
              <w:jc w:val="center"/>
              <w:rPr>
                <w:sz w:val="20"/>
              </w:rPr>
            </w:pPr>
            <w:r>
              <w:rPr>
                <w:sz w:val="20"/>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696" w:type="dxa"/>
            <w:gridSpan w:val="4"/>
          </w:tcPr>
          <w:p w:rsidR="00AF2508" w:rsidRDefault="00AF2508">
            <w:pPr>
              <w:pStyle w:val="TableText"/>
              <w:jc w:val="center"/>
              <w:rPr>
                <w:sz w:val="20"/>
              </w:rPr>
            </w:pPr>
            <w:r>
              <w:rPr>
                <w:sz w:val="20"/>
              </w:rPr>
              <w:t>5</w:t>
            </w:r>
          </w:p>
        </w:tc>
        <w:tc>
          <w:tcPr>
            <w:tcW w:w="840" w:type="dxa"/>
          </w:tcPr>
          <w:p w:rsidR="00AF2508" w:rsidRDefault="00AF2508">
            <w:pPr>
              <w:pStyle w:val="TableText"/>
              <w:jc w:val="center"/>
              <w:rPr>
                <w:sz w:val="20"/>
              </w:rPr>
            </w:pPr>
            <w:r>
              <w:rPr>
                <w:sz w:val="20"/>
              </w:rPr>
              <w:t>15</w:t>
            </w:r>
          </w:p>
        </w:tc>
        <w:tc>
          <w:tcPr>
            <w:tcW w:w="600" w:type="dxa"/>
            <w:gridSpan w:val="2"/>
            <w:tcBorders>
              <w:left w:val="single" w:sz="6" w:space="0" w:color="auto"/>
            </w:tcBorders>
          </w:tcPr>
          <w:p w:rsidR="00AF2508" w:rsidRDefault="00AF2508">
            <w:pPr>
              <w:pStyle w:val="TableText"/>
              <w:jc w:val="center"/>
              <w:rPr>
                <w:sz w:val="20"/>
              </w:rPr>
            </w:pPr>
            <w:r>
              <w:rPr>
                <w:sz w:val="20"/>
              </w:rPr>
              <w:t>11</w:t>
            </w:r>
          </w:p>
        </w:tc>
        <w:tc>
          <w:tcPr>
            <w:tcW w:w="720" w:type="dxa"/>
            <w:gridSpan w:val="2"/>
          </w:tcPr>
          <w:p w:rsidR="00AF2508" w:rsidRDefault="00AF2508">
            <w:pPr>
              <w:pStyle w:val="TableText"/>
              <w:jc w:val="center"/>
              <w:rPr>
                <w:sz w:val="20"/>
              </w:rPr>
            </w:pPr>
            <w:r>
              <w:rPr>
                <w:sz w:val="20"/>
              </w:rPr>
              <w:t>2</w:t>
            </w:r>
          </w:p>
        </w:tc>
        <w:tc>
          <w:tcPr>
            <w:tcW w:w="752" w:type="dxa"/>
            <w:tcBorders>
              <w:left w:val="single" w:sz="6" w:space="0" w:color="auto"/>
            </w:tcBorders>
          </w:tcPr>
          <w:p w:rsidR="00AF2508" w:rsidRDefault="00AF2508">
            <w:pPr>
              <w:pStyle w:val="TableText"/>
              <w:jc w:val="center"/>
              <w:rPr>
                <w:sz w:val="20"/>
              </w:rPr>
            </w:pPr>
            <w:r>
              <w:rPr>
                <w:sz w:val="20"/>
              </w:rPr>
              <w:t>9</w:t>
            </w:r>
          </w:p>
        </w:tc>
        <w:tc>
          <w:tcPr>
            <w:tcW w:w="832" w:type="dxa"/>
          </w:tcPr>
          <w:p w:rsidR="00AF2508" w:rsidRDefault="00AF2508">
            <w:pPr>
              <w:pStyle w:val="TableText"/>
              <w:jc w:val="center"/>
              <w:rPr>
                <w:sz w:val="20"/>
              </w:rPr>
            </w:pPr>
            <w:r>
              <w:rPr>
                <w:sz w:val="20"/>
              </w:rPr>
              <w:t>19</w:t>
            </w:r>
          </w:p>
        </w:tc>
        <w:tc>
          <w:tcPr>
            <w:tcW w:w="768" w:type="dxa"/>
            <w:tcBorders>
              <w:left w:val="single" w:sz="6" w:space="0" w:color="auto"/>
            </w:tcBorders>
          </w:tcPr>
          <w:p w:rsidR="00AF2508" w:rsidRDefault="00AF2508">
            <w:pPr>
              <w:pStyle w:val="TableText"/>
              <w:jc w:val="center"/>
              <w:rPr>
                <w:sz w:val="20"/>
              </w:rPr>
            </w:pPr>
            <w:r>
              <w:rPr>
                <w:sz w:val="20"/>
              </w:rPr>
              <w:t>8</w:t>
            </w:r>
          </w:p>
        </w:tc>
        <w:tc>
          <w:tcPr>
            <w:tcW w:w="786" w:type="dxa"/>
            <w:gridSpan w:val="2"/>
          </w:tcPr>
          <w:p w:rsidR="00AF2508" w:rsidRDefault="00AF2508">
            <w:pPr>
              <w:pStyle w:val="TableText"/>
              <w:jc w:val="center"/>
              <w:rPr>
                <w:sz w:val="20"/>
              </w:rPr>
            </w:pPr>
            <w:r>
              <w:rPr>
                <w:sz w:val="20"/>
              </w:rPr>
              <w:t>3</w:t>
            </w:r>
          </w:p>
        </w:tc>
        <w:tc>
          <w:tcPr>
            <w:tcW w:w="760" w:type="dxa"/>
            <w:tcBorders>
              <w:left w:val="single" w:sz="6" w:space="0" w:color="auto"/>
            </w:tcBorders>
          </w:tcPr>
          <w:p w:rsidR="00AF2508" w:rsidRDefault="00AF2508">
            <w:pPr>
              <w:pStyle w:val="TableText"/>
              <w:jc w:val="center"/>
              <w:rPr>
                <w:sz w:val="20"/>
              </w:rPr>
            </w:pPr>
            <w:r>
              <w:rPr>
                <w:sz w:val="20"/>
              </w:rPr>
              <w:t>5</w:t>
            </w:r>
          </w:p>
        </w:tc>
        <w:tc>
          <w:tcPr>
            <w:tcW w:w="722" w:type="dxa"/>
          </w:tcPr>
          <w:p w:rsidR="00AF2508" w:rsidRDefault="00AF2508">
            <w:pPr>
              <w:pStyle w:val="TableText"/>
              <w:jc w:val="center"/>
              <w:rPr>
                <w:sz w:val="20"/>
              </w:rPr>
            </w:pPr>
            <w:r>
              <w:rPr>
                <w:sz w:val="20"/>
              </w:rPr>
              <w:t>15</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86" w:type="dxa"/>
            <w:gridSpan w:val="2"/>
          </w:tcPr>
          <w:p w:rsidR="00AF2508" w:rsidRDefault="00AF2508">
            <w:pPr>
              <w:pStyle w:val="TableText"/>
              <w:jc w:val="center"/>
              <w:rPr>
                <w:sz w:val="20"/>
              </w:rPr>
            </w:pPr>
            <w:r>
              <w:rPr>
                <w:sz w:val="20"/>
              </w:rPr>
              <w:t>0</w:t>
            </w:r>
          </w:p>
        </w:tc>
      </w:tr>
      <w:tr w:rsidR="00AF2508">
        <w:trPr>
          <w:cantSplit/>
          <w:trHeight w:val="200"/>
        </w:trPr>
        <w:tc>
          <w:tcPr>
            <w:tcW w:w="980" w:type="dxa"/>
          </w:tcPr>
          <w:p w:rsidR="00AF2508" w:rsidRDefault="00AF2508">
            <w:pPr>
              <w:pStyle w:val="TableText"/>
              <w:jc w:val="center"/>
              <w:rPr>
                <w:sz w:val="20"/>
              </w:rPr>
            </w:pPr>
            <w:r>
              <w:rPr>
                <w:sz w:val="20"/>
              </w:rPr>
              <w:t>4</w:t>
            </w:r>
            <w:r>
              <w:rPr>
                <w:position w:val="4"/>
                <w:sz w:val="16"/>
              </w:rPr>
              <w:t>1</w:t>
            </w:r>
            <w:r>
              <w:rPr>
                <w:sz w:val="20"/>
              </w:rPr>
              <w:t>/</w:t>
            </w:r>
            <w:r>
              <w:rPr>
                <w:sz w:val="16"/>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696" w:type="dxa"/>
            <w:gridSpan w:val="4"/>
          </w:tcPr>
          <w:p w:rsidR="00AF2508" w:rsidRDefault="00AF2508">
            <w:pPr>
              <w:pStyle w:val="TableText"/>
              <w:jc w:val="center"/>
              <w:rPr>
                <w:sz w:val="20"/>
              </w:rPr>
            </w:pPr>
            <w:r>
              <w:rPr>
                <w:sz w:val="20"/>
              </w:rPr>
              <w:t>6</w:t>
            </w:r>
          </w:p>
        </w:tc>
        <w:tc>
          <w:tcPr>
            <w:tcW w:w="840" w:type="dxa"/>
          </w:tcPr>
          <w:p w:rsidR="00AF2508" w:rsidRDefault="00AF2508">
            <w:pPr>
              <w:pStyle w:val="TableText"/>
              <w:jc w:val="center"/>
              <w:rPr>
                <w:sz w:val="20"/>
              </w:rPr>
            </w:pPr>
            <w:r>
              <w:rPr>
                <w:sz w:val="20"/>
              </w:rPr>
              <w:t>9</w:t>
            </w:r>
          </w:p>
        </w:tc>
        <w:tc>
          <w:tcPr>
            <w:tcW w:w="600" w:type="dxa"/>
            <w:gridSpan w:val="2"/>
            <w:tcBorders>
              <w:left w:val="single" w:sz="6" w:space="0" w:color="auto"/>
            </w:tcBorders>
          </w:tcPr>
          <w:p w:rsidR="00AF2508" w:rsidRDefault="00AF2508">
            <w:pPr>
              <w:pStyle w:val="TableText"/>
              <w:jc w:val="center"/>
              <w:rPr>
                <w:sz w:val="20"/>
              </w:rPr>
            </w:pPr>
            <w:r>
              <w:rPr>
                <w:sz w:val="20"/>
              </w:rPr>
              <w:t>12</w:t>
            </w:r>
          </w:p>
        </w:tc>
        <w:tc>
          <w:tcPr>
            <w:tcW w:w="720" w:type="dxa"/>
            <w:gridSpan w:val="2"/>
          </w:tcPr>
          <w:p w:rsidR="00AF2508" w:rsidRDefault="00AF2508">
            <w:pPr>
              <w:pStyle w:val="TableText"/>
              <w:jc w:val="center"/>
              <w:rPr>
                <w:sz w:val="20"/>
              </w:rPr>
            </w:pPr>
            <w:r>
              <w:rPr>
                <w:sz w:val="20"/>
              </w:rPr>
              <w:t>9</w:t>
            </w:r>
          </w:p>
        </w:tc>
        <w:tc>
          <w:tcPr>
            <w:tcW w:w="752" w:type="dxa"/>
            <w:tcBorders>
              <w:left w:val="single" w:sz="6" w:space="0" w:color="auto"/>
            </w:tcBorders>
          </w:tcPr>
          <w:p w:rsidR="00AF2508" w:rsidRDefault="00AF2508">
            <w:pPr>
              <w:pStyle w:val="TableText"/>
              <w:jc w:val="center"/>
              <w:rPr>
                <w:sz w:val="20"/>
              </w:rPr>
            </w:pPr>
            <w:r>
              <w:rPr>
                <w:sz w:val="20"/>
              </w:rPr>
              <w:t>11</w:t>
            </w:r>
          </w:p>
        </w:tc>
        <w:tc>
          <w:tcPr>
            <w:tcW w:w="832" w:type="dxa"/>
          </w:tcPr>
          <w:p w:rsidR="00AF2508" w:rsidRDefault="00AF2508">
            <w:pPr>
              <w:pStyle w:val="TableText"/>
              <w:jc w:val="center"/>
              <w:rPr>
                <w:sz w:val="20"/>
              </w:rPr>
            </w:pPr>
            <w:r>
              <w:rPr>
                <w:sz w:val="20"/>
              </w:rPr>
              <w:t>4</w:t>
            </w:r>
          </w:p>
        </w:tc>
        <w:tc>
          <w:tcPr>
            <w:tcW w:w="768" w:type="dxa"/>
            <w:tcBorders>
              <w:left w:val="single" w:sz="6" w:space="0" w:color="auto"/>
            </w:tcBorders>
          </w:tcPr>
          <w:p w:rsidR="00AF2508" w:rsidRDefault="00AF2508">
            <w:pPr>
              <w:pStyle w:val="TableText"/>
              <w:jc w:val="center"/>
              <w:rPr>
                <w:sz w:val="20"/>
              </w:rPr>
            </w:pPr>
            <w:r>
              <w:rPr>
                <w:sz w:val="20"/>
              </w:rPr>
              <w:t>9</w:t>
            </w:r>
          </w:p>
        </w:tc>
        <w:tc>
          <w:tcPr>
            <w:tcW w:w="786" w:type="dxa"/>
            <w:gridSpan w:val="2"/>
          </w:tcPr>
          <w:p w:rsidR="00AF2508" w:rsidRDefault="00AF2508">
            <w:pPr>
              <w:pStyle w:val="TableText"/>
              <w:jc w:val="center"/>
              <w:rPr>
                <w:sz w:val="20"/>
              </w:rPr>
            </w:pPr>
            <w:r>
              <w:rPr>
                <w:sz w:val="20"/>
              </w:rPr>
              <w:t>3</w:t>
            </w:r>
          </w:p>
        </w:tc>
        <w:tc>
          <w:tcPr>
            <w:tcW w:w="760" w:type="dxa"/>
            <w:tcBorders>
              <w:left w:val="single" w:sz="6" w:space="0" w:color="auto"/>
            </w:tcBorders>
          </w:tcPr>
          <w:p w:rsidR="00AF2508" w:rsidRDefault="00AF2508">
            <w:pPr>
              <w:pStyle w:val="TableText"/>
              <w:jc w:val="center"/>
              <w:rPr>
                <w:sz w:val="20"/>
              </w:rPr>
            </w:pPr>
            <w:r>
              <w:rPr>
                <w:sz w:val="20"/>
              </w:rPr>
              <w:t>6</w:t>
            </w:r>
          </w:p>
        </w:tc>
        <w:tc>
          <w:tcPr>
            <w:tcW w:w="722" w:type="dxa"/>
          </w:tcPr>
          <w:p w:rsidR="00AF2508" w:rsidRDefault="00AF2508">
            <w:pPr>
              <w:pStyle w:val="TableText"/>
              <w:jc w:val="center"/>
              <w:rPr>
                <w:sz w:val="20"/>
              </w:rPr>
            </w:pPr>
            <w:r>
              <w:rPr>
                <w:sz w:val="20"/>
              </w:rPr>
              <w:t>9</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86" w:type="dxa"/>
            <w:gridSpan w:val="2"/>
          </w:tcPr>
          <w:p w:rsidR="00AF2508" w:rsidRDefault="00AF2508">
            <w:pPr>
              <w:pStyle w:val="TableText"/>
              <w:jc w:val="center"/>
              <w:rPr>
                <w:sz w:val="20"/>
              </w:rPr>
            </w:pPr>
            <w:r>
              <w:rPr>
                <w:sz w:val="20"/>
              </w:rPr>
              <w:t>7</w:t>
            </w:r>
          </w:p>
        </w:tc>
      </w:tr>
      <w:tr w:rsidR="00AF2508">
        <w:trPr>
          <w:cantSplit/>
          <w:trHeight w:val="200"/>
        </w:trPr>
        <w:tc>
          <w:tcPr>
            <w:tcW w:w="980" w:type="dxa"/>
          </w:tcPr>
          <w:p w:rsidR="00AF2508" w:rsidRDefault="00AF2508">
            <w:pPr>
              <w:pStyle w:val="TableText"/>
              <w:jc w:val="center"/>
              <w:rPr>
                <w:sz w:val="20"/>
              </w:rPr>
            </w:pPr>
            <w:r>
              <w:rPr>
                <w:sz w:val="20"/>
              </w:rPr>
              <w:t>4</w:t>
            </w:r>
            <w:r>
              <w:rPr>
                <w:position w:val="4"/>
                <w:sz w:val="16"/>
              </w:rPr>
              <w:t>1</w:t>
            </w:r>
            <w:r>
              <w:rPr>
                <w:sz w:val="20"/>
              </w:rPr>
              <w:t>/</w:t>
            </w:r>
            <w:r>
              <w:rPr>
                <w:sz w:val="16"/>
              </w:rPr>
              <w:t>2</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16</w:t>
            </w:r>
          </w:p>
        </w:tc>
        <w:tc>
          <w:tcPr>
            <w:tcW w:w="696" w:type="dxa"/>
            <w:gridSpan w:val="4"/>
          </w:tcPr>
          <w:p w:rsidR="00AF2508" w:rsidRDefault="00AF2508">
            <w:pPr>
              <w:pStyle w:val="TableText"/>
              <w:jc w:val="center"/>
              <w:rPr>
                <w:sz w:val="20"/>
              </w:rPr>
            </w:pPr>
            <w:r>
              <w:rPr>
                <w:sz w:val="20"/>
              </w:rPr>
              <w:t>7</w:t>
            </w:r>
          </w:p>
        </w:tc>
        <w:tc>
          <w:tcPr>
            <w:tcW w:w="840" w:type="dxa"/>
          </w:tcPr>
          <w:p w:rsidR="00AF2508" w:rsidRDefault="00AF2508">
            <w:pPr>
              <w:pStyle w:val="TableText"/>
              <w:jc w:val="center"/>
              <w:rPr>
                <w:sz w:val="20"/>
              </w:rPr>
            </w:pPr>
            <w:r>
              <w:rPr>
                <w:sz w:val="20"/>
              </w:rPr>
              <w:t>3</w:t>
            </w:r>
          </w:p>
        </w:tc>
        <w:tc>
          <w:tcPr>
            <w:tcW w:w="600" w:type="dxa"/>
            <w:gridSpan w:val="2"/>
            <w:tcBorders>
              <w:left w:val="single" w:sz="6" w:space="0" w:color="auto"/>
            </w:tcBorders>
          </w:tcPr>
          <w:p w:rsidR="00AF2508" w:rsidRDefault="00AF2508">
            <w:pPr>
              <w:pStyle w:val="TableText"/>
              <w:jc w:val="center"/>
              <w:rPr>
                <w:sz w:val="20"/>
              </w:rPr>
            </w:pPr>
            <w:r>
              <w:rPr>
                <w:sz w:val="20"/>
              </w:rPr>
              <w:t>13</w:t>
            </w:r>
          </w:p>
        </w:tc>
        <w:tc>
          <w:tcPr>
            <w:tcW w:w="720" w:type="dxa"/>
            <w:gridSpan w:val="2"/>
          </w:tcPr>
          <w:p w:rsidR="00AF2508" w:rsidRDefault="00AF2508">
            <w:pPr>
              <w:pStyle w:val="TableText"/>
              <w:jc w:val="center"/>
              <w:rPr>
                <w:sz w:val="20"/>
              </w:rPr>
            </w:pPr>
            <w:r>
              <w:rPr>
                <w:sz w:val="20"/>
              </w:rPr>
              <w:t>16</w:t>
            </w:r>
          </w:p>
        </w:tc>
        <w:tc>
          <w:tcPr>
            <w:tcW w:w="752" w:type="dxa"/>
            <w:tcBorders>
              <w:left w:val="single" w:sz="6" w:space="0" w:color="auto"/>
            </w:tcBorders>
          </w:tcPr>
          <w:p w:rsidR="00AF2508" w:rsidRDefault="00AF2508">
            <w:pPr>
              <w:pStyle w:val="TableText"/>
              <w:jc w:val="center"/>
              <w:rPr>
                <w:sz w:val="20"/>
              </w:rPr>
            </w:pPr>
            <w:r>
              <w:rPr>
                <w:sz w:val="20"/>
              </w:rPr>
              <w:t>12</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10</w:t>
            </w:r>
          </w:p>
        </w:tc>
        <w:tc>
          <w:tcPr>
            <w:tcW w:w="786" w:type="dxa"/>
            <w:gridSpan w:val="2"/>
          </w:tcPr>
          <w:p w:rsidR="00AF2508" w:rsidRDefault="00AF2508">
            <w:pPr>
              <w:pStyle w:val="TableText"/>
              <w:jc w:val="center"/>
              <w:rPr>
                <w:sz w:val="20"/>
              </w:rPr>
            </w:pPr>
            <w:r>
              <w:rPr>
                <w:sz w:val="20"/>
              </w:rPr>
              <w:t>2</w:t>
            </w:r>
          </w:p>
        </w:tc>
        <w:tc>
          <w:tcPr>
            <w:tcW w:w="760" w:type="dxa"/>
            <w:tcBorders>
              <w:left w:val="single" w:sz="6" w:space="0" w:color="auto"/>
            </w:tcBorders>
          </w:tcPr>
          <w:p w:rsidR="00AF2508" w:rsidRDefault="00AF2508">
            <w:pPr>
              <w:pStyle w:val="TableText"/>
              <w:jc w:val="center"/>
              <w:rPr>
                <w:sz w:val="20"/>
              </w:rPr>
            </w:pPr>
            <w:r>
              <w:rPr>
                <w:sz w:val="20"/>
              </w:rPr>
              <w:t>7</w:t>
            </w:r>
          </w:p>
        </w:tc>
        <w:tc>
          <w:tcPr>
            <w:tcW w:w="722" w:type="dxa"/>
          </w:tcPr>
          <w:p w:rsidR="00AF2508" w:rsidRDefault="00AF2508">
            <w:pPr>
              <w:pStyle w:val="TableText"/>
              <w:jc w:val="center"/>
              <w:rPr>
                <w:sz w:val="20"/>
              </w:rPr>
            </w:pPr>
            <w:r>
              <w:rPr>
                <w:sz w:val="20"/>
              </w:rPr>
              <w:t>3</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86" w:type="dxa"/>
            <w:gridSpan w:val="2"/>
          </w:tcPr>
          <w:p w:rsidR="00AF2508" w:rsidRDefault="00AF2508">
            <w:pPr>
              <w:pStyle w:val="TableText"/>
              <w:jc w:val="center"/>
              <w:rPr>
                <w:sz w:val="20"/>
              </w:rPr>
            </w:pPr>
            <w:r>
              <w:rPr>
                <w:sz w:val="20"/>
              </w:rPr>
              <w:t>14</w:t>
            </w:r>
          </w:p>
        </w:tc>
      </w:tr>
      <w:tr w:rsidR="00AF2508">
        <w:trPr>
          <w:cantSplit/>
          <w:trHeight w:val="200"/>
        </w:trPr>
        <w:tc>
          <w:tcPr>
            <w:tcW w:w="980" w:type="dxa"/>
          </w:tcPr>
          <w:p w:rsidR="00AF2508" w:rsidRDefault="00AF2508">
            <w:pPr>
              <w:pStyle w:val="TableText"/>
              <w:jc w:val="center"/>
              <w:rPr>
                <w:sz w:val="20"/>
              </w:rPr>
            </w:pPr>
            <w:r>
              <w:rPr>
                <w:sz w:val="20"/>
              </w:rPr>
              <w:t>4</w:t>
            </w:r>
            <w:r>
              <w:rPr>
                <w:position w:val="4"/>
                <w:sz w:val="16"/>
              </w:rPr>
              <w:t>3</w:t>
            </w:r>
            <w:r>
              <w:rPr>
                <w:sz w:val="20"/>
              </w:rPr>
              <w:t>/</w:t>
            </w:r>
            <w:r>
              <w:rPr>
                <w:sz w:val="16"/>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696" w:type="dxa"/>
            <w:gridSpan w:val="4"/>
          </w:tcPr>
          <w:p w:rsidR="00AF2508" w:rsidRDefault="00AF2508">
            <w:pPr>
              <w:pStyle w:val="TableText"/>
              <w:jc w:val="center"/>
              <w:rPr>
                <w:sz w:val="20"/>
              </w:rPr>
            </w:pPr>
            <w:r>
              <w:rPr>
                <w:sz w:val="20"/>
              </w:rPr>
              <w:t>8</w:t>
            </w:r>
          </w:p>
        </w:tc>
        <w:tc>
          <w:tcPr>
            <w:tcW w:w="840" w:type="dxa"/>
          </w:tcPr>
          <w:p w:rsidR="00AF2508" w:rsidRDefault="00AF2508">
            <w:pPr>
              <w:pStyle w:val="TableText"/>
              <w:jc w:val="center"/>
              <w:rPr>
                <w:sz w:val="20"/>
              </w:rPr>
            </w:pPr>
            <w:r>
              <w:rPr>
                <w:sz w:val="20"/>
              </w:rPr>
              <w:t>3</w:t>
            </w:r>
          </w:p>
        </w:tc>
        <w:tc>
          <w:tcPr>
            <w:tcW w:w="600" w:type="dxa"/>
            <w:gridSpan w:val="2"/>
            <w:tcBorders>
              <w:left w:val="single" w:sz="6" w:space="0" w:color="auto"/>
            </w:tcBorders>
          </w:tcPr>
          <w:p w:rsidR="00AF2508" w:rsidRDefault="00AF2508">
            <w:pPr>
              <w:pStyle w:val="TableText"/>
              <w:jc w:val="center"/>
              <w:rPr>
                <w:sz w:val="20"/>
              </w:rPr>
            </w:pPr>
            <w:r>
              <w:rPr>
                <w:sz w:val="20"/>
              </w:rPr>
              <w:t>15</w:t>
            </w:r>
          </w:p>
        </w:tc>
        <w:tc>
          <w:tcPr>
            <w:tcW w:w="720" w:type="dxa"/>
            <w:gridSpan w:val="2"/>
          </w:tcPr>
          <w:p w:rsidR="00AF2508" w:rsidRDefault="00AF2508">
            <w:pPr>
              <w:pStyle w:val="TableText"/>
              <w:jc w:val="center"/>
              <w:rPr>
                <w:sz w:val="20"/>
              </w:rPr>
            </w:pPr>
            <w:r>
              <w:rPr>
                <w:sz w:val="20"/>
              </w:rPr>
              <w:t>15</w:t>
            </w:r>
          </w:p>
        </w:tc>
        <w:tc>
          <w:tcPr>
            <w:tcW w:w="752" w:type="dxa"/>
            <w:tcBorders>
              <w:left w:val="single" w:sz="6" w:space="0" w:color="auto"/>
            </w:tcBorders>
          </w:tcPr>
          <w:p w:rsidR="00AF2508" w:rsidRDefault="00AF2508">
            <w:pPr>
              <w:pStyle w:val="TableText"/>
              <w:jc w:val="center"/>
              <w:rPr>
                <w:sz w:val="20"/>
              </w:rPr>
            </w:pPr>
            <w:r>
              <w:rPr>
                <w:sz w:val="20"/>
              </w:rPr>
              <w:t>14</w:t>
            </w:r>
          </w:p>
        </w:tc>
        <w:tc>
          <w:tcPr>
            <w:tcW w:w="832" w:type="dxa"/>
          </w:tcPr>
          <w:p w:rsidR="00AF2508" w:rsidRDefault="00AF2508">
            <w:pPr>
              <w:pStyle w:val="TableText"/>
              <w:jc w:val="center"/>
              <w:rPr>
                <w:sz w:val="20"/>
              </w:rPr>
            </w:pPr>
            <w:r>
              <w:rPr>
                <w:sz w:val="20"/>
              </w:rPr>
              <w:t>2</w:t>
            </w:r>
          </w:p>
        </w:tc>
        <w:tc>
          <w:tcPr>
            <w:tcW w:w="768" w:type="dxa"/>
            <w:tcBorders>
              <w:left w:val="single" w:sz="6" w:space="0" w:color="auto"/>
            </w:tcBorders>
          </w:tcPr>
          <w:p w:rsidR="00AF2508" w:rsidRDefault="00AF2508">
            <w:pPr>
              <w:pStyle w:val="TableText"/>
              <w:jc w:val="center"/>
              <w:rPr>
                <w:sz w:val="20"/>
              </w:rPr>
            </w:pPr>
            <w:r>
              <w:rPr>
                <w:sz w:val="20"/>
              </w:rPr>
              <w:t>11</w:t>
            </w:r>
          </w:p>
        </w:tc>
        <w:tc>
          <w:tcPr>
            <w:tcW w:w="786" w:type="dxa"/>
            <w:gridSpan w:val="2"/>
          </w:tcPr>
          <w:p w:rsidR="00AF2508" w:rsidRDefault="00AF2508">
            <w:pPr>
              <w:pStyle w:val="TableText"/>
              <w:jc w:val="center"/>
              <w:rPr>
                <w:sz w:val="20"/>
              </w:rPr>
            </w:pPr>
            <w:r>
              <w:rPr>
                <w:sz w:val="20"/>
              </w:rPr>
              <w:t>10</w:t>
            </w:r>
          </w:p>
        </w:tc>
        <w:tc>
          <w:tcPr>
            <w:tcW w:w="760" w:type="dxa"/>
            <w:tcBorders>
              <w:left w:val="single" w:sz="6" w:space="0" w:color="auto"/>
            </w:tcBorders>
          </w:tcPr>
          <w:p w:rsidR="00AF2508" w:rsidRDefault="00AF2508">
            <w:pPr>
              <w:pStyle w:val="TableText"/>
              <w:jc w:val="center"/>
              <w:rPr>
                <w:sz w:val="20"/>
              </w:rPr>
            </w:pPr>
            <w:r>
              <w:rPr>
                <w:sz w:val="20"/>
              </w:rPr>
              <w:t>8</w:t>
            </w:r>
          </w:p>
        </w:tc>
        <w:tc>
          <w:tcPr>
            <w:tcW w:w="722" w:type="dxa"/>
          </w:tcPr>
          <w:p w:rsidR="00AF2508" w:rsidRDefault="00AF2508">
            <w:pPr>
              <w:pStyle w:val="TableText"/>
              <w:jc w:val="center"/>
              <w:rPr>
                <w:sz w:val="20"/>
              </w:rPr>
            </w:pPr>
            <w:r>
              <w:rPr>
                <w:sz w:val="20"/>
              </w:rPr>
              <w:t>3</w:t>
            </w:r>
          </w:p>
        </w:tc>
        <w:tc>
          <w:tcPr>
            <w:tcW w:w="838" w:type="dxa"/>
            <w:gridSpan w:val="2"/>
            <w:tcBorders>
              <w:left w:val="single" w:sz="6" w:space="0" w:color="auto"/>
            </w:tcBorders>
          </w:tcPr>
          <w:p w:rsidR="00AF2508" w:rsidRDefault="00AF2508">
            <w:pPr>
              <w:pStyle w:val="TableText"/>
              <w:jc w:val="center"/>
              <w:rPr>
                <w:sz w:val="20"/>
              </w:rPr>
            </w:pPr>
            <w:r>
              <w:rPr>
                <w:sz w:val="20"/>
              </w:rPr>
              <w:t>4</w:t>
            </w:r>
          </w:p>
        </w:tc>
        <w:tc>
          <w:tcPr>
            <w:tcW w:w="686" w:type="dxa"/>
            <w:gridSpan w:val="2"/>
          </w:tcPr>
          <w:p w:rsidR="00AF2508" w:rsidRDefault="00AF2508">
            <w:pPr>
              <w:pStyle w:val="TableText"/>
              <w:jc w:val="center"/>
              <w:rPr>
                <w:sz w:val="20"/>
              </w:rPr>
            </w:pPr>
            <w:r>
              <w:rPr>
                <w:sz w:val="20"/>
              </w:rPr>
              <w:t>5</w:t>
            </w:r>
          </w:p>
        </w:tc>
      </w:tr>
      <w:tr w:rsidR="00AF2508">
        <w:trPr>
          <w:cantSplit/>
          <w:trHeight w:val="200"/>
        </w:trPr>
        <w:tc>
          <w:tcPr>
            <w:tcW w:w="980" w:type="dxa"/>
          </w:tcPr>
          <w:p w:rsidR="00AF2508" w:rsidRDefault="00AF2508">
            <w:pPr>
              <w:pStyle w:val="TableText"/>
              <w:jc w:val="center"/>
              <w:rPr>
                <w:sz w:val="20"/>
              </w:rPr>
            </w:pPr>
            <w:r>
              <w:rPr>
                <w:sz w:val="20"/>
              </w:rPr>
              <w:t>5</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696" w:type="dxa"/>
            <w:gridSpan w:val="4"/>
          </w:tcPr>
          <w:p w:rsidR="00AF2508" w:rsidRDefault="00AF2508">
            <w:pPr>
              <w:pStyle w:val="TableText"/>
              <w:jc w:val="center"/>
              <w:rPr>
                <w:sz w:val="20"/>
              </w:rPr>
            </w:pPr>
            <w:r>
              <w:rPr>
                <w:sz w:val="20"/>
              </w:rPr>
              <w:t>8</w:t>
            </w:r>
          </w:p>
        </w:tc>
        <w:tc>
          <w:tcPr>
            <w:tcW w:w="840" w:type="dxa"/>
          </w:tcPr>
          <w:p w:rsidR="00AF2508" w:rsidRDefault="00AF2508">
            <w:pPr>
              <w:pStyle w:val="TableText"/>
              <w:jc w:val="center"/>
              <w:rPr>
                <w:sz w:val="20"/>
              </w:rPr>
            </w:pPr>
            <w:r>
              <w:rPr>
                <w:sz w:val="20"/>
              </w:rPr>
              <w:t>19</w:t>
            </w:r>
          </w:p>
        </w:tc>
        <w:tc>
          <w:tcPr>
            <w:tcW w:w="600" w:type="dxa"/>
            <w:gridSpan w:val="2"/>
            <w:tcBorders>
              <w:left w:val="single" w:sz="6" w:space="0" w:color="auto"/>
            </w:tcBorders>
          </w:tcPr>
          <w:p w:rsidR="00AF2508" w:rsidRDefault="00AF2508">
            <w:pPr>
              <w:pStyle w:val="TableText"/>
              <w:jc w:val="center"/>
              <w:rPr>
                <w:sz w:val="20"/>
              </w:rPr>
            </w:pPr>
            <w:r>
              <w:rPr>
                <w:sz w:val="20"/>
              </w:rPr>
              <w:t>17</w:t>
            </w:r>
          </w:p>
        </w:tc>
        <w:tc>
          <w:tcPr>
            <w:tcW w:w="720" w:type="dxa"/>
            <w:gridSpan w:val="2"/>
          </w:tcPr>
          <w:p w:rsidR="00AF2508" w:rsidRDefault="00AF2508">
            <w:pPr>
              <w:pStyle w:val="TableText"/>
              <w:jc w:val="center"/>
              <w:rPr>
                <w:sz w:val="20"/>
              </w:rPr>
            </w:pPr>
            <w:r>
              <w:rPr>
                <w:sz w:val="20"/>
              </w:rPr>
              <w:t>6</w:t>
            </w:r>
          </w:p>
        </w:tc>
        <w:tc>
          <w:tcPr>
            <w:tcW w:w="752" w:type="dxa"/>
            <w:tcBorders>
              <w:left w:val="single" w:sz="6" w:space="0" w:color="auto"/>
            </w:tcBorders>
          </w:tcPr>
          <w:p w:rsidR="00AF2508" w:rsidRDefault="00AF2508">
            <w:pPr>
              <w:pStyle w:val="TableText"/>
              <w:jc w:val="center"/>
              <w:rPr>
                <w:sz w:val="20"/>
              </w:rPr>
            </w:pPr>
            <w:r>
              <w:rPr>
                <w:sz w:val="20"/>
              </w:rPr>
              <w:t>15</w:t>
            </w:r>
          </w:p>
        </w:tc>
        <w:tc>
          <w:tcPr>
            <w:tcW w:w="832" w:type="dxa"/>
          </w:tcPr>
          <w:p w:rsidR="00AF2508" w:rsidRDefault="00AF2508">
            <w:pPr>
              <w:pStyle w:val="TableText"/>
              <w:jc w:val="center"/>
              <w:rPr>
                <w:sz w:val="20"/>
              </w:rPr>
            </w:pPr>
            <w:r>
              <w:rPr>
                <w:sz w:val="20"/>
              </w:rPr>
              <w:t>10</w:t>
            </w:r>
          </w:p>
        </w:tc>
        <w:tc>
          <w:tcPr>
            <w:tcW w:w="768" w:type="dxa"/>
            <w:tcBorders>
              <w:left w:val="single" w:sz="6" w:space="0" w:color="auto"/>
            </w:tcBorders>
          </w:tcPr>
          <w:p w:rsidR="00AF2508" w:rsidRDefault="00AF2508">
            <w:pPr>
              <w:pStyle w:val="TableText"/>
              <w:jc w:val="center"/>
              <w:rPr>
                <w:sz w:val="20"/>
              </w:rPr>
            </w:pPr>
            <w:r>
              <w:rPr>
                <w:sz w:val="20"/>
              </w:rPr>
              <w:t>12</w:t>
            </w:r>
          </w:p>
        </w:tc>
        <w:tc>
          <w:tcPr>
            <w:tcW w:w="786" w:type="dxa"/>
            <w:gridSpan w:val="2"/>
          </w:tcPr>
          <w:p w:rsidR="00AF2508" w:rsidRDefault="00AF2508">
            <w:pPr>
              <w:pStyle w:val="TableText"/>
              <w:jc w:val="center"/>
              <w:rPr>
                <w:sz w:val="20"/>
              </w:rPr>
            </w:pPr>
            <w:r>
              <w:rPr>
                <w:sz w:val="20"/>
              </w:rPr>
              <w:t>13</w:t>
            </w:r>
          </w:p>
        </w:tc>
        <w:tc>
          <w:tcPr>
            <w:tcW w:w="760" w:type="dxa"/>
            <w:tcBorders>
              <w:left w:val="single" w:sz="6" w:space="0" w:color="auto"/>
            </w:tcBorders>
          </w:tcPr>
          <w:p w:rsidR="00AF2508" w:rsidRDefault="00AF2508">
            <w:pPr>
              <w:pStyle w:val="TableText"/>
              <w:jc w:val="center"/>
              <w:rPr>
                <w:sz w:val="20"/>
              </w:rPr>
            </w:pPr>
            <w:r>
              <w:rPr>
                <w:sz w:val="20"/>
              </w:rPr>
              <w:t>8</w:t>
            </w:r>
          </w:p>
        </w:tc>
        <w:tc>
          <w:tcPr>
            <w:tcW w:w="722" w:type="dxa"/>
          </w:tcPr>
          <w:p w:rsidR="00AF2508" w:rsidRDefault="00AF2508">
            <w:pPr>
              <w:pStyle w:val="TableText"/>
              <w:jc w:val="center"/>
              <w:rPr>
                <w:sz w:val="20"/>
              </w:rPr>
            </w:pPr>
            <w:r>
              <w:rPr>
                <w:sz w:val="20"/>
              </w:rPr>
              <w:t>19</w:t>
            </w:r>
          </w:p>
        </w:tc>
        <w:tc>
          <w:tcPr>
            <w:tcW w:w="838" w:type="dxa"/>
            <w:gridSpan w:val="2"/>
            <w:tcBorders>
              <w:left w:val="single" w:sz="6" w:space="0" w:color="auto"/>
            </w:tcBorders>
          </w:tcPr>
          <w:p w:rsidR="00AF2508" w:rsidRDefault="00AF2508">
            <w:pPr>
              <w:pStyle w:val="TableText"/>
              <w:jc w:val="center"/>
              <w:rPr>
                <w:sz w:val="20"/>
              </w:rPr>
            </w:pPr>
            <w:r>
              <w:rPr>
                <w:sz w:val="20"/>
              </w:rPr>
              <w:t>4</w:t>
            </w:r>
          </w:p>
        </w:tc>
        <w:tc>
          <w:tcPr>
            <w:tcW w:w="686" w:type="dxa"/>
            <w:gridSpan w:val="2"/>
          </w:tcPr>
          <w:p w:rsidR="00AF2508" w:rsidRDefault="00AF2508">
            <w:pPr>
              <w:pStyle w:val="TableText"/>
              <w:jc w:val="center"/>
              <w:rPr>
                <w:sz w:val="20"/>
              </w:rPr>
            </w:pPr>
            <w:r>
              <w:rPr>
                <w:sz w:val="20"/>
              </w:rPr>
              <w:t>13</w:t>
            </w:r>
          </w:p>
        </w:tc>
      </w:tr>
      <w:tr w:rsidR="00AF2508">
        <w:trPr>
          <w:cantSplit/>
          <w:trHeight w:val="200"/>
        </w:trPr>
        <w:tc>
          <w:tcPr>
            <w:tcW w:w="980" w:type="dxa"/>
          </w:tcPr>
          <w:p w:rsidR="00AF2508" w:rsidRDefault="00AF2508">
            <w:pPr>
              <w:pStyle w:val="TableText"/>
              <w:jc w:val="center"/>
              <w:rPr>
                <w:sz w:val="20"/>
              </w:rPr>
            </w:pPr>
            <w:r>
              <w:rPr>
                <w:sz w:val="20"/>
              </w:rPr>
              <w:t>5</w:t>
            </w:r>
            <w:r>
              <w:rPr>
                <w:position w:val="4"/>
                <w:sz w:val="16"/>
              </w:rPr>
              <w:t>1</w:t>
            </w:r>
            <w:r>
              <w:rPr>
                <w:sz w:val="20"/>
              </w:rPr>
              <w:t>/</w:t>
            </w:r>
            <w:r>
              <w:rPr>
                <w:sz w:val="16"/>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11</w:t>
            </w:r>
            <w:r>
              <w:rPr>
                <w:sz w:val="20"/>
              </w:rPr>
              <w:t>/</w:t>
            </w:r>
            <w:r>
              <w:rPr>
                <w:sz w:val="16"/>
              </w:rPr>
              <w:t>16</w:t>
            </w:r>
          </w:p>
        </w:tc>
        <w:tc>
          <w:tcPr>
            <w:tcW w:w="696" w:type="dxa"/>
            <w:gridSpan w:val="4"/>
          </w:tcPr>
          <w:p w:rsidR="00AF2508" w:rsidRDefault="00AF2508">
            <w:pPr>
              <w:pStyle w:val="TableText"/>
              <w:jc w:val="center"/>
              <w:rPr>
                <w:sz w:val="20"/>
              </w:rPr>
            </w:pPr>
            <w:r>
              <w:rPr>
                <w:sz w:val="20"/>
              </w:rPr>
              <w:t>9</w:t>
            </w:r>
          </w:p>
        </w:tc>
        <w:tc>
          <w:tcPr>
            <w:tcW w:w="840" w:type="dxa"/>
          </w:tcPr>
          <w:p w:rsidR="00AF2508" w:rsidRDefault="00AF2508">
            <w:pPr>
              <w:pStyle w:val="TableText"/>
              <w:jc w:val="center"/>
              <w:rPr>
                <w:sz w:val="20"/>
              </w:rPr>
            </w:pPr>
            <w:r>
              <w:rPr>
                <w:sz w:val="20"/>
              </w:rPr>
              <w:t>15</w:t>
            </w:r>
          </w:p>
        </w:tc>
        <w:tc>
          <w:tcPr>
            <w:tcW w:w="600" w:type="dxa"/>
            <w:gridSpan w:val="2"/>
            <w:tcBorders>
              <w:left w:val="single" w:sz="6" w:space="0" w:color="auto"/>
            </w:tcBorders>
          </w:tcPr>
          <w:p w:rsidR="00AF2508" w:rsidRDefault="00AF2508">
            <w:pPr>
              <w:pStyle w:val="TableText"/>
              <w:jc w:val="center"/>
              <w:rPr>
                <w:sz w:val="20"/>
              </w:rPr>
            </w:pPr>
            <w:r>
              <w:rPr>
                <w:sz w:val="20"/>
              </w:rPr>
              <w:t>18</w:t>
            </w:r>
          </w:p>
        </w:tc>
        <w:tc>
          <w:tcPr>
            <w:tcW w:w="720" w:type="dxa"/>
            <w:gridSpan w:val="2"/>
          </w:tcPr>
          <w:p w:rsidR="00AF2508" w:rsidRDefault="00AF2508">
            <w:pPr>
              <w:pStyle w:val="TableText"/>
              <w:jc w:val="center"/>
              <w:rPr>
                <w:sz w:val="20"/>
              </w:rPr>
            </w:pPr>
            <w:r>
              <w:rPr>
                <w:sz w:val="20"/>
              </w:rPr>
              <w:t>17</w:t>
            </w:r>
          </w:p>
        </w:tc>
        <w:tc>
          <w:tcPr>
            <w:tcW w:w="752" w:type="dxa"/>
            <w:tcBorders>
              <w:left w:val="single" w:sz="6" w:space="0" w:color="auto"/>
            </w:tcBorders>
          </w:tcPr>
          <w:p w:rsidR="00AF2508" w:rsidRDefault="00AF2508">
            <w:pPr>
              <w:pStyle w:val="TableText"/>
              <w:jc w:val="center"/>
              <w:rPr>
                <w:sz w:val="20"/>
              </w:rPr>
            </w:pPr>
            <w:r>
              <w:rPr>
                <w:sz w:val="20"/>
              </w:rPr>
              <w:t>16</w:t>
            </w:r>
          </w:p>
        </w:tc>
        <w:tc>
          <w:tcPr>
            <w:tcW w:w="832" w:type="dxa"/>
          </w:tcPr>
          <w:p w:rsidR="00AF2508" w:rsidRDefault="00AF2508">
            <w:pPr>
              <w:pStyle w:val="TableText"/>
              <w:jc w:val="center"/>
              <w:rPr>
                <w:sz w:val="20"/>
              </w:rPr>
            </w:pPr>
            <w:r>
              <w:rPr>
                <w:sz w:val="20"/>
              </w:rPr>
              <w:t>18</w:t>
            </w:r>
          </w:p>
        </w:tc>
        <w:tc>
          <w:tcPr>
            <w:tcW w:w="768" w:type="dxa"/>
            <w:tcBorders>
              <w:left w:val="single" w:sz="6" w:space="0" w:color="auto"/>
            </w:tcBorders>
          </w:tcPr>
          <w:p w:rsidR="00AF2508" w:rsidRDefault="00AF2508">
            <w:pPr>
              <w:pStyle w:val="TableText"/>
              <w:jc w:val="center"/>
              <w:rPr>
                <w:sz w:val="20"/>
              </w:rPr>
            </w:pPr>
            <w:r>
              <w:rPr>
                <w:sz w:val="20"/>
              </w:rPr>
              <w:t>13</w:t>
            </w:r>
          </w:p>
        </w:tc>
        <w:tc>
          <w:tcPr>
            <w:tcW w:w="786" w:type="dxa"/>
            <w:gridSpan w:val="2"/>
          </w:tcPr>
          <w:p w:rsidR="00AF2508" w:rsidRDefault="00AF2508">
            <w:pPr>
              <w:pStyle w:val="TableText"/>
              <w:jc w:val="center"/>
              <w:rPr>
                <w:sz w:val="20"/>
              </w:rPr>
            </w:pPr>
            <w:r>
              <w:rPr>
                <w:sz w:val="20"/>
              </w:rPr>
              <w:t>16</w:t>
            </w:r>
          </w:p>
        </w:tc>
        <w:tc>
          <w:tcPr>
            <w:tcW w:w="760" w:type="dxa"/>
            <w:tcBorders>
              <w:left w:val="single" w:sz="6" w:space="0" w:color="auto"/>
            </w:tcBorders>
          </w:tcPr>
          <w:p w:rsidR="00AF2508" w:rsidRDefault="00AF2508">
            <w:pPr>
              <w:pStyle w:val="TableText"/>
              <w:jc w:val="center"/>
              <w:rPr>
                <w:sz w:val="20"/>
              </w:rPr>
            </w:pPr>
            <w:r>
              <w:rPr>
                <w:sz w:val="20"/>
              </w:rPr>
              <w:t>9</w:t>
            </w:r>
          </w:p>
        </w:tc>
        <w:tc>
          <w:tcPr>
            <w:tcW w:w="722" w:type="dxa"/>
          </w:tcPr>
          <w:p w:rsidR="00AF2508" w:rsidRDefault="00AF2508">
            <w:pPr>
              <w:pStyle w:val="TableText"/>
              <w:jc w:val="center"/>
              <w:rPr>
                <w:sz w:val="20"/>
              </w:rPr>
            </w:pPr>
            <w:r>
              <w:rPr>
                <w:sz w:val="20"/>
              </w:rPr>
              <w:t>15</w:t>
            </w:r>
          </w:p>
        </w:tc>
        <w:tc>
          <w:tcPr>
            <w:tcW w:w="838" w:type="dxa"/>
            <w:gridSpan w:val="2"/>
            <w:tcBorders>
              <w:left w:val="single" w:sz="6" w:space="0" w:color="auto"/>
            </w:tcBorders>
          </w:tcPr>
          <w:p w:rsidR="00AF2508" w:rsidRDefault="00AF2508">
            <w:pPr>
              <w:pStyle w:val="TableText"/>
              <w:jc w:val="center"/>
              <w:rPr>
                <w:sz w:val="20"/>
              </w:rPr>
            </w:pPr>
            <w:r>
              <w:rPr>
                <w:sz w:val="20"/>
              </w:rPr>
              <w:t>5</w:t>
            </w:r>
          </w:p>
        </w:tc>
        <w:tc>
          <w:tcPr>
            <w:tcW w:w="686" w:type="dxa"/>
            <w:gridSpan w:val="2"/>
          </w:tcPr>
          <w:p w:rsidR="00AF2508" w:rsidRDefault="00AF2508">
            <w:pPr>
              <w:pStyle w:val="TableText"/>
              <w:jc w:val="center"/>
              <w:rPr>
                <w:sz w:val="20"/>
              </w:rPr>
            </w:pPr>
            <w:r>
              <w:rPr>
                <w:sz w:val="20"/>
              </w:rPr>
              <w:t>1</w:t>
            </w:r>
          </w:p>
        </w:tc>
      </w:tr>
      <w:tr w:rsidR="00AF2508">
        <w:trPr>
          <w:cantSplit/>
          <w:trHeight w:val="200"/>
        </w:trPr>
        <w:tc>
          <w:tcPr>
            <w:tcW w:w="980"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696" w:type="dxa"/>
            <w:gridSpan w:val="4"/>
          </w:tcPr>
          <w:p w:rsidR="00AF2508" w:rsidRDefault="00AF2508">
            <w:pPr>
              <w:pStyle w:val="TableText"/>
              <w:jc w:val="center"/>
              <w:rPr>
                <w:sz w:val="20"/>
              </w:rPr>
            </w:pPr>
            <w:r>
              <w:rPr>
                <w:sz w:val="20"/>
              </w:rPr>
              <w:t>10</w:t>
            </w:r>
          </w:p>
        </w:tc>
        <w:tc>
          <w:tcPr>
            <w:tcW w:w="840" w:type="dxa"/>
          </w:tcPr>
          <w:p w:rsidR="00AF2508" w:rsidRDefault="00AF2508">
            <w:pPr>
              <w:pStyle w:val="TableText"/>
              <w:jc w:val="center"/>
              <w:rPr>
                <w:sz w:val="20"/>
              </w:rPr>
            </w:pPr>
            <w:r>
              <w:rPr>
                <w:sz w:val="20"/>
              </w:rPr>
              <w:t>12</w:t>
            </w:r>
          </w:p>
        </w:tc>
        <w:tc>
          <w:tcPr>
            <w:tcW w:w="600" w:type="dxa"/>
            <w:gridSpan w:val="2"/>
            <w:tcBorders>
              <w:left w:val="single" w:sz="6" w:space="0" w:color="auto"/>
            </w:tcBorders>
          </w:tcPr>
          <w:p w:rsidR="00AF2508" w:rsidRDefault="00AF2508">
            <w:pPr>
              <w:pStyle w:val="TableText"/>
              <w:jc w:val="center"/>
              <w:rPr>
                <w:sz w:val="20"/>
              </w:rPr>
            </w:pPr>
            <w:r>
              <w:rPr>
                <w:sz w:val="20"/>
              </w:rPr>
              <w:t>20</w:t>
            </w:r>
          </w:p>
        </w:tc>
        <w:tc>
          <w:tcPr>
            <w:tcW w:w="720" w:type="dxa"/>
            <w:gridSpan w:val="2"/>
          </w:tcPr>
          <w:p w:rsidR="00AF2508" w:rsidRDefault="00AF2508">
            <w:pPr>
              <w:pStyle w:val="TableText"/>
              <w:jc w:val="center"/>
              <w:rPr>
                <w:sz w:val="20"/>
              </w:rPr>
            </w:pPr>
            <w:r>
              <w:rPr>
                <w:sz w:val="20"/>
              </w:rPr>
              <w:t>10</w:t>
            </w:r>
          </w:p>
        </w:tc>
        <w:tc>
          <w:tcPr>
            <w:tcW w:w="752" w:type="dxa"/>
            <w:tcBorders>
              <w:left w:val="single" w:sz="6" w:space="0" w:color="auto"/>
            </w:tcBorders>
          </w:tcPr>
          <w:p w:rsidR="00AF2508" w:rsidRDefault="00AF2508">
            <w:pPr>
              <w:pStyle w:val="TableText"/>
              <w:jc w:val="center"/>
              <w:rPr>
                <w:sz w:val="20"/>
              </w:rPr>
            </w:pPr>
            <w:r>
              <w:rPr>
                <w:sz w:val="20"/>
              </w:rPr>
              <w:t>18</w:t>
            </w:r>
          </w:p>
        </w:tc>
        <w:tc>
          <w:tcPr>
            <w:tcW w:w="832" w:type="dxa"/>
          </w:tcPr>
          <w:p w:rsidR="00AF2508" w:rsidRDefault="00AF2508">
            <w:pPr>
              <w:pStyle w:val="TableText"/>
              <w:jc w:val="center"/>
              <w:rPr>
                <w:sz w:val="20"/>
              </w:rPr>
            </w:pPr>
            <w:r>
              <w:rPr>
                <w:sz w:val="20"/>
              </w:rPr>
              <w:t>7</w:t>
            </w:r>
          </w:p>
        </w:tc>
        <w:tc>
          <w:tcPr>
            <w:tcW w:w="768" w:type="dxa"/>
            <w:tcBorders>
              <w:left w:val="single" w:sz="6" w:space="0" w:color="auto"/>
            </w:tcBorders>
          </w:tcPr>
          <w:p w:rsidR="00AF2508" w:rsidRDefault="00AF2508">
            <w:pPr>
              <w:pStyle w:val="TableText"/>
              <w:jc w:val="center"/>
              <w:rPr>
                <w:sz w:val="20"/>
              </w:rPr>
            </w:pPr>
            <w:r>
              <w:rPr>
                <w:sz w:val="20"/>
              </w:rPr>
              <w:t>15</w:t>
            </w:r>
          </w:p>
        </w:tc>
        <w:tc>
          <w:tcPr>
            <w:tcW w:w="786" w:type="dxa"/>
            <w:gridSpan w:val="2"/>
          </w:tcPr>
          <w:p w:rsidR="00AF2508" w:rsidRDefault="00AF2508">
            <w:pPr>
              <w:pStyle w:val="TableText"/>
              <w:jc w:val="center"/>
              <w:rPr>
                <w:sz w:val="20"/>
              </w:rPr>
            </w:pPr>
            <w:r>
              <w:rPr>
                <w:sz w:val="20"/>
              </w:rPr>
              <w:t>0</w:t>
            </w:r>
          </w:p>
        </w:tc>
        <w:tc>
          <w:tcPr>
            <w:tcW w:w="760" w:type="dxa"/>
            <w:tcBorders>
              <w:left w:val="single" w:sz="6" w:space="0" w:color="auto"/>
            </w:tcBorders>
          </w:tcPr>
          <w:p w:rsidR="00AF2508" w:rsidRDefault="00AF2508">
            <w:pPr>
              <w:pStyle w:val="TableText"/>
              <w:jc w:val="center"/>
              <w:rPr>
                <w:sz w:val="20"/>
              </w:rPr>
            </w:pPr>
            <w:r>
              <w:rPr>
                <w:sz w:val="20"/>
              </w:rPr>
              <w:t>10</w:t>
            </w:r>
          </w:p>
        </w:tc>
        <w:tc>
          <w:tcPr>
            <w:tcW w:w="722" w:type="dxa"/>
          </w:tcPr>
          <w:p w:rsidR="00AF2508" w:rsidRDefault="00AF2508">
            <w:pPr>
              <w:pStyle w:val="TableText"/>
              <w:jc w:val="center"/>
              <w:rPr>
                <w:sz w:val="20"/>
              </w:rPr>
            </w:pPr>
            <w:r>
              <w:rPr>
                <w:sz w:val="20"/>
              </w:rPr>
              <w:t>12</w:t>
            </w:r>
          </w:p>
        </w:tc>
        <w:tc>
          <w:tcPr>
            <w:tcW w:w="838" w:type="dxa"/>
            <w:gridSpan w:val="2"/>
            <w:tcBorders>
              <w:left w:val="single" w:sz="6" w:space="0" w:color="auto"/>
            </w:tcBorders>
          </w:tcPr>
          <w:p w:rsidR="00AF2508" w:rsidRDefault="00AF2508">
            <w:pPr>
              <w:pStyle w:val="TableText"/>
              <w:jc w:val="center"/>
              <w:rPr>
                <w:sz w:val="20"/>
              </w:rPr>
            </w:pPr>
            <w:r>
              <w:rPr>
                <w:sz w:val="20"/>
              </w:rPr>
              <w:t>5</w:t>
            </w:r>
          </w:p>
        </w:tc>
        <w:tc>
          <w:tcPr>
            <w:tcW w:w="686" w:type="dxa"/>
            <w:gridSpan w:val="2"/>
          </w:tcPr>
          <w:p w:rsidR="00AF2508" w:rsidRDefault="00AF2508">
            <w:pPr>
              <w:pStyle w:val="TableText"/>
              <w:jc w:val="center"/>
              <w:rPr>
                <w:sz w:val="20"/>
              </w:rPr>
            </w:pPr>
            <w:r>
              <w:rPr>
                <w:sz w:val="20"/>
              </w:rPr>
              <w:t>11</w:t>
            </w:r>
          </w:p>
        </w:tc>
      </w:tr>
      <w:tr w:rsidR="00AF2508">
        <w:trPr>
          <w:cantSplit/>
          <w:trHeight w:val="200"/>
        </w:trPr>
        <w:tc>
          <w:tcPr>
            <w:tcW w:w="980" w:type="dxa"/>
          </w:tcPr>
          <w:p w:rsidR="00AF2508" w:rsidRDefault="00AF2508">
            <w:pPr>
              <w:pStyle w:val="TableText"/>
              <w:jc w:val="center"/>
              <w:rPr>
                <w:sz w:val="20"/>
              </w:rPr>
            </w:pPr>
            <w:r>
              <w:rPr>
                <w:sz w:val="20"/>
              </w:rPr>
              <w:t>5</w:t>
            </w:r>
            <w:r>
              <w:rPr>
                <w:position w:val="4"/>
                <w:sz w:val="16"/>
              </w:rPr>
              <w:t>3</w:t>
            </w:r>
            <w:r>
              <w:rPr>
                <w:sz w:val="20"/>
              </w:rPr>
              <w:t>/</w:t>
            </w:r>
            <w:r>
              <w:rPr>
                <w:sz w:val="16"/>
              </w:rPr>
              <w:t>4</w:t>
            </w:r>
          </w:p>
        </w:tc>
        <w:tc>
          <w:tcPr>
            <w:tcW w:w="912" w:type="dxa"/>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13</w:t>
            </w:r>
            <w:r>
              <w:rPr>
                <w:sz w:val="20"/>
              </w:rPr>
              <w:t>/</w:t>
            </w:r>
            <w:r>
              <w:rPr>
                <w:sz w:val="16"/>
              </w:rPr>
              <w:t>16</w:t>
            </w:r>
          </w:p>
        </w:tc>
        <w:tc>
          <w:tcPr>
            <w:tcW w:w="696" w:type="dxa"/>
            <w:gridSpan w:val="4"/>
          </w:tcPr>
          <w:p w:rsidR="00AF2508" w:rsidRDefault="00AF2508">
            <w:pPr>
              <w:pStyle w:val="TableText"/>
              <w:jc w:val="center"/>
              <w:rPr>
                <w:sz w:val="20"/>
              </w:rPr>
            </w:pPr>
            <w:r>
              <w:rPr>
                <w:sz w:val="20"/>
              </w:rPr>
              <w:t>11</w:t>
            </w:r>
          </w:p>
        </w:tc>
        <w:tc>
          <w:tcPr>
            <w:tcW w:w="840" w:type="dxa"/>
          </w:tcPr>
          <w:p w:rsidR="00AF2508" w:rsidRDefault="00AF2508">
            <w:pPr>
              <w:pStyle w:val="TableText"/>
              <w:jc w:val="center"/>
              <w:rPr>
                <w:sz w:val="20"/>
              </w:rPr>
            </w:pPr>
            <w:r>
              <w:rPr>
                <w:sz w:val="20"/>
              </w:rPr>
              <w:t>16</w:t>
            </w:r>
          </w:p>
        </w:tc>
        <w:tc>
          <w:tcPr>
            <w:tcW w:w="600" w:type="dxa"/>
            <w:gridSpan w:val="2"/>
            <w:tcBorders>
              <w:left w:val="single" w:sz="6" w:space="0" w:color="auto"/>
            </w:tcBorders>
          </w:tcPr>
          <w:p w:rsidR="00AF2508" w:rsidRDefault="00AF2508">
            <w:pPr>
              <w:pStyle w:val="TableText"/>
              <w:jc w:val="center"/>
              <w:rPr>
                <w:sz w:val="20"/>
              </w:rPr>
            </w:pPr>
            <w:r>
              <w:rPr>
                <w:sz w:val="20"/>
              </w:rPr>
              <w:t>22</w:t>
            </w:r>
          </w:p>
        </w:tc>
        <w:tc>
          <w:tcPr>
            <w:tcW w:w="720" w:type="dxa"/>
            <w:gridSpan w:val="2"/>
          </w:tcPr>
          <w:p w:rsidR="00AF2508" w:rsidRDefault="00AF2508">
            <w:pPr>
              <w:pStyle w:val="TableText"/>
              <w:jc w:val="center"/>
              <w:rPr>
                <w:sz w:val="20"/>
              </w:rPr>
            </w:pPr>
            <w:r>
              <w:rPr>
                <w:sz w:val="20"/>
              </w:rPr>
              <w:t>16</w:t>
            </w:r>
          </w:p>
        </w:tc>
        <w:tc>
          <w:tcPr>
            <w:tcW w:w="752" w:type="dxa"/>
            <w:tcBorders>
              <w:left w:val="single" w:sz="6" w:space="0" w:color="auto"/>
            </w:tcBorders>
          </w:tcPr>
          <w:p w:rsidR="00AF2508" w:rsidRDefault="00AF2508">
            <w:pPr>
              <w:pStyle w:val="TableText"/>
              <w:jc w:val="center"/>
              <w:rPr>
                <w:sz w:val="20"/>
              </w:rPr>
            </w:pPr>
            <w:r>
              <w:rPr>
                <w:sz w:val="20"/>
              </w:rPr>
              <w:t>20</w:t>
            </w:r>
          </w:p>
        </w:tc>
        <w:tc>
          <w:tcPr>
            <w:tcW w:w="832" w:type="dxa"/>
          </w:tcPr>
          <w:p w:rsidR="00AF2508" w:rsidRDefault="00AF2508">
            <w:pPr>
              <w:pStyle w:val="TableText"/>
              <w:jc w:val="center"/>
              <w:rPr>
                <w:sz w:val="20"/>
              </w:rPr>
            </w:pPr>
            <w:r>
              <w:rPr>
                <w:sz w:val="20"/>
              </w:rPr>
              <w:t>9</w:t>
            </w:r>
          </w:p>
        </w:tc>
        <w:tc>
          <w:tcPr>
            <w:tcW w:w="768" w:type="dxa"/>
            <w:tcBorders>
              <w:left w:val="single" w:sz="6" w:space="0" w:color="auto"/>
            </w:tcBorders>
          </w:tcPr>
          <w:p w:rsidR="00AF2508" w:rsidRDefault="00AF2508">
            <w:pPr>
              <w:pStyle w:val="TableText"/>
              <w:jc w:val="center"/>
              <w:rPr>
                <w:sz w:val="20"/>
              </w:rPr>
            </w:pPr>
            <w:r>
              <w:rPr>
                <w:sz w:val="20"/>
              </w:rPr>
              <w:t>16</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11</w:t>
            </w:r>
          </w:p>
        </w:tc>
        <w:tc>
          <w:tcPr>
            <w:tcW w:w="722" w:type="dxa"/>
          </w:tcPr>
          <w:p w:rsidR="00AF2508" w:rsidRDefault="00AF2508">
            <w:pPr>
              <w:pStyle w:val="TableText"/>
              <w:jc w:val="center"/>
              <w:rPr>
                <w:sz w:val="20"/>
              </w:rPr>
            </w:pPr>
            <w:r>
              <w:rPr>
                <w:sz w:val="20"/>
              </w:rPr>
              <w:t>16</w:t>
            </w:r>
          </w:p>
        </w:tc>
        <w:tc>
          <w:tcPr>
            <w:tcW w:w="838" w:type="dxa"/>
            <w:gridSpan w:val="2"/>
            <w:tcBorders>
              <w:left w:val="single" w:sz="6" w:space="0" w:color="auto"/>
            </w:tcBorders>
          </w:tcPr>
          <w:p w:rsidR="00AF2508" w:rsidRDefault="00AF2508">
            <w:pPr>
              <w:pStyle w:val="TableText"/>
              <w:jc w:val="center"/>
              <w:rPr>
                <w:sz w:val="20"/>
              </w:rPr>
            </w:pPr>
            <w:r>
              <w:rPr>
                <w:sz w:val="20"/>
              </w:rPr>
              <w:t>6</w:t>
            </w:r>
          </w:p>
        </w:tc>
        <w:tc>
          <w:tcPr>
            <w:tcW w:w="686" w:type="dxa"/>
            <w:gridSpan w:val="2"/>
          </w:tcPr>
          <w:p w:rsidR="00AF2508" w:rsidRDefault="00AF2508">
            <w:pPr>
              <w:pStyle w:val="TableText"/>
              <w:jc w:val="center"/>
              <w:rPr>
                <w:sz w:val="20"/>
              </w:rPr>
            </w:pPr>
            <w:r>
              <w:rPr>
                <w:sz w:val="20"/>
              </w:rPr>
              <w:t>2</w:t>
            </w:r>
          </w:p>
        </w:tc>
      </w:tr>
      <w:tr w:rsidR="00AF2508">
        <w:trPr>
          <w:cantSplit/>
          <w:trHeight w:val="200"/>
        </w:trPr>
        <w:tc>
          <w:tcPr>
            <w:tcW w:w="980" w:type="dxa"/>
            <w:tcBorders>
              <w:bottom w:val="single" w:sz="6" w:space="0" w:color="auto"/>
            </w:tcBorders>
          </w:tcPr>
          <w:p w:rsidR="00AF2508" w:rsidRDefault="00AF2508">
            <w:pPr>
              <w:pStyle w:val="TableText"/>
              <w:jc w:val="center"/>
              <w:rPr>
                <w:sz w:val="20"/>
              </w:rPr>
            </w:pPr>
            <w:r>
              <w:rPr>
                <w:sz w:val="20"/>
              </w:rPr>
              <w:t>6</w:t>
            </w:r>
          </w:p>
        </w:tc>
        <w:tc>
          <w:tcPr>
            <w:tcW w:w="912" w:type="dxa"/>
            <w:tcBorders>
              <w:left w:val="single" w:sz="6" w:space="0" w:color="auto"/>
              <w:bottom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696" w:type="dxa"/>
            <w:gridSpan w:val="4"/>
            <w:tcBorders>
              <w:bottom w:val="single" w:sz="6" w:space="0" w:color="auto"/>
            </w:tcBorders>
          </w:tcPr>
          <w:p w:rsidR="00AF2508" w:rsidRDefault="00AF2508">
            <w:pPr>
              <w:pStyle w:val="TableText"/>
              <w:jc w:val="center"/>
              <w:rPr>
                <w:sz w:val="20"/>
              </w:rPr>
            </w:pPr>
            <w:r>
              <w:rPr>
                <w:sz w:val="20"/>
              </w:rPr>
              <w:t>12</w:t>
            </w:r>
          </w:p>
        </w:tc>
        <w:tc>
          <w:tcPr>
            <w:tcW w:w="840" w:type="dxa"/>
            <w:tcBorders>
              <w:bottom w:val="single" w:sz="6" w:space="0" w:color="auto"/>
            </w:tcBorders>
          </w:tcPr>
          <w:p w:rsidR="00AF2508" w:rsidRDefault="00AF2508">
            <w:pPr>
              <w:pStyle w:val="TableText"/>
              <w:jc w:val="center"/>
              <w:rPr>
                <w:sz w:val="20"/>
              </w:rPr>
            </w:pPr>
            <w:r>
              <w:rPr>
                <w:sz w:val="20"/>
              </w:rPr>
              <w:t>15</w:t>
            </w:r>
          </w:p>
        </w:tc>
        <w:tc>
          <w:tcPr>
            <w:tcW w:w="600" w:type="dxa"/>
            <w:gridSpan w:val="2"/>
            <w:tcBorders>
              <w:left w:val="single" w:sz="6" w:space="0" w:color="auto"/>
              <w:bottom w:val="single" w:sz="6" w:space="0" w:color="auto"/>
            </w:tcBorders>
          </w:tcPr>
          <w:p w:rsidR="00AF2508" w:rsidRDefault="00AF2508">
            <w:pPr>
              <w:pStyle w:val="TableText"/>
              <w:jc w:val="center"/>
              <w:rPr>
                <w:sz w:val="20"/>
              </w:rPr>
            </w:pPr>
            <w:r>
              <w:rPr>
                <w:sz w:val="20"/>
              </w:rPr>
              <w:t>24</w:t>
            </w:r>
          </w:p>
        </w:tc>
        <w:tc>
          <w:tcPr>
            <w:tcW w:w="720" w:type="dxa"/>
            <w:gridSpan w:val="2"/>
            <w:tcBorders>
              <w:bottom w:val="single" w:sz="6" w:space="0" w:color="auto"/>
            </w:tcBorders>
          </w:tcPr>
          <w:p w:rsidR="00AF2508" w:rsidRDefault="00AF2508">
            <w:pPr>
              <w:pStyle w:val="TableText"/>
              <w:jc w:val="center"/>
              <w:rPr>
                <w:sz w:val="20"/>
              </w:rPr>
            </w:pPr>
            <w:r>
              <w:rPr>
                <w:sz w:val="20"/>
              </w:rPr>
              <w:t>12</w:t>
            </w:r>
          </w:p>
        </w:tc>
        <w:tc>
          <w:tcPr>
            <w:tcW w:w="752" w:type="dxa"/>
            <w:tcBorders>
              <w:left w:val="single" w:sz="6" w:space="0" w:color="auto"/>
              <w:bottom w:val="single" w:sz="6" w:space="0" w:color="auto"/>
            </w:tcBorders>
          </w:tcPr>
          <w:p w:rsidR="00AF2508" w:rsidRDefault="00AF2508">
            <w:pPr>
              <w:pStyle w:val="TableText"/>
              <w:jc w:val="center"/>
              <w:rPr>
                <w:sz w:val="20"/>
              </w:rPr>
            </w:pPr>
            <w:r>
              <w:rPr>
                <w:sz w:val="20"/>
              </w:rPr>
              <w:t>22</w:t>
            </w:r>
          </w:p>
        </w:tc>
        <w:tc>
          <w:tcPr>
            <w:tcW w:w="832" w:type="dxa"/>
            <w:tcBorders>
              <w:bottom w:val="single" w:sz="6" w:space="0" w:color="auto"/>
            </w:tcBorders>
          </w:tcPr>
          <w:p w:rsidR="00AF2508" w:rsidRDefault="00AF2508">
            <w:pPr>
              <w:pStyle w:val="TableText"/>
              <w:jc w:val="center"/>
              <w:rPr>
                <w:sz w:val="20"/>
              </w:rPr>
            </w:pPr>
            <w:r>
              <w:rPr>
                <w:sz w:val="20"/>
              </w:rPr>
              <w:t>2</w:t>
            </w:r>
          </w:p>
        </w:tc>
        <w:tc>
          <w:tcPr>
            <w:tcW w:w="768" w:type="dxa"/>
            <w:tcBorders>
              <w:left w:val="single" w:sz="6" w:space="0" w:color="auto"/>
              <w:bottom w:val="single" w:sz="6" w:space="0" w:color="auto"/>
            </w:tcBorders>
          </w:tcPr>
          <w:p w:rsidR="00AF2508" w:rsidRDefault="00AF2508">
            <w:pPr>
              <w:pStyle w:val="TableText"/>
              <w:jc w:val="center"/>
              <w:rPr>
                <w:sz w:val="20"/>
              </w:rPr>
            </w:pPr>
            <w:r>
              <w:rPr>
                <w:sz w:val="20"/>
              </w:rPr>
              <w:t>18</w:t>
            </w:r>
          </w:p>
        </w:tc>
        <w:tc>
          <w:tcPr>
            <w:tcW w:w="786" w:type="dxa"/>
            <w:gridSpan w:val="2"/>
            <w:tcBorders>
              <w:bottom w:val="single" w:sz="6" w:space="0" w:color="auto"/>
            </w:tcBorders>
          </w:tcPr>
          <w:p w:rsidR="00AF2508" w:rsidRDefault="00AF2508">
            <w:pPr>
              <w:pStyle w:val="TableText"/>
              <w:jc w:val="center"/>
              <w:rPr>
                <w:sz w:val="20"/>
              </w:rPr>
            </w:pPr>
            <w:r>
              <w:rPr>
                <w:sz w:val="20"/>
              </w:rPr>
              <w:t>1</w:t>
            </w:r>
          </w:p>
        </w:tc>
        <w:tc>
          <w:tcPr>
            <w:tcW w:w="760" w:type="dxa"/>
            <w:tcBorders>
              <w:left w:val="single" w:sz="6" w:space="0" w:color="auto"/>
              <w:bottom w:val="single" w:sz="6" w:space="0" w:color="auto"/>
            </w:tcBorders>
          </w:tcPr>
          <w:p w:rsidR="00AF2508" w:rsidRDefault="00AF2508">
            <w:pPr>
              <w:pStyle w:val="TableText"/>
              <w:jc w:val="center"/>
              <w:rPr>
                <w:sz w:val="20"/>
              </w:rPr>
            </w:pPr>
            <w:r>
              <w:rPr>
                <w:sz w:val="20"/>
              </w:rPr>
              <w:t>12</w:t>
            </w:r>
          </w:p>
        </w:tc>
        <w:tc>
          <w:tcPr>
            <w:tcW w:w="722" w:type="dxa"/>
            <w:tcBorders>
              <w:bottom w:val="single" w:sz="6" w:space="0" w:color="auto"/>
            </w:tcBorders>
          </w:tcPr>
          <w:p w:rsidR="00AF2508" w:rsidRDefault="00AF2508">
            <w:pPr>
              <w:pStyle w:val="TableText"/>
              <w:jc w:val="center"/>
              <w:rPr>
                <w:sz w:val="20"/>
              </w:rPr>
            </w:pPr>
            <w:r>
              <w:rPr>
                <w:sz w:val="20"/>
              </w:rPr>
              <w:t>15</w:t>
            </w:r>
          </w:p>
        </w:tc>
        <w:tc>
          <w:tcPr>
            <w:tcW w:w="838" w:type="dxa"/>
            <w:gridSpan w:val="2"/>
            <w:tcBorders>
              <w:left w:val="single" w:sz="6" w:space="0" w:color="auto"/>
              <w:bottom w:val="single" w:sz="6" w:space="0" w:color="auto"/>
            </w:tcBorders>
          </w:tcPr>
          <w:p w:rsidR="00AF2508" w:rsidRDefault="00AF2508">
            <w:pPr>
              <w:pStyle w:val="TableText"/>
              <w:jc w:val="center"/>
              <w:rPr>
                <w:sz w:val="20"/>
              </w:rPr>
            </w:pPr>
            <w:r>
              <w:rPr>
                <w:sz w:val="20"/>
              </w:rPr>
              <w:t>6</w:t>
            </w:r>
          </w:p>
        </w:tc>
        <w:tc>
          <w:tcPr>
            <w:tcW w:w="686" w:type="dxa"/>
            <w:gridSpan w:val="2"/>
            <w:tcBorders>
              <w:bottom w:val="single" w:sz="6" w:space="0" w:color="auto"/>
            </w:tcBorders>
          </w:tcPr>
          <w:p w:rsidR="00AF2508" w:rsidRDefault="00AF2508">
            <w:pPr>
              <w:pStyle w:val="TableText"/>
              <w:jc w:val="center"/>
              <w:rPr>
                <w:sz w:val="20"/>
              </w:rPr>
            </w:pPr>
            <w:r>
              <w:rPr>
                <w:sz w:val="20"/>
              </w:rPr>
              <w:t>12</w:t>
            </w:r>
          </w:p>
        </w:tc>
      </w:tr>
    </w:tbl>
    <w:p w:rsidR="00AF2508" w:rsidRDefault="00AF2508"/>
    <w:p w:rsidR="00AF2508" w:rsidRDefault="00AF2508">
      <w:pPr>
        <w:pStyle w:val="TableHd"/>
      </w:pPr>
      <w:r>
        <w:t>Maximum safe working load for steel wire rope—Classification 1</w:t>
      </w:r>
    </w:p>
    <w:p w:rsidR="00AF2508" w:rsidRDefault="00AF2508">
      <w:pPr>
        <w:pStyle w:val="TableHd"/>
        <w:ind w:left="0" w:firstLine="0"/>
      </w:pPr>
      <w:r>
        <w:t>Minimum ultimate tensile value of steel of which rope is constructed = 80 tons per square inch</w:t>
      </w:r>
      <w:r>
        <w:br/>
        <w:t>construction:  6 strands each containing 37 wires</w:t>
      </w:r>
    </w:p>
    <w:tbl>
      <w:tblPr>
        <w:tblW w:w="0" w:type="auto"/>
        <w:tblLayout w:type="fixed"/>
        <w:tblCellMar>
          <w:left w:w="80" w:type="dxa"/>
          <w:right w:w="80" w:type="dxa"/>
        </w:tblCellMar>
        <w:tblLook w:val="0000" w:firstRow="0" w:lastRow="0" w:firstColumn="0" w:lastColumn="0" w:noHBand="0" w:noVBand="0"/>
      </w:tblPr>
      <w:tblGrid>
        <w:gridCol w:w="968"/>
        <w:gridCol w:w="16"/>
        <w:gridCol w:w="908"/>
        <w:gridCol w:w="16"/>
        <w:gridCol w:w="579"/>
        <w:gridCol w:w="93"/>
        <w:gridCol w:w="32"/>
        <w:gridCol w:w="816"/>
        <w:gridCol w:w="600"/>
        <w:gridCol w:w="708"/>
        <w:gridCol w:w="12"/>
        <w:gridCol w:w="752"/>
        <w:gridCol w:w="820"/>
        <w:gridCol w:w="12"/>
        <w:gridCol w:w="768"/>
        <w:gridCol w:w="780"/>
        <w:gridCol w:w="6"/>
        <w:gridCol w:w="760"/>
        <w:gridCol w:w="722"/>
        <w:gridCol w:w="12"/>
        <w:gridCol w:w="826"/>
        <w:gridCol w:w="654"/>
        <w:gridCol w:w="12"/>
      </w:tblGrid>
      <w:tr w:rsidR="00AF2508">
        <w:trPr>
          <w:gridAfter w:val="1"/>
          <w:wAfter w:w="12" w:type="dxa"/>
          <w:cantSplit/>
          <w:tblHeader/>
        </w:trPr>
        <w:tc>
          <w:tcPr>
            <w:tcW w:w="984" w:type="dxa"/>
            <w:gridSpan w:val="2"/>
            <w:tcBorders>
              <w:top w:val="single" w:sz="6" w:space="0" w:color="auto"/>
              <w:right w:val="single" w:sz="6" w:space="0" w:color="auto"/>
            </w:tcBorders>
          </w:tcPr>
          <w:p w:rsidR="00AF2508" w:rsidRDefault="00AF2508">
            <w:pPr>
              <w:pStyle w:val="TableColHd"/>
              <w:jc w:val="center"/>
            </w:pPr>
          </w:p>
        </w:tc>
        <w:tc>
          <w:tcPr>
            <w:tcW w:w="924" w:type="dxa"/>
            <w:gridSpan w:val="2"/>
            <w:tcBorders>
              <w:top w:val="single" w:sz="6" w:space="0" w:color="auto"/>
              <w:right w:val="single" w:sz="6" w:space="0" w:color="auto"/>
            </w:tcBorders>
          </w:tcPr>
          <w:p w:rsidR="00AF2508" w:rsidRDefault="00AF2508">
            <w:pPr>
              <w:pStyle w:val="TableColHd"/>
              <w:jc w:val="center"/>
            </w:pPr>
          </w:p>
        </w:tc>
        <w:tc>
          <w:tcPr>
            <w:tcW w:w="579" w:type="dxa"/>
            <w:tcBorders>
              <w:top w:val="single" w:sz="6" w:space="0" w:color="auto"/>
            </w:tcBorders>
          </w:tcPr>
          <w:p w:rsidR="00AF2508" w:rsidRDefault="00AF2508">
            <w:pPr>
              <w:pStyle w:val="TableColHd"/>
              <w:jc w:val="center"/>
            </w:pPr>
          </w:p>
        </w:tc>
        <w:tc>
          <w:tcPr>
            <w:tcW w:w="941" w:type="dxa"/>
            <w:gridSpan w:val="3"/>
            <w:tcBorders>
              <w:top w:val="single" w:sz="6" w:space="0" w:color="auto"/>
            </w:tcBorders>
          </w:tcPr>
          <w:p w:rsidR="00AF2508" w:rsidRDefault="00AF2508">
            <w:pPr>
              <w:pStyle w:val="TableColHd"/>
              <w:jc w:val="center"/>
            </w:pPr>
          </w:p>
        </w:tc>
        <w:tc>
          <w:tcPr>
            <w:tcW w:w="7428" w:type="dxa"/>
            <w:gridSpan w:val="14"/>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gridAfter w:val="1"/>
          <w:wAfter w:w="12" w:type="dxa"/>
          <w:cantSplit/>
          <w:tblHeader/>
        </w:trPr>
        <w:tc>
          <w:tcPr>
            <w:tcW w:w="984" w:type="dxa"/>
            <w:gridSpan w:val="2"/>
            <w:tcBorders>
              <w:right w:val="single" w:sz="6" w:space="0" w:color="auto"/>
            </w:tcBorders>
            <w:vAlign w:val="bottom"/>
          </w:tcPr>
          <w:p w:rsidR="00AF2508" w:rsidRDefault="00AF2508">
            <w:pPr>
              <w:pStyle w:val="TableColHd"/>
            </w:pPr>
            <w:r>
              <w:t>circum-</w:t>
            </w:r>
            <w:r>
              <w:br/>
              <w:t>ference</w:t>
            </w:r>
            <w:r>
              <w:br/>
              <w:t>of rope</w:t>
            </w:r>
          </w:p>
        </w:tc>
        <w:tc>
          <w:tcPr>
            <w:tcW w:w="924" w:type="dxa"/>
            <w:gridSpan w:val="2"/>
            <w:tcBorders>
              <w:right w:val="single" w:sz="6" w:space="0" w:color="auto"/>
            </w:tcBorders>
            <w:vAlign w:val="bottom"/>
          </w:tcPr>
          <w:p w:rsidR="00AF2508" w:rsidRDefault="00AF2508">
            <w:pPr>
              <w:pStyle w:val="TableColHd"/>
            </w:pPr>
            <w:r>
              <w:t>approx.</w:t>
            </w:r>
            <w:r>
              <w:br/>
              <w:t>diameter</w:t>
            </w:r>
            <w:r>
              <w:br/>
              <w:t>of rope</w:t>
            </w:r>
          </w:p>
        </w:tc>
        <w:tc>
          <w:tcPr>
            <w:tcW w:w="1520" w:type="dxa"/>
            <w:gridSpan w:val="4"/>
            <w:vAlign w:val="bottom"/>
          </w:tcPr>
          <w:p w:rsidR="00AF2508" w:rsidRDefault="00AF2508">
            <w:pPr>
              <w:pStyle w:val="TableColHd"/>
            </w:pPr>
            <w:r>
              <w:t>safe load for 1 single fall (part) of rope</w:t>
            </w:r>
          </w:p>
        </w:tc>
        <w:tc>
          <w:tcPr>
            <w:tcW w:w="1320" w:type="dxa"/>
            <w:gridSpan w:val="3"/>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3"/>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AF2508" w:rsidRDefault="00136775">
            <w:pPr>
              <w:rPr>
                <w:color w:val="000000"/>
                <w:sz w:val="18"/>
              </w:rPr>
            </w:pPr>
            <w:r>
              <w:rPr>
                <w:noProof/>
                <w:color w:val="000000"/>
                <w:sz w:val="20"/>
                <w:lang w:eastAsia="en-AU"/>
              </w:rPr>
              <w:drawing>
                <wp:inline distT="0" distB="0" distL="0" distR="0">
                  <wp:extent cx="790575" cy="5238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gridAfter w:val="1"/>
          <w:wAfter w:w="8"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2"/>
            <w:tcBorders>
              <w:top w:val="single" w:sz="6" w:space="0" w:color="auto"/>
              <w:bottom w:val="single" w:sz="6" w:space="0" w:color="auto"/>
            </w:tcBorders>
            <w:vAlign w:val="bottom"/>
          </w:tcPr>
          <w:p w:rsidR="00AF2508" w:rsidRDefault="00AF2508">
            <w:pPr>
              <w:pStyle w:val="TableColHd"/>
              <w:spacing w:after="0"/>
              <w:jc w:val="center"/>
            </w:pPr>
            <w:r>
              <w:t>tons</w:t>
            </w:r>
          </w:p>
        </w:tc>
        <w:tc>
          <w:tcPr>
            <w:tcW w:w="848"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08"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32" w:type="dxa"/>
            <w:gridSpan w:val="2"/>
            <w:tcBorders>
              <w:top w:val="single" w:sz="6" w:space="0" w:color="auto"/>
              <w:bottom w:val="single" w:sz="6" w:space="0" w:color="auto"/>
            </w:tcBorders>
            <w:vAlign w:val="bottom"/>
          </w:tcPr>
          <w:p w:rsidR="00AF2508" w:rsidRDefault="00AF2508">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8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826"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68" w:type="dxa"/>
            <w:tcBorders>
              <w:top w:val="single" w:sz="6" w:space="0" w:color="auto"/>
              <w:right w:val="single" w:sz="6" w:space="0" w:color="auto"/>
            </w:tcBorders>
          </w:tcPr>
          <w:p w:rsidR="00AF2508" w:rsidRDefault="00AF2508">
            <w:pPr>
              <w:pStyle w:val="TableText"/>
              <w:jc w:val="center"/>
              <w:rPr>
                <w:sz w:val="20"/>
              </w:rPr>
            </w:pPr>
            <w:r>
              <w:rPr>
                <w:sz w:val="20"/>
              </w:rPr>
              <w:t>1</w:t>
            </w:r>
          </w:p>
        </w:tc>
        <w:tc>
          <w:tcPr>
            <w:tcW w:w="924" w:type="dxa"/>
            <w:gridSpan w:val="2"/>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 xml:space="preserve">/16 </w:t>
            </w:r>
          </w:p>
        </w:tc>
        <w:tc>
          <w:tcPr>
            <w:tcW w:w="720" w:type="dxa"/>
            <w:gridSpan w:val="4"/>
            <w:tcBorders>
              <w:top w:val="single" w:sz="6" w:space="0" w:color="auto"/>
            </w:tcBorders>
          </w:tcPr>
          <w:p w:rsidR="00AF2508" w:rsidRDefault="00AF2508">
            <w:pPr>
              <w:pStyle w:val="TableText"/>
              <w:jc w:val="center"/>
              <w:rPr>
                <w:sz w:val="20"/>
              </w:rPr>
            </w:pPr>
            <w:r>
              <w:rPr>
                <w:sz w:val="20"/>
              </w:rPr>
              <w:t>0</w:t>
            </w:r>
          </w:p>
        </w:tc>
        <w:tc>
          <w:tcPr>
            <w:tcW w:w="816" w:type="dxa"/>
            <w:tcBorders>
              <w:top w:val="single" w:sz="6" w:space="0" w:color="auto"/>
            </w:tcBorders>
          </w:tcPr>
          <w:p w:rsidR="00AF2508" w:rsidRDefault="00AF2508">
            <w:pPr>
              <w:pStyle w:val="TableText"/>
              <w:jc w:val="center"/>
              <w:rPr>
                <w:sz w:val="20"/>
              </w:rPr>
            </w:pPr>
            <w:r>
              <w:rPr>
                <w:sz w:val="20"/>
              </w:rPr>
              <w:t>8</w:t>
            </w:r>
            <w:r>
              <w:rPr>
                <w:position w:val="4"/>
                <w:sz w:val="20"/>
              </w:rPr>
              <w:t>1</w:t>
            </w:r>
            <w:r>
              <w:rPr>
                <w:sz w:val="20"/>
              </w:rPr>
              <w:t>/2</w:t>
            </w:r>
          </w:p>
        </w:tc>
        <w:tc>
          <w:tcPr>
            <w:tcW w:w="60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0" w:type="dxa"/>
            <w:gridSpan w:val="2"/>
            <w:tcBorders>
              <w:top w:val="single" w:sz="6" w:space="0" w:color="auto"/>
            </w:tcBorders>
          </w:tcPr>
          <w:p w:rsidR="00AF2508" w:rsidRDefault="00AF2508">
            <w:pPr>
              <w:pStyle w:val="TableText"/>
              <w:jc w:val="center"/>
              <w:rPr>
                <w:sz w:val="20"/>
              </w:rPr>
            </w:pPr>
            <w:r>
              <w:rPr>
                <w:sz w:val="20"/>
              </w:rPr>
              <w:t>16</w:t>
            </w:r>
          </w:p>
        </w:tc>
        <w:tc>
          <w:tcPr>
            <w:tcW w:w="752"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820" w:type="dxa"/>
            <w:tcBorders>
              <w:top w:val="single" w:sz="6" w:space="0" w:color="auto"/>
            </w:tcBorders>
          </w:tcPr>
          <w:p w:rsidR="00AF2508" w:rsidRDefault="00AF2508">
            <w:pPr>
              <w:pStyle w:val="TableText"/>
              <w:jc w:val="center"/>
              <w:rPr>
                <w:sz w:val="20"/>
              </w:rPr>
            </w:pPr>
            <w:r>
              <w:rPr>
                <w:sz w:val="20"/>
              </w:rPr>
              <w:t>15</w:t>
            </w:r>
          </w:p>
        </w:tc>
        <w:tc>
          <w:tcPr>
            <w:tcW w:w="780"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786" w:type="dxa"/>
            <w:gridSpan w:val="2"/>
            <w:tcBorders>
              <w:top w:val="single" w:sz="6" w:space="0" w:color="auto"/>
            </w:tcBorders>
          </w:tcPr>
          <w:p w:rsidR="00AF2508" w:rsidRDefault="00AF2508">
            <w:pPr>
              <w:pStyle w:val="TableText"/>
              <w:jc w:val="center"/>
              <w:rPr>
                <w:sz w:val="20"/>
              </w:rPr>
            </w:pPr>
            <w:r>
              <w:rPr>
                <w:sz w:val="20"/>
              </w:rPr>
              <w:t>12</w:t>
            </w:r>
          </w:p>
        </w:tc>
        <w:tc>
          <w:tcPr>
            <w:tcW w:w="76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2" w:type="dxa"/>
            <w:tcBorders>
              <w:top w:val="single" w:sz="6" w:space="0" w:color="auto"/>
              <w:right w:val="single" w:sz="6" w:space="0" w:color="auto"/>
            </w:tcBorders>
          </w:tcPr>
          <w:p w:rsidR="00AF2508" w:rsidRDefault="00AF2508">
            <w:pPr>
              <w:pStyle w:val="TableText"/>
              <w:jc w:val="center"/>
              <w:rPr>
                <w:sz w:val="20"/>
              </w:rPr>
            </w:pPr>
            <w:r>
              <w:rPr>
                <w:sz w:val="20"/>
              </w:rPr>
              <w:t>8</w:t>
            </w:r>
            <w:r>
              <w:rPr>
                <w:position w:val="4"/>
                <w:sz w:val="20"/>
              </w:rPr>
              <w:t>1</w:t>
            </w:r>
            <w:r>
              <w:rPr>
                <w:sz w:val="20"/>
              </w:rPr>
              <w:t>/2</w:t>
            </w:r>
          </w:p>
        </w:tc>
        <w:tc>
          <w:tcPr>
            <w:tcW w:w="838" w:type="dxa"/>
            <w:gridSpan w:val="2"/>
            <w:tcBorders>
              <w:top w:val="single" w:sz="6" w:space="0" w:color="auto"/>
            </w:tcBorders>
          </w:tcPr>
          <w:p w:rsidR="00AF2508" w:rsidRDefault="00AF2508">
            <w:pPr>
              <w:pStyle w:val="TableText"/>
              <w:jc w:val="center"/>
              <w:rPr>
                <w:sz w:val="20"/>
              </w:rPr>
            </w:pPr>
            <w:r>
              <w:rPr>
                <w:sz w:val="20"/>
              </w:rPr>
              <w:t>0</w:t>
            </w:r>
          </w:p>
        </w:tc>
        <w:tc>
          <w:tcPr>
            <w:tcW w:w="662" w:type="dxa"/>
            <w:gridSpan w:val="2"/>
            <w:tcBorders>
              <w:top w:val="single" w:sz="6" w:space="0" w:color="auto"/>
            </w:tcBorders>
          </w:tcPr>
          <w:p w:rsidR="00AF2508" w:rsidRDefault="00AF2508">
            <w:pPr>
              <w:pStyle w:val="TableText"/>
              <w:jc w:val="center"/>
              <w:rPr>
                <w:sz w:val="20"/>
              </w:rPr>
            </w:pPr>
            <w:r>
              <w:rPr>
                <w:sz w:val="20"/>
              </w:rPr>
              <w:t>4</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1</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3</w:t>
            </w:r>
            <w:r>
              <w:rPr>
                <w:sz w:val="20"/>
              </w:rPr>
              <w:t xml:space="preserve">/8 </w:t>
            </w:r>
          </w:p>
        </w:tc>
        <w:tc>
          <w:tcPr>
            <w:tcW w:w="720" w:type="dxa"/>
            <w:gridSpan w:val="4"/>
          </w:tcPr>
          <w:p w:rsidR="00AF2508" w:rsidRDefault="00AF2508">
            <w:pPr>
              <w:pStyle w:val="TableText"/>
              <w:jc w:val="center"/>
              <w:rPr>
                <w:sz w:val="20"/>
              </w:rPr>
            </w:pPr>
            <w:r>
              <w:rPr>
                <w:sz w:val="20"/>
              </w:rPr>
              <w:t>0</w:t>
            </w:r>
          </w:p>
        </w:tc>
        <w:tc>
          <w:tcPr>
            <w:tcW w:w="816" w:type="dxa"/>
          </w:tcPr>
          <w:p w:rsidR="00AF2508" w:rsidRDefault="00AF2508">
            <w:pPr>
              <w:pStyle w:val="TableText"/>
              <w:jc w:val="center"/>
              <w:rPr>
                <w:sz w:val="20"/>
              </w:rPr>
            </w:pPr>
            <w:r>
              <w:rPr>
                <w:sz w:val="20"/>
              </w:rPr>
              <w:t>11</w:t>
            </w:r>
            <w:r>
              <w:rPr>
                <w:position w:val="4"/>
                <w:sz w:val="20"/>
              </w:rPr>
              <w:t>1</w:t>
            </w:r>
            <w:r>
              <w:rPr>
                <w:sz w:val="20"/>
              </w:rPr>
              <w:t>/2</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2</w:t>
            </w:r>
          </w:p>
        </w:tc>
        <w:tc>
          <w:tcPr>
            <w:tcW w:w="752" w:type="dxa"/>
            <w:tcBorders>
              <w:left w:val="single" w:sz="6" w:space="0" w:color="auto"/>
            </w:tcBorders>
          </w:tcPr>
          <w:p w:rsidR="00AF2508" w:rsidRDefault="00AF2508">
            <w:pPr>
              <w:pStyle w:val="TableText"/>
              <w:jc w:val="center"/>
              <w:rPr>
                <w:sz w:val="20"/>
              </w:rPr>
            </w:pPr>
            <w:r>
              <w:rPr>
                <w:sz w:val="20"/>
              </w:rPr>
              <w:t>1</w:t>
            </w:r>
          </w:p>
        </w:tc>
        <w:tc>
          <w:tcPr>
            <w:tcW w:w="820" w:type="dxa"/>
          </w:tcPr>
          <w:p w:rsidR="00AF2508" w:rsidRDefault="00AF2508">
            <w:pPr>
              <w:pStyle w:val="TableText"/>
              <w:jc w:val="center"/>
              <w:rPr>
                <w:sz w:val="20"/>
              </w:rPr>
            </w:pPr>
            <w:r>
              <w:rPr>
                <w:sz w:val="20"/>
              </w:rPr>
              <w:t>0</w:t>
            </w:r>
          </w:p>
        </w:tc>
        <w:tc>
          <w:tcPr>
            <w:tcW w:w="780"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16</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11</w:t>
            </w:r>
            <w:r>
              <w:rPr>
                <w:position w:val="4"/>
                <w:sz w:val="20"/>
              </w:rPr>
              <w:t>1</w:t>
            </w:r>
            <w:r>
              <w:rPr>
                <w:sz w:val="20"/>
              </w:rPr>
              <w:t>/2</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6</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13</w:t>
            </w:r>
            <w:r>
              <w:rPr>
                <w:sz w:val="20"/>
              </w:rPr>
              <w:t xml:space="preserve">/32 </w:t>
            </w:r>
          </w:p>
        </w:tc>
        <w:tc>
          <w:tcPr>
            <w:tcW w:w="720" w:type="dxa"/>
            <w:gridSpan w:val="4"/>
          </w:tcPr>
          <w:p w:rsidR="00AF2508" w:rsidRDefault="00AF2508">
            <w:pPr>
              <w:pStyle w:val="TableText"/>
              <w:jc w:val="center"/>
              <w:rPr>
                <w:sz w:val="20"/>
              </w:rPr>
            </w:pPr>
            <w:r>
              <w:rPr>
                <w:sz w:val="20"/>
              </w:rPr>
              <w:t>0</w:t>
            </w:r>
          </w:p>
        </w:tc>
        <w:tc>
          <w:tcPr>
            <w:tcW w:w="816" w:type="dxa"/>
          </w:tcPr>
          <w:p w:rsidR="00AF2508" w:rsidRDefault="00AF2508">
            <w:pPr>
              <w:pStyle w:val="TableText"/>
              <w:jc w:val="center"/>
              <w:rPr>
                <w:sz w:val="20"/>
              </w:rPr>
            </w:pPr>
            <w:r>
              <w:rPr>
                <w:sz w:val="20"/>
              </w:rPr>
              <w:t>13</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5</w:t>
            </w:r>
          </w:p>
        </w:tc>
        <w:tc>
          <w:tcPr>
            <w:tcW w:w="752" w:type="dxa"/>
            <w:tcBorders>
              <w:left w:val="single" w:sz="6" w:space="0" w:color="auto"/>
            </w:tcBorders>
          </w:tcPr>
          <w:p w:rsidR="00AF2508" w:rsidRDefault="00AF2508">
            <w:pPr>
              <w:pStyle w:val="TableText"/>
              <w:jc w:val="center"/>
              <w:rPr>
                <w:sz w:val="20"/>
              </w:rPr>
            </w:pPr>
            <w:r>
              <w:rPr>
                <w:sz w:val="20"/>
              </w:rPr>
              <w:t>1</w:t>
            </w:r>
          </w:p>
        </w:tc>
        <w:tc>
          <w:tcPr>
            <w:tcW w:w="820" w:type="dxa"/>
          </w:tcPr>
          <w:p w:rsidR="00AF2508" w:rsidRDefault="00AF2508">
            <w:pPr>
              <w:pStyle w:val="TableText"/>
              <w:jc w:val="center"/>
              <w:rPr>
                <w:sz w:val="20"/>
              </w:rPr>
            </w:pPr>
            <w:r>
              <w:rPr>
                <w:sz w:val="20"/>
              </w:rPr>
              <w:t>2</w:t>
            </w:r>
            <w:r>
              <w:rPr>
                <w:position w:val="4"/>
                <w:sz w:val="20"/>
              </w:rPr>
              <w:t>1</w:t>
            </w:r>
            <w:r>
              <w:rPr>
                <w:sz w:val="20"/>
              </w:rPr>
              <w:t>/2</w:t>
            </w:r>
          </w:p>
        </w:tc>
        <w:tc>
          <w:tcPr>
            <w:tcW w:w="780" w:type="dxa"/>
            <w:gridSpan w:val="2"/>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13</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7</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3</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7</w:t>
            </w:r>
            <w:r>
              <w:rPr>
                <w:sz w:val="20"/>
              </w:rPr>
              <w:t xml:space="preserve">/16 </w:t>
            </w:r>
          </w:p>
        </w:tc>
        <w:tc>
          <w:tcPr>
            <w:tcW w:w="720" w:type="dxa"/>
            <w:gridSpan w:val="4"/>
          </w:tcPr>
          <w:p w:rsidR="00AF2508" w:rsidRDefault="00AF2508">
            <w:pPr>
              <w:pStyle w:val="TableText"/>
              <w:jc w:val="center"/>
              <w:rPr>
                <w:sz w:val="20"/>
              </w:rPr>
            </w:pPr>
            <w:r>
              <w:rPr>
                <w:sz w:val="20"/>
              </w:rPr>
              <w:t>0</w:t>
            </w:r>
          </w:p>
        </w:tc>
        <w:tc>
          <w:tcPr>
            <w:tcW w:w="816" w:type="dxa"/>
          </w:tcPr>
          <w:p w:rsidR="00AF2508" w:rsidRDefault="00AF2508">
            <w:pPr>
              <w:pStyle w:val="TableText"/>
              <w:jc w:val="center"/>
              <w:rPr>
                <w:sz w:val="20"/>
              </w:rPr>
            </w:pPr>
            <w:r>
              <w:rPr>
                <w:sz w:val="20"/>
              </w:rPr>
              <w:t>15</w:t>
            </w:r>
            <w:r>
              <w:rPr>
                <w:position w:val="4"/>
                <w:sz w:val="20"/>
              </w:rPr>
              <w:t>1</w:t>
            </w:r>
            <w:r>
              <w:rPr>
                <w:sz w:val="20"/>
              </w:rPr>
              <w:t>/2</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10</w:t>
            </w:r>
          </w:p>
        </w:tc>
        <w:tc>
          <w:tcPr>
            <w:tcW w:w="752" w:type="dxa"/>
            <w:tcBorders>
              <w:left w:val="single" w:sz="6" w:space="0" w:color="auto"/>
            </w:tcBorders>
          </w:tcPr>
          <w:p w:rsidR="00AF2508" w:rsidRDefault="00AF2508">
            <w:pPr>
              <w:pStyle w:val="TableText"/>
              <w:jc w:val="center"/>
              <w:rPr>
                <w:sz w:val="20"/>
              </w:rPr>
            </w:pPr>
            <w:r>
              <w:rPr>
                <w:sz w:val="20"/>
              </w:rPr>
              <w:t>1</w:t>
            </w:r>
          </w:p>
        </w:tc>
        <w:tc>
          <w:tcPr>
            <w:tcW w:w="820" w:type="dxa"/>
          </w:tcPr>
          <w:p w:rsidR="00AF2508" w:rsidRDefault="00AF2508">
            <w:pPr>
              <w:pStyle w:val="TableText"/>
              <w:jc w:val="center"/>
              <w:rPr>
                <w:sz w:val="20"/>
              </w:rPr>
            </w:pPr>
            <w:r>
              <w:rPr>
                <w:sz w:val="20"/>
              </w:rPr>
              <w:t>7</w:t>
            </w:r>
          </w:p>
        </w:tc>
        <w:tc>
          <w:tcPr>
            <w:tcW w:w="780"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15</w:t>
            </w:r>
            <w:r>
              <w:rPr>
                <w:position w:val="4"/>
                <w:sz w:val="20"/>
              </w:rPr>
              <w:t>1</w:t>
            </w:r>
            <w:r>
              <w:rPr>
                <w:sz w:val="20"/>
              </w:rPr>
              <w:t>/2</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8</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15</w:t>
            </w:r>
            <w:r>
              <w:rPr>
                <w:sz w:val="20"/>
              </w:rPr>
              <w:t xml:space="preserve">/32 </w:t>
            </w:r>
          </w:p>
        </w:tc>
        <w:tc>
          <w:tcPr>
            <w:tcW w:w="720" w:type="dxa"/>
            <w:gridSpan w:val="4"/>
          </w:tcPr>
          <w:p w:rsidR="00AF2508" w:rsidRDefault="00AF2508">
            <w:pPr>
              <w:pStyle w:val="TableText"/>
              <w:jc w:val="center"/>
              <w:rPr>
                <w:sz w:val="20"/>
              </w:rPr>
            </w:pPr>
            <w:r>
              <w:rPr>
                <w:sz w:val="20"/>
              </w:rPr>
              <w:t>0</w:t>
            </w:r>
          </w:p>
        </w:tc>
        <w:tc>
          <w:tcPr>
            <w:tcW w:w="816" w:type="dxa"/>
          </w:tcPr>
          <w:p w:rsidR="00AF2508" w:rsidRDefault="00AF2508">
            <w:pPr>
              <w:pStyle w:val="TableText"/>
              <w:jc w:val="center"/>
              <w:rPr>
                <w:sz w:val="20"/>
              </w:rPr>
            </w:pPr>
            <w:r>
              <w:rPr>
                <w:sz w:val="20"/>
              </w:rPr>
              <w:t>19</w:t>
            </w:r>
          </w:p>
        </w:tc>
        <w:tc>
          <w:tcPr>
            <w:tcW w:w="600"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17</w:t>
            </w:r>
          </w:p>
        </w:tc>
        <w:tc>
          <w:tcPr>
            <w:tcW w:w="752" w:type="dxa"/>
            <w:tcBorders>
              <w:left w:val="single" w:sz="6" w:space="0" w:color="auto"/>
            </w:tcBorders>
          </w:tcPr>
          <w:p w:rsidR="00AF2508" w:rsidRDefault="00AF2508">
            <w:pPr>
              <w:pStyle w:val="TableText"/>
              <w:jc w:val="center"/>
              <w:rPr>
                <w:sz w:val="20"/>
              </w:rPr>
            </w:pPr>
            <w:r>
              <w:rPr>
                <w:sz w:val="20"/>
              </w:rPr>
              <w:t>1</w:t>
            </w:r>
          </w:p>
        </w:tc>
        <w:tc>
          <w:tcPr>
            <w:tcW w:w="820" w:type="dxa"/>
          </w:tcPr>
          <w:p w:rsidR="00AF2508" w:rsidRDefault="00AF2508">
            <w:pPr>
              <w:pStyle w:val="TableText"/>
              <w:jc w:val="center"/>
              <w:rPr>
                <w:sz w:val="20"/>
              </w:rPr>
            </w:pPr>
            <w:r>
              <w:rPr>
                <w:sz w:val="20"/>
              </w:rPr>
              <w:t>13</w:t>
            </w:r>
          </w:p>
        </w:tc>
        <w:tc>
          <w:tcPr>
            <w:tcW w:w="780"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19</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10</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5</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720" w:type="dxa"/>
            <w:gridSpan w:val="4"/>
          </w:tcPr>
          <w:p w:rsidR="00AF2508" w:rsidRDefault="00AF2508">
            <w:pPr>
              <w:pStyle w:val="TableText"/>
              <w:jc w:val="center"/>
              <w:rPr>
                <w:sz w:val="20"/>
              </w:rPr>
            </w:pPr>
            <w:r>
              <w:rPr>
                <w:sz w:val="20"/>
              </w:rPr>
              <w:t>1</w:t>
            </w:r>
          </w:p>
        </w:tc>
        <w:tc>
          <w:tcPr>
            <w:tcW w:w="816" w:type="dxa"/>
          </w:tcPr>
          <w:p w:rsidR="00AF2508" w:rsidRDefault="00AF2508">
            <w:pPr>
              <w:pStyle w:val="TableText"/>
              <w:jc w:val="center"/>
              <w:rPr>
                <w:sz w:val="20"/>
              </w:rPr>
            </w:pPr>
            <w:r>
              <w:rPr>
                <w:sz w:val="20"/>
              </w:rPr>
              <w:t>3</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2</w:t>
            </w:r>
          </w:p>
        </w:tc>
        <w:tc>
          <w:tcPr>
            <w:tcW w:w="752" w:type="dxa"/>
            <w:tcBorders>
              <w:left w:val="single" w:sz="6" w:space="0" w:color="auto"/>
            </w:tcBorders>
          </w:tcPr>
          <w:p w:rsidR="00AF2508" w:rsidRDefault="00AF2508">
            <w:pPr>
              <w:pStyle w:val="TableText"/>
              <w:jc w:val="center"/>
              <w:rPr>
                <w:sz w:val="20"/>
              </w:rPr>
            </w:pPr>
            <w:r>
              <w:rPr>
                <w:sz w:val="20"/>
              </w:rPr>
              <w:t>2</w:t>
            </w:r>
          </w:p>
        </w:tc>
        <w:tc>
          <w:tcPr>
            <w:tcW w:w="820" w:type="dxa"/>
          </w:tcPr>
          <w:p w:rsidR="00AF2508" w:rsidRDefault="00AF2508">
            <w:pPr>
              <w:pStyle w:val="TableText"/>
              <w:jc w:val="center"/>
              <w:rPr>
                <w:sz w:val="20"/>
              </w:rPr>
            </w:pPr>
            <w:r>
              <w:rPr>
                <w:sz w:val="20"/>
              </w:rPr>
              <w:t>0</w:t>
            </w:r>
          </w:p>
        </w:tc>
        <w:tc>
          <w:tcPr>
            <w:tcW w:w="780"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13</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3</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9</w:t>
            </w:r>
            <w:r>
              <w:rPr>
                <w:sz w:val="20"/>
              </w:rPr>
              <w:t xml:space="preserve">/16 </w:t>
            </w:r>
          </w:p>
        </w:tc>
        <w:tc>
          <w:tcPr>
            <w:tcW w:w="720" w:type="dxa"/>
            <w:gridSpan w:val="4"/>
          </w:tcPr>
          <w:p w:rsidR="00AF2508" w:rsidRDefault="00AF2508">
            <w:pPr>
              <w:pStyle w:val="TableText"/>
              <w:jc w:val="center"/>
              <w:rPr>
                <w:sz w:val="20"/>
              </w:rPr>
            </w:pPr>
            <w:r>
              <w:rPr>
                <w:sz w:val="20"/>
              </w:rPr>
              <w:t>1</w:t>
            </w:r>
          </w:p>
        </w:tc>
        <w:tc>
          <w:tcPr>
            <w:tcW w:w="816" w:type="dxa"/>
          </w:tcPr>
          <w:p w:rsidR="00AF2508" w:rsidRDefault="00AF2508">
            <w:pPr>
              <w:pStyle w:val="TableText"/>
              <w:jc w:val="center"/>
              <w:rPr>
                <w:sz w:val="20"/>
              </w:rPr>
            </w:pPr>
            <w:r>
              <w:rPr>
                <w:sz w:val="20"/>
              </w:rPr>
              <w:t>6</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11</w:t>
            </w:r>
          </w:p>
        </w:tc>
        <w:tc>
          <w:tcPr>
            <w:tcW w:w="752" w:type="dxa"/>
            <w:tcBorders>
              <w:left w:val="single" w:sz="6" w:space="0" w:color="auto"/>
            </w:tcBorders>
          </w:tcPr>
          <w:p w:rsidR="00AF2508" w:rsidRDefault="00AF2508">
            <w:pPr>
              <w:pStyle w:val="TableText"/>
              <w:jc w:val="center"/>
              <w:rPr>
                <w:sz w:val="20"/>
              </w:rPr>
            </w:pPr>
            <w:r>
              <w:rPr>
                <w:sz w:val="20"/>
              </w:rPr>
              <w:t>2</w:t>
            </w:r>
          </w:p>
        </w:tc>
        <w:tc>
          <w:tcPr>
            <w:tcW w:w="820" w:type="dxa"/>
          </w:tcPr>
          <w:p w:rsidR="00AF2508" w:rsidRDefault="00AF2508">
            <w:pPr>
              <w:pStyle w:val="TableText"/>
              <w:jc w:val="center"/>
              <w:rPr>
                <w:sz w:val="20"/>
              </w:rPr>
            </w:pPr>
            <w:r>
              <w:rPr>
                <w:sz w:val="20"/>
              </w:rPr>
              <w:t>6</w:t>
            </w:r>
          </w:p>
        </w:tc>
        <w:tc>
          <w:tcPr>
            <w:tcW w:w="780" w:type="dxa"/>
            <w:gridSpan w:val="2"/>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18</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6</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13</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7</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19</w:t>
            </w:r>
            <w:r>
              <w:rPr>
                <w:sz w:val="20"/>
              </w:rPr>
              <w:t xml:space="preserve">/32 </w:t>
            </w:r>
          </w:p>
        </w:tc>
        <w:tc>
          <w:tcPr>
            <w:tcW w:w="720" w:type="dxa"/>
            <w:gridSpan w:val="4"/>
          </w:tcPr>
          <w:p w:rsidR="00AF2508" w:rsidRDefault="00AF2508">
            <w:pPr>
              <w:pStyle w:val="TableText"/>
              <w:jc w:val="center"/>
              <w:rPr>
                <w:sz w:val="20"/>
              </w:rPr>
            </w:pPr>
            <w:r>
              <w:rPr>
                <w:sz w:val="20"/>
              </w:rPr>
              <w:t>1</w:t>
            </w:r>
          </w:p>
        </w:tc>
        <w:tc>
          <w:tcPr>
            <w:tcW w:w="816" w:type="dxa"/>
          </w:tcPr>
          <w:p w:rsidR="00AF2508" w:rsidRDefault="00AF2508">
            <w:pPr>
              <w:pStyle w:val="TableText"/>
              <w:jc w:val="center"/>
              <w:rPr>
                <w:sz w:val="20"/>
              </w:rPr>
            </w:pPr>
            <w:r>
              <w:rPr>
                <w:sz w:val="20"/>
              </w:rPr>
              <w:t>10</w:t>
            </w:r>
          </w:p>
        </w:tc>
        <w:tc>
          <w:tcPr>
            <w:tcW w:w="600" w:type="dxa"/>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18</w:t>
            </w:r>
          </w:p>
        </w:tc>
        <w:tc>
          <w:tcPr>
            <w:tcW w:w="752" w:type="dxa"/>
            <w:tcBorders>
              <w:left w:val="single" w:sz="6" w:space="0" w:color="auto"/>
            </w:tcBorders>
          </w:tcPr>
          <w:p w:rsidR="00AF2508" w:rsidRDefault="00AF2508">
            <w:pPr>
              <w:pStyle w:val="TableText"/>
              <w:jc w:val="center"/>
              <w:rPr>
                <w:sz w:val="20"/>
              </w:rPr>
            </w:pPr>
            <w:r>
              <w:rPr>
                <w:sz w:val="20"/>
              </w:rPr>
              <w:t>2</w:t>
            </w:r>
          </w:p>
        </w:tc>
        <w:tc>
          <w:tcPr>
            <w:tcW w:w="820" w:type="dxa"/>
          </w:tcPr>
          <w:p w:rsidR="00AF2508" w:rsidRDefault="00AF2508">
            <w:pPr>
              <w:pStyle w:val="TableText"/>
              <w:jc w:val="center"/>
              <w:rPr>
                <w:sz w:val="20"/>
              </w:rPr>
            </w:pPr>
            <w:r>
              <w:rPr>
                <w:sz w:val="20"/>
              </w:rPr>
              <w:t>12</w:t>
            </w:r>
          </w:p>
        </w:tc>
        <w:tc>
          <w:tcPr>
            <w:tcW w:w="780" w:type="dxa"/>
            <w:gridSpan w:val="2"/>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2</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10</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15</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720" w:type="dxa"/>
            <w:gridSpan w:val="4"/>
          </w:tcPr>
          <w:p w:rsidR="00AF2508" w:rsidRDefault="00AF2508">
            <w:pPr>
              <w:pStyle w:val="TableText"/>
              <w:jc w:val="center"/>
              <w:rPr>
                <w:sz w:val="20"/>
              </w:rPr>
            </w:pPr>
            <w:r>
              <w:rPr>
                <w:sz w:val="20"/>
              </w:rPr>
              <w:t>1</w:t>
            </w:r>
          </w:p>
        </w:tc>
        <w:tc>
          <w:tcPr>
            <w:tcW w:w="816" w:type="dxa"/>
          </w:tcPr>
          <w:p w:rsidR="00AF2508" w:rsidRDefault="00AF2508">
            <w:pPr>
              <w:pStyle w:val="TableText"/>
              <w:jc w:val="center"/>
              <w:rPr>
                <w:sz w:val="20"/>
              </w:rPr>
            </w:pPr>
            <w:r>
              <w:rPr>
                <w:sz w:val="20"/>
              </w:rPr>
              <w:t>15</w:t>
            </w:r>
          </w:p>
        </w:tc>
        <w:tc>
          <w:tcPr>
            <w:tcW w:w="600" w:type="dxa"/>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9</w:t>
            </w:r>
          </w:p>
        </w:tc>
        <w:tc>
          <w:tcPr>
            <w:tcW w:w="752" w:type="dxa"/>
            <w:tcBorders>
              <w:left w:val="single" w:sz="6" w:space="0" w:color="auto"/>
            </w:tcBorders>
          </w:tcPr>
          <w:p w:rsidR="00AF2508" w:rsidRDefault="00AF2508">
            <w:pPr>
              <w:pStyle w:val="TableText"/>
              <w:jc w:val="center"/>
              <w:rPr>
                <w:sz w:val="20"/>
              </w:rPr>
            </w:pPr>
            <w:r>
              <w:rPr>
                <w:sz w:val="20"/>
              </w:rPr>
              <w:t>3</w:t>
            </w:r>
          </w:p>
        </w:tc>
        <w:tc>
          <w:tcPr>
            <w:tcW w:w="820" w:type="dxa"/>
          </w:tcPr>
          <w:p w:rsidR="00AF2508" w:rsidRDefault="00AF2508">
            <w:pPr>
              <w:pStyle w:val="TableText"/>
              <w:jc w:val="center"/>
              <w:rPr>
                <w:sz w:val="20"/>
              </w:rPr>
            </w:pPr>
            <w:r>
              <w:rPr>
                <w:sz w:val="20"/>
              </w:rPr>
              <w:t>2</w:t>
            </w:r>
          </w:p>
        </w:tc>
        <w:tc>
          <w:tcPr>
            <w:tcW w:w="780" w:type="dxa"/>
            <w:gridSpan w:val="2"/>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10</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15</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18</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/8</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11</w:t>
            </w:r>
            <w:r>
              <w:rPr>
                <w:sz w:val="20"/>
              </w:rPr>
              <w:t xml:space="preserve">/16 </w:t>
            </w:r>
          </w:p>
        </w:tc>
        <w:tc>
          <w:tcPr>
            <w:tcW w:w="720" w:type="dxa"/>
            <w:gridSpan w:val="4"/>
          </w:tcPr>
          <w:p w:rsidR="00AF2508" w:rsidRDefault="00AF2508">
            <w:pPr>
              <w:pStyle w:val="TableText"/>
              <w:jc w:val="center"/>
              <w:rPr>
                <w:sz w:val="20"/>
              </w:rPr>
            </w:pPr>
            <w:r>
              <w:rPr>
                <w:sz w:val="20"/>
              </w:rPr>
              <w:t>2</w:t>
            </w:r>
          </w:p>
        </w:tc>
        <w:tc>
          <w:tcPr>
            <w:tcW w:w="816" w:type="dxa"/>
          </w:tcPr>
          <w:p w:rsidR="00AF2508" w:rsidRDefault="00AF2508">
            <w:pPr>
              <w:pStyle w:val="TableText"/>
              <w:jc w:val="center"/>
              <w:rPr>
                <w:sz w:val="20"/>
              </w:rPr>
            </w:pPr>
            <w:r>
              <w:rPr>
                <w:sz w:val="20"/>
              </w:rPr>
              <w:t>0</w:t>
            </w:r>
          </w:p>
        </w:tc>
        <w:tc>
          <w:tcPr>
            <w:tcW w:w="600" w:type="dxa"/>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17</w:t>
            </w:r>
          </w:p>
        </w:tc>
        <w:tc>
          <w:tcPr>
            <w:tcW w:w="752" w:type="dxa"/>
            <w:tcBorders>
              <w:left w:val="single" w:sz="6" w:space="0" w:color="auto"/>
            </w:tcBorders>
          </w:tcPr>
          <w:p w:rsidR="00AF2508" w:rsidRDefault="00AF2508">
            <w:pPr>
              <w:pStyle w:val="TableText"/>
              <w:jc w:val="center"/>
              <w:rPr>
                <w:sz w:val="20"/>
              </w:rPr>
            </w:pPr>
            <w:r>
              <w:rPr>
                <w:sz w:val="20"/>
              </w:rPr>
              <w:t>3</w:t>
            </w:r>
          </w:p>
        </w:tc>
        <w:tc>
          <w:tcPr>
            <w:tcW w:w="820" w:type="dxa"/>
          </w:tcPr>
          <w:p w:rsidR="00AF2508" w:rsidRDefault="00AF2508">
            <w:pPr>
              <w:pStyle w:val="TableText"/>
              <w:jc w:val="center"/>
              <w:rPr>
                <w:sz w:val="20"/>
              </w:rPr>
            </w:pPr>
            <w:r>
              <w:rPr>
                <w:sz w:val="20"/>
              </w:rPr>
              <w:t>9</w:t>
            </w:r>
          </w:p>
        </w:tc>
        <w:tc>
          <w:tcPr>
            <w:tcW w:w="780" w:type="dxa"/>
            <w:gridSpan w:val="2"/>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0</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1</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23</w:t>
            </w:r>
            <w:r>
              <w:rPr>
                <w:sz w:val="20"/>
              </w:rPr>
              <w:t xml:space="preserve">/32 </w:t>
            </w:r>
          </w:p>
        </w:tc>
        <w:tc>
          <w:tcPr>
            <w:tcW w:w="720" w:type="dxa"/>
            <w:gridSpan w:val="4"/>
          </w:tcPr>
          <w:p w:rsidR="00AF2508" w:rsidRDefault="00AF2508">
            <w:pPr>
              <w:pStyle w:val="TableText"/>
              <w:jc w:val="center"/>
              <w:rPr>
                <w:sz w:val="20"/>
              </w:rPr>
            </w:pPr>
            <w:r>
              <w:rPr>
                <w:sz w:val="20"/>
              </w:rPr>
              <w:t>2</w:t>
            </w:r>
          </w:p>
        </w:tc>
        <w:tc>
          <w:tcPr>
            <w:tcW w:w="816" w:type="dxa"/>
          </w:tcPr>
          <w:p w:rsidR="00AF2508" w:rsidRDefault="00AF2508">
            <w:pPr>
              <w:pStyle w:val="TableText"/>
              <w:jc w:val="center"/>
              <w:rPr>
                <w:sz w:val="20"/>
              </w:rPr>
            </w:pPr>
            <w:r>
              <w:rPr>
                <w:sz w:val="20"/>
              </w:rPr>
              <w:t>6</w:t>
            </w:r>
          </w:p>
        </w:tc>
        <w:tc>
          <w:tcPr>
            <w:tcW w:w="600" w:type="dxa"/>
            <w:tcBorders>
              <w:left w:val="single" w:sz="6" w:space="0" w:color="auto"/>
            </w:tcBorders>
          </w:tcPr>
          <w:p w:rsidR="00AF2508" w:rsidRDefault="00AF2508">
            <w:pPr>
              <w:pStyle w:val="TableText"/>
              <w:jc w:val="center"/>
              <w:rPr>
                <w:sz w:val="20"/>
              </w:rPr>
            </w:pPr>
            <w:r>
              <w:rPr>
                <w:sz w:val="20"/>
              </w:rPr>
              <w:t>4</w:t>
            </w:r>
          </w:p>
        </w:tc>
        <w:tc>
          <w:tcPr>
            <w:tcW w:w="720" w:type="dxa"/>
            <w:gridSpan w:val="2"/>
          </w:tcPr>
          <w:p w:rsidR="00AF2508" w:rsidRDefault="00AF2508">
            <w:pPr>
              <w:pStyle w:val="TableText"/>
              <w:jc w:val="center"/>
              <w:rPr>
                <w:sz w:val="20"/>
              </w:rPr>
            </w:pPr>
            <w:r>
              <w:rPr>
                <w:sz w:val="20"/>
              </w:rPr>
              <w:t>9</w:t>
            </w:r>
          </w:p>
        </w:tc>
        <w:tc>
          <w:tcPr>
            <w:tcW w:w="752" w:type="dxa"/>
            <w:tcBorders>
              <w:left w:val="single" w:sz="6" w:space="0" w:color="auto"/>
            </w:tcBorders>
          </w:tcPr>
          <w:p w:rsidR="00AF2508" w:rsidRDefault="00AF2508">
            <w:pPr>
              <w:pStyle w:val="TableText"/>
              <w:jc w:val="center"/>
              <w:rPr>
                <w:sz w:val="20"/>
              </w:rPr>
            </w:pPr>
            <w:r>
              <w:rPr>
                <w:sz w:val="20"/>
              </w:rPr>
              <w:t>4</w:t>
            </w:r>
          </w:p>
        </w:tc>
        <w:tc>
          <w:tcPr>
            <w:tcW w:w="820" w:type="dxa"/>
          </w:tcPr>
          <w:p w:rsidR="00AF2508" w:rsidRDefault="00AF2508">
            <w:pPr>
              <w:pStyle w:val="TableText"/>
              <w:jc w:val="center"/>
              <w:rPr>
                <w:sz w:val="20"/>
              </w:rPr>
            </w:pPr>
            <w:r>
              <w:rPr>
                <w:sz w:val="20"/>
              </w:rPr>
              <w:t>0</w:t>
            </w:r>
          </w:p>
        </w:tc>
        <w:tc>
          <w:tcPr>
            <w:tcW w:w="780" w:type="dxa"/>
            <w:gridSpan w:val="2"/>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5</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6</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4</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/8</w:t>
            </w:r>
          </w:p>
        </w:tc>
        <w:tc>
          <w:tcPr>
            <w:tcW w:w="924" w:type="dxa"/>
            <w:gridSpan w:val="2"/>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720" w:type="dxa"/>
            <w:gridSpan w:val="4"/>
          </w:tcPr>
          <w:p w:rsidR="00AF2508" w:rsidRDefault="00AF2508">
            <w:pPr>
              <w:pStyle w:val="TableText"/>
              <w:jc w:val="center"/>
              <w:rPr>
                <w:sz w:val="20"/>
              </w:rPr>
            </w:pPr>
            <w:r>
              <w:rPr>
                <w:sz w:val="20"/>
              </w:rPr>
              <w:t>2</w:t>
            </w:r>
          </w:p>
        </w:tc>
        <w:tc>
          <w:tcPr>
            <w:tcW w:w="816" w:type="dxa"/>
          </w:tcPr>
          <w:p w:rsidR="00AF2508" w:rsidRDefault="00AF2508">
            <w:pPr>
              <w:pStyle w:val="TableText"/>
              <w:jc w:val="center"/>
              <w:rPr>
                <w:sz w:val="20"/>
              </w:rPr>
            </w:pPr>
            <w:r>
              <w:rPr>
                <w:sz w:val="20"/>
              </w:rPr>
              <w:t>9</w:t>
            </w:r>
          </w:p>
        </w:tc>
        <w:tc>
          <w:tcPr>
            <w:tcW w:w="600" w:type="dxa"/>
            <w:tcBorders>
              <w:left w:val="single" w:sz="6" w:space="0" w:color="auto"/>
            </w:tcBorders>
          </w:tcPr>
          <w:p w:rsidR="00AF2508" w:rsidRDefault="00AF2508">
            <w:pPr>
              <w:pStyle w:val="TableText"/>
              <w:jc w:val="center"/>
              <w:rPr>
                <w:sz w:val="20"/>
              </w:rPr>
            </w:pPr>
            <w:r>
              <w:rPr>
                <w:sz w:val="20"/>
              </w:rPr>
              <w:t>4</w:t>
            </w:r>
          </w:p>
        </w:tc>
        <w:tc>
          <w:tcPr>
            <w:tcW w:w="720" w:type="dxa"/>
            <w:gridSpan w:val="2"/>
          </w:tcPr>
          <w:p w:rsidR="00AF2508" w:rsidRDefault="00AF2508">
            <w:pPr>
              <w:pStyle w:val="TableText"/>
              <w:jc w:val="center"/>
              <w:rPr>
                <w:sz w:val="20"/>
              </w:rPr>
            </w:pPr>
            <w:r>
              <w:rPr>
                <w:sz w:val="20"/>
              </w:rPr>
              <w:t>15</w:t>
            </w:r>
          </w:p>
        </w:tc>
        <w:tc>
          <w:tcPr>
            <w:tcW w:w="752" w:type="dxa"/>
            <w:tcBorders>
              <w:left w:val="single" w:sz="6" w:space="0" w:color="auto"/>
            </w:tcBorders>
          </w:tcPr>
          <w:p w:rsidR="00AF2508" w:rsidRDefault="00AF2508">
            <w:pPr>
              <w:pStyle w:val="TableText"/>
              <w:jc w:val="center"/>
              <w:rPr>
                <w:sz w:val="20"/>
              </w:rPr>
            </w:pPr>
            <w:r>
              <w:rPr>
                <w:sz w:val="20"/>
              </w:rPr>
              <w:t>4</w:t>
            </w:r>
          </w:p>
        </w:tc>
        <w:tc>
          <w:tcPr>
            <w:tcW w:w="820" w:type="dxa"/>
          </w:tcPr>
          <w:p w:rsidR="00AF2508" w:rsidRDefault="00AF2508">
            <w:pPr>
              <w:pStyle w:val="TableText"/>
              <w:jc w:val="center"/>
              <w:rPr>
                <w:sz w:val="20"/>
              </w:rPr>
            </w:pPr>
            <w:r>
              <w:rPr>
                <w:sz w:val="20"/>
              </w:rPr>
              <w:t>5</w:t>
            </w:r>
          </w:p>
        </w:tc>
        <w:tc>
          <w:tcPr>
            <w:tcW w:w="780" w:type="dxa"/>
            <w:gridSpan w:val="2"/>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9</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6</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13</w:t>
            </w:r>
            <w:r>
              <w:rPr>
                <w:sz w:val="20"/>
              </w:rPr>
              <w:t xml:space="preserve">/16 </w:t>
            </w:r>
          </w:p>
        </w:tc>
        <w:tc>
          <w:tcPr>
            <w:tcW w:w="720" w:type="dxa"/>
            <w:gridSpan w:val="4"/>
          </w:tcPr>
          <w:p w:rsidR="00AF2508" w:rsidRDefault="00AF2508">
            <w:pPr>
              <w:pStyle w:val="TableText"/>
              <w:jc w:val="center"/>
              <w:rPr>
                <w:sz w:val="20"/>
              </w:rPr>
            </w:pPr>
            <w:r>
              <w:rPr>
                <w:sz w:val="20"/>
              </w:rPr>
              <w:t>2</w:t>
            </w:r>
          </w:p>
        </w:tc>
        <w:tc>
          <w:tcPr>
            <w:tcW w:w="816" w:type="dxa"/>
          </w:tcPr>
          <w:p w:rsidR="00AF2508" w:rsidRDefault="00AF2508">
            <w:pPr>
              <w:pStyle w:val="TableText"/>
              <w:jc w:val="center"/>
              <w:rPr>
                <w:sz w:val="20"/>
              </w:rPr>
            </w:pPr>
            <w:r>
              <w:rPr>
                <w:sz w:val="20"/>
              </w:rPr>
              <w:t>14</w:t>
            </w:r>
          </w:p>
        </w:tc>
        <w:tc>
          <w:tcPr>
            <w:tcW w:w="600" w:type="dxa"/>
            <w:tcBorders>
              <w:left w:val="single" w:sz="6" w:space="0" w:color="auto"/>
            </w:tcBorders>
          </w:tcPr>
          <w:p w:rsidR="00AF2508" w:rsidRDefault="00AF2508">
            <w:pPr>
              <w:pStyle w:val="TableText"/>
              <w:jc w:val="center"/>
              <w:rPr>
                <w:sz w:val="20"/>
              </w:rPr>
            </w:pPr>
            <w:r>
              <w:rPr>
                <w:sz w:val="20"/>
              </w:rPr>
              <w:t>5</w:t>
            </w:r>
          </w:p>
        </w:tc>
        <w:tc>
          <w:tcPr>
            <w:tcW w:w="720" w:type="dxa"/>
            <w:gridSpan w:val="2"/>
          </w:tcPr>
          <w:p w:rsidR="00AF2508" w:rsidRDefault="00AF2508">
            <w:pPr>
              <w:pStyle w:val="TableText"/>
              <w:jc w:val="center"/>
              <w:rPr>
                <w:sz w:val="20"/>
              </w:rPr>
            </w:pPr>
            <w:r>
              <w:rPr>
                <w:sz w:val="20"/>
              </w:rPr>
              <w:t>4</w:t>
            </w:r>
          </w:p>
        </w:tc>
        <w:tc>
          <w:tcPr>
            <w:tcW w:w="752" w:type="dxa"/>
            <w:tcBorders>
              <w:left w:val="single" w:sz="6" w:space="0" w:color="auto"/>
            </w:tcBorders>
          </w:tcPr>
          <w:p w:rsidR="00AF2508" w:rsidRDefault="00AF2508">
            <w:pPr>
              <w:pStyle w:val="TableText"/>
              <w:jc w:val="center"/>
              <w:rPr>
                <w:sz w:val="20"/>
              </w:rPr>
            </w:pPr>
            <w:r>
              <w:rPr>
                <w:sz w:val="20"/>
              </w:rPr>
              <w:t>4</w:t>
            </w:r>
          </w:p>
        </w:tc>
        <w:tc>
          <w:tcPr>
            <w:tcW w:w="820" w:type="dxa"/>
          </w:tcPr>
          <w:p w:rsidR="00AF2508" w:rsidRDefault="00AF2508">
            <w:pPr>
              <w:pStyle w:val="TableText"/>
              <w:jc w:val="center"/>
              <w:rPr>
                <w:sz w:val="20"/>
              </w:rPr>
            </w:pPr>
            <w:r>
              <w:rPr>
                <w:sz w:val="20"/>
              </w:rPr>
              <w:t>13</w:t>
            </w:r>
          </w:p>
        </w:tc>
        <w:tc>
          <w:tcPr>
            <w:tcW w:w="780" w:type="dxa"/>
            <w:gridSpan w:val="2"/>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16</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14</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8</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720" w:type="dxa"/>
            <w:gridSpan w:val="4"/>
          </w:tcPr>
          <w:p w:rsidR="00AF2508" w:rsidRDefault="00AF2508">
            <w:pPr>
              <w:pStyle w:val="TableText"/>
              <w:jc w:val="center"/>
              <w:rPr>
                <w:sz w:val="20"/>
              </w:rPr>
            </w:pPr>
            <w:r>
              <w:rPr>
                <w:sz w:val="20"/>
              </w:rPr>
              <w:t>3</w:t>
            </w:r>
          </w:p>
        </w:tc>
        <w:tc>
          <w:tcPr>
            <w:tcW w:w="816" w:type="dxa"/>
          </w:tcPr>
          <w:p w:rsidR="00AF2508" w:rsidRDefault="00AF2508">
            <w:pPr>
              <w:pStyle w:val="TableText"/>
              <w:jc w:val="center"/>
              <w:rPr>
                <w:sz w:val="20"/>
              </w:rPr>
            </w:pPr>
            <w:r>
              <w:rPr>
                <w:sz w:val="20"/>
              </w:rPr>
              <w:t>6</w:t>
            </w:r>
          </w:p>
        </w:tc>
        <w:tc>
          <w:tcPr>
            <w:tcW w:w="600" w:type="dxa"/>
            <w:tcBorders>
              <w:left w:val="single" w:sz="6" w:space="0" w:color="auto"/>
            </w:tcBorders>
          </w:tcPr>
          <w:p w:rsidR="00AF2508" w:rsidRDefault="00AF2508">
            <w:pPr>
              <w:pStyle w:val="TableText"/>
              <w:jc w:val="center"/>
              <w:rPr>
                <w:sz w:val="20"/>
              </w:rPr>
            </w:pPr>
            <w:r>
              <w:rPr>
                <w:sz w:val="20"/>
              </w:rPr>
              <w:t>6</w:t>
            </w:r>
          </w:p>
        </w:tc>
        <w:tc>
          <w:tcPr>
            <w:tcW w:w="720" w:type="dxa"/>
            <w:gridSpan w:val="2"/>
          </w:tcPr>
          <w:p w:rsidR="00AF2508" w:rsidRDefault="00AF2508">
            <w:pPr>
              <w:pStyle w:val="TableText"/>
              <w:jc w:val="center"/>
              <w:rPr>
                <w:sz w:val="20"/>
              </w:rPr>
            </w:pPr>
            <w:r>
              <w:rPr>
                <w:sz w:val="20"/>
              </w:rPr>
              <w:t>8</w:t>
            </w:r>
          </w:p>
        </w:tc>
        <w:tc>
          <w:tcPr>
            <w:tcW w:w="752" w:type="dxa"/>
            <w:tcBorders>
              <w:left w:val="single" w:sz="6" w:space="0" w:color="auto"/>
            </w:tcBorders>
          </w:tcPr>
          <w:p w:rsidR="00AF2508" w:rsidRDefault="00AF2508">
            <w:pPr>
              <w:pStyle w:val="TableText"/>
              <w:jc w:val="center"/>
              <w:rPr>
                <w:sz w:val="20"/>
              </w:rPr>
            </w:pPr>
            <w:r>
              <w:rPr>
                <w:sz w:val="20"/>
              </w:rPr>
              <w:t>5</w:t>
            </w:r>
          </w:p>
        </w:tc>
        <w:tc>
          <w:tcPr>
            <w:tcW w:w="820" w:type="dxa"/>
          </w:tcPr>
          <w:p w:rsidR="00AF2508" w:rsidRDefault="00AF2508">
            <w:pPr>
              <w:pStyle w:val="TableText"/>
              <w:jc w:val="center"/>
              <w:rPr>
                <w:sz w:val="20"/>
              </w:rPr>
            </w:pPr>
            <w:r>
              <w:rPr>
                <w:sz w:val="20"/>
              </w:rPr>
              <w:t>15</w:t>
            </w:r>
          </w:p>
        </w:tc>
        <w:tc>
          <w:tcPr>
            <w:tcW w:w="780" w:type="dxa"/>
            <w:gridSpan w:val="2"/>
            <w:tcBorders>
              <w:left w:val="single" w:sz="6" w:space="0" w:color="auto"/>
            </w:tcBorders>
          </w:tcPr>
          <w:p w:rsidR="00AF2508" w:rsidRDefault="00AF2508">
            <w:pPr>
              <w:pStyle w:val="TableText"/>
              <w:jc w:val="center"/>
              <w:rPr>
                <w:sz w:val="20"/>
              </w:rPr>
            </w:pPr>
            <w:r>
              <w:rPr>
                <w:sz w:val="20"/>
              </w:rPr>
              <w:t>4</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3</w:t>
            </w:r>
          </w:p>
        </w:tc>
        <w:tc>
          <w:tcPr>
            <w:tcW w:w="722" w:type="dxa"/>
            <w:tcBorders>
              <w:right w:val="single" w:sz="6" w:space="0" w:color="auto"/>
            </w:tcBorders>
          </w:tcPr>
          <w:p w:rsidR="00AF2508" w:rsidRDefault="00AF2508">
            <w:pPr>
              <w:pStyle w:val="TableText"/>
              <w:jc w:val="center"/>
              <w:rPr>
                <w:sz w:val="20"/>
              </w:rPr>
            </w:pPr>
            <w:r>
              <w:rPr>
                <w:sz w:val="20"/>
              </w:rPr>
              <w:t>6</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14</w:t>
            </w:r>
          </w:p>
        </w:tc>
      </w:tr>
      <w:tr w:rsidR="00AF2508">
        <w:trPr>
          <w:cantSplit/>
          <w:trHeight w:val="200"/>
        </w:trPr>
        <w:tc>
          <w:tcPr>
            <w:tcW w:w="968" w:type="dxa"/>
          </w:tcPr>
          <w:p w:rsidR="00AF2508" w:rsidRDefault="00AF2508">
            <w:pPr>
              <w:pStyle w:val="TableText"/>
              <w:jc w:val="center"/>
              <w:rPr>
                <w:sz w:val="20"/>
              </w:rPr>
            </w:pPr>
            <w:r>
              <w:rPr>
                <w:sz w:val="20"/>
              </w:rPr>
              <w:t>3</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position w:val="4"/>
                <w:sz w:val="16"/>
              </w:rPr>
              <w:t>15</w:t>
            </w:r>
            <w:r>
              <w:rPr>
                <w:sz w:val="20"/>
              </w:rPr>
              <w:t>/</w:t>
            </w:r>
            <w:r>
              <w:rPr>
                <w:sz w:val="16"/>
              </w:rPr>
              <w:t>16</w:t>
            </w:r>
            <w:r>
              <w:rPr>
                <w:sz w:val="20"/>
              </w:rPr>
              <w:t xml:space="preserve"> </w:t>
            </w:r>
          </w:p>
        </w:tc>
        <w:tc>
          <w:tcPr>
            <w:tcW w:w="720" w:type="dxa"/>
            <w:gridSpan w:val="4"/>
          </w:tcPr>
          <w:p w:rsidR="00AF2508" w:rsidRDefault="00AF2508">
            <w:pPr>
              <w:pStyle w:val="TableText"/>
              <w:jc w:val="center"/>
              <w:rPr>
                <w:sz w:val="20"/>
              </w:rPr>
            </w:pPr>
            <w:r>
              <w:rPr>
                <w:sz w:val="20"/>
              </w:rPr>
              <w:t>4</w:t>
            </w:r>
          </w:p>
        </w:tc>
        <w:tc>
          <w:tcPr>
            <w:tcW w:w="816" w:type="dxa"/>
          </w:tcPr>
          <w:p w:rsidR="00AF2508" w:rsidRDefault="00AF2508">
            <w:pPr>
              <w:pStyle w:val="TableText"/>
              <w:jc w:val="center"/>
              <w:rPr>
                <w:sz w:val="20"/>
              </w:rPr>
            </w:pPr>
            <w:r>
              <w:rPr>
                <w:sz w:val="20"/>
              </w:rPr>
              <w:t>0</w:t>
            </w:r>
          </w:p>
        </w:tc>
        <w:tc>
          <w:tcPr>
            <w:tcW w:w="600" w:type="dxa"/>
            <w:tcBorders>
              <w:left w:val="single" w:sz="6" w:space="0" w:color="auto"/>
            </w:tcBorders>
          </w:tcPr>
          <w:p w:rsidR="00AF2508" w:rsidRDefault="00AF2508">
            <w:pPr>
              <w:pStyle w:val="TableText"/>
              <w:jc w:val="center"/>
              <w:rPr>
                <w:sz w:val="20"/>
              </w:rPr>
            </w:pPr>
            <w:r>
              <w:rPr>
                <w:sz w:val="20"/>
              </w:rPr>
              <w:t>7</w:t>
            </w:r>
          </w:p>
        </w:tc>
        <w:tc>
          <w:tcPr>
            <w:tcW w:w="720" w:type="dxa"/>
            <w:gridSpan w:val="2"/>
          </w:tcPr>
          <w:p w:rsidR="00AF2508" w:rsidRDefault="00AF2508">
            <w:pPr>
              <w:pStyle w:val="TableText"/>
              <w:jc w:val="center"/>
              <w:rPr>
                <w:sz w:val="20"/>
              </w:rPr>
            </w:pPr>
            <w:r>
              <w:rPr>
                <w:sz w:val="20"/>
              </w:rPr>
              <w:t>15</w:t>
            </w:r>
          </w:p>
        </w:tc>
        <w:tc>
          <w:tcPr>
            <w:tcW w:w="752" w:type="dxa"/>
            <w:tcBorders>
              <w:left w:val="single" w:sz="6" w:space="0" w:color="auto"/>
            </w:tcBorders>
          </w:tcPr>
          <w:p w:rsidR="00AF2508" w:rsidRDefault="00AF2508">
            <w:pPr>
              <w:pStyle w:val="TableText"/>
              <w:jc w:val="center"/>
              <w:rPr>
                <w:sz w:val="20"/>
              </w:rPr>
            </w:pPr>
            <w:r>
              <w:rPr>
                <w:sz w:val="20"/>
              </w:rPr>
              <w:t>6</w:t>
            </w:r>
          </w:p>
        </w:tc>
        <w:tc>
          <w:tcPr>
            <w:tcW w:w="820" w:type="dxa"/>
          </w:tcPr>
          <w:p w:rsidR="00AF2508" w:rsidRDefault="00AF2508">
            <w:pPr>
              <w:pStyle w:val="TableText"/>
              <w:jc w:val="center"/>
              <w:rPr>
                <w:sz w:val="20"/>
              </w:rPr>
            </w:pPr>
            <w:r>
              <w:rPr>
                <w:sz w:val="20"/>
              </w:rPr>
              <w:t>19</w:t>
            </w:r>
          </w:p>
        </w:tc>
        <w:tc>
          <w:tcPr>
            <w:tcW w:w="780" w:type="dxa"/>
            <w:gridSpan w:val="2"/>
            <w:tcBorders>
              <w:left w:val="single" w:sz="6" w:space="0" w:color="auto"/>
            </w:tcBorders>
          </w:tcPr>
          <w:p w:rsidR="00AF2508" w:rsidRDefault="00AF2508">
            <w:pPr>
              <w:pStyle w:val="TableText"/>
              <w:jc w:val="center"/>
              <w:rPr>
                <w:sz w:val="20"/>
              </w:rPr>
            </w:pPr>
            <w:r>
              <w:rPr>
                <w:sz w:val="20"/>
              </w:rPr>
              <w:t>5</w:t>
            </w:r>
          </w:p>
        </w:tc>
        <w:tc>
          <w:tcPr>
            <w:tcW w:w="786" w:type="dxa"/>
            <w:gridSpan w:val="2"/>
          </w:tcPr>
          <w:p w:rsidR="00AF2508" w:rsidRDefault="00AF2508">
            <w:pPr>
              <w:pStyle w:val="TableText"/>
              <w:jc w:val="center"/>
              <w:rPr>
                <w:sz w:val="20"/>
              </w:rPr>
            </w:pPr>
            <w:r>
              <w:rPr>
                <w:sz w:val="20"/>
              </w:rPr>
              <w:t>13</w:t>
            </w:r>
          </w:p>
        </w:tc>
        <w:tc>
          <w:tcPr>
            <w:tcW w:w="760" w:type="dxa"/>
            <w:tcBorders>
              <w:left w:val="single" w:sz="6" w:space="0" w:color="auto"/>
            </w:tcBorders>
          </w:tcPr>
          <w:p w:rsidR="00AF2508" w:rsidRDefault="00AF2508">
            <w:pPr>
              <w:pStyle w:val="TableText"/>
              <w:jc w:val="center"/>
              <w:rPr>
                <w:sz w:val="20"/>
              </w:rPr>
            </w:pPr>
            <w:r>
              <w:rPr>
                <w:sz w:val="20"/>
              </w:rPr>
              <w:t>4</w:t>
            </w:r>
          </w:p>
        </w:tc>
        <w:tc>
          <w:tcPr>
            <w:tcW w:w="722" w:type="dxa"/>
          </w:tcPr>
          <w:p w:rsidR="00AF2508" w:rsidRDefault="00AF2508">
            <w:pPr>
              <w:pStyle w:val="TableText"/>
              <w:jc w:val="center"/>
              <w:rPr>
                <w:sz w:val="20"/>
              </w:rPr>
            </w:pPr>
            <w:r>
              <w:rPr>
                <w:sz w:val="20"/>
              </w:rPr>
              <w:t>0</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62" w:type="dxa"/>
            <w:gridSpan w:val="2"/>
          </w:tcPr>
          <w:p w:rsidR="00AF2508" w:rsidRDefault="00AF2508">
            <w:pPr>
              <w:pStyle w:val="TableText"/>
              <w:jc w:val="center"/>
              <w:rPr>
                <w:sz w:val="20"/>
              </w:rPr>
            </w:pPr>
            <w:r>
              <w:rPr>
                <w:sz w:val="20"/>
              </w:rPr>
              <w:t>1</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16</w:t>
            </w:r>
          </w:p>
        </w:tc>
        <w:tc>
          <w:tcPr>
            <w:tcW w:w="720" w:type="dxa"/>
            <w:gridSpan w:val="4"/>
          </w:tcPr>
          <w:p w:rsidR="00AF2508" w:rsidRDefault="00AF2508">
            <w:pPr>
              <w:pStyle w:val="TableText"/>
              <w:jc w:val="center"/>
              <w:rPr>
                <w:sz w:val="20"/>
              </w:rPr>
            </w:pPr>
            <w:r>
              <w:rPr>
                <w:sz w:val="20"/>
              </w:rPr>
              <w:t>4</w:t>
            </w:r>
          </w:p>
        </w:tc>
        <w:tc>
          <w:tcPr>
            <w:tcW w:w="816" w:type="dxa"/>
          </w:tcPr>
          <w:p w:rsidR="00AF2508" w:rsidRDefault="00AF2508">
            <w:pPr>
              <w:pStyle w:val="TableText"/>
              <w:jc w:val="center"/>
              <w:rPr>
                <w:sz w:val="20"/>
              </w:rPr>
            </w:pPr>
            <w:r>
              <w:rPr>
                <w:sz w:val="20"/>
              </w:rPr>
              <w:t>11</w:t>
            </w:r>
          </w:p>
        </w:tc>
        <w:tc>
          <w:tcPr>
            <w:tcW w:w="600" w:type="dxa"/>
            <w:tcBorders>
              <w:left w:val="single" w:sz="6" w:space="0" w:color="auto"/>
            </w:tcBorders>
          </w:tcPr>
          <w:p w:rsidR="00AF2508" w:rsidRDefault="00AF2508">
            <w:pPr>
              <w:pStyle w:val="TableText"/>
              <w:jc w:val="center"/>
              <w:rPr>
                <w:sz w:val="20"/>
              </w:rPr>
            </w:pPr>
            <w:r>
              <w:rPr>
                <w:sz w:val="20"/>
              </w:rPr>
              <w:t>8</w:t>
            </w:r>
          </w:p>
        </w:tc>
        <w:tc>
          <w:tcPr>
            <w:tcW w:w="720" w:type="dxa"/>
            <w:gridSpan w:val="2"/>
          </w:tcPr>
          <w:p w:rsidR="00AF2508" w:rsidRDefault="00AF2508">
            <w:pPr>
              <w:pStyle w:val="TableText"/>
              <w:jc w:val="center"/>
              <w:rPr>
                <w:sz w:val="20"/>
              </w:rPr>
            </w:pPr>
            <w:r>
              <w:rPr>
                <w:sz w:val="20"/>
              </w:rPr>
              <w:t>16</w:t>
            </w:r>
          </w:p>
        </w:tc>
        <w:tc>
          <w:tcPr>
            <w:tcW w:w="752" w:type="dxa"/>
            <w:tcBorders>
              <w:left w:val="single" w:sz="6" w:space="0" w:color="auto"/>
            </w:tcBorders>
          </w:tcPr>
          <w:p w:rsidR="00AF2508" w:rsidRDefault="00AF2508">
            <w:pPr>
              <w:pStyle w:val="TableText"/>
              <w:jc w:val="center"/>
              <w:rPr>
                <w:sz w:val="20"/>
              </w:rPr>
            </w:pPr>
            <w:r>
              <w:rPr>
                <w:sz w:val="20"/>
              </w:rPr>
              <w:t>7</w:t>
            </w:r>
          </w:p>
        </w:tc>
        <w:tc>
          <w:tcPr>
            <w:tcW w:w="820" w:type="dxa"/>
          </w:tcPr>
          <w:p w:rsidR="00AF2508" w:rsidRDefault="00AF2508">
            <w:pPr>
              <w:pStyle w:val="TableText"/>
              <w:jc w:val="center"/>
              <w:rPr>
                <w:sz w:val="20"/>
              </w:rPr>
            </w:pPr>
            <w:r>
              <w:rPr>
                <w:sz w:val="20"/>
              </w:rPr>
              <w:t>18</w:t>
            </w:r>
          </w:p>
        </w:tc>
        <w:tc>
          <w:tcPr>
            <w:tcW w:w="780" w:type="dxa"/>
            <w:gridSpan w:val="2"/>
            <w:tcBorders>
              <w:left w:val="single" w:sz="6" w:space="0" w:color="auto"/>
            </w:tcBorders>
          </w:tcPr>
          <w:p w:rsidR="00AF2508" w:rsidRDefault="00AF2508">
            <w:pPr>
              <w:pStyle w:val="TableText"/>
              <w:jc w:val="center"/>
              <w:rPr>
                <w:sz w:val="20"/>
              </w:rPr>
            </w:pPr>
            <w:r>
              <w:rPr>
                <w:sz w:val="20"/>
              </w:rPr>
              <w:t>6</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4</w:t>
            </w:r>
          </w:p>
        </w:tc>
        <w:tc>
          <w:tcPr>
            <w:tcW w:w="722" w:type="dxa"/>
          </w:tcPr>
          <w:p w:rsidR="00AF2508" w:rsidRDefault="00AF2508">
            <w:pPr>
              <w:pStyle w:val="TableText"/>
              <w:jc w:val="center"/>
              <w:rPr>
                <w:sz w:val="20"/>
              </w:rPr>
            </w:pPr>
            <w:r>
              <w:rPr>
                <w:sz w:val="20"/>
              </w:rPr>
              <w:t>11</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62" w:type="dxa"/>
            <w:gridSpan w:val="2"/>
          </w:tcPr>
          <w:p w:rsidR="00AF2508" w:rsidRDefault="00AF2508">
            <w:pPr>
              <w:pStyle w:val="TableText"/>
              <w:jc w:val="center"/>
              <w:rPr>
                <w:sz w:val="20"/>
              </w:rPr>
            </w:pPr>
            <w:r>
              <w:rPr>
                <w:sz w:val="20"/>
              </w:rPr>
              <w:t>7</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720" w:type="dxa"/>
            <w:gridSpan w:val="4"/>
          </w:tcPr>
          <w:p w:rsidR="00AF2508" w:rsidRDefault="00AF2508">
            <w:pPr>
              <w:pStyle w:val="TableText"/>
              <w:jc w:val="center"/>
              <w:rPr>
                <w:sz w:val="20"/>
              </w:rPr>
            </w:pPr>
            <w:r>
              <w:rPr>
                <w:sz w:val="20"/>
              </w:rPr>
              <w:t>5</w:t>
            </w:r>
          </w:p>
        </w:tc>
        <w:tc>
          <w:tcPr>
            <w:tcW w:w="816" w:type="dxa"/>
          </w:tcPr>
          <w:p w:rsidR="00AF2508" w:rsidRDefault="00AF2508">
            <w:pPr>
              <w:pStyle w:val="TableText"/>
              <w:jc w:val="center"/>
              <w:rPr>
                <w:sz w:val="20"/>
              </w:rPr>
            </w:pPr>
            <w:r>
              <w:rPr>
                <w:sz w:val="20"/>
              </w:rPr>
              <w:t>7</w:t>
            </w:r>
          </w:p>
        </w:tc>
        <w:tc>
          <w:tcPr>
            <w:tcW w:w="600" w:type="dxa"/>
            <w:tcBorders>
              <w:left w:val="single" w:sz="6" w:space="0" w:color="auto"/>
            </w:tcBorders>
          </w:tcPr>
          <w:p w:rsidR="00AF2508" w:rsidRDefault="00AF2508">
            <w:pPr>
              <w:pStyle w:val="TableText"/>
              <w:jc w:val="center"/>
              <w:rPr>
                <w:sz w:val="20"/>
              </w:rPr>
            </w:pPr>
            <w:r>
              <w:rPr>
                <w:sz w:val="20"/>
              </w:rPr>
              <w:t>10</w:t>
            </w:r>
          </w:p>
        </w:tc>
        <w:tc>
          <w:tcPr>
            <w:tcW w:w="720" w:type="dxa"/>
            <w:gridSpan w:val="2"/>
          </w:tcPr>
          <w:p w:rsidR="00AF2508" w:rsidRDefault="00AF2508">
            <w:pPr>
              <w:pStyle w:val="TableText"/>
              <w:jc w:val="center"/>
              <w:rPr>
                <w:sz w:val="20"/>
              </w:rPr>
            </w:pPr>
            <w:r>
              <w:rPr>
                <w:sz w:val="20"/>
              </w:rPr>
              <w:t>7</w:t>
            </w:r>
          </w:p>
        </w:tc>
        <w:tc>
          <w:tcPr>
            <w:tcW w:w="752" w:type="dxa"/>
            <w:tcBorders>
              <w:left w:val="single" w:sz="6" w:space="0" w:color="auto"/>
            </w:tcBorders>
          </w:tcPr>
          <w:p w:rsidR="00AF2508" w:rsidRDefault="00AF2508">
            <w:pPr>
              <w:pStyle w:val="TableText"/>
              <w:jc w:val="center"/>
              <w:rPr>
                <w:sz w:val="20"/>
              </w:rPr>
            </w:pPr>
            <w:r>
              <w:rPr>
                <w:sz w:val="20"/>
              </w:rPr>
              <w:t>9</w:t>
            </w:r>
          </w:p>
        </w:tc>
        <w:tc>
          <w:tcPr>
            <w:tcW w:w="820" w:type="dxa"/>
          </w:tcPr>
          <w:p w:rsidR="00AF2508" w:rsidRDefault="00AF2508">
            <w:pPr>
              <w:pStyle w:val="TableText"/>
              <w:jc w:val="center"/>
              <w:rPr>
                <w:sz w:val="20"/>
              </w:rPr>
            </w:pPr>
            <w:r>
              <w:rPr>
                <w:sz w:val="20"/>
              </w:rPr>
              <w:t>6</w:t>
            </w:r>
          </w:p>
        </w:tc>
        <w:tc>
          <w:tcPr>
            <w:tcW w:w="780" w:type="dxa"/>
            <w:gridSpan w:val="2"/>
            <w:tcBorders>
              <w:left w:val="single" w:sz="6" w:space="0" w:color="auto"/>
            </w:tcBorders>
          </w:tcPr>
          <w:p w:rsidR="00AF2508" w:rsidRDefault="00AF2508">
            <w:pPr>
              <w:pStyle w:val="TableText"/>
              <w:jc w:val="center"/>
              <w:rPr>
                <w:sz w:val="20"/>
              </w:rPr>
            </w:pPr>
            <w:r>
              <w:rPr>
                <w:sz w:val="20"/>
              </w:rPr>
              <w:t>7</w:t>
            </w:r>
          </w:p>
        </w:tc>
        <w:tc>
          <w:tcPr>
            <w:tcW w:w="786" w:type="dxa"/>
            <w:gridSpan w:val="2"/>
          </w:tcPr>
          <w:p w:rsidR="00AF2508" w:rsidRDefault="00AF2508">
            <w:pPr>
              <w:pStyle w:val="TableText"/>
              <w:jc w:val="center"/>
              <w:rPr>
                <w:sz w:val="20"/>
              </w:rPr>
            </w:pPr>
            <w:r>
              <w:rPr>
                <w:sz w:val="20"/>
              </w:rPr>
              <w:t>12</w:t>
            </w:r>
          </w:p>
        </w:tc>
        <w:tc>
          <w:tcPr>
            <w:tcW w:w="760" w:type="dxa"/>
            <w:tcBorders>
              <w:left w:val="single" w:sz="6" w:space="0" w:color="auto"/>
            </w:tcBorders>
          </w:tcPr>
          <w:p w:rsidR="00AF2508" w:rsidRDefault="00AF2508">
            <w:pPr>
              <w:pStyle w:val="TableText"/>
              <w:jc w:val="center"/>
              <w:rPr>
                <w:sz w:val="20"/>
              </w:rPr>
            </w:pPr>
            <w:r>
              <w:rPr>
                <w:sz w:val="20"/>
              </w:rPr>
              <w:t>5</w:t>
            </w:r>
          </w:p>
        </w:tc>
        <w:tc>
          <w:tcPr>
            <w:tcW w:w="722" w:type="dxa"/>
          </w:tcPr>
          <w:p w:rsidR="00AF2508" w:rsidRDefault="00AF2508">
            <w:pPr>
              <w:pStyle w:val="TableText"/>
              <w:jc w:val="center"/>
              <w:rPr>
                <w:sz w:val="20"/>
              </w:rPr>
            </w:pPr>
            <w:r>
              <w:rPr>
                <w:sz w:val="20"/>
              </w:rPr>
              <w:t>7</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62" w:type="dxa"/>
            <w:gridSpan w:val="2"/>
          </w:tcPr>
          <w:p w:rsidR="00AF2508" w:rsidRDefault="00AF2508">
            <w:pPr>
              <w:pStyle w:val="TableText"/>
              <w:jc w:val="center"/>
              <w:rPr>
                <w:sz w:val="20"/>
              </w:rPr>
            </w:pPr>
            <w:r>
              <w:rPr>
                <w:sz w:val="20"/>
              </w:rPr>
              <w:t>15</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16</w:t>
            </w:r>
          </w:p>
        </w:tc>
        <w:tc>
          <w:tcPr>
            <w:tcW w:w="720" w:type="dxa"/>
            <w:gridSpan w:val="4"/>
          </w:tcPr>
          <w:p w:rsidR="00AF2508" w:rsidRDefault="00AF2508">
            <w:pPr>
              <w:pStyle w:val="TableText"/>
              <w:jc w:val="center"/>
              <w:rPr>
                <w:sz w:val="20"/>
              </w:rPr>
            </w:pPr>
            <w:r>
              <w:rPr>
                <w:sz w:val="20"/>
              </w:rPr>
              <w:t>6</w:t>
            </w:r>
          </w:p>
        </w:tc>
        <w:tc>
          <w:tcPr>
            <w:tcW w:w="816" w:type="dxa"/>
          </w:tcPr>
          <w:p w:rsidR="00AF2508" w:rsidRDefault="00AF2508">
            <w:pPr>
              <w:pStyle w:val="TableText"/>
              <w:jc w:val="center"/>
              <w:rPr>
                <w:sz w:val="20"/>
              </w:rPr>
            </w:pPr>
            <w:r>
              <w:rPr>
                <w:sz w:val="20"/>
              </w:rPr>
              <w:t>4</w:t>
            </w:r>
          </w:p>
        </w:tc>
        <w:tc>
          <w:tcPr>
            <w:tcW w:w="600" w:type="dxa"/>
            <w:tcBorders>
              <w:left w:val="single" w:sz="6" w:space="0" w:color="auto"/>
            </w:tcBorders>
          </w:tcPr>
          <w:p w:rsidR="00AF2508" w:rsidRDefault="00AF2508">
            <w:pPr>
              <w:pStyle w:val="TableText"/>
              <w:jc w:val="center"/>
              <w:rPr>
                <w:sz w:val="20"/>
              </w:rPr>
            </w:pPr>
            <w:r>
              <w:rPr>
                <w:sz w:val="20"/>
              </w:rPr>
              <w:t>12</w:t>
            </w:r>
          </w:p>
        </w:tc>
        <w:tc>
          <w:tcPr>
            <w:tcW w:w="720" w:type="dxa"/>
            <w:gridSpan w:val="2"/>
          </w:tcPr>
          <w:p w:rsidR="00AF2508" w:rsidRDefault="00AF2508">
            <w:pPr>
              <w:pStyle w:val="TableText"/>
              <w:jc w:val="center"/>
              <w:rPr>
                <w:sz w:val="20"/>
              </w:rPr>
            </w:pPr>
            <w:r>
              <w:rPr>
                <w:sz w:val="20"/>
              </w:rPr>
              <w:t>0</w:t>
            </w:r>
          </w:p>
        </w:tc>
        <w:tc>
          <w:tcPr>
            <w:tcW w:w="752" w:type="dxa"/>
            <w:tcBorders>
              <w:left w:val="single" w:sz="6" w:space="0" w:color="auto"/>
            </w:tcBorders>
          </w:tcPr>
          <w:p w:rsidR="00AF2508" w:rsidRDefault="00AF2508">
            <w:pPr>
              <w:pStyle w:val="TableText"/>
              <w:jc w:val="center"/>
              <w:rPr>
                <w:sz w:val="20"/>
              </w:rPr>
            </w:pPr>
            <w:r>
              <w:rPr>
                <w:sz w:val="20"/>
              </w:rPr>
              <w:t>10</w:t>
            </w:r>
          </w:p>
        </w:tc>
        <w:tc>
          <w:tcPr>
            <w:tcW w:w="820" w:type="dxa"/>
          </w:tcPr>
          <w:p w:rsidR="00AF2508" w:rsidRDefault="00AF2508">
            <w:pPr>
              <w:pStyle w:val="TableText"/>
              <w:jc w:val="center"/>
              <w:rPr>
                <w:sz w:val="20"/>
              </w:rPr>
            </w:pPr>
            <w:r>
              <w:rPr>
                <w:sz w:val="20"/>
              </w:rPr>
              <w:t>15</w:t>
            </w:r>
          </w:p>
        </w:tc>
        <w:tc>
          <w:tcPr>
            <w:tcW w:w="780" w:type="dxa"/>
            <w:gridSpan w:val="2"/>
            <w:tcBorders>
              <w:left w:val="single" w:sz="6" w:space="0" w:color="auto"/>
            </w:tcBorders>
          </w:tcPr>
          <w:p w:rsidR="00AF2508" w:rsidRDefault="00AF2508">
            <w:pPr>
              <w:pStyle w:val="TableText"/>
              <w:jc w:val="center"/>
              <w:rPr>
                <w:sz w:val="20"/>
              </w:rPr>
            </w:pPr>
            <w:r>
              <w:rPr>
                <w:sz w:val="20"/>
              </w:rPr>
              <w:t>8</w:t>
            </w:r>
          </w:p>
        </w:tc>
        <w:tc>
          <w:tcPr>
            <w:tcW w:w="786" w:type="dxa"/>
            <w:gridSpan w:val="2"/>
          </w:tcPr>
          <w:p w:rsidR="00AF2508" w:rsidRDefault="00AF2508">
            <w:pPr>
              <w:pStyle w:val="TableText"/>
              <w:jc w:val="center"/>
              <w:rPr>
                <w:sz w:val="20"/>
              </w:rPr>
            </w:pPr>
            <w:r>
              <w:rPr>
                <w:sz w:val="20"/>
              </w:rPr>
              <w:t>16</w:t>
            </w:r>
          </w:p>
        </w:tc>
        <w:tc>
          <w:tcPr>
            <w:tcW w:w="760" w:type="dxa"/>
            <w:tcBorders>
              <w:left w:val="single" w:sz="6" w:space="0" w:color="auto"/>
            </w:tcBorders>
          </w:tcPr>
          <w:p w:rsidR="00AF2508" w:rsidRDefault="00AF2508">
            <w:pPr>
              <w:pStyle w:val="TableText"/>
              <w:jc w:val="center"/>
              <w:rPr>
                <w:sz w:val="20"/>
              </w:rPr>
            </w:pPr>
            <w:r>
              <w:rPr>
                <w:sz w:val="20"/>
              </w:rPr>
              <w:t>6</w:t>
            </w:r>
          </w:p>
        </w:tc>
        <w:tc>
          <w:tcPr>
            <w:tcW w:w="722" w:type="dxa"/>
          </w:tcPr>
          <w:p w:rsidR="00AF2508" w:rsidRDefault="00AF2508">
            <w:pPr>
              <w:pStyle w:val="TableText"/>
              <w:jc w:val="center"/>
              <w:rPr>
                <w:sz w:val="20"/>
              </w:rPr>
            </w:pPr>
            <w:r>
              <w:rPr>
                <w:sz w:val="20"/>
              </w:rPr>
              <w:t>4</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62" w:type="dxa"/>
            <w:gridSpan w:val="2"/>
          </w:tcPr>
          <w:p w:rsidR="00AF2508" w:rsidRDefault="00AF2508">
            <w:pPr>
              <w:pStyle w:val="TableText"/>
              <w:jc w:val="center"/>
              <w:rPr>
                <w:sz w:val="20"/>
              </w:rPr>
            </w:pPr>
            <w:r>
              <w:rPr>
                <w:sz w:val="20"/>
              </w:rPr>
              <w:t>4</w:t>
            </w:r>
          </w:p>
        </w:tc>
      </w:tr>
      <w:tr w:rsidR="00AF2508">
        <w:trPr>
          <w:cantSplit/>
          <w:trHeight w:val="200"/>
        </w:trPr>
        <w:tc>
          <w:tcPr>
            <w:tcW w:w="968" w:type="dxa"/>
          </w:tcPr>
          <w:p w:rsidR="00AF2508" w:rsidRDefault="00AF2508">
            <w:pPr>
              <w:pStyle w:val="TableText"/>
              <w:jc w:val="center"/>
              <w:rPr>
                <w:sz w:val="20"/>
              </w:rPr>
            </w:pPr>
            <w:r>
              <w:rPr>
                <w:sz w:val="20"/>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720" w:type="dxa"/>
            <w:gridSpan w:val="4"/>
          </w:tcPr>
          <w:p w:rsidR="00AF2508" w:rsidRDefault="00AF2508">
            <w:pPr>
              <w:pStyle w:val="TableText"/>
              <w:jc w:val="center"/>
              <w:rPr>
                <w:sz w:val="20"/>
              </w:rPr>
            </w:pPr>
            <w:r>
              <w:rPr>
                <w:sz w:val="20"/>
              </w:rPr>
              <w:t>7</w:t>
            </w:r>
          </w:p>
        </w:tc>
        <w:tc>
          <w:tcPr>
            <w:tcW w:w="816" w:type="dxa"/>
          </w:tcPr>
          <w:p w:rsidR="00AF2508" w:rsidRDefault="00AF2508">
            <w:pPr>
              <w:pStyle w:val="TableText"/>
              <w:jc w:val="center"/>
              <w:rPr>
                <w:sz w:val="20"/>
              </w:rPr>
            </w:pPr>
            <w:r>
              <w:rPr>
                <w:sz w:val="20"/>
              </w:rPr>
              <w:t>2</w:t>
            </w:r>
          </w:p>
        </w:tc>
        <w:tc>
          <w:tcPr>
            <w:tcW w:w="600" w:type="dxa"/>
            <w:tcBorders>
              <w:left w:val="single" w:sz="6" w:space="0" w:color="auto"/>
            </w:tcBorders>
          </w:tcPr>
          <w:p w:rsidR="00AF2508" w:rsidRDefault="00AF2508">
            <w:pPr>
              <w:pStyle w:val="TableText"/>
              <w:jc w:val="center"/>
              <w:rPr>
                <w:sz w:val="20"/>
              </w:rPr>
            </w:pPr>
            <w:r>
              <w:rPr>
                <w:sz w:val="20"/>
              </w:rPr>
              <w:t>13</w:t>
            </w:r>
          </w:p>
        </w:tc>
        <w:tc>
          <w:tcPr>
            <w:tcW w:w="720" w:type="dxa"/>
            <w:gridSpan w:val="2"/>
          </w:tcPr>
          <w:p w:rsidR="00AF2508" w:rsidRDefault="00AF2508">
            <w:pPr>
              <w:pStyle w:val="TableText"/>
              <w:jc w:val="center"/>
              <w:rPr>
                <w:sz w:val="20"/>
              </w:rPr>
            </w:pPr>
            <w:r>
              <w:rPr>
                <w:sz w:val="20"/>
              </w:rPr>
              <w:t>15</w:t>
            </w:r>
          </w:p>
        </w:tc>
        <w:tc>
          <w:tcPr>
            <w:tcW w:w="752" w:type="dxa"/>
            <w:tcBorders>
              <w:left w:val="single" w:sz="6" w:space="0" w:color="auto"/>
            </w:tcBorders>
          </w:tcPr>
          <w:p w:rsidR="00AF2508" w:rsidRDefault="00AF2508">
            <w:pPr>
              <w:pStyle w:val="TableText"/>
              <w:jc w:val="center"/>
              <w:rPr>
                <w:sz w:val="20"/>
              </w:rPr>
            </w:pPr>
            <w:r>
              <w:rPr>
                <w:sz w:val="20"/>
              </w:rPr>
              <w:t>12</w:t>
            </w:r>
          </w:p>
        </w:tc>
        <w:tc>
          <w:tcPr>
            <w:tcW w:w="820" w:type="dxa"/>
          </w:tcPr>
          <w:p w:rsidR="00AF2508" w:rsidRDefault="00AF2508">
            <w:pPr>
              <w:pStyle w:val="TableText"/>
              <w:jc w:val="center"/>
              <w:rPr>
                <w:sz w:val="20"/>
              </w:rPr>
            </w:pPr>
            <w:r>
              <w:rPr>
                <w:sz w:val="20"/>
              </w:rPr>
              <w:t>7</w:t>
            </w:r>
          </w:p>
        </w:tc>
        <w:tc>
          <w:tcPr>
            <w:tcW w:w="780" w:type="dxa"/>
            <w:gridSpan w:val="2"/>
            <w:tcBorders>
              <w:left w:val="single" w:sz="6" w:space="0" w:color="auto"/>
            </w:tcBorders>
          </w:tcPr>
          <w:p w:rsidR="00AF2508" w:rsidRDefault="00AF2508">
            <w:pPr>
              <w:pStyle w:val="TableText"/>
              <w:jc w:val="center"/>
              <w:rPr>
                <w:sz w:val="20"/>
              </w:rPr>
            </w:pPr>
            <w:r>
              <w:rPr>
                <w:sz w:val="20"/>
              </w:rPr>
              <w:t>10</w:t>
            </w:r>
          </w:p>
        </w:tc>
        <w:tc>
          <w:tcPr>
            <w:tcW w:w="786" w:type="dxa"/>
            <w:gridSpan w:val="2"/>
          </w:tcPr>
          <w:p w:rsidR="00AF2508" w:rsidRDefault="00AF2508">
            <w:pPr>
              <w:pStyle w:val="TableText"/>
              <w:jc w:val="center"/>
              <w:rPr>
                <w:sz w:val="20"/>
              </w:rPr>
            </w:pPr>
            <w:r>
              <w:rPr>
                <w:sz w:val="20"/>
              </w:rPr>
              <w:t>2</w:t>
            </w:r>
          </w:p>
        </w:tc>
        <w:tc>
          <w:tcPr>
            <w:tcW w:w="760" w:type="dxa"/>
            <w:tcBorders>
              <w:left w:val="single" w:sz="6" w:space="0" w:color="auto"/>
            </w:tcBorders>
          </w:tcPr>
          <w:p w:rsidR="00AF2508" w:rsidRDefault="00AF2508">
            <w:pPr>
              <w:pStyle w:val="TableText"/>
              <w:jc w:val="center"/>
              <w:rPr>
                <w:sz w:val="20"/>
              </w:rPr>
            </w:pPr>
            <w:r>
              <w:rPr>
                <w:sz w:val="20"/>
              </w:rPr>
              <w:t>7</w:t>
            </w:r>
          </w:p>
        </w:tc>
        <w:tc>
          <w:tcPr>
            <w:tcW w:w="722" w:type="dxa"/>
          </w:tcPr>
          <w:p w:rsidR="00AF2508" w:rsidRDefault="00AF2508">
            <w:pPr>
              <w:pStyle w:val="TableText"/>
              <w:jc w:val="center"/>
              <w:rPr>
                <w:sz w:val="20"/>
              </w:rPr>
            </w:pPr>
            <w:r>
              <w:rPr>
                <w:sz w:val="20"/>
              </w:rPr>
              <w:t>2</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62" w:type="dxa"/>
            <w:gridSpan w:val="2"/>
          </w:tcPr>
          <w:p w:rsidR="00AF2508" w:rsidRDefault="00AF2508">
            <w:pPr>
              <w:pStyle w:val="TableText"/>
              <w:jc w:val="center"/>
              <w:rPr>
                <w:sz w:val="20"/>
              </w:rPr>
            </w:pPr>
            <w:r>
              <w:rPr>
                <w:sz w:val="20"/>
              </w:rPr>
              <w:t>14</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720" w:type="dxa"/>
            <w:gridSpan w:val="4"/>
          </w:tcPr>
          <w:p w:rsidR="00AF2508" w:rsidRDefault="00AF2508">
            <w:pPr>
              <w:pStyle w:val="TableText"/>
              <w:jc w:val="center"/>
              <w:rPr>
                <w:sz w:val="20"/>
              </w:rPr>
            </w:pPr>
            <w:r>
              <w:rPr>
                <w:sz w:val="20"/>
              </w:rPr>
              <w:t>8</w:t>
            </w:r>
          </w:p>
        </w:tc>
        <w:tc>
          <w:tcPr>
            <w:tcW w:w="816" w:type="dxa"/>
          </w:tcPr>
          <w:p w:rsidR="00AF2508" w:rsidRDefault="00AF2508">
            <w:pPr>
              <w:pStyle w:val="TableText"/>
              <w:jc w:val="center"/>
              <w:rPr>
                <w:sz w:val="20"/>
              </w:rPr>
            </w:pPr>
            <w:r>
              <w:rPr>
                <w:sz w:val="20"/>
              </w:rPr>
              <w:t>2</w:t>
            </w:r>
          </w:p>
        </w:tc>
        <w:tc>
          <w:tcPr>
            <w:tcW w:w="600" w:type="dxa"/>
            <w:tcBorders>
              <w:left w:val="single" w:sz="6" w:space="0" w:color="auto"/>
            </w:tcBorders>
          </w:tcPr>
          <w:p w:rsidR="00AF2508" w:rsidRDefault="00AF2508">
            <w:pPr>
              <w:pStyle w:val="TableText"/>
              <w:jc w:val="center"/>
              <w:rPr>
                <w:sz w:val="20"/>
              </w:rPr>
            </w:pPr>
            <w:r>
              <w:rPr>
                <w:sz w:val="20"/>
              </w:rPr>
              <w:t>15</w:t>
            </w:r>
          </w:p>
        </w:tc>
        <w:tc>
          <w:tcPr>
            <w:tcW w:w="720" w:type="dxa"/>
            <w:gridSpan w:val="2"/>
          </w:tcPr>
          <w:p w:rsidR="00AF2508" w:rsidRDefault="00AF2508">
            <w:pPr>
              <w:pStyle w:val="TableText"/>
              <w:jc w:val="center"/>
              <w:rPr>
                <w:sz w:val="20"/>
              </w:rPr>
            </w:pPr>
            <w:r>
              <w:rPr>
                <w:sz w:val="20"/>
              </w:rPr>
              <w:t>13</w:t>
            </w:r>
          </w:p>
        </w:tc>
        <w:tc>
          <w:tcPr>
            <w:tcW w:w="752" w:type="dxa"/>
            <w:tcBorders>
              <w:left w:val="single" w:sz="6" w:space="0" w:color="auto"/>
            </w:tcBorders>
          </w:tcPr>
          <w:p w:rsidR="00AF2508" w:rsidRDefault="00AF2508">
            <w:pPr>
              <w:pStyle w:val="TableText"/>
              <w:jc w:val="center"/>
              <w:rPr>
                <w:sz w:val="20"/>
              </w:rPr>
            </w:pPr>
            <w:r>
              <w:rPr>
                <w:sz w:val="20"/>
              </w:rPr>
              <w:t>14</w:t>
            </w:r>
          </w:p>
        </w:tc>
        <w:tc>
          <w:tcPr>
            <w:tcW w:w="820" w:type="dxa"/>
          </w:tcPr>
          <w:p w:rsidR="00AF2508" w:rsidRDefault="00AF2508">
            <w:pPr>
              <w:pStyle w:val="TableText"/>
              <w:jc w:val="center"/>
              <w:rPr>
                <w:sz w:val="20"/>
              </w:rPr>
            </w:pPr>
            <w:r>
              <w:rPr>
                <w:sz w:val="20"/>
              </w:rPr>
              <w:t>1</w:t>
            </w:r>
          </w:p>
        </w:tc>
        <w:tc>
          <w:tcPr>
            <w:tcW w:w="780" w:type="dxa"/>
            <w:gridSpan w:val="2"/>
            <w:tcBorders>
              <w:left w:val="single" w:sz="6" w:space="0" w:color="auto"/>
            </w:tcBorders>
          </w:tcPr>
          <w:p w:rsidR="00AF2508" w:rsidRDefault="00AF2508">
            <w:pPr>
              <w:pStyle w:val="TableText"/>
              <w:jc w:val="center"/>
              <w:rPr>
                <w:sz w:val="20"/>
              </w:rPr>
            </w:pPr>
            <w:r>
              <w:rPr>
                <w:sz w:val="20"/>
              </w:rPr>
              <w:t>11</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8</w:t>
            </w:r>
          </w:p>
        </w:tc>
        <w:tc>
          <w:tcPr>
            <w:tcW w:w="722" w:type="dxa"/>
          </w:tcPr>
          <w:p w:rsidR="00AF2508" w:rsidRDefault="00AF2508">
            <w:pPr>
              <w:pStyle w:val="TableText"/>
              <w:jc w:val="center"/>
              <w:rPr>
                <w:sz w:val="20"/>
              </w:rPr>
            </w:pPr>
            <w:r>
              <w:rPr>
                <w:sz w:val="20"/>
              </w:rPr>
              <w:t>2</w:t>
            </w:r>
          </w:p>
        </w:tc>
        <w:tc>
          <w:tcPr>
            <w:tcW w:w="838" w:type="dxa"/>
            <w:gridSpan w:val="2"/>
            <w:tcBorders>
              <w:left w:val="single" w:sz="6" w:space="0" w:color="auto"/>
            </w:tcBorders>
          </w:tcPr>
          <w:p w:rsidR="00AF2508" w:rsidRDefault="00AF2508">
            <w:pPr>
              <w:pStyle w:val="TableText"/>
              <w:jc w:val="center"/>
              <w:rPr>
                <w:sz w:val="20"/>
              </w:rPr>
            </w:pPr>
            <w:r>
              <w:rPr>
                <w:sz w:val="20"/>
              </w:rPr>
              <w:t>4</w:t>
            </w:r>
          </w:p>
        </w:tc>
        <w:tc>
          <w:tcPr>
            <w:tcW w:w="662" w:type="dxa"/>
            <w:gridSpan w:val="2"/>
          </w:tcPr>
          <w:p w:rsidR="00AF2508" w:rsidRDefault="00AF2508">
            <w:pPr>
              <w:pStyle w:val="TableText"/>
              <w:jc w:val="center"/>
              <w:rPr>
                <w:sz w:val="20"/>
              </w:rPr>
            </w:pPr>
            <w:r>
              <w:rPr>
                <w:sz w:val="20"/>
              </w:rPr>
              <w:t>4</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16</w:t>
            </w:r>
          </w:p>
        </w:tc>
        <w:tc>
          <w:tcPr>
            <w:tcW w:w="720" w:type="dxa"/>
            <w:gridSpan w:val="4"/>
          </w:tcPr>
          <w:p w:rsidR="00AF2508" w:rsidRDefault="00AF2508">
            <w:pPr>
              <w:pStyle w:val="TableText"/>
              <w:jc w:val="center"/>
              <w:rPr>
                <w:sz w:val="20"/>
              </w:rPr>
            </w:pPr>
            <w:r>
              <w:rPr>
                <w:sz w:val="20"/>
              </w:rPr>
              <w:t>8</w:t>
            </w:r>
          </w:p>
        </w:tc>
        <w:tc>
          <w:tcPr>
            <w:tcW w:w="816" w:type="dxa"/>
          </w:tcPr>
          <w:p w:rsidR="00AF2508" w:rsidRDefault="00AF2508">
            <w:pPr>
              <w:pStyle w:val="TableText"/>
              <w:jc w:val="center"/>
              <w:rPr>
                <w:sz w:val="20"/>
              </w:rPr>
            </w:pPr>
            <w:r>
              <w:rPr>
                <w:sz w:val="20"/>
              </w:rPr>
              <w:t>18</w:t>
            </w:r>
          </w:p>
        </w:tc>
        <w:tc>
          <w:tcPr>
            <w:tcW w:w="600" w:type="dxa"/>
            <w:tcBorders>
              <w:left w:val="single" w:sz="6" w:space="0" w:color="auto"/>
            </w:tcBorders>
          </w:tcPr>
          <w:p w:rsidR="00AF2508" w:rsidRDefault="00AF2508">
            <w:pPr>
              <w:pStyle w:val="TableText"/>
              <w:jc w:val="center"/>
              <w:rPr>
                <w:sz w:val="20"/>
              </w:rPr>
            </w:pPr>
            <w:r>
              <w:rPr>
                <w:sz w:val="20"/>
              </w:rPr>
              <w:t>17</w:t>
            </w:r>
          </w:p>
        </w:tc>
        <w:tc>
          <w:tcPr>
            <w:tcW w:w="720" w:type="dxa"/>
            <w:gridSpan w:val="2"/>
          </w:tcPr>
          <w:p w:rsidR="00AF2508" w:rsidRDefault="00AF2508">
            <w:pPr>
              <w:pStyle w:val="TableText"/>
              <w:jc w:val="center"/>
              <w:rPr>
                <w:sz w:val="20"/>
              </w:rPr>
            </w:pPr>
            <w:r>
              <w:rPr>
                <w:sz w:val="20"/>
              </w:rPr>
              <w:t>4</w:t>
            </w:r>
          </w:p>
        </w:tc>
        <w:tc>
          <w:tcPr>
            <w:tcW w:w="752" w:type="dxa"/>
            <w:tcBorders>
              <w:left w:val="single" w:sz="6" w:space="0" w:color="auto"/>
            </w:tcBorders>
          </w:tcPr>
          <w:p w:rsidR="00AF2508" w:rsidRDefault="00AF2508">
            <w:pPr>
              <w:pStyle w:val="TableText"/>
              <w:jc w:val="center"/>
              <w:rPr>
                <w:sz w:val="20"/>
              </w:rPr>
            </w:pPr>
            <w:r>
              <w:rPr>
                <w:sz w:val="20"/>
              </w:rPr>
              <w:t>15</w:t>
            </w:r>
          </w:p>
        </w:tc>
        <w:tc>
          <w:tcPr>
            <w:tcW w:w="820" w:type="dxa"/>
          </w:tcPr>
          <w:p w:rsidR="00AF2508" w:rsidRDefault="00AF2508">
            <w:pPr>
              <w:pStyle w:val="TableText"/>
              <w:jc w:val="center"/>
              <w:rPr>
                <w:sz w:val="20"/>
              </w:rPr>
            </w:pPr>
            <w:r>
              <w:rPr>
                <w:sz w:val="20"/>
              </w:rPr>
              <w:t>8</w:t>
            </w:r>
          </w:p>
        </w:tc>
        <w:tc>
          <w:tcPr>
            <w:tcW w:w="780" w:type="dxa"/>
            <w:gridSpan w:val="2"/>
            <w:tcBorders>
              <w:left w:val="single" w:sz="6" w:space="0" w:color="auto"/>
            </w:tcBorders>
          </w:tcPr>
          <w:p w:rsidR="00AF2508" w:rsidRDefault="00AF2508">
            <w:pPr>
              <w:pStyle w:val="TableText"/>
              <w:jc w:val="center"/>
              <w:rPr>
                <w:sz w:val="20"/>
              </w:rPr>
            </w:pPr>
            <w:r>
              <w:rPr>
                <w:sz w:val="20"/>
              </w:rPr>
              <w:t>12</w:t>
            </w:r>
          </w:p>
        </w:tc>
        <w:tc>
          <w:tcPr>
            <w:tcW w:w="786" w:type="dxa"/>
            <w:gridSpan w:val="2"/>
          </w:tcPr>
          <w:p w:rsidR="00AF2508" w:rsidRDefault="00AF2508">
            <w:pPr>
              <w:pStyle w:val="TableText"/>
              <w:jc w:val="center"/>
              <w:rPr>
                <w:sz w:val="20"/>
              </w:rPr>
            </w:pPr>
            <w:r>
              <w:rPr>
                <w:sz w:val="20"/>
              </w:rPr>
              <w:t>12</w:t>
            </w:r>
          </w:p>
        </w:tc>
        <w:tc>
          <w:tcPr>
            <w:tcW w:w="760" w:type="dxa"/>
            <w:tcBorders>
              <w:left w:val="single" w:sz="6" w:space="0" w:color="auto"/>
            </w:tcBorders>
          </w:tcPr>
          <w:p w:rsidR="00AF2508" w:rsidRDefault="00AF2508">
            <w:pPr>
              <w:pStyle w:val="TableText"/>
              <w:jc w:val="center"/>
              <w:rPr>
                <w:sz w:val="20"/>
              </w:rPr>
            </w:pPr>
            <w:r>
              <w:rPr>
                <w:sz w:val="20"/>
              </w:rPr>
              <w:t>8</w:t>
            </w:r>
          </w:p>
        </w:tc>
        <w:tc>
          <w:tcPr>
            <w:tcW w:w="722" w:type="dxa"/>
          </w:tcPr>
          <w:p w:rsidR="00AF2508" w:rsidRDefault="00AF2508">
            <w:pPr>
              <w:pStyle w:val="TableText"/>
              <w:jc w:val="center"/>
              <w:rPr>
                <w:sz w:val="20"/>
              </w:rPr>
            </w:pPr>
            <w:r>
              <w:rPr>
                <w:sz w:val="20"/>
              </w:rPr>
              <w:t>18</w:t>
            </w:r>
          </w:p>
        </w:tc>
        <w:tc>
          <w:tcPr>
            <w:tcW w:w="838" w:type="dxa"/>
            <w:gridSpan w:val="2"/>
            <w:tcBorders>
              <w:left w:val="single" w:sz="6" w:space="0" w:color="auto"/>
            </w:tcBorders>
          </w:tcPr>
          <w:p w:rsidR="00AF2508" w:rsidRDefault="00AF2508">
            <w:pPr>
              <w:pStyle w:val="TableText"/>
              <w:jc w:val="center"/>
              <w:rPr>
                <w:sz w:val="20"/>
              </w:rPr>
            </w:pPr>
            <w:r>
              <w:rPr>
                <w:sz w:val="20"/>
              </w:rPr>
              <w:t>4</w:t>
            </w:r>
          </w:p>
        </w:tc>
        <w:tc>
          <w:tcPr>
            <w:tcW w:w="662" w:type="dxa"/>
            <w:gridSpan w:val="2"/>
          </w:tcPr>
          <w:p w:rsidR="00AF2508" w:rsidRDefault="00AF2508">
            <w:pPr>
              <w:pStyle w:val="TableText"/>
              <w:jc w:val="center"/>
              <w:rPr>
                <w:sz w:val="20"/>
              </w:rPr>
            </w:pPr>
            <w:r>
              <w:rPr>
                <w:sz w:val="20"/>
              </w:rPr>
              <w:t>12</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720" w:type="dxa"/>
            <w:gridSpan w:val="4"/>
          </w:tcPr>
          <w:p w:rsidR="00AF2508" w:rsidRDefault="00AF2508">
            <w:pPr>
              <w:pStyle w:val="TableText"/>
              <w:jc w:val="center"/>
              <w:rPr>
                <w:sz w:val="20"/>
              </w:rPr>
            </w:pPr>
            <w:r>
              <w:rPr>
                <w:sz w:val="20"/>
              </w:rPr>
              <w:t>10</w:t>
            </w:r>
          </w:p>
        </w:tc>
        <w:tc>
          <w:tcPr>
            <w:tcW w:w="816" w:type="dxa"/>
          </w:tcPr>
          <w:p w:rsidR="00AF2508" w:rsidRDefault="00AF2508">
            <w:pPr>
              <w:pStyle w:val="TableText"/>
              <w:jc w:val="center"/>
              <w:rPr>
                <w:sz w:val="20"/>
              </w:rPr>
            </w:pPr>
            <w:r>
              <w:rPr>
                <w:sz w:val="20"/>
              </w:rPr>
              <w:t>0</w:t>
            </w:r>
          </w:p>
        </w:tc>
        <w:tc>
          <w:tcPr>
            <w:tcW w:w="600" w:type="dxa"/>
            <w:tcBorders>
              <w:left w:val="single" w:sz="6" w:space="0" w:color="auto"/>
            </w:tcBorders>
          </w:tcPr>
          <w:p w:rsidR="00AF2508" w:rsidRDefault="00AF2508">
            <w:pPr>
              <w:pStyle w:val="TableText"/>
              <w:jc w:val="center"/>
              <w:rPr>
                <w:sz w:val="20"/>
              </w:rPr>
            </w:pPr>
            <w:r>
              <w:rPr>
                <w:sz w:val="20"/>
              </w:rPr>
              <w:t>19</w:t>
            </w:r>
          </w:p>
        </w:tc>
        <w:tc>
          <w:tcPr>
            <w:tcW w:w="720" w:type="dxa"/>
            <w:gridSpan w:val="2"/>
          </w:tcPr>
          <w:p w:rsidR="00AF2508" w:rsidRDefault="00AF2508">
            <w:pPr>
              <w:pStyle w:val="TableText"/>
              <w:jc w:val="center"/>
              <w:rPr>
                <w:sz w:val="20"/>
              </w:rPr>
            </w:pPr>
            <w:r>
              <w:rPr>
                <w:sz w:val="20"/>
              </w:rPr>
              <w:t>6</w:t>
            </w:r>
          </w:p>
        </w:tc>
        <w:tc>
          <w:tcPr>
            <w:tcW w:w="752" w:type="dxa"/>
            <w:tcBorders>
              <w:left w:val="single" w:sz="6" w:space="0" w:color="auto"/>
            </w:tcBorders>
          </w:tcPr>
          <w:p w:rsidR="00AF2508" w:rsidRDefault="00AF2508">
            <w:pPr>
              <w:pStyle w:val="TableText"/>
              <w:jc w:val="center"/>
              <w:rPr>
                <w:sz w:val="20"/>
              </w:rPr>
            </w:pPr>
            <w:r>
              <w:rPr>
                <w:sz w:val="20"/>
              </w:rPr>
              <w:t>17</w:t>
            </w:r>
          </w:p>
        </w:tc>
        <w:tc>
          <w:tcPr>
            <w:tcW w:w="820" w:type="dxa"/>
          </w:tcPr>
          <w:p w:rsidR="00AF2508" w:rsidRDefault="00AF2508">
            <w:pPr>
              <w:pStyle w:val="TableText"/>
              <w:jc w:val="center"/>
              <w:rPr>
                <w:sz w:val="20"/>
              </w:rPr>
            </w:pPr>
            <w:r>
              <w:rPr>
                <w:sz w:val="20"/>
              </w:rPr>
              <w:t>6</w:t>
            </w:r>
          </w:p>
        </w:tc>
        <w:tc>
          <w:tcPr>
            <w:tcW w:w="780" w:type="dxa"/>
            <w:gridSpan w:val="2"/>
            <w:tcBorders>
              <w:left w:val="single" w:sz="6" w:space="0" w:color="auto"/>
            </w:tcBorders>
          </w:tcPr>
          <w:p w:rsidR="00AF2508" w:rsidRDefault="00AF2508">
            <w:pPr>
              <w:pStyle w:val="TableText"/>
              <w:jc w:val="center"/>
              <w:rPr>
                <w:sz w:val="20"/>
              </w:rPr>
            </w:pPr>
            <w:r>
              <w:rPr>
                <w:sz w:val="20"/>
              </w:rPr>
              <w:t>14</w:t>
            </w:r>
          </w:p>
        </w:tc>
        <w:tc>
          <w:tcPr>
            <w:tcW w:w="786" w:type="dxa"/>
            <w:gridSpan w:val="2"/>
          </w:tcPr>
          <w:p w:rsidR="00AF2508" w:rsidRDefault="00AF2508">
            <w:pPr>
              <w:pStyle w:val="TableText"/>
              <w:jc w:val="center"/>
              <w:rPr>
                <w:sz w:val="20"/>
              </w:rPr>
            </w:pPr>
            <w:r>
              <w:rPr>
                <w:sz w:val="20"/>
              </w:rPr>
              <w:t>3</w:t>
            </w:r>
          </w:p>
        </w:tc>
        <w:tc>
          <w:tcPr>
            <w:tcW w:w="760" w:type="dxa"/>
            <w:tcBorders>
              <w:left w:val="single" w:sz="6" w:space="0" w:color="auto"/>
            </w:tcBorders>
          </w:tcPr>
          <w:p w:rsidR="00AF2508" w:rsidRDefault="00AF2508">
            <w:pPr>
              <w:pStyle w:val="TableText"/>
              <w:jc w:val="center"/>
              <w:rPr>
                <w:sz w:val="20"/>
              </w:rPr>
            </w:pPr>
            <w:r>
              <w:rPr>
                <w:sz w:val="20"/>
              </w:rPr>
              <w:t>10</w:t>
            </w:r>
          </w:p>
        </w:tc>
        <w:tc>
          <w:tcPr>
            <w:tcW w:w="722" w:type="dxa"/>
          </w:tcPr>
          <w:p w:rsidR="00AF2508" w:rsidRDefault="00AF2508">
            <w:pPr>
              <w:pStyle w:val="TableText"/>
              <w:jc w:val="center"/>
              <w:rPr>
                <w:sz w:val="20"/>
              </w:rPr>
            </w:pPr>
            <w:r>
              <w:rPr>
                <w:sz w:val="20"/>
              </w:rPr>
              <w:t>0</w:t>
            </w:r>
          </w:p>
        </w:tc>
        <w:tc>
          <w:tcPr>
            <w:tcW w:w="838" w:type="dxa"/>
            <w:gridSpan w:val="2"/>
            <w:tcBorders>
              <w:left w:val="single" w:sz="6" w:space="0" w:color="auto"/>
            </w:tcBorders>
          </w:tcPr>
          <w:p w:rsidR="00AF2508" w:rsidRDefault="00AF2508">
            <w:pPr>
              <w:pStyle w:val="TableText"/>
              <w:jc w:val="center"/>
              <w:rPr>
                <w:sz w:val="20"/>
              </w:rPr>
            </w:pPr>
            <w:r>
              <w:rPr>
                <w:sz w:val="20"/>
              </w:rPr>
              <w:t>5</w:t>
            </w:r>
          </w:p>
        </w:tc>
        <w:tc>
          <w:tcPr>
            <w:tcW w:w="662" w:type="dxa"/>
            <w:gridSpan w:val="2"/>
          </w:tcPr>
          <w:p w:rsidR="00AF2508" w:rsidRDefault="00AF2508">
            <w:pPr>
              <w:pStyle w:val="TableText"/>
              <w:jc w:val="center"/>
              <w:rPr>
                <w:sz w:val="20"/>
              </w:rPr>
            </w:pPr>
            <w:r>
              <w:rPr>
                <w:sz w:val="20"/>
              </w:rPr>
              <w:t>3</w:t>
            </w:r>
          </w:p>
        </w:tc>
      </w:tr>
      <w:tr w:rsidR="00AF2508">
        <w:trPr>
          <w:cantSplit/>
          <w:trHeight w:val="200"/>
        </w:trPr>
        <w:tc>
          <w:tcPr>
            <w:tcW w:w="968" w:type="dxa"/>
          </w:tcPr>
          <w:p w:rsidR="00AF2508" w:rsidRDefault="00AF2508">
            <w:pPr>
              <w:pStyle w:val="TableText"/>
              <w:jc w:val="center"/>
              <w:rPr>
                <w:sz w:val="20"/>
              </w:rPr>
            </w:pPr>
            <w:r>
              <w:rPr>
                <w:sz w:val="20"/>
              </w:rPr>
              <w:t>5</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720" w:type="dxa"/>
            <w:gridSpan w:val="4"/>
          </w:tcPr>
          <w:p w:rsidR="00AF2508" w:rsidRDefault="00AF2508">
            <w:pPr>
              <w:pStyle w:val="TableText"/>
              <w:jc w:val="center"/>
              <w:rPr>
                <w:sz w:val="20"/>
              </w:rPr>
            </w:pPr>
            <w:r>
              <w:rPr>
                <w:sz w:val="20"/>
              </w:rPr>
              <w:t>11</w:t>
            </w:r>
          </w:p>
        </w:tc>
        <w:tc>
          <w:tcPr>
            <w:tcW w:w="816" w:type="dxa"/>
          </w:tcPr>
          <w:p w:rsidR="00AF2508" w:rsidRDefault="00AF2508">
            <w:pPr>
              <w:pStyle w:val="TableText"/>
              <w:jc w:val="center"/>
              <w:rPr>
                <w:sz w:val="20"/>
              </w:rPr>
            </w:pPr>
            <w:r>
              <w:rPr>
                <w:sz w:val="20"/>
              </w:rPr>
              <w:t>3</w:t>
            </w:r>
          </w:p>
        </w:tc>
        <w:tc>
          <w:tcPr>
            <w:tcW w:w="600" w:type="dxa"/>
            <w:tcBorders>
              <w:left w:val="single" w:sz="6" w:space="0" w:color="auto"/>
            </w:tcBorders>
          </w:tcPr>
          <w:p w:rsidR="00AF2508" w:rsidRDefault="00AF2508">
            <w:pPr>
              <w:pStyle w:val="TableText"/>
              <w:jc w:val="center"/>
              <w:rPr>
                <w:sz w:val="20"/>
              </w:rPr>
            </w:pPr>
            <w:r>
              <w:rPr>
                <w:sz w:val="20"/>
              </w:rPr>
              <w:t>21</w:t>
            </w:r>
          </w:p>
        </w:tc>
        <w:tc>
          <w:tcPr>
            <w:tcW w:w="720" w:type="dxa"/>
            <w:gridSpan w:val="2"/>
          </w:tcPr>
          <w:p w:rsidR="00AF2508" w:rsidRDefault="00AF2508">
            <w:pPr>
              <w:pStyle w:val="TableText"/>
              <w:jc w:val="center"/>
              <w:rPr>
                <w:sz w:val="20"/>
              </w:rPr>
            </w:pPr>
            <w:r>
              <w:rPr>
                <w:sz w:val="20"/>
              </w:rPr>
              <w:t>11</w:t>
            </w:r>
          </w:p>
        </w:tc>
        <w:tc>
          <w:tcPr>
            <w:tcW w:w="752" w:type="dxa"/>
            <w:tcBorders>
              <w:left w:val="single" w:sz="6" w:space="0" w:color="auto"/>
            </w:tcBorders>
          </w:tcPr>
          <w:p w:rsidR="00AF2508" w:rsidRDefault="00AF2508">
            <w:pPr>
              <w:pStyle w:val="TableText"/>
              <w:jc w:val="center"/>
              <w:rPr>
                <w:sz w:val="20"/>
              </w:rPr>
            </w:pPr>
            <w:r>
              <w:rPr>
                <w:sz w:val="20"/>
              </w:rPr>
              <w:t>19</w:t>
            </w:r>
          </w:p>
        </w:tc>
        <w:tc>
          <w:tcPr>
            <w:tcW w:w="820" w:type="dxa"/>
          </w:tcPr>
          <w:p w:rsidR="00AF2508" w:rsidRDefault="00AF2508">
            <w:pPr>
              <w:pStyle w:val="TableText"/>
              <w:jc w:val="center"/>
              <w:rPr>
                <w:sz w:val="20"/>
              </w:rPr>
            </w:pPr>
            <w:r>
              <w:rPr>
                <w:sz w:val="20"/>
              </w:rPr>
              <w:t>6</w:t>
            </w:r>
          </w:p>
        </w:tc>
        <w:tc>
          <w:tcPr>
            <w:tcW w:w="780" w:type="dxa"/>
            <w:gridSpan w:val="2"/>
            <w:tcBorders>
              <w:left w:val="single" w:sz="6" w:space="0" w:color="auto"/>
            </w:tcBorders>
          </w:tcPr>
          <w:p w:rsidR="00AF2508" w:rsidRDefault="00AF2508">
            <w:pPr>
              <w:pStyle w:val="TableText"/>
              <w:jc w:val="center"/>
              <w:rPr>
                <w:sz w:val="20"/>
              </w:rPr>
            </w:pPr>
            <w:r>
              <w:rPr>
                <w:sz w:val="20"/>
              </w:rPr>
              <w:t>15</w:t>
            </w:r>
          </w:p>
        </w:tc>
        <w:tc>
          <w:tcPr>
            <w:tcW w:w="786" w:type="dxa"/>
            <w:gridSpan w:val="2"/>
          </w:tcPr>
          <w:p w:rsidR="00AF2508" w:rsidRDefault="00AF2508">
            <w:pPr>
              <w:pStyle w:val="TableText"/>
              <w:jc w:val="center"/>
              <w:rPr>
                <w:sz w:val="20"/>
              </w:rPr>
            </w:pPr>
            <w:r>
              <w:rPr>
                <w:sz w:val="20"/>
              </w:rPr>
              <w:t>15</w:t>
            </w:r>
          </w:p>
        </w:tc>
        <w:tc>
          <w:tcPr>
            <w:tcW w:w="760" w:type="dxa"/>
            <w:tcBorders>
              <w:left w:val="single" w:sz="6" w:space="0" w:color="auto"/>
            </w:tcBorders>
          </w:tcPr>
          <w:p w:rsidR="00AF2508" w:rsidRDefault="00AF2508">
            <w:pPr>
              <w:pStyle w:val="TableText"/>
              <w:jc w:val="center"/>
              <w:rPr>
                <w:sz w:val="20"/>
              </w:rPr>
            </w:pPr>
            <w:r>
              <w:rPr>
                <w:sz w:val="20"/>
              </w:rPr>
              <w:t>11</w:t>
            </w:r>
          </w:p>
        </w:tc>
        <w:tc>
          <w:tcPr>
            <w:tcW w:w="722" w:type="dxa"/>
          </w:tcPr>
          <w:p w:rsidR="00AF2508" w:rsidRDefault="00AF2508">
            <w:pPr>
              <w:pStyle w:val="TableText"/>
              <w:jc w:val="center"/>
              <w:rPr>
                <w:sz w:val="20"/>
              </w:rPr>
            </w:pPr>
            <w:r>
              <w:rPr>
                <w:sz w:val="20"/>
              </w:rPr>
              <w:t>3</w:t>
            </w:r>
          </w:p>
        </w:tc>
        <w:tc>
          <w:tcPr>
            <w:tcW w:w="838" w:type="dxa"/>
            <w:gridSpan w:val="2"/>
            <w:tcBorders>
              <w:left w:val="single" w:sz="6" w:space="0" w:color="auto"/>
            </w:tcBorders>
          </w:tcPr>
          <w:p w:rsidR="00AF2508" w:rsidRDefault="00AF2508">
            <w:pPr>
              <w:pStyle w:val="TableText"/>
              <w:jc w:val="center"/>
              <w:rPr>
                <w:sz w:val="20"/>
              </w:rPr>
            </w:pPr>
            <w:r>
              <w:rPr>
                <w:sz w:val="20"/>
              </w:rPr>
              <w:t>5</w:t>
            </w:r>
          </w:p>
        </w:tc>
        <w:tc>
          <w:tcPr>
            <w:tcW w:w="662" w:type="dxa"/>
            <w:gridSpan w:val="2"/>
          </w:tcPr>
          <w:p w:rsidR="00AF2508" w:rsidRDefault="00AF2508">
            <w:pPr>
              <w:pStyle w:val="TableText"/>
              <w:jc w:val="center"/>
              <w:rPr>
                <w:sz w:val="20"/>
              </w:rPr>
            </w:pPr>
            <w:r>
              <w:rPr>
                <w:sz w:val="20"/>
              </w:rPr>
              <w:t>15</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11</w:t>
            </w:r>
            <w:r>
              <w:rPr>
                <w:sz w:val="20"/>
              </w:rPr>
              <w:t>/</w:t>
            </w:r>
            <w:r>
              <w:rPr>
                <w:sz w:val="16"/>
              </w:rPr>
              <w:t>16</w:t>
            </w:r>
          </w:p>
        </w:tc>
        <w:tc>
          <w:tcPr>
            <w:tcW w:w="720" w:type="dxa"/>
            <w:gridSpan w:val="4"/>
          </w:tcPr>
          <w:p w:rsidR="00AF2508" w:rsidRDefault="00AF2508">
            <w:pPr>
              <w:pStyle w:val="TableText"/>
              <w:jc w:val="center"/>
              <w:rPr>
                <w:sz w:val="20"/>
              </w:rPr>
            </w:pPr>
            <w:r>
              <w:rPr>
                <w:sz w:val="20"/>
              </w:rPr>
              <w:t>12</w:t>
            </w:r>
          </w:p>
        </w:tc>
        <w:tc>
          <w:tcPr>
            <w:tcW w:w="816" w:type="dxa"/>
          </w:tcPr>
          <w:p w:rsidR="00AF2508" w:rsidRDefault="00AF2508">
            <w:pPr>
              <w:pStyle w:val="TableText"/>
              <w:jc w:val="center"/>
              <w:rPr>
                <w:sz w:val="20"/>
              </w:rPr>
            </w:pPr>
            <w:r>
              <w:rPr>
                <w:sz w:val="20"/>
              </w:rPr>
              <w:t>7</w:t>
            </w:r>
          </w:p>
        </w:tc>
        <w:tc>
          <w:tcPr>
            <w:tcW w:w="600" w:type="dxa"/>
            <w:tcBorders>
              <w:left w:val="single" w:sz="6" w:space="0" w:color="auto"/>
            </w:tcBorders>
          </w:tcPr>
          <w:p w:rsidR="00AF2508" w:rsidRDefault="00AF2508">
            <w:pPr>
              <w:pStyle w:val="TableText"/>
              <w:jc w:val="center"/>
              <w:rPr>
                <w:sz w:val="20"/>
              </w:rPr>
            </w:pPr>
            <w:r>
              <w:rPr>
                <w:sz w:val="20"/>
              </w:rPr>
              <w:t>23</w:t>
            </w:r>
          </w:p>
        </w:tc>
        <w:tc>
          <w:tcPr>
            <w:tcW w:w="720" w:type="dxa"/>
            <w:gridSpan w:val="2"/>
          </w:tcPr>
          <w:p w:rsidR="00AF2508" w:rsidRDefault="00AF2508">
            <w:pPr>
              <w:pStyle w:val="TableText"/>
              <w:jc w:val="center"/>
              <w:rPr>
                <w:sz w:val="20"/>
              </w:rPr>
            </w:pPr>
            <w:r>
              <w:rPr>
                <w:sz w:val="20"/>
              </w:rPr>
              <w:t>17</w:t>
            </w:r>
          </w:p>
        </w:tc>
        <w:tc>
          <w:tcPr>
            <w:tcW w:w="752" w:type="dxa"/>
            <w:tcBorders>
              <w:left w:val="single" w:sz="6" w:space="0" w:color="auto"/>
            </w:tcBorders>
          </w:tcPr>
          <w:p w:rsidR="00AF2508" w:rsidRDefault="00AF2508">
            <w:pPr>
              <w:pStyle w:val="TableText"/>
              <w:jc w:val="center"/>
              <w:rPr>
                <w:sz w:val="20"/>
              </w:rPr>
            </w:pPr>
            <w:r>
              <w:rPr>
                <w:sz w:val="20"/>
              </w:rPr>
              <w:t>21</w:t>
            </w:r>
          </w:p>
        </w:tc>
        <w:tc>
          <w:tcPr>
            <w:tcW w:w="820" w:type="dxa"/>
          </w:tcPr>
          <w:p w:rsidR="00AF2508" w:rsidRDefault="00AF2508">
            <w:pPr>
              <w:pStyle w:val="TableText"/>
              <w:jc w:val="center"/>
              <w:rPr>
                <w:sz w:val="20"/>
              </w:rPr>
            </w:pPr>
            <w:r>
              <w:rPr>
                <w:sz w:val="20"/>
              </w:rPr>
              <w:t>8</w:t>
            </w:r>
          </w:p>
        </w:tc>
        <w:tc>
          <w:tcPr>
            <w:tcW w:w="780" w:type="dxa"/>
            <w:gridSpan w:val="2"/>
            <w:tcBorders>
              <w:left w:val="single" w:sz="6" w:space="0" w:color="auto"/>
            </w:tcBorders>
          </w:tcPr>
          <w:p w:rsidR="00AF2508" w:rsidRDefault="00AF2508">
            <w:pPr>
              <w:pStyle w:val="TableText"/>
              <w:jc w:val="center"/>
              <w:rPr>
                <w:sz w:val="20"/>
              </w:rPr>
            </w:pPr>
            <w:r>
              <w:rPr>
                <w:sz w:val="20"/>
              </w:rPr>
              <w:t>17</w:t>
            </w:r>
          </w:p>
        </w:tc>
        <w:tc>
          <w:tcPr>
            <w:tcW w:w="786" w:type="dxa"/>
            <w:gridSpan w:val="2"/>
          </w:tcPr>
          <w:p w:rsidR="00AF2508" w:rsidRDefault="00AF2508">
            <w:pPr>
              <w:pStyle w:val="TableText"/>
              <w:jc w:val="center"/>
              <w:rPr>
                <w:sz w:val="20"/>
              </w:rPr>
            </w:pPr>
            <w:r>
              <w:rPr>
                <w:sz w:val="20"/>
              </w:rPr>
              <w:t>10</w:t>
            </w:r>
          </w:p>
        </w:tc>
        <w:tc>
          <w:tcPr>
            <w:tcW w:w="760" w:type="dxa"/>
            <w:tcBorders>
              <w:left w:val="single" w:sz="6" w:space="0" w:color="auto"/>
            </w:tcBorders>
          </w:tcPr>
          <w:p w:rsidR="00AF2508" w:rsidRDefault="00AF2508">
            <w:pPr>
              <w:pStyle w:val="TableText"/>
              <w:jc w:val="center"/>
              <w:rPr>
                <w:sz w:val="20"/>
              </w:rPr>
            </w:pPr>
            <w:r>
              <w:rPr>
                <w:sz w:val="20"/>
              </w:rPr>
              <w:t>12</w:t>
            </w:r>
          </w:p>
        </w:tc>
        <w:tc>
          <w:tcPr>
            <w:tcW w:w="722" w:type="dxa"/>
          </w:tcPr>
          <w:p w:rsidR="00AF2508" w:rsidRDefault="00AF2508">
            <w:pPr>
              <w:pStyle w:val="TableText"/>
              <w:jc w:val="center"/>
              <w:rPr>
                <w:sz w:val="20"/>
              </w:rPr>
            </w:pPr>
            <w:r>
              <w:rPr>
                <w:sz w:val="20"/>
              </w:rPr>
              <w:t>7</w:t>
            </w:r>
          </w:p>
        </w:tc>
        <w:tc>
          <w:tcPr>
            <w:tcW w:w="838" w:type="dxa"/>
            <w:gridSpan w:val="2"/>
            <w:tcBorders>
              <w:left w:val="single" w:sz="6" w:space="0" w:color="auto"/>
            </w:tcBorders>
          </w:tcPr>
          <w:p w:rsidR="00AF2508" w:rsidRDefault="00AF2508">
            <w:pPr>
              <w:pStyle w:val="TableText"/>
              <w:jc w:val="center"/>
              <w:rPr>
                <w:sz w:val="20"/>
              </w:rPr>
            </w:pPr>
            <w:r>
              <w:rPr>
                <w:sz w:val="20"/>
              </w:rPr>
              <w:t>6</w:t>
            </w:r>
          </w:p>
        </w:tc>
        <w:tc>
          <w:tcPr>
            <w:tcW w:w="662" w:type="dxa"/>
            <w:gridSpan w:val="2"/>
          </w:tcPr>
          <w:p w:rsidR="00AF2508" w:rsidRDefault="00AF2508">
            <w:pPr>
              <w:pStyle w:val="TableText"/>
              <w:jc w:val="center"/>
              <w:rPr>
                <w:sz w:val="20"/>
              </w:rPr>
            </w:pPr>
            <w:r>
              <w:rPr>
                <w:sz w:val="20"/>
              </w:rPr>
              <w:t>8</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720" w:type="dxa"/>
            <w:gridSpan w:val="4"/>
          </w:tcPr>
          <w:p w:rsidR="00AF2508" w:rsidRDefault="00AF2508">
            <w:pPr>
              <w:pStyle w:val="TableText"/>
              <w:jc w:val="center"/>
              <w:rPr>
                <w:sz w:val="20"/>
              </w:rPr>
            </w:pPr>
            <w:r>
              <w:rPr>
                <w:sz w:val="20"/>
              </w:rPr>
              <w:t>13</w:t>
            </w:r>
          </w:p>
        </w:tc>
        <w:tc>
          <w:tcPr>
            <w:tcW w:w="816" w:type="dxa"/>
          </w:tcPr>
          <w:p w:rsidR="00AF2508" w:rsidRDefault="00AF2508">
            <w:pPr>
              <w:pStyle w:val="TableText"/>
              <w:jc w:val="center"/>
              <w:rPr>
                <w:sz w:val="20"/>
              </w:rPr>
            </w:pPr>
            <w:r>
              <w:rPr>
                <w:sz w:val="20"/>
              </w:rPr>
              <w:t>6</w:t>
            </w:r>
          </w:p>
        </w:tc>
        <w:tc>
          <w:tcPr>
            <w:tcW w:w="600" w:type="dxa"/>
            <w:tcBorders>
              <w:left w:val="single" w:sz="6" w:space="0" w:color="auto"/>
            </w:tcBorders>
          </w:tcPr>
          <w:p w:rsidR="00AF2508" w:rsidRDefault="00AF2508">
            <w:pPr>
              <w:pStyle w:val="TableText"/>
              <w:jc w:val="center"/>
              <w:rPr>
                <w:sz w:val="20"/>
              </w:rPr>
            </w:pPr>
            <w:r>
              <w:rPr>
                <w:sz w:val="20"/>
              </w:rPr>
              <w:t>25</w:t>
            </w:r>
          </w:p>
        </w:tc>
        <w:tc>
          <w:tcPr>
            <w:tcW w:w="720" w:type="dxa"/>
            <w:gridSpan w:val="2"/>
          </w:tcPr>
          <w:p w:rsidR="00AF2508" w:rsidRDefault="00AF2508">
            <w:pPr>
              <w:pStyle w:val="TableText"/>
              <w:jc w:val="center"/>
              <w:rPr>
                <w:sz w:val="20"/>
              </w:rPr>
            </w:pPr>
            <w:r>
              <w:rPr>
                <w:sz w:val="20"/>
              </w:rPr>
              <w:t>14</w:t>
            </w:r>
          </w:p>
        </w:tc>
        <w:tc>
          <w:tcPr>
            <w:tcW w:w="752" w:type="dxa"/>
            <w:tcBorders>
              <w:left w:val="single" w:sz="6" w:space="0" w:color="auto"/>
            </w:tcBorders>
          </w:tcPr>
          <w:p w:rsidR="00AF2508" w:rsidRDefault="00AF2508">
            <w:pPr>
              <w:pStyle w:val="TableText"/>
              <w:jc w:val="center"/>
              <w:rPr>
                <w:sz w:val="20"/>
              </w:rPr>
            </w:pPr>
            <w:r>
              <w:rPr>
                <w:sz w:val="20"/>
              </w:rPr>
              <w:t>23</w:t>
            </w:r>
          </w:p>
        </w:tc>
        <w:tc>
          <w:tcPr>
            <w:tcW w:w="820" w:type="dxa"/>
          </w:tcPr>
          <w:p w:rsidR="00AF2508" w:rsidRDefault="00AF2508">
            <w:pPr>
              <w:pStyle w:val="TableText"/>
              <w:jc w:val="center"/>
              <w:rPr>
                <w:sz w:val="20"/>
              </w:rPr>
            </w:pPr>
            <w:r>
              <w:rPr>
                <w:sz w:val="20"/>
              </w:rPr>
              <w:t>1</w:t>
            </w:r>
          </w:p>
        </w:tc>
        <w:tc>
          <w:tcPr>
            <w:tcW w:w="780" w:type="dxa"/>
            <w:gridSpan w:val="2"/>
            <w:tcBorders>
              <w:left w:val="single" w:sz="6" w:space="0" w:color="auto"/>
            </w:tcBorders>
          </w:tcPr>
          <w:p w:rsidR="00AF2508" w:rsidRDefault="00AF2508">
            <w:pPr>
              <w:pStyle w:val="TableText"/>
              <w:jc w:val="center"/>
              <w:rPr>
                <w:sz w:val="20"/>
              </w:rPr>
            </w:pPr>
            <w:r>
              <w:rPr>
                <w:sz w:val="20"/>
              </w:rPr>
              <w:t>18</w:t>
            </w:r>
          </w:p>
        </w:tc>
        <w:tc>
          <w:tcPr>
            <w:tcW w:w="786" w:type="dxa"/>
            <w:gridSpan w:val="2"/>
          </w:tcPr>
          <w:p w:rsidR="00AF2508" w:rsidRDefault="00AF2508">
            <w:pPr>
              <w:pStyle w:val="TableText"/>
              <w:jc w:val="center"/>
              <w:rPr>
                <w:sz w:val="20"/>
              </w:rPr>
            </w:pPr>
            <w:r>
              <w:rPr>
                <w:sz w:val="20"/>
              </w:rPr>
              <w:t>16</w:t>
            </w:r>
          </w:p>
        </w:tc>
        <w:tc>
          <w:tcPr>
            <w:tcW w:w="760" w:type="dxa"/>
            <w:tcBorders>
              <w:left w:val="single" w:sz="6" w:space="0" w:color="auto"/>
            </w:tcBorders>
          </w:tcPr>
          <w:p w:rsidR="00AF2508" w:rsidRDefault="00AF2508">
            <w:pPr>
              <w:pStyle w:val="TableText"/>
              <w:jc w:val="center"/>
              <w:rPr>
                <w:sz w:val="20"/>
              </w:rPr>
            </w:pPr>
            <w:r>
              <w:rPr>
                <w:sz w:val="20"/>
              </w:rPr>
              <w:t>13</w:t>
            </w:r>
          </w:p>
        </w:tc>
        <w:tc>
          <w:tcPr>
            <w:tcW w:w="722" w:type="dxa"/>
          </w:tcPr>
          <w:p w:rsidR="00AF2508" w:rsidRDefault="00AF2508">
            <w:pPr>
              <w:pStyle w:val="TableText"/>
              <w:jc w:val="center"/>
              <w:rPr>
                <w:sz w:val="20"/>
              </w:rPr>
            </w:pPr>
            <w:r>
              <w:rPr>
                <w:sz w:val="20"/>
              </w:rPr>
              <w:t>6</w:t>
            </w:r>
          </w:p>
        </w:tc>
        <w:tc>
          <w:tcPr>
            <w:tcW w:w="838" w:type="dxa"/>
            <w:gridSpan w:val="2"/>
            <w:tcBorders>
              <w:left w:val="single" w:sz="6" w:space="0" w:color="auto"/>
            </w:tcBorders>
          </w:tcPr>
          <w:p w:rsidR="00AF2508" w:rsidRDefault="00AF2508">
            <w:pPr>
              <w:pStyle w:val="TableText"/>
              <w:jc w:val="center"/>
              <w:rPr>
                <w:sz w:val="20"/>
              </w:rPr>
            </w:pPr>
            <w:r>
              <w:rPr>
                <w:sz w:val="20"/>
              </w:rPr>
              <w:t>6</w:t>
            </w:r>
          </w:p>
        </w:tc>
        <w:tc>
          <w:tcPr>
            <w:tcW w:w="662" w:type="dxa"/>
            <w:gridSpan w:val="2"/>
          </w:tcPr>
          <w:p w:rsidR="00AF2508" w:rsidRDefault="00AF2508">
            <w:pPr>
              <w:pStyle w:val="TableText"/>
              <w:jc w:val="center"/>
              <w:rPr>
                <w:sz w:val="20"/>
              </w:rPr>
            </w:pPr>
            <w:r>
              <w:rPr>
                <w:sz w:val="20"/>
              </w:rPr>
              <w:t>17</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13</w:t>
            </w:r>
            <w:r>
              <w:rPr>
                <w:sz w:val="20"/>
              </w:rPr>
              <w:t>/</w:t>
            </w:r>
            <w:r>
              <w:rPr>
                <w:sz w:val="16"/>
              </w:rPr>
              <w:t>16</w:t>
            </w:r>
          </w:p>
        </w:tc>
        <w:tc>
          <w:tcPr>
            <w:tcW w:w="720" w:type="dxa"/>
            <w:gridSpan w:val="4"/>
          </w:tcPr>
          <w:p w:rsidR="00AF2508" w:rsidRDefault="00AF2508">
            <w:pPr>
              <w:pStyle w:val="TableText"/>
              <w:jc w:val="center"/>
              <w:rPr>
                <w:sz w:val="20"/>
              </w:rPr>
            </w:pPr>
            <w:r>
              <w:rPr>
                <w:sz w:val="20"/>
              </w:rPr>
              <w:t>14</w:t>
            </w:r>
          </w:p>
        </w:tc>
        <w:tc>
          <w:tcPr>
            <w:tcW w:w="816" w:type="dxa"/>
          </w:tcPr>
          <w:p w:rsidR="00AF2508" w:rsidRDefault="00AF2508">
            <w:pPr>
              <w:pStyle w:val="TableText"/>
              <w:jc w:val="center"/>
              <w:rPr>
                <w:sz w:val="20"/>
              </w:rPr>
            </w:pPr>
            <w:r>
              <w:rPr>
                <w:sz w:val="20"/>
              </w:rPr>
              <w:t>13</w:t>
            </w:r>
          </w:p>
        </w:tc>
        <w:tc>
          <w:tcPr>
            <w:tcW w:w="600" w:type="dxa"/>
            <w:tcBorders>
              <w:left w:val="single" w:sz="6" w:space="0" w:color="auto"/>
            </w:tcBorders>
          </w:tcPr>
          <w:p w:rsidR="00AF2508" w:rsidRDefault="00AF2508">
            <w:pPr>
              <w:pStyle w:val="TableText"/>
              <w:jc w:val="center"/>
              <w:rPr>
                <w:sz w:val="20"/>
              </w:rPr>
            </w:pPr>
            <w:r>
              <w:rPr>
                <w:sz w:val="20"/>
              </w:rPr>
              <w:t>28</w:t>
            </w:r>
          </w:p>
        </w:tc>
        <w:tc>
          <w:tcPr>
            <w:tcW w:w="720" w:type="dxa"/>
            <w:gridSpan w:val="2"/>
          </w:tcPr>
          <w:p w:rsidR="00AF2508" w:rsidRDefault="00AF2508">
            <w:pPr>
              <w:pStyle w:val="TableText"/>
              <w:jc w:val="center"/>
              <w:rPr>
                <w:sz w:val="20"/>
              </w:rPr>
            </w:pPr>
            <w:r>
              <w:rPr>
                <w:sz w:val="20"/>
              </w:rPr>
              <w:t>6</w:t>
            </w:r>
          </w:p>
        </w:tc>
        <w:tc>
          <w:tcPr>
            <w:tcW w:w="752" w:type="dxa"/>
            <w:tcBorders>
              <w:left w:val="single" w:sz="6" w:space="0" w:color="auto"/>
            </w:tcBorders>
          </w:tcPr>
          <w:p w:rsidR="00AF2508" w:rsidRDefault="00AF2508">
            <w:pPr>
              <w:pStyle w:val="TableText"/>
              <w:jc w:val="center"/>
              <w:rPr>
                <w:sz w:val="20"/>
              </w:rPr>
            </w:pPr>
            <w:r>
              <w:rPr>
                <w:sz w:val="20"/>
              </w:rPr>
              <w:t>25</w:t>
            </w:r>
          </w:p>
        </w:tc>
        <w:tc>
          <w:tcPr>
            <w:tcW w:w="820" w:type="dxa"/>
          </w:tcPr>
          <w:p w:rsidR="00AF2508" w:rsidRDefault="00AF2508">
            <w:pPr>
              <w:pStyle w:val="TableText"/>
              <w:jc w:val="center"/>
              <w:rPr>
                <w:sz w:val="20"/>
              </w:rPr>
            </w:pPr>
            <w:r>
              <w:rPr>
                <w:sz w:val="20"/>
              </w:rPr>
              <w:t>7</w:t>
            </w:r>
          </w:p>
        </w:tc>
        <w:tc>
          <w:tcPr>
            <w:tcW w:w="780" w:type="dxa"/>
            <w:gridSpan w:val="2"/>
            <w:tcBorders>
              <w:left w:val="single" w:sz="6" w:space="0" w:color="auto"/>
            </w:tcBorders>
          </w:tcPr>
          <w:p w:rsidR="00AF2508" w:rsidRDefault="00AF2508">
            <w:pPr>
              <w:pStyle w:val="TableText"/>
              <w:jc w:val="center"/>
              <w:rPr>
                <w:sz w:val="20"/>
              </w:rPr>
            </w:pPr>
            <w:r>
              <w:rPr>
                <w:sz w:val="20"/>
              </w:rPr>
              <w:t>20</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14</w:t>
            </w:r>
          </w:p>
        </w:tc>
        <w:tc>
          <w:tcPr>
            <w:tcW w:w="722" w:type="dxa"/>
          </w:tcPr>
          <w:p w:rsidR="00AF2508" w:rsidRDefault="00AF2508">
            <w:pPr>
              <w:pStyle w:val="TableText"/>
              <w:jc w:val="center"/>
              <w:rPr>
                <w:sz w:val="20"/>
              </w:rPr>
            </w:pPr>
            <w:r>
              <w:rPr>
                <w:sz w:val="20"/>
              </w:rPr>
              <w:t>13</w:t>
            </w:r>
          </w:p>
        </w:tc>
        <w:tc>
          <w:tcPr>
            <w:tcW w:w="838" w:type="dxa"/>
            <w:gridSpan w:val="2"/>
            <w:tcBorders>
              <w:left w:val="single" w:sz="6" w:space="0" w:color="auto"/>
            </w:tcBorders>
          </w:tcPr>
          <w:p w:rsidR="00AF2508" w:rsidRDefault="00AF2508">
            <w:pPr>
              <w:pStyle w:val="TableText"/>
              <w:jc w:val="center"/>
              <w:rPr>
                <w:sz w:val="20"/>
              </w:rPr>
            </w:pPr>
            <w:r>
              <w:rPr>
                <w:sz w:val="20"/>
              </w:rPr>
              <w:t>7</w:t>
            </w:r>
          </w:p>
        </w:tc>
        <w:tc>
          <w:tcPr>
            <w:tcW w:w="662" w:type="dxa"/>
            <w:gridSpan w:val="2"/>
          </w:tcPr>
          <w:p w:rsidR="00AF2508" w:rsidRDefault="00AF2508">
            <w:pPr>
              <w:pStyle w:val="TableText"/>
              <w:jc w:val="center"/>
              <w:rPr>
                <w:sz w:val="20"/>
              </w:rPr>
            </w:pPr>
            <w:r>
              <w:rPr>
                <w:sz w:val="20"/>
              </w:rPr>
              <w:t>11</w:t>
            </w:r>
          </w:p>
        </w:tc>
      </w:tr>
      <w:tr w:rsidR="00AF2508">
        <w:trPr>
          <w:cantSplit/>
          <w:trHeight w:val="200"/>
        </w:trPr>
        <w:tc>
          <w:tcPr>
            <w:tcW w:w="968" w:type="dxa"/>
            <w:tcBorders>
              <w:bottom w:val="single" w:sz="6" w:space="0" w:color="auto"/>
            </w:tcBorders>
          </w:tcPr>
          <w:p w:rsidR="00AF2508" w:rsidRDefault="00AF2508">
            <w:pPr>
              <w:pStyle w:val="TableText"/>
              <w:jc w:val="center"/>
              <w:rPr>
                <w:sz w:val="20"/>
              </w:rPr>
            </w:pPr>
            <w:r>
              <w:rPr>
                <w:sz w:val="20"/>
              </w:rPr>
              <w:t>6</w:t>
            </w:r>
          </w:p>
        </w:tc>
        <w:tc>
          <w:tcPr>
            <w:tcW w:w="924" w:type="dxa"/>
            <w:gridSpan w:val="2"/>
            <w:tcBorders>
              <w:left w:val="single" w:sz="6" w:space="0" w:color="auto"/>
              <w:bottom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720" w:type="dxa"/>
            <w:gridSpan w:val="4"/>
            <w:tcBorders>
              <w:bottom w:val="single" w:sz="6" w:space="0" w:color="auto"/>
            </w:tcBorders>
          </w:tcPr>
          <w:p w:rsidR="00AF2508" w:rsidRDefault="00AF2508">
            <w:pPr>
              <w:pStyle w:val="TableText"/>
              <w:jc w:val="center"/>
              <w:rPr>
                <w:sz w:val="20"/>
              </w:rPr>
            </w:pPr>
            <w:r>
              <w:rPr>
                <w:sz w:val="20"/>
              </w:rPr>
              <w:t>16</w:t>
            </w:r>
          </w:p>
        </w:tc>
        <w:tc>
          <w:tcPr>
            <w:tcW w:w="816" w:type="dxa"/>
            <w:tcBorders>
              <w:bottom w:val="single" w:sz="6" w:space="0" w:color="auto"/>
            </w:tcBorders>
          </w:tcPr>
          <w:p w:rsidR="00AF2508" w:rsidRDefault="00AF2508">
            <w:pPr>
              <w:pStyle w:val="TableText"/>
              <w:jc w:val="center"/>
              <w:rPr>
                <w:sz w:val="20"/>
              </w:rPr>
            </w:pPr>
            <w:r>
              <w:rPr>
                <w:sz w:val="20"/>
              </w:rPr>
              <w:t>1</w:t>
            </w:r>
          </w:p>
        </w:tc>
        <w:tc>
          <w:tcPr>
            <w:tcW w:w="600" w:type="dxa"/>
            <w:tcBorders>
              <w:left w:val="single" w:sz="6" w:space="0" w:color="auto"/>
              <w:bottom w:val="single" w:sz="6" w:space="0" w:color="auto"/>
            </w:tcBorders>
          </w:tcPr>
          <w:p w:rsidR="00AF2508" w:rsidRDefault="00AF2508">
            <w:pPr>
              <w:pStyle w:val="TableText"/>
              <w:jc w:val="center"/>
              <w:rPr>
                <w:sz w:val="20"/>
              </w:rPr>
            </w:pPr>
            <w:r>
              <w:rPr>
                <w:sz w:val="20"/>
              </w:rPr>
              <w:t>31</w:t>
            </w:r>
          </w:p>
        </w:tc>
        <w:tc>
          <w:tcPr>
            <w:tcW w:w="720" w:type="dxa"/>
            <w:gridSpan w:val="2"/>
            <w:tcBorders>
              <w:bottom w:val="single" w:sz="6" w:space="0" w:color="auto"/>
            </w:tcBorders>
          </w:tcPr>
          <w:p w:rsidR="00AF2508" w:rsidRDefault="00AF2508">
            <w:pPr>
              <w:pStyle w:val="TableText"/>
              <w:jc w:val="center"/>
              <w:rPr>
                <w:sz w:val="20"/>
              </w:rPr>
            </w:pPr>
            <w:r>
              <w:rPr>
                <w:sz w:val="20"/>
              </w:rPr>
              <w:t>0</w:t>
            </w:r>
          </w:p>
        </w:tc>
        <w:tc>
          <w:tcPr>
            <w:tcW w:w="752" w:type="dxa"/>
            <w:tcBorders>
              <w:left w:val="single" w:sz="6" w:space="0" w:color="auto"/>
              <w:bottom w:val="single" w:sz="6" w:space="0" w:color="auto"/>
            </w:tcBorders>
          </w:tcPr>
          <w:p w:rsidR="00AF2508" w:rsidRDefault="00AF2508">
            <w:pPr>
              <w:pStyle w:val="TableText"/>
              <w:jc w:val="center"/>
              <w:rPr>
                <w:sz w:val="20"/>
              </w:rPr>
            </w:pPr>
            <w:r>
              <w:rPr>
                <w:sz w:val="20"/>
              </w:rPr>
              <w:t>27</w:t>
            </w:r>
          </w:p>
        </w:tc>
        <w:tc>
          <w:tcPr>
            <w:tcW w:w="820" w:type="dxa"/>
            <w:tcBorders>
              <w:bottom w:val="single" w:sz="6" w:space="0" w:color="auto"/>
            </w:tcBorders>
          </w:tcPr>
          <w:p w:rsidR="00AF2508" w:rsidRDefault="00AF2508">
            <w:pPr>
              <w:pStyle w:val="TableText"/>
              <w:jc w:val="center"/>
              <w:rPr>
                <w:sz w:val="20"/>
              </w:rPr>
            </w:pPr>
            <w:r>
              <w:rPr>
                <w:sz w:val="20"/>
              </w:rPr>
              <w:t>16</w:t>
            </w:r>
          </w:p>
        </w:tc>
        <w:tc>
          <w:tcPr>
            <w:tcW w:w="780" w:type="dxa"/>
            <w:gridSpan w:val="2"/>
            <w:tcBorders>
              <w:left w:val="single" w:sz="6" w:space="0" w:color="auto"/>
              <w:bottom w:val="single" w:sz="6" w:space="0" w:color="auto"/>
            </w:tcBorders>
          </w:tcPr>
          <w:p w:rsidR="00AF2508" w:rsidRDefault="00AF2508">
            <w:pPr>
              <w:pStyle w:val="TableText"/>
              <w:jc w:val="center"/>
              <w:rPr>
                <w:sz w:val="20"/>
              </w:rPr>
            </w:pPr>
            <w:r>
              <w:rPr>
                <w:sz w:val="20"/>
              </w:rPr>
              <w:t>22</w:t>
            </w:r>
          </w:p>
        </w:tc>
        <w:tc>
          <w:tcPr>
            <w:tcW w:w="786" w:type="dxa"/>
            <w:gridSpan w:val="2"/>
            <w:tcBorders>
              <w:bottom w:val="single" w:sz="6" w:space="0" w:color="auto"/>
            </w:tcBorders>
          </w:tcPr>
          <w:p w:rsidR="00AF2508" w:rsidRDefault="00AF2508">
            <w:pPr>
              <w:pStyle w:val="TableText"/>
              <w:jc w:val="center"/>
              <w:rPr>
                <w:sz w:val="20"/>
              </w:rPr>
            </w:pPr>
            <w:r>
              <w:rPr>
                <w:sz w:val="20"/>
              </w:rPr>
              <w:t>14</w:t>
            </w:r>
          </w:p>
        </w:tc>
        <w:tc>
          <w:tcPr>
            <w:tcW w:w="760" w:type="dxa"/>
            <w:tcBorders>
              <w:left w:val="single" w:sz="6" w:space="0" w:color="auto"/>
              <w:bottom w:val="single" w:sz="6" w:space="0" w:color="auto"/>
            </w:tcBorders>
          </w:tcPr>
          <w:p w:rsidR="00AF2508" w:rsidRDefault="00AF2508">
            <w:pPr>
              <w:pStyle w:val="TableText"/>
              <w:jc w:val="center"/>
              <w:rPr>
                <w:sz w:val="20"/>
              </w:rPr>
            </w:pPr>
            <w:r>
              <w:rPr>
                <w:sz w:val="20"/>
              </w:rPr>
              <w:t>16</w:t>
            </w:r>
          </w:p>
        </w:tc>
        <w:tc>
          <w:tcPr>
            <w:tcW w:w="722" w:type="dxa"/>
            <w:tcBorders>
              <w:bottom w:val="single" w:sz="6" w:space="0" w:color="auto"/>
            </w:tcBorders>
          </w:tcPr>
          <w:p w:rsidR="00AF2508" w:rsidRDefault="00AF2508">
            <w:pPr>
              <w:pStyle w:val="TableText"/>
              <w:jc w:val="center"/>
              <w:rPr>
                <w:sz w:val="20"/>
              </w:rPr>
            </w:pPr>
            <w:r>
              <w:rPr>
                <w:sz w:val="20"/>
              </w:rPr>
              <w:t>1</w:t>
            </w:r>
          </w:p>
        </w:tc>
        <w:tc>
          <w:tcPr>
            <w:tcW w:w="838" w:type="dxa"/>
            <w:gridSpan w:val="2"/>
            <w:tcBorders>
              <w:left w:val="single" w:sz="6" w:space="0" w:color="auto"/>
              <w:bottom w:val="single" w:sz="6" w:space="0" w:color="auto"/>
            </w:tcBorders>
          </w:tcPr>
          <w:p w:rsidR="00AF2508" w:rsidRDefault="00AF2508">
            <w:pPr>
              <w:pStyle w:val="TableText"/>
              <w:jc w:val="center"/>
              <w:rPr>
                <w:sz w:val="20"/>
              </w:rPr>
            </w:pPr>
            <w:r>
              <w:rPr>
                <w:sz w:val="20"/>
              </w:rPr>
              <w:t>8</w:t>
            </w:r>
          </w:p>
        </w:tc>
        <w:tc>
          <w:tcPr>
            <w:tcW w:w="662" w:type="dxa"/>
            <w:gridSpan w:val="2"/>
            <w:tcBorders>
              <w:bottom w:val="single" w:sz="6" w:space="0" w:color="auto"/>
            </w:tcBorders>
          </w:tcPr>
          <w:p w:rsidR="00AF2508" w:rsidRDefault="00AF2508">
            <w:pPr>
              <w:pStyle w:val="TableText"/>
              <w:jc w:val="center"/>
              <w:rPr>
                <w:sz w:val="20"/>
              </w:rPr>
            </w:pPr>
            <w:r>
              <w:rPr>
                <w:sz w:val="20"/>
              </w:rPr>
              <w:t>6</w:t>
            </w:r>
          </w:p>
        </w:tc>
      </w:tr>
    </w:tbl>
    <w:p w:rsidR="00AF2508" w:rsidRDefault="00AF2508"/>
    <w:p w:rsidR="00AF2508" w:rsidRDefault="00AF2508">
      <w:pPr>
        <w:pStyle w:val="TableHd"/>
      </w:pPr>
      <w:r>
        <w:t>Maximum safe working load for steel wire rope—Classification 2</w:t>
      </w:r>
    </w:p>
    <w:p w:rsidR="00AF2508" w:rsidRDefault="00AF2508">
      <w:pPr>
        <w:pStyle w:val="TableHd"/>
        <w:ind w:left="0" w:firstLine="0"/>
      </w:pPr>
      <w:r>
        <w:t>Minimum ultimate tensile value of steel of which rope is constructed = 80 tons per square inch</w:t>
      </w:r>
      <w:r>
        <w:br/>
        <w:t>construction:  6 strands each containing 37 wires</w:t>
      </w:r>
    </w:p>
    <w:tbl>
      <w:tblPr>
        <w:tblW w:w="0" w:type="auto"/>
        <w:tblLayout w:type="fixed"/>
        <w:tblCellMar>
          <w:left w:w="80" w:type="dxa"/>
          <w:right w:w="80" w:type="dxa"/>
        </w:tblCellMar>
        <w:tblLook w:val="0000" w:firstRow="0" w:lastRow="0" w:firstColumn="0" w:lastColumn="0" w:noHBand="0" w:noVBand="0"/>
      </w:tblPr>
      <w:tblGrid>
        <w:gridCol w:w="968"/>
        <w:gridCol w:w="16"/>
        <w:gridCol w:w="908"/>
        <w:gridCol w:w="16"/>
        <w:gridCol w:w="579"/>
        <w:gridCol w:w="93"/>
        <w:gridCol w:w="852"/>
        <w:gridCol w:w="588"/>
        <w:gridCol w:w="12"/>
        <w:gridCol w:w="708"/>
        <w:gridCol w:w="12"/>
        <w:gridCol w:w="752"/>
        <w:gridCol w:w="832"/>
        <w:gridCol w:w="768"/>
        <w:gridCol w:w="780"/>
        <w:gridCol w:w="6"/>
        <w:gridCol w:w="760"/>
        <w:gridCol w:w="722"/>
        <w:gridCol w:w="12"/>
        <w:gridCol w:w="826"/>
        <w:gridCol w:w="654"/>
        <w:gridCol w:w="12"/>
      </w:tblGrid>
      <w:tr w:rsidR="00AF2508">
        <w:trPr>
          <w:gridAfter w:val="1"/>
          <w:wAfter w:w="12" w:type="dxa"/>
          <w:cantSplit/>
          <w:tblHeader/>
        </w:trPr>
        <w:tc>
          <w:tcPr>
            <w:tcW w:w="984" w:type="dxa"/>
            <w:gridSpan w:val="2"/>
            <w:tcBorders>
              <w:top w:val="single" w:sz="6" w:space="0" w:color="auto"/>
              <w:right w:val="single" w:sz="6" w:space="0" w:color="auto"/>
            </w:tcBorders>
          </w:tcPr>
          <w:p w:rsidR="00AF2508" w:rsidRDefault="00AF2508">
            <w:pPr>
              <w:pStyle w:val="TableColHd"/>
              <w:jc w:val="center"/>
            </w:pPr>
          </w:p>
        </w:tc>
        <w:tc>
          <w:tcPr>
            <w:tcW w:w="924" w:type="dxa"/>
            <w:gridSpan w:val="2"/>
            <w:tcBorders>
              <w:top w:val="single" w:sz="6" w:space="0" w:color="auto"/>
              <w:right w:val="single" w:sz="6" w:space="0" w:color="auto"/>
            </w:tcBorders>
          </w:tcPr>
          <w:p w:rsidR="00AF2508" w:rsidRDefault="00AF2508">
            <w:pPr>
              <w:pStyle w:val="TableColHd"/>
              <w:jc w:val="center"/>
            </w:pPr>
          </w:p>
        </w:tc>
        <w:tc>
          <w:tcPr>
            <w:tcW w:w="579" w:type="dxa"/>
            <w:tcBorders>
              <w:top w:val="single" w:sz="6" w:space="0" w:color="auto"/>
            </w:tcBorders>
          </w:tcPr>
          <w:p w:rsidR="00AF2508" w:rsidRDefault="00AF2508">
            <w:pPr>
              <w:pStyle w:val="TableColHd"/>
              <w:jc w:val="center"/>
            </w:pPr>
          </w:p>
        </w:tc>
        <w:tc>
          <w:tcPr>
            <w:tcW w:w="941" w:type="dxa"/>
            <w:gridSpan w:val="2"/>
            <w:tcBorders>
              <w:top w:val="single" w:sz="6" w:space="0" w:color="auto"/>
            </w:tcBorders>
          </w:tcPr>
          <w:p w:rsidR="00AF2508" w:rsidRDefault="00AF2508">
            <w:pPr>
              <w:pStyle w:val="TableColHd"/>
              <w:jc w:val="center"/>
            </w:pPr>
          </w:p>
        </w:tc>
        <w:tc>
          <w:tcPr>
            <w:tcW w:w="7428" w:type="dxa"/>
            <w:gridSpan w:val="14"/>
            <w:tcBorders>
              <w:top w:val="single" w:sz="6" w:space="0" w:color="auto"/>
              <w:left w:val="single" w:sz="6" w:space="0" w:color="auto"/>
              <w:bottom w:val="single" w:sz="6" w:space="0" w:color="auto"/>
            </w:tcBorders>
          </w:tcPr>
          <w:p w:rsidR="00AF2508" w:rsidRDefault="00AF2508">
            <w:pPr>
              <w:pStyle w:val="TableColHd"/>
              <w:jc w:val="center"/>
            </w:pPr>
            <w:r>
              <w:t>safe load for 2-leg sling arranged as indicated</w:t>
            </w:r>
          </w:p>
        </w:tc>
      </w:tr>
      <w:tr w:rsidR="00AF2508">
        <w:trPr>
          <w:gridAfter w:val="1"/>
          <w:wAfter w:w="12" w:type="dxa"/>
          <w:cantSplit/>
          <w:tblHeader/>
        </w:trPr>
        <w:tc>
          <w:tcPr>
            <w:tcW w:w="984" w:type="dxa"/>
            <w:gridSpan w:val="2"/>
            <w:tcBorders>
              <w:right w:val="single" w:sz="6" w:space="0" w:color="auto"/>
            </w:tcBorders>
            <w:vAlign w:val="bottom"/>
          </w:tcPr>
          <w:p w:rsidR="00AF2508" w:rsidRDefault="00AF2508">
            <w:pPr>
              <w:pStyle w:val="TableColHd"/>
            </w:pPr>
            <w:r>
              <w:t>circum-</w:t>
            </w:r>
            <w:r>
              <w:br/>
              <w:t>ference</w:t>
            </w:r>
            <w:r>
              <w:br/>
              <w:t>of rope</w:t>
            </w:r>
          </w:p>
        </w:tc>
        <w:tc>
          <w:tcPr>
            <w:tcW w:w="924" w:type="dxa"/>
            <w:gridSpan w:val="2"/>
            <w:tcBorders>
              <w:right w:val="single" w:sz="6" w:space="0" w:color="auto"/>
            </w:tcBorders>
            <w:vAlign w:val="bottom"/>
          </w:tcPr>
          <w:p w:rsidR="00AF2508" w:rsidRDefault="00AF2508">
            <w:pPr>
              <w:pStyle w:val="TableColHd"/>
            </w:pPr>
            <w:r>
              <w:t>approx.</w:t>
            </w:r>
            <w:r>
              <w:br/>
              <w:t>diameter</w:t>
            </w:r>
            <w:r>
              <w:br/>
              <w:t>of rope</w:t>
            </w:r>
          </w:p>
        </w:tc>
        <w:tc>
          <w:tcPr>
            <w:tcW w:w="1520" w:type="dxa"/>
            <w:gridSpan w:val="3"/>
            <w:vAlign w:val="bottom"/>
          </w:tcPr>
          <w:p w:rsidR="00AF2508" w:rsidRDefault="00AF2508">
            <w:pPr>
              <w:pStyle w:val="TableColHd"/>
            </w:pPr>
            <w:r>
              <w:t>safe load for 1 single fall (part) of rope</w:t>
            </w:r>
          </w:p>
        </w:tc>
        <w:tc>
          <w:tcPr>
            <w:tcW w:w="1320" w:type="dxa"/>
            <w:gridSpan w:val="4"/>
            <w:tcBorders>
              <w:left w:val="single" w:sz="6" w:space="0" w:color="auto"/>
            </w:tcBorders>
          </w:tcPr>
          <w:p w:rsidR="00AF2508" w:rsidRDefault="00136775">
            <w:pPr>
              <w:rPr>
                <w:color w:val="000000"/>
                <w:sz w:val="18"/>
              </w:rPr>
            </w:pPr>
            <w:r>
              <w:rPr>
                <w:noProof/>
                <w:color w:val="000000"/>
                <w:sz w:val="20"/>
                <w:lang w:eastAsia="en-AU"/>
              </w:rPr>
              <w:drawing>
                <wp:inline distT="0" distB="0" distL="0" distR="0">
                  <wp:extent cx="866775" cy="495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048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AF2508" w:rsidRDefault="00136775">
            <w:pPr>
              <w:rPr>
                <w:color w:val="000000"/>
                <w:sz w:val="18"/>
              </w:rPr>
            </w:pPr>
            <w:r>
              <w:rPr>
                <w:noProof/>
                <w:color w:val="000000"/>
                <w:sz w:val="20"/>
                <w:lang w:eastAsia="en-AU"/>
              </w:rPr>
              <w:drawing>
                <wp:inline distT="0" distB="0" distL="0" distR="0">
                  <wp:extent cx="847725" cy="533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AF2508" w:rsidRDefault="00136775">
            <w:pPr>
              <w:rPr>
                <w:color w:val="000000"/>
                <w:sz w:val="18"/>
              </w:rPr>
            </w:pPr>
            <w:r>
              <w:rPr>
                <w:noProof/>
                <w:color w:val="000000"/>
                <w:sz w:val="20"/>
                <w:lang w:eastAsia="en-AU"/>
              </w:rPr>
              <w:drawing>
                <wp:inline distT="0" distB="0" distL="0" distR="0">
                  <wp:extent cx="876300" cy="533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AF2508" w:rsidRDefault="00136775">
            <w:pPr>
              <w:rPr>
                <w:color w:val="000000"/>
                <w:sz w:val="18"/>
              </w:rPr>
            </w:pPr>
            <w:r>
              <w:rPr>
                <w:noProof/>
                <w:color w:val="000000"/>
                <w:sz w:val="20"/>
                <w:lang w:eastAsia="en-AU"/>
              </w:rPr>
              <w:drawing>
                <wp:inline distT="0" distB="0" distL="0" distR="0">
                  <wp:extent cx="790575" cy="5238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AF2508">
        <w:trPr>
          <w:gridAfter w:val="1"/>
          <w:wAfter w:w="8"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inches</w:t>
            </w:r>
          </w:p>
        </w:tc>
        <w:tc>
          <w:tcPr>
            <w:tcW w:w="672" w:type="dxa"/>
            <w:gridSpan w:val="2"/>
            <w:tcBorders>
              <w:top w:val="single" w:sz="6" w:space="0" w:color="auto"/>
              <w:bottom w:val="single" w:sz="6" w:space="0" w:color="auto"/>
            </w:tcBorders>
            <w:vAlign w:val="bottom"/>
          </w:tcPr>
          <w:p w:rsidR="00AF2508" w:rsidRDefault="00AF2508">
            <w:pPr>
              <w:pStyle w:val="TableColHd"/>
              <w:spacing w:after="0"/>
              <w:jc w:val="center"/>
            </w:pPr>
            <w:r>
              <w:t>tons</w:t>
            </w:r>
          </w:p>
        </w:tc>
        <w:tc>
          <w:tcPr>
            <w:tcW w:w="848"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600"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08"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832"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80" w:type="dxa"/>
            <w:tcBorders>
              <w:top w:val="single" w:sz="6" w:space="0" w:color="auto"/>
              <w:bottom w:val="single" w:sz="6" w:space="0" w:color="auto"/>
            </w:tcBorders>
            <w:vAlign w:val="bottom"/>
          </w:tcPr>
          <w:p w:rsidR="00AF2508" w:rsidRDefault="00AF2508">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AF2508" w:rsidRDefault="00AF2508">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AF2508" w:rsidRDefault="00AF2508">
            <w:pPr>
              <w:pStyle w:val="TableColHd"/>
              <w:spacing w:after="0"/>
              <w:jc w:val="center"/>
            </w:pPr>
            <w:r>
              <w:t>cwts</w:t>
            </w:r>
          </w:p>
        </w:tc>
        <w:tc>
          <w:tcPr>
            <w:tcW w:w="826" w:type="dxa"/>
            <w:tcBorders>
              <w:top w:val="single" w:sz="6" w:space="0" w:color="auto"/>
              <w:bottom w:val="single" w:sz="6" w:space="0" w:color="auto"/>
            </w:tcBorders>
            <w:vAlign w:val="bottom"/>
          </w:tcPr>
          <w:p w:rsidR="00AF2508" w:rsidRDefault="00AF2508">
            <w:pPr>
              <w:pStyle w:val="TableColHd"/>
              <w:spacing w:after="0"/>
              <w:jc w:val="center"/>
            </w:pPr>
            <w:r>
              <w:t>tons</w:t>
            </w:r>
          </w:p>
        </w:tc>
        <w:tc>
          <w:tcPr>
            <w:tcW w:w="654" w:type="dxa"/>
            <w:tcBorders>
              <w:top w:val="single" w:sz="6" w:space="0" w:color="auto"/>
              <w:bottom w:val="single" w:sz="6" w:space="0" w:color="auto"/>
            </w:tcBorders>
            <w:vAlign w:val="bottom"/>
          </w:tcPr>
          <w:p w:rsidR="00AF2508" w:rsidRDefault="00AF2508">
            <w:pPr>
              <w:pStyle w:val="TableColHd"/>
              <w:spacing w:after="0"/>
              <w:jc w:val="center"/>
            </w:pPr>
            <w:r>
              <w:t>cwts</w:t>
            </w:r>
          </w:p>
        </w:tc>
      </w:tr>
      <w:tr w:rsidR="00AF2508">
        <w:trPr>
          <w:cantSplit/>
          <w:trHeight w:val="200"/>
        </w:trPr>
        <w:tc>
          <w:tcPr>
            <w:tcW w:w="968" w:type="dxa"/>
            <w:tcBorders>
              <w:top w:val="single" w:sz="6" w:space="0" w:color="auto"/>
              <w:right w:val="single" w:sz="6" w:space="0" w:color="auto"/>
            </w:tcBorders>
          </w:tcPr>
          <w:p w:rsidR="00AF2508" w:rsidRDefault="00AF2508">
            <w:pPr>
              <w:pStyle w:val="TableText"/>
              <w:jc w:val="center"/>
              <w:rPr>
                <w:sz w:val="20"/>
              </w:rPr>
            </w:pPr>
            <w:r>
              <w:rPr>
                <w:sz w:val="20"/>
              </w:rPr>
              <w:t>1</w:t>
            </w:r>
          </w:p>
        </w:tc>
        <w:tc>
          <w:tcPr>
            <w:tcW w:w="924" w:type="dxa"/>
            <w:gridSpan w:val="2"/>
            <w:tcBorders>
              <w:top w:val="single" w:sz="6" w:space="0" w:color="auto"/>
              <w:right w:val="single" w:sz="6" w:space="0" w:color="auto"/>
            </w:tcBorders>
          </w:tcPr>
          <w:p w:rsidR="00AF2508" w:rsidRDefault="00AF2508">
            <w:pPr>
              <w:pStyle w:val="TableText"/>
              <w:jc w:val="center"/>
              <w:rPr>
                <w:sz w:val="20"/>
              </w:rPr>
            </w:pPr>
            <w:r>
              <w:rPr>
                <w:position w:val="4"/>
                <w:sz w:val="20"/>
              </w:rPr>
              <w:t>5</w:t>
            </w:r>
            <w:r>
              <w:rPr>
                <w:sz w:val="20"/>
              </w:rPr>
              <w:t xml:space="preserve">/16 </w:t>
            </w:r>
          </w:p>
        </w:tc>
        <w:tc>
          <w:tcPr>
            <w:tcW w:w="684" w:type="dxa"/>
            <w:gridSpan w:val="3"/>
            <w:tcBorders>
              <w:top w:val="single" w:sz="6" w:space="0" w:color="auto"/>
            </w:tcBorders>
          </w:tcPr>
          <w:p w:rsidR="00AF2508" w:rsidRDefault="00AF2508">
            <w:pPr>
              <w:pStyle w:val="TableText"/>
              <w:jc w:val="center"/>
              <w:rPr>
                <w:sz w:val="20"/>
              </w:rPr>
            </w:pPr>
            <w:r>
              <w:rPr>
                <w:sz w:val="20"/>
              </w:rPr>
              <w:t>0</w:t>
            </w:r>
          </w:p>
        </w:tc>
        <w:tc>
          <w:tcPr>
            <w:tcW w:w="852" w:type="dxa"/>
            <w:tcBorders>
              <w:top w:val="single" w:sz="6" w:space="0" w:color="auto"/>
            </w:tcBorders>
          </w:tcPr>
          <w:p w:rsidR="00AF2508" w:rsidRDefault="00AF2508">
            <w:pPr>
              <w:pStyle w:val="TableText"/>
              <w:jc w:val="center"/>
              <w:rPr>
                <w:sz w:val="20"/>
              </w:rPr>
            </w:pPr>
            <w:r>
              <w:rPr>
                <w:sz w:val="20"/>
              </w:rPr>
              <w:t>7</w:t>
            </w:r>
          </w:p>
        </w:tc>
        <w:tc>
          <w:tcPr>
            <w:tcW w:w="588"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0" w:type="dxa"/>
            <w:gridSpan w:val="2"/>
            <w:tcBorders>
              <w:top w:val="single" w:sz="6" w:space="0" w:color="auto"/>
            </w:tcBorders>
          </w:tcPr>
          <w:p w:rsidR="00AF2508" w:rsidRDefault="00AF2508">
            <w:pPr>
              <w:pStyle w:val="TableText"/>
              <w:jc w:val="center"/>
              <w:rPr>
                <w:sz w:val="20"/>
              </w:rPr>
            </w:pPr>
            <w:r>
              <w:rPr>
                <w:sz w:val="20"/>
              </w:rPr>
              <w:t>13</w:t>
            </w:r>
            <w:r>
              <w:rPr>
                <w:position w:val="4"/>
                <w:sz w:val="20"/>
              </w:rPr>
              <w:t>1</w:t>
            </w:r>
            <w:r>
              <w:rPr>
                <w:sz w:val="20"/>
              </w:rPr>
              <w:t>/2</w:t>
            </w:r>
          </w:p>
        </w:tc>
        <w:tc>
          <w:tcPr>
            <w:tcW w:w="764" w:type="dxa"/>
            <w:gridSpan w:val="2"/>
            <w:tcBorders>
              <w:top w:val="single" w:sz="6" w:space="0" w:color="auto"/>
              <w:left w:val="single" w:sz="6" w:space="0" w:color="auto"/>
            </w:tcBorders>
          </w:tcPr>
          <w:p w:rsidR="00AF2508" w:rsidRDefault="00AF2508">
            <w:pPr>
              <w:pStyle w:val="TableText"/>
              <w:jc w:val="center"/>
              <w:rPr>
                <w:sz w:val="20"/>
              </w:rPr>
            </w:pPr>
            <w:r>
              <w:rPr>
                <w:sz w:val="20"/>
              </w:rPr>
              <w:t>0</w:t>
            </w:r>
          </w:p>
        </w:tc>
        <w:tc>
          <w:tcPr>
            <w:tcW w:w="832" w:type="dxa"/>
            <w:tcBorders>
              <w:top w:val="single" w:sz="6" w:space="0" w:color="auto"/>
            </w:tcBorders>
          </w:tcPr>
          <w:p w:rsidR="00AF2508" w:rsidRDefault="00AF2508">
            <w:pPr>
              <w:pStyle w:val="TableText"/>
              <w:jc w:val="center"/>
              <w:rPr>
                <w:sz w:val="20"/>
              </w:rPr>
            </w:pPr>
            <w:r>
              <w:rPr>
                <w:sz w:val="20"/>
              </w:rPr>
              <w:t>12</w:t>
            </w:r>
          </w:p>
        </w:tc>
        <w:tc>
          <w:tcPr>
            <w:tcW w:w="768"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86" w:type="dxa"/>
            <w:gridSpan w:val="2"/>
            <w:tcBorders>
              <w:top w:val="single" w:sz="6" w:space="0" w:color="auto"/>
            </w:tcBorders>
          </w:tcPr>
          <w:p w:rsidR="00AF2508" w:rsidRDefault="00AF2508">
            <w:pPr>
              <w:pStyle w:val="TableText"/>
              <w:jc w:val="center"/>
              <w:rPr>
                <w:sz w:val="20"/>
              </w:rPr>
            </w:pPr>
            <w:r>
              <w:rPr>
                <w:sz w:val="20"/>
              </w:rPr>
              <w:t>10</w:t>
            </w:r>
          </w:p>
        </w:tc>
        <w:tc>
          <w:tcPr>
            <w:tcW w:w="760" w:type="dxa"/>
            <w:tcBorders>
              <w:top w:val="single" w:sz="6" w:space="0" w:color="auto"/>
              <w:left w:val="single" w:sz="6" w:space="0" w:color="auto"/>
            </w:tcBorders>
          </w:tcPr>
          <w:p w:rsidR="00AF2508" w:rsidRDefault="00AF2508">
            <w:pPr>
              <w:pStyle w:val="TableText"/>
              <w:jc w:val="center"/>
              <w:rPr>
                <w:sz w:val="20"/>
              </w:rPr>
            </w:pPr>
            <w:r>
              <w:rPr>
                <w:sz w:val="20"/>
              </w:rPr>
              <w:t>0</w:t>
            </w:r>
          </w:p>
        </w:tc>
        <w:tc>
          <w:tcPr>
            <w:tcW w:w="722" w:type="dxa"/>
            <w:tcBorders>
              <w:top w:val="single" w:sz="6" w:space="0" w:color="auto"/>
              <w:right w:val="single" w:sz="6" w:space="0" w:color="auto"/>
            </w:tcBorders>
          </w:tcPr>
          <w:p w:rsidR="00AF2508" w:rsidRDefault="00AF2508">
            <w:pPr>
              <w:pStyle w:val="TableText"/>
              <w:jc w:val="center"/>
              <w:rPr>
                <w:sz w:val="20"/>
              </w:rPr>
            </w:pPr>
            <w:r>
              <w:rPr>
                <w:sz w:val="20"/>
              </w:rPr>
              <w:t>7</w:t>
            </w:r>
          </w:p>
        </w:tc>
        <w:tc>
          <w:tcPr>
            <w:tcW w:w="838" w:type="dxa"/>
            <w:gridSpan w:val="2"/>
            <w:tcBorders>
              <w:top w:val="single" w:sz="6" w:space="0" w:color="auto"/>
            </w:tcBorders>
          </w:tcPr>
          <w:p w:rsidR="00AF2508" w:rsidRDefault="00AF2508">
            <w:pPr>
              <w:pStyle w:val="TableText"/>
              <w:jc w:val="center"/>
              <w:rPr>
                <w:sz w:val="20"/>
              </w:rPr>
            </w:pPr>
            <w:r>
              <w:rPr>
                <w:sz w:val="20"/>
              </w:rPr>
              <w:t>0</w:t>
            </w:r>
          </w:p>
        </w:tc>
        <w:tc>
          <w:tcPr>
            <w:tcW w:w="662" w:type="dxa"/>
            <w:gridSpan w:val="2"/>
            <w:tcBorders>
              <w:top w:val="single" w:sz="6" w:space="0" w:color="auto"/>
            </w:tcBorders>
          </w:tcPr>
          <w:p w:rsidR="00AF2508" w:rsidRDefault="00AF2508">
            <w:pPr>
              <w:pStyle w:val="TableText"/>
              <w:jc w:val="center"/>
              <w:rPr>
                <w:sz w:val="20"/>
              </w:rPr>
            </w:pPr>
            <w:r>
              <w:rPr>
                <w:sz w:val="20"/>
              </w:rPr>
              <w:t>4</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1</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3</w:t>
            </w:r>
            <w:r>
              <w:rPr>
                <w:sz w:val="20"/>
              </w:rPr>
              <w:t xml:space="preserve">/8 </w:t>
            </w:r>
          </w:p>
        </w:tc>
        <w:tc>
          <w:tcPr>
            <w:tcW w:w="684" w:type="dxa"/>
            <w:gridSpan w:val="3"/>
          </w:tcPr>
          <w:p w:rsidR="00AF2508" w:rsidRDefault="00AF2508">
            <w:pPr>
              <w:pStyle w:val="TableText"/>
              <w:jc w:val="center"/>
              <w:rPr>
                <w:sz w:val="20"/>
              </w:rPr>
            </w:pPr>
            <w:r>
              <w:rPr>
                <w:sz w:val="20"/>
              </w:rPr>
              <w:t>0</w:t>
            </w:r>
          </w:p>
        </w:tc>
        <w:tc>
          <w:tcPr>
            <w:tcW w:w="852" w:type="dxa"/>
          </w:tcPr>
          <w:p w:rsidR="00AF2508" w:rsidRDefault="00AF2508">
            <w:pPr>
              <w:pStyle w:val="TableText"/>
              <w:jc w:val="center"/>
              <w:rPr>
                <w:sz w:val="20"/>
              </w:rPr>
            </w:pPr>
            <w:r>
              <w:rPr>
                <w:sz w:val="20"/>
              </w:rPr>
              <w:t>9</w:t>
            </w:r>
          </w:p>
        </w:tc>
        <w:tc>
          <w:tcPr>
            <w:tcW w:w="588" w:type="dxa"/>
            <w:tcBorders>
              <w:left w:val="single" w:sz="6" w:space="0" w:color="auto"/>
            </w:tcBorders>
          </w:tcPr>
          <w:p w:rsidR="00AF2508" w:rsidRDefault="00AF2508">
            <w:pPr>
              <w:pStyle w:val="TableText"/>
              <w:jc w:val="center"/>
              <w:rPr>
                <w:sz w:val="20"/>
              </w:rPr>
            </w:pPr>
            <w:r>
              <w:rPr>
                <w:sz w:val="20"/>
              </w:rPr>
              <w:t>0</w:t>
            </w:r>
          </w:p>
        </w:tc>
        <w:tc>
          <w:tcPr>
            <w:tcW w:w="720" w:type="dxa"/>
            <w:gridSpan w:val="2"/>
          </w:tcPr>
          <w:p w:rsidR="00AF2508" w:rsidRDefault="00AF2508">
            <w:pPr>
              <w:pStyle w:val="TableText"/>
              <w:jc w:val="center"/>
              <w:rPr>
                <w:sz w:val="20"/>
              </w:rPr>
            </w:pPr>
            <w:r>
              <w:rPr>
                <w:sz w:val="20"/>
              </w:rPr>
              <w:t>17</w:t>
            </w:r>
            <w:r>
              <w:rPr>
                <w:position w:val="4"/>
                <w:sz w:val="20"/>
              </w:rPr>
              <w:t>1</w:t>
            </w:r>
            <w:r>
              <w:rPr>
                <w:sz w:val="20"/>
              </w:rPr>
              <w:t>/2</w:t>
            </w:r>
          </w:p>
        </w:tc>
        <w:tc>
          <w:tcPr>
            <w:tcW w:w="764" w:type="dxa"/>
            <w:gridSpan w:val="2"/>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15</w:t>
            </w:r>
            <w:r>
              <w:rPr>
                <w:position w:val="4"/>
                <w:sz w:val="20"/>
              </w:rPr>
              <w:t>1</w:t>
            </w:r>
            <w:r>
              <w:rPr>
                <w:sz w:val="20"/>
              </w:rPr>
              <w:t>/2</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13</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9</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5</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13</w:t>
            </w:r>
            <w:r>
              <w:rPr>
                <w:sz w:val="20"/>
              </w:rPr>
              <w:t xml:space="preserve">/32 </w:t>
            </w:r>
          </w:p>
        </w:tc>
        <w:tc>
          <w:tcPr>
            <w:tcW w:w="684" w:type="dxa"/>
            <w:gridSpan w:val="3"/>
          </w:tcPr>
          <w:p w:rsidR="00AF2508" w:rsidRDefault="00AF2508">
            <w:pPr>
              <w:pStyle w:val="TableText"/>
              <w:jc w:val="center"/>
              <w:rPr>
                <w:sz w:val="20"/>
              </w:rPr>
            </w:pPr>
            <w:r>
              <w:rPr>
                <w:sz w:val="20"/>
              </w:rPr>
              <w:t>0</w:t>
            </w:r>
          </w:p>
        </w:tc>
        <w:tc>
          <w:tcPr>
            <w:tcW w:w="852" w:type="dxa"/>
          </w:tcPr>
          <w:p w:rsidR="00AF2508" w:rsidRDefault="00AF2508">
            <w:pPr>
              <w:pStyle w:val="TableText"/>
              <w:jc w:val="center"/>
              <w:rPr>
                <w:sz w:val="20"/>
              </w:rPr>
            </w:pPr>
            <w:r>
              <w:rPr>
                <w:sz w:val="20"/>
              </w:rPr>
              <w:t>11</w:t>
            </w:r>
          </w:p>
        </w:tc>
        <w:tc>
          <w:tcPr>
            <w:tcW w:w="588"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w:t>
            </w:r>
          </w:p>
        </w:tc>
        <w:tc>
          <w:tcPr>
            <w:tcW w:w="764" w:type="dxa"/>
            <w:gridSpan w:val="2"/>
            <w:tcBorders>
              <w:left w:val="single" w:sz="6" w:space="0" w:color="auto"/>
            </w:tcBorders>
          </w:tcPr>
          <w:p w:rsidR="00AF2508" w:rsidRDefault="00AF2508">
            <w:pPr>
              <w:pStyle w:val="TableText"/>
              <w:jc w:val="center"/>
              <w:rPr>
                <w:sz w:val="20"/>
              </w:rPr>
            </w:pPr>
            <w:r>
              <w:rPr>
                <w:sz w:val="20"/>
              </w:rPr>
              <w:t>0</w:t>
            </w:r>
          </w:p>
        </w:tc>
        <w:tc>
          <w:tcPr>
            <w:tcW w:w="832" w:type="dxa"/>
          </w:tcPr>
          <w:p w:rsidR="00AF2508" w:rsidRDefault="00AF2508">
            <w:pPr>
              <w:pStyle w:val="TableText"/>
              <w:jc w:val="center"/>
              <w:rPr>
                <w:sz w:val="20"/>
              </w:rPr>
            </w:pPr>
            <w:r>
              <w:rPr>
                <w:sz w:val="20"/>
              </w:rPr>
              <w:t>19</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11</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5</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3</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7</w:t>
            </w:r>
            <w:r>
              <w:rPr>
                <w:sz w:val="20"/>
              </w:rPr>
              <w:t xml:space="preserve">/16 </w:t>
            </w:r>
          </w:p>
        </w:tc>
        <w:tc>
          <w:tcPr>
            <w:tcW w:w="684" w:type="dxa"/>
            <w:gridSpan w:val="3"/>
          </w:tcPr>
          <w:p w:rsidR="00AF2508" w:rsidRDefault="00AF2508">
            <w:pPr>
              <w:pStyle w:val="TableText"/>
              <w:jc w:val="center"/>
              <w:rPr>
                <w:sz w:val="20"/>
              </w:rPr>
            </w:pPr>
            <w:r>
              <w:rPr>
                <w:sz w:val="20"/>
              </w:rPr>
              <w:t>0</w:t>
            </w:r>
          </w:p>
        </w:tc>
        <w:tc>
          <w:tcPr>
            <w:tcW w:w="852" w:type="dxa"/>
          </w:tcPr>
          <w:p w:rsidR="00AF2508" w:rsidRDefault="00AF2508">
            <w:pPr>
              <w:pStyle w:val="TableText"/>
              <w:jc w:val="center"/>
              <w:rPr>
                <w:sz w:val="20"/>
              </w:rPr>
            </w:pPr>
            <w:r>
              <w:rPr>
                <w:sz w:val="20"/>
              </w:rPr>
              <w:t>13</w:t>
            </w:r>
          </w:p>
        </w:tc>
        <w:tc>
          <w:tcPr>
            <w:tcW w:w="588"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5</w:t>
            </w:r>
          </w:p>
        </w:tc>
        <w:tc>
          <w:tcPr>
            <w:tcW w:w="764" w:type="dxa"/>
            <w:gridSpan w:val="2"/>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3</w:t>
            </w:r>
          </w:p>
        </w:tc>
        <w:tc>
          <w:tcPr>
            <w:tcW w:w="768" w:type="dxa"/>
            <w:tcBorders>
              <w:left w:val="single" w:sz="6" w:space="0" w:color="auto"/>
            </w:tcBorders>
          </w:tcPr>
          <w:p w:rsidR="00AF2508" w:rsidRDefault="00AF2508">
            <w:pPr>
              <w:pStyle w:val="TableText"/>
              <w:jc w:val="center"/>
              <w:rPr>
                <w:sz w:val="20"/>
              </w:rPr>
            </w:pPr>
            <w:r>
              <w:rPr>
                <w:sz w:val="20"/>
              </w:rPr>
              <w:t>0</w:t>
            </w:r>
          </w:p>
        </w:tc>
        <w:tc>
          <w:tcPr>
            <w:tcW w:w="786" w:type="dxa"/>
            <w:gridSpan w:val="2"/>
          </w:tcPr>
          <w:p w:rsidR="00AF2508" w:rsidRDefault="00AF2508">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13</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6</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1</w:t>
            </w: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15</w:t>
            </w:r>
            <w:r>
              <w:rPr>
                <w:sz w:val="20"/>
              </w:rPr>
              <w:t xml:space="preserve">/32 </w:t>
            </w:r>
          </w:p>
        </w:tc>
        <w:tc>
          <w:tcPr>
            <w:tcW w:w="684" w:type="dxa"/>
            <w:gridSpan w:val="3"/>
          </w:tcPr>
          <w:p w:rsidR="00AF2508" w:rsidRDefault="00AF2508">
            <w:pPr>
              <w:pStyle w:val="TableText"/>
              <w:jc w:val="center"/>
              <w:rPr>
                <w:sz w:val="20"/>
              </w:rPr>
            </w:pPr>
            <w:r>
              <w:rPr>
                <w:sz w:val="20"/>
              </w:rPr>
              <w:t>0</w:t>
            </w:r>
          </w:p>
        </w:tc>
        <w:tc>
          <w:tcPr>
            <w:tcW w:w="852" w:type="dxa"/>
          </w:tcPr>
          <w:p w:rsidR="00AF2508" w:rsidRDefault="00AF2508">
            <w:pPr>
              <w:pStyle w:val="TableText"/>
              <w:jc w:val="center"/>
              <w:rPr>
                <w:sz w:val="20"/>
              </w:rPr>
            </w:pPr>
            <w:r>
              <w:rPr>
                <w:sz w:val="20"/>
              </w:rPr>
              <w:t>16</w:t>
            </w:r>
          </w:p>
        </w:tc>
        <w:tc>
          <w:tcPr>
            <w:tcW w:w="588"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11</w:t>
            </w:r>
          </w:p>
        </w:tc>
        <w:tc>
          <w:tcPr>
            <w:tcW w:w="764" w:type="dxa"/>
            <w:gridSpan w:val="2"/>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3</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16</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8</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5</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w:t>
            </w:r>
            <w:r>
              <w:rPr>
                <w:sz w:val="20"/>
              </w:rPr>
              <w:t>/2</w:t>
            </w:r>
          </w:p>
        </w:tc>
        <w:tc>
          <w:tcPr>
            <w:tcW w:w="684" w:type="dxa"/>
            <w:gridSpan w:val="3"/>
          </w:tcPr>
          <w:p w:rsidR="00AF2508" w:rsidRDefault="00AF2508">
            <w:pPr>
              <w:pStyle w:val="TableText"/>
              <w:jc w:val="center"/>
              <w:rPr>
                <w:sz w:val="20"/>
              </w:rPr>
            </w:pPr>
            <w:r>
              <w:rPr>
                <w:sz w:val="20"/>
              </w:rPr>
              <w:t>0</w:t>
            </w:r>
          </w:p>
        </w:tc>
        <w:tc>
          <w:tcPr>
            <w:tcW w:w="852" w:type="dxa"/>
          </w:tcPr>
          <w:p w:rsidR="00AF2508" w:rsidRDefault="00AF2508">
            <w:pPr>
              <w:pStyle w:val="TableText"/>
              <w:jc w:val="center"/>
              <w:rPr>
                <w:sz w:val="20"/>
              </w:rPr>
            </w:pPr>
            <w:r>
              <w:rPr>
                <w:sz w:val="20"/>
              </w:rPr>
              <w:t>19</w:t>
            </w:r>
            <w:r>
              <w:rPr>
                <w:position w:val="4"/>
                <w:sz w:val="20"/>
              </w:rPr>
              <w:t>1</w:t>
            </w:r>
            <w:r>
              <w:rPr>
                <w:sz w:val="20"/>
              </w:rPr>
              <w:t>/2</w:t>
            </w:r>
          </w:p>
        </w:tc>
        <w:tc>
          <w:tcPr>
            <w:tcW w:w="588" w:type="dxa"/>
            <w:tcBorders>
              <w:left w:val="single" w:sz="6" w:space="0" w:color="auto"/>
            </w:tcBorders>
          </w:tcPr>
          <w:p w:rsidR="00AF2508" w:rsidRDefault="00AF2508">
            <w:pPr>
              <w:pStyle w:val="TableText"/>
              <w:jc w:val="center"/>
              <w:rPr>
                <w:sz w:val="20"/>
              </w:rPr>
            </w:pPr>
            <w:r>
              <w:rPr>
                <w:sz w:val="20"/>
              </w:rPr>
              <w:t>1</w:t>
            </w:r>
          </w:p>
        </w:tc>
        <w:tc>
          <w:tcPr>
            <w:tcW w:w="720" w:type="dxa"/>
            <w:gridSpan w:val="2"/>
          </w:tcPr>
          <w:p w:rsidR="00AF2508" w:rsidRDefault="00AF2508">
            <w:pPr>
              <w:pStyle w:val="TableText"/>
              <w:jc w:val="center"/>
              <w:rPr>
                <w:sz w:val="20"/>
              </w:rPr>
            </w:pPr>
            <w:r>
              <w:rPr>
                <w:sz w:val="20"/>
              </w:rPr>
              <w:t>18</w:t>
            </w:r>
          </w:p>
        </w:tc>
        <w:tc>
          <w:tcPr>
            <w:tcW w:w="764" w:type="dxa"/>
            <w:gridSpan w:val="2"/>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14</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8</w:t>
            </w:r>
          </w:p>
        </w:tc>
        <w:tc>
          <w:tcPr>
            <w:tcW w:w="760" w:type="dxa"/>
            <w:tcBorders>
              <w:left w:val="single" w:sz="6" w:space="0" w:color="auto"/>
            </w:tcBorders>
          </w:tcPr>
          <w:p w:rsidR="00AF2508" w:rsidRDefault="00AF2508">
            <w:pPr>
              <w:pStyle w:val="TableText"/>
              <w:jc w:val="center"/>
              <w:rPr>
                <w:sz w:val="20"/>
              </w:rPr>
            </w:pPr>
            <w:r>
              <w:rPr>
                <w:sz w:val="20"/>
              </w:rPr>
              <w:t>0</w:t>
            </w:r>
          </w:p>
        </w:tc>
        <w:tc>
          <w:tcPr>
            <w:tcW w:w="722" w:type="dxa"/>
            <w:tcBorders>
              <w:right w:val="single" w:sz="6" w:space="0" w:color="auto"/>
            </w:tcBorders>
          </w:tcPr>
          <w:p w:rsidR="00AF2508" w:rsidRDefault="00AF2508">
            <w:pPr>
              <w:pStyle w:val="TableText"/>
              <w:jc w:val="center"/>
              <w:rPr>
                <w:sz w:val="20"/>
              </w:rPr>
            </w:pPr>
            <w:r>
              <w:rPr>
                <w:sz w:val="20"/>
              </w:rPr>
              <w:t>19</w:t>
            </w:r>
            <w:r>
              <w:rPr>
                <w:position w:val="4"/>
                <w:sz w:val="20"/>
              </w:rPr>
              <w:t>1</w:t>
            </w:r>
            <w:r>
              <w:rPr>
                <w:sz w:val="20"/>
              </w:rPr>
              <w:t>/2</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10</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1</w:t>
            </w:r>
            <w:r>
              <w:rPr>
                <w:position w:val="4"/>
                <w:sz w:val="20"/>
              </w:rPr>
              <w:t>3</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9</w:t>
            </w:r>
            <w:r>
              <w:rPr>
                <w:sz w:val="20"/>
              </w:rPr>
              <w:t xml:space="preserve">/16 </w:t>
            </w:r>
          </w:p>
        </w:tc>
        <w:tc>
          <w:tcPr>
            <w:tcW w:w="684" w:type="dxa"/>
            <w:gridSpan w:val="3"/>
          </w:tcPr>
          <w:p w:rsidR="00AF2508" w:rsidRDefault="00AF2508">
            <w:pPr>
              <w:pStyle w:val="TableText"/>
              <w:jc w:val="center"/>
              <w:rPr>
                <w:sz w:val="20"/>
              </w:rPr>
            </w:pPr>
            <w:r>
              <w:rPr>
                <w:sz w:val="20"/>
              </w:rPr>
              <w:t>1</w:t>
            </w:r>
          </w:p>
        </w:tc>
        <w:tc>
          <w:tcPr>
            <w:tcW w:w="852" w:type="dxa"/>
          </w:tcPr>
          <w:p w:rsidR="00AF2508" w:rsidRDefault="00AF2508">
            <w:pPr>
              <w:pStyle w:val="TableText"/>
              <w:jc w:val="center"/>
              <w:rPr>
                <w:sz w:val="20"/>
              </w:rPr>
            </w:pPr>
            <w:r>
              <w:rPr>
                <w:sz w:val="20"/>
              </w:rPr>
              <w:t>2</w:t>
            </w:r>
          </w:p>
        </w:tc>
        <w:tc>
          <w:tcPr>
            <w:tcW w:w="588" w:type="dxa"/>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2</w:t>
            </w:r>
          </w:p>
        </w:tc>
        <w:tc>
          <w:tcPr>
            <w:tcW w:w="764" w:type="dxa"/>
            <w:gridSpan w:val="2"/>
            <w:tcBorders>
              <w:left w:val="single" w:sz="6" w:space="0" w:color="auto"/>
            </w:tcBorders>
          </w:tcPr>
          <w:p w:rsidR="00AF2508" w:rsidRDefault="00AF2508">
            <w:pPr>
              <w:pStyle w:val="TableText"/>
              <w:jc w:val="center"/>
              <w:rPr>
                <w:sz w:val="20"/>
              </w:rPr>
            </w:pPr>
            <w:r>
              <w:rPr>
                <w:sz w:val="20"/>
              </w:rPr>
              <w:t>1</w:t>
            </w:r>
          </w:p>
        </w:tc>
        <w:tc>
          <w:tcPr>
            <w:tcW w:w="832" w:type="dxa"/>
          </w:tcPr>
          <w:p w:rsidR="00AF2508" w:rsidRDefault="00AF2508">
            <w:pPr>
              <w:pStyle w:val="TableText"/>
              <w:jc w:val="center"/>
              <w:rPr>
                <w:sz w:val="20"/>
              </w:rPr>
            </w:pPr>
            <w:r>
              <w:rPr>
                <w:sz w:val="20"/>
              </w:rPr>
              <w:t>18</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11</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2</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11</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position w:val="4"/>
                <w:sz w:val="20"/>
              </w:rPr>
              <w:t>7</w:t>
            </w:r>
            <w:r>
              <w:rPr>
                <w:sz w:val="20"/>
              </w:rPr>
              <w:t>/8 1</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19</w:t>
            </w:r>
            <w:r>
              <w:rPr>
                <w:sz w:val="20"/>
              </w:rPr>
              <w:t xml:space="preserve">/32 </w:t>
            </w:r>
          </w:p>
        </w:tc>
        <w:tc>
          <w:tcPr>
            <w:tcW w:w="684" w:type="dxa"/>
            <w:gridSpan w:val="3"/>
          </w:tcPr>
          <w:p w:rsidR="00AF2508" w:rsidRDefault="00AF2508">
            <w:pPr>
              <w:pStyle w:val="TableText"/>
              <w:jc w:val="center"/>
              <w:rPr>
                <w:sz w:val="20"/>
              </w:rPr>
            </w:pPr>
            <w:r>
              <w:rPr>
                <w:sz w:val="20"/>
              </w:rPr>
              <w:t>1</w:t>
            </w:r>
          </w:p>
        </w:tc>
        <w:tc>
          <w:tcPr>
            <w:tcW w:w="852" w:type="dxa"/>
          </w:tcPr>
          <w:p w:rsidR="00AF2508" w:rsidRDefault="00AF2508">
            <w:pPr>
              <w:pStyle w:val="TableText"/>
              <w:jc w:val="center"/>
              <w:rPr>
                <w:sz w:val="20"/>
              </w:rPr>
            </w:pPr>
            <w:r>
              <w:rPr>
                <w:sz w:val="20"/>
              </w:rPr>
              <w:t>6</w:t>
            </w:r>
          </w:p>
        </w:tc>
        <w:tc>
          <w:tcPr>
            <w:tcW w:w="588" w:type="dxa"/>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10</w:t>
            </w:r>
          </w:p>
        </w:tc>
        <w:tc>
          <w:tcPr>
            <w:tcW w:w="764" w:type="dxa"/>
            <w:gridSpan w:val="2"/>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5</w:t>
            </w:r>
          </w:p>
        </w:tc>
        <w:tc>
          <w:tcPr>
            <w:tcW w:w="768" w:type="dxa"/>
            <w:tcBorders>
              <w:left w:val="single" w:sz="6" w:space="0" w:color="auto"/>
            </w:tcBorders>
          </w:tcPr>
          <w:p w:rsidR="00AF2508" w:rsidRDefault="00AF2508">
            <w:pPr>
              <w:pStyle w:val="TableText"/>
              <w:jc w:val="center"/>
              <w:rPr>
                <w:sz w:val="20"/>
              </w:rPr>
            </w:pPr>
            <w:r>
              <w:rPr>
                <w:sz w:val="20"/>
              </w:rPr>
              <w:t>1</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6</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13</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20"/>
              </w:rPr>
              <w:t>5</w:t>
            </w:r>
            <w:r>
              <w:rPr>
                <w:sz w:val="20"/>
              </w:rPr>
              <w:t xml:space="preserve">/8 </w:t>
            </w:r>
          </w:p>
        </w:tc>
        <w:tc>
          <w:tcPr>
            <w:tcW w:w="684" w:type="dxa"/>
            <w:gridSpan w:val="3"/>
          </w:tcPr>
          <w:p w:rsidR="00AF2508" w:rsidRDefault="00AF2508">
            <w:pPr>
              <w:pStyle w:val="TableText"/>
              <w:jc w:val="center"/>
              <w:rPr>
                <w:sz w:val="20"/>
              </w:rPr>
            </w:pPr>
            <w:r>
              <w:rPr>
                <w:sz w:val="20"/>
              </w:rPr>
              <w:t>1</w:t>
            </w:r>
          </w:p>
        </w:tc>
        <w:tc>
          <w:tcPr>
            <w:tcW w:w="852" w:type="dxa"/>
          </w:tcPr>
          <w:p w:rsidR="00AF2508" w:rsidRDefault="00AF2508">
            <w:pPr>
              <w:pStyle w:val="TableText"/>
              <w:jc w:val="center"/>
              <w:rPr>
                <w:sz w:val="20"/>
              </w:rPr>
            </w:pPr>
            <w:r>
              <w:rPr>
                <w:sz w:val="20"/>
              </w:rPr>
              <w:t>10</w:t>
            </w:r>
          </w:p>
        </w:tc>
        <w:tc>
          <w:tcPr>
            <w:tcW w:w="588" w:type="dxa"/>
            <w:tcBorders>
              <w:left w:val="single" w:sz="6" w:space="0" w:color="auto"/>
            </w:tcBorders>
          </w:tcPr>
          <w:p w:rsidR="00AF2508" w:rsidRDefault="00AF2508">
            <w:pPr>
              <w:pStyle w:val="TableText"/>
              <w:jc w:val="center"/>
              <w:rPr>
                <w:sz w:val="20"/>
              </w:rPr>
            </w:pPr>
            <w:r>
              <w:rPr>
                <w:sz w:val="20"/>
              </w:rPr>
              <w:t>2</w:t>
            </w:r>
          </w:p>
        </w:tc>
        <w:tc>
          <w:tcPr>
            <w:tcW w:w="720" w:type="dxa"/>
            <w:gridSpan w:val="2"/>
          </w:tcPr>
          <w:p w:rsidR="00AF2508" w:rsidRDefault="00AF2508">
            <w:pPr>
              <w:pStyle w:val="TableText"/>
              <w:jc w:val="center"/>
              <w:rPr>
                <w:sz w:val="20"/>
              </w:rPr>
            </w:pPr>
            <w:r>
              <w:rPr>
                <w:sz w:val="20"/>
              </w:rPr>
              <w:t>18</w:t>
            </w:r>
          </w:p>
        </w:tc>
        <w:tc>
          <w:tcPr>
            <w:tcW w:w="764" w:type="dxa"/>
            <w:gridSpan w:val="2"/>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12</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2</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10</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15</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/8</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11</w:t>
            </w:r>
            <w:r>
              <w:rPr>
                <w:sz w:val="20"/>
              </w:rPr>
              <w:t xml:space="preserve">/16 </w:t>
            </w:r>
          </w:p>
        </w:tc>
        <w:tc>
          <w:tcPr>
            <w:tcW w:w="684" w:type="dxa"/>
            <w:gridSpan w:val="3"/>
          </w:tcPr>
          <w:p w:rsidR="00AF2508" w:rsidRDefault="00AF2508">
            <w:pPr>
              <w:pStyle w:val="TableText"/>
              <w:jc w:val="center"/>
              <w:rPr>
                <w:sz w:val="20"/>
              </w:rPr>
            </w:pPr>
            <w:r>
              <w:rPr>
                <w:sz w:val="20"/>
              </w:rPr>
              <w:t>1</w:t>
            </w:r>
          </w:p>
        </w:tc>
        <w:tc>
          <w:tcPr>
            <w:tcW w:w="852" w:type="dxa"/>
          </w:tcPr>
          <w:p w:rsidR="00AF2508" w:rsidRDefault="00AF2508">
            <w:pPr>
              <w:pStyle w:val="TableText"/>
              <w:jc w:val="center"/>
              <w:rPr>
                <w:sz w:val="20"/>
              </w:rPr>
            </w:pPr>
            <w:r>
              <w:rPr>
                <w:sz w:val="20"/>
              </w:rPr>
              <w:t>14</w:t>
            </w:r>
          </w:p>
        </w:tc>
        <w:tc>
          <w:tcPr>
            <w:tcW w:w="588" w:type="dxa"/>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6</w:t>
            </w:r>
          </w:p>
        </w:tc>
        <w:tc>
          <w:tcPr>
            <w:tcW w:w="764" w:type="dxa"/>
            <w:gridSpan w:val="2"/>
            <w:tcBorders>
              <w:left w:val="single" w:sz="6" w:space="0" w:color="auto"/>
            </w:tcBorders>
          </w:tcPr>
          <w:p w:rsidR="00AF2508" w:rsidRDefault="00AF2508">
            <w:pPr>
              <w:pStyle w:val="TableText"/>
              <w:jc w:val="center"/>
              <w:rPr>
                <w:sz w:val="20"/>
              </w:rPr>
            </w:pPr>
            <w:r>
              <w:rPr>
                <w:sz w:val="20"/>
              </w:rPr>
              <w:t>2</w:t>
            </w:r>
          </w:p>
        </w:tc>
        <w:tc>
          <w:tcPr>
            <w:tcW w:w="832" w:type="dxa"/>
          </w:tcPr>
          <w:p w:rsidR="00AF2508" w:rsidRDefault="00AF2508">
            <w:pPr>
              <w:pStyle w:val="TableText"/>
              <w:jc w:val="center"/>
              <w:rPr>
                <w:sz w:val="20"/>
              </w:rPr>
            </w:pPr>
            <w:r>
              <w:rPr>
                <w:sz w:val="20"/>
              </w:rPr>
              <w:t>19</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8</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14</w:t>
            </w:r>
          </w:p>
        </w:tc>
        <w:tc>
          <w:tcPr>
            <w:tcW w:w="838" w:type="dxa"/>
            <w:gridSpan w:val="2"/>
          </w:tcPr>
          <w:p w:rsidR="00AF2508" w:rsidRDefault="00AF2508">
            <w:pPr>
              <w:pStyle w:val="TableText"/>
              <w:jc w:val="center"/>
              <w:rPr>
                <w:sz w:val="20"/>
              </w:rPr>
            </w:pPr>
            <w:r>
              <w:rPr>
                <w:sz w:val="20"/>
              </w:rPr>
              <w:t>0</w:t>
            </w:r>
          </w:p>
        </w:tc>
        <w:tc>
          <w:tcPr>
            <w:tcW w:w="662" w:type="dxa"/>
            <w:gridSpan w:val="2"/>
          </w:tcPr>
          <w:p w:rsidR="00AF2508" w:rsidRDefault="00AF2508">
            <w:pPr>
              <w:pStyle w:val="TableText"/>
              <w:jc w:val="center"/>
              <w:rPr>
                <w:sz w:val="20"/>
              </w:rPr>
            </w:pPr>
            <w:r>
              <w:rPr>
                <w:sz w:val="20"/>
              </w:rPr>
              <w:t>17</w:t>
            </w:r>
            <w:r>
              <w:rPr>
                <w:position w:val="4"/>
                <w:sz w:val="20"/>
              </w:rPr>
              <w:t>1</w:t>
            </w:r>
            <w:r>
              <w:rPr>
                <w:sz w:val="20"/>
              </w:rPr>
              <w:t>/2</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23</w:t>
            </w:r>
            <w:r>
              <w:rPr>
                <w:sz w:val="20"/>
              </w:rPr>
              <w:t xml:space="preserve">/32 </w:t>
            </w:r>
          </w:p>
        </w:tc>
        <w:tc>
          <w:tcPr>
            <w:tcW w:w="684" w:type="dxa"/>
            <w:gridSpan w:val="3"/>
          </w:tcPr>
          <w:p w:rsidR="00AF2508" w:rsidRDefault="00AF2508">
            <w:pPr>
              <w:pStyle w:val="TableText"/>
              <w:jc w:val="center"/>
              <w:rPr>
                <w:sz w:val="20"/>
              </w:rPr>
            </w:pPr>
            <w:r>
              <w:rPr>
                <w:sz w:val="20"/>
              </w:rPr>
              <w:t>1</w:t>
            </w:r>
          </w:p>
        </w:tc>
        <w:tc>
          <w:tcPr>
            <w:tcW w:w="852" w:type="dxa"/>
          </w:tcPr>
          <w:p w:rsidR="00AF2508" w:rsidRDefault="00AF2508">
            <w:pPr>
              <w:pStyle w:val="TableText"/>
              <w:jc w:val="center"/>
              <w:rPr>
                <w:sz w:val="20"/>
              </w:rPr>
            </w:pPr>
            <w:r>
              <w:rPr>
                <w:sz w:val="20"/>
              </w:rPr>
              <w:t>19</w:t>
            </w:r>
          </w:p>
        </w:tc>
        <w:tc>
          <w:tcPr>
            <w:tcW w:w="588" w:type="dxa"/>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15</w:t>
            </w:r>
          </w:p>
        </w:tc>
        <w:tc>
          <w:tcPr>
            <w:tcW w:w="764" w:type="dxa"/>
            <w:gridSpan w:val="2"/>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7</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15</w:t>
            </w:r>
          </w:p>
        </w:tc>
        <w:tc>
          <w:tcPr>
            <w:tcW w:w="760" w:type="dxa"/>
            <w:tcBorders>
              <w:left w:val="single" w:sz="6" w:space="0" w:color="auto"/>
            </w:tcBorders>
          </w:tcPr>
          <w:p w:rsidR="00AF2508" w:rsidRDefault="00AF2508">
            <w:pPr>
              <w:pStyle w:val="TableText"/>
              <w:jc w:val="center"/>
              <w:rPr>
                <w:sz w:val="20"/>
              </w:rPr>
            </w:pPr>
            <w:r>
              <w:rPr>
                <w:sz w:val="20"/>
              </w:rPr>
              <w:t>1</w:t>
            </w:r>
          </w:p>
        </w:tc>
        <w:tc>
          <w:tcPr>
            <w:tcW w:w="722" w:type="dxa"/>
            <w:tcBorders>
              <w:right w:val="single" w:sz="6" w:space="0" w:color="auto"/>
            </w:tcBorders>
          </w:tcPr>
          <w:p w:rsidR="00AF2508" w:rsidRDefault="00AF2508">
            <w:pPr>
              <w:pStyle w:val="TableText"/>
              <w:jc w:val="center"/>
              <w:rPr>
                <w:sz w:val="20"/>
              </w:rPr>
            </w:pPr>
            <w:r>
              <w:rPr>
                <w:sz w:val="20"/>
              </w:rPr>
              <w:t>19</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0</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/8</w:t>
            </w:r>
          </w:p>
        </w:tc>
        <w:tc>
          <w:tcPr>
            <w:tcW w:w="924" w:type="dxa"/>
            <w:gridSpan w:val="2"/>
            <w:tcBorders>
              <w:right w:val="single" w:sz="6" w:space="0" w:color="auto"/>
            </w:tcBorders>
          </w:tcPr>
          <w:p w:rsidR="00AF2508" w:rsidRDefault="00AF2508">
            <w:pPr>
              <w:pStyle w:val="TableText"/>
              <w:jc w:val="center"/>
              <w:rPr>
                <w:sz w:val="20"/>
              </w:rPr>
            </w:pPr>
            <w:r>
              <w:rPr>
                <w:position w:val="4"/>
                <w:sz w:val="20"/>
              </w:rPr>
              <w:t>3</w:t>
            </w:r>
            <w:r>
              <w:rPr>
                <w:sz w:val="20"/>
              </w:rPr>
              <w:t>/4</w:t>
            </w:r>
          </w:p>
        </w:tc>
        <w:tc>
          <w:tcPr>
            <w:tcW w:w="684" w:type="dxa"/>
            <w:gridSpan w:val="3"/>
          </w:tcPr>
          <w:p w:rsidR="00AF2508" w:rsidRDefault="00AF2508">
            <w:pPr>
              <w:pStyle w:val="TableText"/>
              <w:jc w:val="center"/>
              <w:rPr>
                <w:sz w:val="20"/>
              </w:rPr>
            </w:pPr>
            <w:r>
              <w:rPr>
                <w:sz w:val="20"/>
              </w:rPr>
              <w:t>2</w:t>
            </w:r>
          </w:p>
        </w:tc>
        <w:tc>
          <w:tcPr>
            <w:tcW w:w="852" w:type="dxa"/>
          </w:tcPr>
          <w:p w:rsidR="00AF2508" w:rsidRDefault="00AF2508">
            <w:pPr>
              <w:pStyle w:val="TableText"/>
              <w:jc w:val="center"/>
              <w:rPr>
                <w:sz w:val="20"/>
              </w:rPr>
            </w:pPr>
            <w:r>
              <w:rPr>
                <w:sz w:val="20"/>
              </w:rPr>
              <w:t>1</w:t>
            </w:r>
          </w:p>
        </w:tc>
        <w:tc>
          <w:tcPr>
            <w:tcW w:w="588" w:type="dxa"/>
            <w:tcBorders>
              <w:left w:val="single" w:sz="6" w:space="0" w:color="auto"/>
            </w:tcBorders>
          </w:tcPr>
          <w:p w:rsidR="00AF2508" w:rsidRDefault="00AF2508">
            <w:pPr>
              <w:pStyle w:val="TableText"/>
              <w:jc w:val="center"/>
              <w:rPr>
                <w:sz w:val="20"/>
              </w:rPr>
            </w:pPr>
            <w:r>
              <w:rPr>
                <w:sz w:val="20"/>
              </w:rPr>
              <w:t>3</w:t>
            </w:r>
          </w:p>
        </w:tc>
        <w:tc>
          <w:tcPr>
            <w:tcW w:w="720" w:type="dxa"/>
            <w:gridSpan w:val="2"/>
          </w:tcPr>
          <w:p w:rsidR="00AF2508" w:rsidRDefault="00AF2508">
            <w:pPr>
              <w:pStyle w:val="TableText"/>
              <w:jc w:val="center"/>
              <w:rPr>
                <w:sz w:val="20"/>
              </w:rPr>
            </w:pPr>
            <w:r>
              <w:rPr>
                <w:sz w:val="20"/>
              </w:rPr>
              <w:t>19</w:t>
            </w:r>
          </w:p>
        </w:tc>
        <w:tc>
          <w:tcPr>
            <w:tcW w:w="764" w:type="dxa"/>
            <w:gridSpan w:val="2"/>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11</w:t>
            </w:r>
          </w:p>
        </w:tc>
        <w:tc>
          <w:tcPr>
            <w:tcW w:w="768" w:type="dxa"/>
            <w:tcBorders>
              <w:left w:val="single" w:sz="6" w:space="0" w:color="auto"/>
            </w:tcBorders>
          </w:tcPr>
          <w:p w:rsidR="00AF2508" w:rsidRDefault="00AF2508">
            <w:pPr>
              <w:pStyle w:val="TableText"/>
              <w:jc w:val="center"/>
              <w:rPr>
                <w:sz w:val="20"/>
              </w:rPr>
            </w:pPr>
            <w:r>
              <w:rPr>
                <w:sz w:val="20"/>
              </w:rPr>
              <w:t>2</w:t>
            </w:r>
          </w:p>
        </w:tc>
        <w:tc>
          <w:tcPr>
            <w:tcW w:w="786" w:type="dxa"/>
            <w:gridSpan w:val="2"/>
          </w:tcPr>
          <w:p w:rsidR="00AF2508" w:rsidRDefault="00AF2508">
            <w:pPr>
              <w:pStyle w:val="TableText"/>
              <w:jc w:val="center"/>
              <w:rPr>
                <w:sz w:val="20"/>
              </w:rPr>
            </w:pPr>
            <w:r>
              <w:rPr>
                <w:sz w:val="20"/>
              </w:rPr>
              <w:t>18</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1</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1</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1</w:t>
            </w:r>
            <w:r>
              <w:rPr>
                <w:sz w:val="20"/>
              </w:rPr>
              <w:t>/2</w:t>
            </w:r>
          </w:p>
        </w:tc>
        <w:tc>
          <w:tcPr>
            <w:tcW w:w="924" w:type="dxa"/>
            <w:gridSpan w:val="2"/>
            <w:tcBorders>
              <w:right w:val="single" w:sz="6" w:space="0" w:color="auto"/>
            </w:tcBorders>
          </w:tcPr>
          <w:p w:rsidR="00AF2508" w:rsidRDefault="00AF2508">
            <w:pPr>
              <w:pStyle w:val="TableText"/>
              <w:jc w:val="center"/>
              <w:rPr>
                <w:sz w:val="20"/>
              </w:rPr>
            </w:pPr>
            <w:r>
              <w:rPr>
                <w:position w:val="4"/>
                <w:sz w:val="20"/>
              </w:rPr>
              <w:t>13</w:t>
            </w:r>
            <w:r>
              <w:rPr>
                <w:sz w:val="20"/>
              </w:rPr>
              <w:t xml:space="preserve">/16 </w:t>
            </w:r>
          </w:p>
        </w:tc>
        <w:tc>
          <w:tcPr>
            <w:tcW w:w="684" w:type="dxa"/>
            <w:gridSpan w:val="3"/>
          </w:tcPr>
          <w:p w:rsidR="00AF2508" w:rsidRDefault="00AF2508">
            <w:pPr>
              <w:pStyle w:val="TableText"/>
              <w:jc w:val="center"/>
              <w:rPr>
                <w:sz w:val="20"/>
              </w:rPr>
            </w:pPr>
            <w:r>
              <w:rPr>
                <w:sz w:val="20"/>
              </w:rPr>
              <w:t>2</w:t>
            </w:r>
          </w:p>
        </w:tc>
        <w:tc>
          <w:tcPr>
            <w:tcW w:w="852" w:type="dxa"/>
          </w:tcPr>
          <w:p w:rsidR="00AF2508" w:rsidRDefault="00AF2508">
            <w:pPr>
              <w:pStyle w:val="TableText"/>
              <w:jc w:val="center"/>
              <w:rPr>
                <w:sz w:val="20"/>
              </w:rPr>
            </w:pPr>
            <w:r>
              <w:rPr>
                <w:sz w:val="20"/>
              </w:rPr>
              <w:t>5</w:t>
            </w:r>
          </w:p>
        </w:tc>
        <w:tc>
          <w:tcPr>
            <w:tcW w:w="588" w:type="dxa"/>
            <w:tcBorders>
              <w:left w:val="single" w:sz="6" w:space="0" w:color="auto"/>
            </w:tcBorders>
          </w:tcPr>
          <w:p w:rsidR="00AF2508" w:rsidRDefault="00AF2508">
            <w:pPr>
              <w:pStyle w:val="TableText"/>
              <w:jc w:val="center"/>
              <w:rPr>
                <w:sz w:val="20"/>
              </w:rPr>
            </w:pPr>
            <w:r>
              <w:rPr>
                <w:sz w:val="20"/>
              </w:rPr>
              <w:t>4</w:t>
            </w:r>
          </w:p>
        </w:tc>
        <w:tc>
          <w:tcPr>
            <w:tcW w:w="720" w:type="dxa"/>
            <w:gridSpan w:val="2"/>
          </w:tcPr>
          <w:p w:rsidR="00AF2508" w:rsidRDefault="00AF2508">
            <w:pPr>
              <w:pStyle w:val="TableText"/>
              <w:jc w:val="center"/>
              <w:rPr>
                <w:sz w:val="20"/>
              </w:rPr>
            </w:pPr>
            <w:r>
              <w:rPr>
                <w:sz w:val="20"/>
              </w:rPr>
              <w:t>7</w:t>
            </w:r>
          </w:p>
        </w:tc>
        <w:tc>
          <w:tcPr>
            <w:tcW w:w="764" w:type="dxa"/>
            <w:gridSpan w:val="2"/>
            <w:tcBorders>
              <w:left w:val="single" w:sz="6" w:space="0" w:color="auto"/>
            </w:tcBorders>
          </w:tcPr>
          <w:p w:rsidR="00AF2508" w:rsidRDefault="00AF2508">
            <w:pPr>
              <w:pStyle w:val="TableText"/>
              <w:jc w:val="center"/>
              <w:rPr>
                <w:sz w:val="20"/>
              </w:rPr>
            </w:pPr>
            <w:r>
              <w:rPr>
                <w:sz w:val="20"/>
              </w:rPr>
              <w:t>3</w:t>
            </w:r>
          </w:p>
        </w:tc>
        <w:tc>
          <w:tcPr>
            <w:tcW w:w="832" w:type="dxa"/>
          </w:tcPr>
          <w:p w:rsidR="00AF2508" w:rsidRDefault="00AF2508">
            <w:pPr>
              <w:pStyle w:val="TableText"/>
              <w:jc w:val="center"/>
              <w:rPr>
                <w:sz w:val="20"/>
              </w:rPr>
            </w:pPr>
            <w:r>
              <w:rPr>
                <w:sz w:val="20"/>
              </w:rPr>
              <w:t>18</w:t>
            </w:r>
          </w:p>
        </w:tc>
        <w:tc>
          <w:tcPr>
            <w:tcW w:w="768" w:type="dxa"/>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4</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5</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3</w:t>
            </w:r>
          </w:p>
        </w:tc>
      </w:tr>
      <w:tr w:rsidR="00AF2508">
        <w:trPr>
          <w:cantSplit/>
          <w:trHeight w:val="200"/>
        </w:trPr>
        <w:tc>
          <w:tcPr>
            <w:tcW w:w="968" w:type="dxa"/>
            <w:tcBorders>
              <w:right w:val="single" w:sz="6" w:space="0" w:color="auto"/>
            </w:tcBorders>
          </w:tcPr>
          <w:p w:rsidR="00AF2508" w:rsidRDefault="00AF2508">
            <w:pPr>
              <w:pStyle w:val="TableText"/>
              <w:jc w:val="center"/>
              <w:rPr>
                <w:sz w:val="20"/>
              </w:rPr>
            </w:pPr>
            <w:r>
              <w:rPr>
                <w:sz w:val="20"/>
              </w:rPr>
              <w:t>2</w:t>
            </w:r>
            <w:r>
              <w:rPr>
                <w:position w:val="4"/>
                <w:sz w:val="20"/>
              </w:rPr>
              <w:t>3</w:t>
            </w:r>
            <w:r>
              <w:rPr>
                <w:sz w:val="20"/>
              </w:rPr>
              <w:t>/4</w:t>
            </w:r>
          </w:p>
        </w:tc>
        <w:tc>
          <w:tcPr>
            <w:tcW w:w="924" w:type="dxa"/>
            <w:gridSpan w:val="2"/>
            <w:tcBorders>
              <w:right w:val="single" w:sz="6" w:space="0" w:color="auto"/>
            </w:tcBorders>
          </w:tcPr>
          <w:p w:rsidR="00AF2508" w:rsidRDefault="00AF2508">
            <w:pPr>
              <w:pStyle w:val="TableText"/>
              <w:jc w:val="center"/>
              <w:rPr>
                <w:sz w:val="20"/>
              </w:rPr>
            </w:pPr>
            <w:r>
              <w:rPr>
                <w:position w:val="4"/>
                <w:sz w:val="20"/>
              </w:rPr>
              <w:t>7</w:t>
            </w:r>
            <w:r>
              <w:rPr>
                <w:sz w:val="20"/>
              </w:rPr>
              <w:t xml:space="preserve">/8 </w:t>
            </w:r>
          </w:p>
        </w:tc>
        <w:tc>
          <w:tcPr>
            <w:tcW w:w="684" w:type="dxa"/>
            <w:gridSpan w:val="3"/>
          </w:tcPr>
          <w:p w:rsidR="00AF2508" w:rsidRDefault="00AF2508">
            <w:pPr>
              <w:pStyle w:val="TableText"/>
              <w:jc w:val="center"/>
              <w:rPr>
                <w:sz w:val="20"/>
              </w:rPr>
            </w:pPr>
            <w:r>
              <w:rPr>
                <w:sz w:val="20"/>
              </w:rPr>
              <w:t>2</w:t>
            </w:r>
          </w:p>
        </w:tc>
        <w:tc>
          <w:tcPr>
            <w:tcW w:w="852" w:type="dxa"/>
          </w:tcPr>
          <w:p w:rsidR="00AF2508" w:rsidRDefault="00AF2508">
            <w:pPr>
              <w:pStyle w:val="TableText"/>
              <w:jc w:val="center"/>
              <w:rPr>
                <w:sz w:val="20"/>
              </w:rPr>
            </w:pPr>
            <w:r>
              <w:rPr>
                <w:sz w:val="20"/>
              </w:rPr>
              <w:t>16</w:t>
            </w:r>
          </w:p>
        </w:tc>
        <w:tc>
          <w:tcPr>
            <w:tcW w:w="588" w:type="dxa"/>
            <w:tcBorders>
              <w:left w:val="single" w:sz="6" w:space="0" w:color="auto"/>
            </w:tcBorders>
          </w:tcPr>
          <w:p w:rsidR="00AF2508" w:rsidRDefault="00AF2508">
            <w:pPr>
              <w:pStyle w:val="TableText"/>
              <w:jc w:val="center"/>
              <w:rPr>
                <w:sz w:val="20"/>
              </w:rPr>
            </w:pPr>
            <w:r>
              <w:rPr>
                <w:sz w:val="20"/>
              </w:rPr>
              <w:t>5</w:t>
            </w:r>
          </w:p>
        </w:tc>
        <w:tc>
          <w:tcPr>
            <w:tcW w:w="720" w:type="dxa"/>
            <w:gridSpan w:val="2"/>
          </w:tcPr>
          <w:p w:rsidR="00AF2508" w:rsidRDefault="00AF2508">
            <w:pPr>
              <w:pStyle w:val="TableText"/>
              <w:jc w:val="center"/>
              <w:rPr>
                <w:sz w:val="20"/>
              </w:rPr>
            </w:pPr>
            <w:r>
              <w:rPr>
                <w:sz w:val="20"/>
              </w:rPr>
              <w:t>8</w:t>
            </w:r>
          </w:p>
        </w:tc>
        <w:tc>
          <w:tcPr>
            <w:tcW w:w="764" w:type="dxa"/>
            <w:gridSpan w:val="2"/>
            <w:tcBorders>
              <w:left w:val="single" w:sz="6" w:space="0" w:color="auto"/>
            </w:tcBorders>
          </w:tcPr>
          <w:p w:rsidR="00AF2508" w:rsidRDefault="00AF2508">
            <w:pPr>
              <w:pStyle w:val="TableText"/>
              <w:jc w:val="center"/>
              <w:rPr>
                <w:sz w:val="20"/>
              </w:rPr>
            </w:pPr>
            <w:r>
              <w:rPr>
                <w:sz w:val="20"/>
              </w:rPr>
              <w:t>4</w:t>
            </w:r>
          </w:p>
        </w:tc>
        <w:tc>
          <w:tcPr>
            <w:tcW w:w="832" w:type="dxa"/>
          </w:tcPr>
          <w:p w:rsidR="00AF2508" w:rsidRDefault="00AF2508">
            <w:pPr>
              <w:pStyle w:val="TableText"/>
              <w:jc w:val="center"/>
              <w:rPr>
                <w:sz w:val="20"/>
              </w:rPr>
            </w:pPr>
            <w:r>
              <w:rPr>
                <w:sz w:val="20"/>
              </w:rPr>
              <w:t>17</w:t>
            </w:r>
          </w:p>
        </w:tc>
        <w:tc>
          <w:tcPr>
            <w:tcW w:w="768" w:type="dxa"/>
            <w:tcBorders>
              <w:left w:val="single" w:sz="6" w:space="0" w:color="auto"/>
            </w:tcBorders>
          </w:tcPr>
          <w:p w:rsidR="00AF2508" w:rsidRDefault="00AF2508">
            <w:pPr>
              <w:pStyle w:val="TableText"/>
              <w:jc w:val="center"/>
              <w:rPr>
                <w:sz w:val="20"/>
              </w:rPr>
            </w:pPr>
            <w:r>
              <w:rPr>
                <w:sz w:val="20"/>
              </w:rPr>
              <w:t>3</w:t>
            </w:r>
          </w:p>
        </w:tc>
        <w:tc>
          <w:tcPr>
            <w:tcW w:w="786" w:type="dxa"/>
            <w:gridSpan w:val="2"/>
          </w:tcPr>
          <w:p w:rsidR="00AF2508" w:rsidRDefault="00AF2508">
            <w:pPr>
              <w:pStyle w:val="TableText"/>
              <w:jc w:val="center"/>
              <w:rPr>
                <w:sz w:val="20"/>
              </w:rPr>
            </w:pPr>
            <w:r>
              <w:rPr>
                <w:sz w:val="20"/>
              </w:rPr>
              <w:t>19</w:t>
            </w:r>
          </w:p>
        </w:tc>
        <w:tc>
          <w:tcPr>
            <w:tcW w:w="760" w:type="dxa"/>
            <w:tcBorders>
              <w:left w:val="single" w:sz="6" w:space="0" w:color="auto"/>
            </w:tcBorders>
          </w:tcPr>
          <w:p w:rsidR="00AF2508" w:rsidRDefault="00AF2508">
            <w:pPr>
              <w:pStyle w:val="TableText"/>
              <w:jc w:val="center"/>
              <w:rPr>
                <w:sz w:val="20"/>
              </w:rPr>
            </w:pPr>
            <w:r>
              <w:rPr>
                <w:sz w:val="20"/>
              </w:rPr>
              <w:t>2</w:t>
            </w:r>
          </w:p>
        </w:tc>
        <w:tc>
          <w:tcPr>
            <w:tcW w:w="722" w:type="dxa"/>
            <w:tcBorders>
              <w:right w:val="single" w:sz="6" w:space="0" w:color="auto"/>
            </w:tcBorders>
          </w:tcPr>
          <w:p w:rsidR="00AF2508" w:rsidRDefault="00AF2508">
            <w:pPr>
              <w:pStyle w:val="TableText"/>
              <w:jc w:val="center"/>
              <w:rPr>
                <w:sz w:val="20"/>
              </w:rPr>
            </w:pPr>
            <w:r>
              <w:rPr>
                <w:sz w:val="20"/>
              </w:rPr>
              <w:t>16</w:t>
            </w:r>
          </w:p>
        </w:tc>
        <w:tc>
          <w:tcPr>
            <w:tcW w:w="838" w:type="dxa"/>
            <w:gridSpan w:val="2"/>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9</w:t>
            </w:r>
          </w:p>
        </w:tc>
      </w:tr>
      <w:tr w:rsidR="00AF2508">
        <w:trPr>
          <w:cantSplit/>
          <w:trHeight w:val="200"/>
        </w:trPr>
        <w:tc>
          <w:tcPr>
            <w:tcW w:w="968" w:type="dxa"/>
          </w:tcPr>
          <w:p w:rsidR="00AF2508" w:rsidRDefault="00AF2508">
            <w:pPr>
              <w:pStyle w:val="TableText"/>
              <w:jc w:val="center"/>
              <w:rPr>
                <w:sz w:val="20"/>
              </w:rPr>
            </w:pPr>
            <w:r>
              <w:rPr>
                <w:sz w:val="20"/>
              </w:rPr>
              <w:t>3</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position w:val="4"/>
                <w:sz w:val="16"/>
              </w:rPr>
              <w:t>15</w:t>
            </w:r>
            <w:r>
              <w:rPr>
                <w:sz w:val="20"/>
              </w:rPr>
              <w:t>/</w:t>
            </w:r>
            <w:r>
              <w:rPr>
                <w:sz w:val="16"/>
              </w:rPr>
              <w:t>16</w:t>
            </w:r>
            <w:r>
              <w:rPr>
                <w:sz w:val="20"/>
              </w:rPr>
              <w:t xml:space="preserve"> </w:t>
            </w:r>
          </w:p>
        </w:tc>
        <w:tc>
          <w:tcPr>
            <w:tcW w:w="684" w:type="dxa"/>
            <w:gridSpan w:val="3"/>
          </w:tcPr>
          <w:p w:rsidR="00AF2508" w:rsidRDefault="00AF2508">
            <w:pPr>
              <w:pStyle w:val="TableText"/>
              <w:jc w:val="center"/>
              <w:rPr>
                <w:sz w:val="20"/>
              </w:rPr>
            </w:pPr>
            <w:r>
              <w:rPr>
                <w:sz w:val="20"/>
              </w:rPr>
              <w:t>3</w:t>
            </w:r>
          </w:p>
        </w:tc>
        <w:tc>
          <w:tcPr>
            <w:tcW w:w="852" w:type="dxa"/>
          </w:tcPr>
          <w:p w:rsidR="00AF2508" w:rsidRDefault="00AF2508">
            <w:pPr>
              <w:pStyle w:val="TableText"/>
              <w:jc w:val="center"/>
              <w:rPr>
                <w:sz w:val="20"/>
              </w:rPr>
            </w:pPr>
            <w:r>
              <w:rPr>
                <w:sz w:val="20"/>
              </w:rPr>
              <w:t>7</w:t>
            </w:r>
          </w:p>
        </w:tc>
        <w:tc>
          <w:tcPr>
            <w:tcW w:w="588" w:type="dxa"/>
            <w:tcBorders>
              <w:left w:val="single" w:sz="6" w:space="0" w:color="auto"/>
            </w:tcBorders>
          </w:tcPr>
          <w:p w:rsidR="00AF2508" w:rsidRDefault="00AF2508">
            <w:pPr>
              <w:pStyle w:val="TableText"/>
              <w:jc w:val="center"/>
              <w:rPr>
                <w:sz w:val="20"/>
              </w:rPr>
            </w:pPr>
            <w:r>
              <w:rPr>
                <w:sz w:val="20"/>
              </w:rPr>
              <w:t>6</w:t>
            </w:r>
          </w:p>
        </w:tc>
        <w:tc>
          <w:tcPr>
            <w:tcW w:w="720" w:type="dxa"/>
            <w:gridSpan w:val="2"/>
          </w:tcPr>
          <w:p w:rsidR="00AF2508" w:rsidRDefault="00AF2508">
            <w:pPr>
              <w:pStyle w:val="TableText"/>
              <w:jc w:val="center"/>
              <w:rPr>
                <w:sz w:val="20"/>
              </w:rPr>
            </w:pPr>
            <w:r>
              <w:rPr>
                <w:sz w:val="20"/>
              </w:rPr>
              <w:t>10</w:t>
            </w:r>
          </w:p>
        </w:tc>
        <w:tc>
          <w:tcPr>
            <w:tcW w:w="764" w:type="dxa"/>
            <w:gridSpan w:val="2"/>
            <w:tcBorders>
              <w:left w:val="single" w:sz="6" w:space="0" w:color="auto"/>
            </w:tcBorders>
          </w:tcPr>
          <w:p w:rsidR="00AF2508" w:rsidRDefault="00AF2508">
            <w:pPr>
              <w:pStyle w:val="TableText"/>
              <w:jc w:val="center"/>
              <w:rPr>
                <w:sz w:val="20"/>
              </w:rPr>
            </w:pPr>
            <w:r>
              <w:rPr>
                <w:sz w:val="20"/>
              </w:rPr>
              <w:t>5</w:t>
            </w:r>
          </w:p>
        </w:tc>
        <w:tc>
          <w:tcPr>
            <w:tcW w:w="832" w:type="dxa"/>
          </w:tcPr>
          <w:p w:rsidR="00AF2508" w:rsidRDefault="00AF2508">
            <w:pPr>
              <w:pStyle w:val="TableText"/>
              <w:jc w:val="center"/>
              <w:rPr>
                <w:sz w:val="20"/>
              </w:rPr>
            </w:pPr>
            <w:r>
              <w:rPr>
                <w:sz w:val="20"/>
              </w:rPr>
              <w:t>16</w:t>
            </w:r>
          </w:p>
        </w:tc>
        <w:tc>
          <w:tcPr>
            <w:tcW w:w="768" w:type="dxa"/>
            <w:tcBorders>
              <w:left w:val="single" w:sz="6" w:space="0" w:color="auto"/>
            </w:tcBorders>
          </w:tcPr>
          <w:p w:rsidR="00AF2508" w:rsidRDefault="00AF2508">
            <w:pPr>
              <w:pStyle w:val="TableText"/>
              <w:jc w:val="center"/>
              <w:rPr>
                <w:sz w:val="20"/>
              </w:rPr>
            </w:pPr>
            <w:r>
              <w:rPr>
                <w:sz w:val="20"/>
              </w:rPr>
              <w:t>4</w:t>
            </w:r>
          </w:p>
        </w:tc>
        <w:tc>
          <w:tcPr>
            <w:tcW w:w="786" w:type="dxa"/>
            <w:gridSpan w:val="2"/>
          </w:tcPr>
          <w:p w:rsidR="00AF2508" w:rsidRDefault="00AF2508">
            <w:pPr>
              <w:pStyle w:val="TableText"/>
              <w:jc w:val="center"/>
              <w:rPr>
                <w:sz w:val="20"/>
              </w:rPr>
            </w:pPr>
            <w:r>
              <w:rPr>
                <w:sz w:val="20"/>
              </w:rPr>
              <w:t>15</w:t>
            </w:r>
          </w:p>
        </w:tc>
        <w:tc>
          <w:tcPr>
            <w:tcW w:w="760" w:type="dxa"/>
            <w:tcBorders>
              <w:left w:val="single" w:sz="6" w:space="0" w:color="auto"/>
            </w:tcBorders>
          </w:tcPr>
          <w:p w:rsidR="00AF2508" w:rsidRDefault="00AF2508">
            <w:pPr>
              <w:pStyle w:val="TableText"/>
              <w:jc w:val="center"/>
              <w:rPr>
                <w:sz w:val="20"/>
              </w:rPr>
            </w:pPr>
            <w:r>
              <w:rPr>
                <w:sz w:val="20"/>
              </w:rPr>
              <w:t>3</w:t>
            </w:r>
          </w:p>
        </w:tc>
        <w:tc>
          <w:tcPr>
            <w:tcW w:w="722" w:type="dxa"/>
          </w:tcPr>
          <w:p w:rsidR="00AF2508" w:rsidRDefault="00AF2508">
            <w:pPr>
              <w:pStyle w:val="TableText"/>
              <w:jc w:val="center"/>
              <w:rPr>
                <w:sz w:val="20"/>
              </w:rPr>
            </w:pPr>
            <w:r>
              <w:rPr>
                <w:sz w:val="20"/>
              </w:rPr>
              <w:t>7</w:t>
            </w:r>
          </w:p>
        </w:tc>
        <w:tc>
          <w:tcPr>
            <w:tcW w:w="838" w:type="dxa"/>
            <w:gridSpan w:val="2"/>
            <w:tcBorders>
              <w:left w:val="single" w:sz="6" w:space="0" w:color="auto"/>
            </w:tcBorders>
          </w:tcPr>
          <w:p w:rsidR="00AF2508" w:rsidRDefault="00AF2508">
            <w:pPr>
              <w:pStyle w:val="TableText"/>
              <w:jc w:val="center"/>
              <w:rPr>
                <w:sz w:val="20"/>
              </w:rPr>
            </w:pPr>
            <w:r>
              <w:rPr>
                <w:sz w:val="20"/>
              </w:rPr>
              <w:t>1</w:t>
            </w:r>
          </w:p>
        </w:tc>
        <w:tc>
          <w:tcPr>
            <w:tcW w:w="662" w:type="dxa"/>
            <w:gridSpan w:val="2"/>
          </w:tcPr>
          <w:p w:rsidR="00AF2508" w:rsidRDefault="00AF2508">
            <w:pPr>
              <w:pStyle w:val="TableText"/>
              <w:jc w:val="center"/>
              <w:rPr>
                <w:sz w:val="20"/>
              </w:rPr>
            </w:pPr>
            <w:r>
              <w:rPr>
                <w:sz w:val="20"/>
              </w:rPr>
              <w:t>15</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16</w:t>
            </w:r>
          </w:p>
        </w:tc>
        <w:tc>
          <w:tcPr>
            <w:tcW w:w="684" w:type="dxa"/>
            <w:gridSpan w:val="3"/>
          </w:tcPr>
          <w:p w:rsidR="00AF2508" w:rsidRDefault="00AF2508">
            <w:pPr>
              <w:pStyle w:val="TableText"/>
              <w:jc w:val="center"/>
              <w:rPr>
                <w:sz w:val="20"/>
              </w:rPr>
            </w:pPr>
            <w:r>
              <w:rPr>
                <w:sz w:val="20"/>
              </w:rPr>
              <w:t>3</w:t>
            </w:r>
          </w:p>
        </w:tc>
        <w:tc>
          <w:tcPr>
            <w:tcW w:w="852" w:type="dxa"/>
          </w:tcPr>
          <w:p w:rsidR="00AF2508" w:rsidRDefault="00AF2508">
            <w:pPr>
              <w:pStyle w:val="TableText"/>
              <w:jc w:val="center"/>
              <w:rPr>
                <w:sz w:val="20"/>
              </w:rPr>
            </w:pPr>
            <w:r>
              <w:rPr>
                <w:sz w:val="20"/>
              </w:rPr>
              <w:t>17</w:t>
            </w:r>
          </w:p>
        </w:tc>
        <w:tc>
          <w:tcPr>
            <w:tcW w:w="588" w:type="dxa"/>
            <w:tcBorders>
              <w:left w:val="single" w:sz="6" w:space="0" w:color="auto"/>
            </w:tcBorders>
          </w:tcPr>
          <w:p w:rsidR="00AF2508" w:rsidRDefault="00AF2508">
            <w:pPr>
              <w:pStyle w:val="TableText"/>
              <w:jc w:val="center"/>
              <w:rPr>
                <w:sz w:val="20"/>
              </w:rPr>
            </w:pPr>
            <w:r>
              <w:rPr>
                <w:sz w:val="20"/>
              </w:rPr>
              <w:t>7</w:t>
            </w:r>
          </w:p>
        </w:tc>
        <w:tc>
          <w:tcPr>
            <w:tcW w:w="720" w:type="dxa"/>
            <w:gridSpan w:val="2"/>
          </w:tcPr>
          <w:p w:rsidR="00AF2508" w:rsidRDefault="00AF2508">
            <w:pPr>
              <w:pStyle w:val="TableText"/>
              <w:jc w:val="center"/>
              <w:rPr>
                <w:sz w:val="20"/>
              </w:rPr>
            </w:pPr>
            <w:r>
              <w:rPr>
                <w:sz w:val="20"/>
              </w:rPr>
              <w:t>9</w:t>
            </w:r>
          </w:p>
        </w:tc>
        <w:tc>
          <w:tcPr>
            <w:tcW w:w="764" w:type="dxa"/>
            <w:gridSpan w:val="2"/>
            <w:tcBorders>
              <w:left w:val="single" w:sz="6" w:space="0" w:color="auto"/>
            </w:tcBorders>
          </w:tcPr>
          <w:p w:rsidR="00AF2508" w:rsidRDefault="00AF2508">
            <w:pPr>
              <w:pStyle w:val="TableText"/>
              <w:jc w:val="center"/>
              <w:rPr>
                <w:sz w:val="20"/>
              </w:rPr>
            </w:pPr>
            <w:r>
              <w:rPr>
                <w:sz w:val="20"/>
              </w:rPr>
              <w:t>6</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5</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3</w:t>
            </w:r>
          </w:p>
        </w:tc>
        <w:tc>
          <w:tcPr>
            <w:tcW w:w="722" w:type="dxa"/>
          </w:tcPr>
          <w:p w:rsidR="00AF2508" w:rsidRDefault="00AF2508">
            <w:pPr>
              <w:pStyle w:val="TableText"/>
              <w:jc w:val="center"/>
              <w:rPr>
                <w:sz w:val="20"/>
              </w:rPr>
            </w:pPr>
            <w:r>
              <w:rPr>
                <w:sz w:val="20"/>
              </w:rPr>
              <w:t>17</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62" w:type="dxa"/>
            <w:gridSpan w:val="2"/>
          </w:tcPr>
          <w:p w:rsidR="00AF2508" w:rsidRDefault="00AF2508">
            <w:pPr>
              <w:pStyle w:val="TableText"/>
              <w:jc w:val="center"/>
              <w:rPr>
                <w:sz w:val="20"/>
              </w:rPr>
            </w:pPr>
            <w:r>
              <w:rPr>
                <w:sz w:val="20"/>
              </w:rPr>
              <w:t>0</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8</w:t>
            </w:r>
          </w:p>
        </w:tc>
        <w:tc>
          <w:tcPr>
            <w:tcW w:w="684" w:type="dxa"/>
            <w:gridSpan w:val="3"/>
          </w:tcPr>
          <w:p w:rsidR="00AF2508" w:rsidRDefault="00AF2508">
            <w:pPr>
              <w:pStyle w:val="TableText"/>
              <w:jc w:val="center"/>
              <w:rPr>
                <w:sz w:val="20"/>
              </w:rPr>
            </w:pPr>
            <w:r>
              <w:rPr>
                <w:sz w:val="20"/>
              </w:rPr>
              <w:t>4</w:t>
            </w:r>
          </w:p>
        </w:tc>
        <w:tc>
          <w:tcPr>
            <w:tcW w:w="852" w:type="dxa"/>
          </w:tcPr>
          <w:p w:rsidR="00AF2508" w:rsidRDefault="00AF2508">
            <w:pPr>
              <w:pStyle w:val="TableText"/>
              <w:jc w:val="center"/>
              <w:rPr>
                <w:sz w:val="20"/>
              </w:rPr>
            </w:pPr>
            <w:r>
              <w:rPr>
                <w:sz w:val="20"/>
              </w:rPr>
              <w:t>10</w:t>
            </w:r>
          </w:p>
        </w:tc>
        <w:tc>
          <w:tcPr>
            <w:tcW w:w="588" w:type="dxa"/>
            <w:tcBorders>
              <w:left w:val="single" w:sz="6" w:space="0" w:color="auto"/>
            </w:tcBorders>
          </w:tcPr>
          <w:p w:rsidR="00AF2508" w:rsidRDefault="00AF2508">
            <w:pPr>
              <w:pStyle w:val="TableText"/>
              <w:jc w:val="center"/>
              <w:rPr>
                <w:sz w:val="20"/>
              </w:rPr>
            </w:pPr>
            <w:r>
              <w:rPr>
                <w:sz w:val="20"/>
              </w:rPr>
              <w:t>8</w:t>
            </w:r>
          </w:p>
        </w:tc>
        <w:tc>
          <w:tcPr>
            <w:tcW w:w="720" w:type="dxa"/>
            <w:gridSpan w:val="2"/>
          </w:tcPr>
          <w:p w:rsidR="00AF2508" w:rsidRDefault="00AF2508">
            <w:pPr>
              <w:pStyle w:val="TableText"/>
              <w:jc w:val="center"/>
              <w:rPr>
                <w:sz w:val="20"/>
              </w:rPr>
            </w:pPr>
            <w:r>
              <w:rPr>
                <w:sz w:val="20"/>
              </w:rPr>
              <w:t>14</w:t>
            </w:r>
          </w:p>
        </w:tc>
        <w:tc>
          <w:tcPr>
            <w:tcW w:w="764" w:type="dxa"/>
            <w:gridSpan w:val="2"/>
            <w:tcBorders>
              <w:left w:val="single" w:sz="6" w:space="0" w:color="auto"/>
            </w:tcBorders>
          </w:tcPr>
          <w:p w:rsidR="00AF2508" w:rsidRDefault="00AF2508">
            <w:pPr>
              <w:pStyle w:val="TableText"/>
              <w:jc w:val="center"/>
              <w:rPr>
                <w:sz w:val="20"/>
              </w:rPr>
            </w:pPr>
            <w:r>
              <w:rPr>
                <w:sz w:val="20"/>
              </w:rPr>
              <w:t>7</w:t>
            </w:r>
          </w:p>
        </w:tc>
        <w:tc>
          <w:tcPr>
            <w:tcW w:w="832" w:type="dxa"/>
          </w:tcPr>
          <w:p w:rsidR="00AF2508" w:rsidRDefault="00AF2508">
            <w:pPr>
              <w:pStyle w:val="TableText"/>
              <w:jc w:val="center"/>
              <w:rPr>
                <w:sz w:val="20"/>
              </w:rPr>
            </w:pPr>
            <w:r>
              <w:rPr>
                <w:sz w:val="20"/>
              </w:rPr>
              <w:t>16</w:t>
            </w:r>
          </w:p>
        </w:tc>
        <w:tc>
          <w:tcPr>
            <w:tcW w:w="768" w:type="dxa"/>
            <w:tcBorders>
              <w:left w:val="single" w:sz="6" w:space="0" w:color="auto"/>
            </w:tcBorders>
          </w:tcPr>
          <w:p w:rsidR="00AF2508" w:rsidRDefault="00AF2508">
            <w:pPr>
              <w:pStyle w:val="TableText"/>
              <w:jc w:val="center"/>
              <w:rPr>
                <w:sz w:val="20"/>
              </w:rPr>
            </w:pPr>
            <w:r>
              <w:rPr>
                <w:sz w:val="20"/>
              </w:rPr>
              <w:t>6</w:t>
            </w:r>
          </w:p>
        </w:tc>
        <w:tc>
          <w:tcPr>
            <w:tcW w:w="786" w:type="dxa"/>
            <w:gridSpan w:val="2"/>
          </w:tcPr>
          <w:p w:rsidR="00AF2508" w:rsidRDefault="00AF2508">
            <w:pPr>
              <w:pStyle w:val="TableText"/>
              <w:jc w:val="center"/>
              <w:rPr>
                <w:sz w:val="20"/>
              </w:rPr>
            </w:pPr>
            <w:r>
              <w:rPr>
                <w:sz w:val="20"/>
              </w:rPr>
              <w:t>7</w:t>
            </w:r>
          </w:p>
        </w:tc>
        <w:tc>
          <w:tcPr>
            <w:tcW w:w="760" w:type="dxa"/>
            <w:tcBorders>
              <w:left w:val="single" w:sz="6" w:space="0" w:color="auto"/>
            </w:tcBorders>
          </w:tcPr>
          <w:p w:rsidR="00AF2508" w:rsidRDefault="00AF2508">
            <w:pPr>
              <w:pStyle w:val="TableText"/>
              <w:jc w:val="center"/>
              <w:rPr>
                <w:sz w:val="20"/>
              </w:rPr>
            </w:pPr>
            <w:r>
              <w:rPr>
                <w:sz w:val="20"/>
              </w:rPr>
              <w:t>4</w:t>
            </w:r>
          </w:p>
        </w:tc>
        <w:tc>
          <w:tcPr>
            <w:tcW w:w="722" w:type="dxa"/>
          </w:tcPr>
          <w:p w:rsidR="00AF2508" w:rsidRDefault="00AF2508">
            <w:pPr>
              <w:pStyle w:val="TableText"/>
              <w:jc w:val="center"/>
              <w:rPr>
                <w:sz w:val="20"/>
              </w:rPr>
            </w:pPr>
            <w:r>
              <w:rPr>
                <w:sz w:val="20"/>
              </w:rPr>
              <w:t>10</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62" w:type="dxa"/>
            <w:gridSpan w:val="2"/>
          </w:tcPr>
          <w:p w:rsidR="00AF2508" w:rsidRDefault="00AF2508">
            <w:pPr>
              <w:pStyle w:val="TableText"/>
              <w:jc w:val="center"/>
              <w:rPr>
                <w:sz w:val="20"/>
              </w:rPr>
            </w:pPr>
            <w:r>
              <w:rPr>
                <w:sz w:val="20"/>
              </w:rPr>
              <w:t>7</w:t>
            </w:r>
          </w:p>
        </w:tc>
      </w:tr>
      <w:tr w:rsidR="00AF2508">
        <w:trPr>
          <w:cantSplit/>
          <w:trHeight w:val="200"/>
        </w:trPr>
        <w:tc>
          <w:tcPr>
            <w:tcW w:w="968" w:type="dxa"/>
          </w:tcPr>
          <w:p w:rsidR="00AF2508" w:rsidRDefault="00AF2508">
            <w:pPr>
              <w:pStyle w:val="TableText"/>
              <w:jc w:val="center"/>
              <w:rPr>
                <w:sz w:val="20"/>
              </w:rPr>
            </w:pPr>
            <w:r>
              <w:rPr>
                <w:sz w:val="20"/>
              </w:rPr>
              <w:t>3</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16</w:t>
            </w:r>
          </w:p>
        </w:tc>
        <w:tc>
          <w:tcPr>
            <w:tcW w:w="684" w:type="dxa"/>
            <w:gridSpan w:val="3"/>
          </w:tcPr>
          <w:p w:rsidR="00AF2508" w:rsidRDefault="00AF2508">
            <w:pPr>
              <w:pStyle w:val="TableText"/>
              <w:jc w:val="center"/>
              <w:rPr>
                <w:sz w:val="20"/>
              </w:rPr>
            </w:pPr>
            <w:r>
              <w:rPr>
                <w:sz w:val="20"/>
              </w:rPr>
              <w:t>5</w:t>
            </w:r>
          </w:p>
        </w:tc>
        <w:tc>
          <w:tcPr>
            <w:tcW w:w="852" w:type="dxa"/>
          </w:tcPr>
          <w:p w:rsidR="00AF2508" w:rsidRDefault="00AF2508">
            <w:pPr>
              <w:pStyle w:val="TableText"/>
              <w:jc w:val="center"/>
              <w:rPr>
                <w:sz w:val="20"/>
              </w:rPr>
            </w:pPr>
            <w:r>
              <w:rPr>
                <w:sz w:val="20"/>
              </w:rPr>
              <w:t>5</w:t>
            </w:r>
          </w:p>
        </w:tc>
        <w:tc>
          <w:tcPr>
            <w:tcW w:w="588" w:type="dxa"/>
            <w:tcBorders>
              <w:left w:val="single" w:sz="6" w:space="0" w:color="auto"/>
            </w:tcBorders>
          </w:tcPr>
          <w:p w:rsidR="00AF2508" w:rsidRDefault="00AF2508">
            <w:pPr>
              <w:pStyle w:val="TableText"/>
              <w:jc w:val="center"/>
              <w:rPr>
                <w:sz w:val="20"/>
              </w:rPr>
            </w:pPr>
            <w:r>
              <w:rPr>
                <w:sz w:val="20"/>
              </w:rPr>
              <w:t>10</w:t>
            </w:r>
          </w:p>
        </w:tc>
        <w:tc>
          <w:tcPr>
            <w:tcW w:w="720" w:type="dxa"/>
            <w:gridSpan w:val="2"/>
          </w:tcPr>
          <w:p w:rsidR="00AF2508" w:rsidRDefault="00AF2508">
            <w:pPr>
              <w:pStyle w:val="TableText"/>
              <w:jc w:val="center"/>
              <w:rPr>
                <w:sz w:val="20"/>
              </w:rPr>
            </w:pPr>
            <w:r>
              <w:rPr>
                <w:sz w:val="20"/>
              </w:rPr>
              <w:t>3</w:t>
            </w:r>
          </w:p>
        </w:tc>
        <w:tc>
          <w:tcPr>
            <w:tcW w:w="764" w:type="dxa"/>
            <w:gridSpan w:val="2"/>
            <w:tcBorders>
              <w:left w:val="single" w:sz="6" w:space="0" w:color="auto"/>
            </w:tcBorders>
          </w:tcPr>
          <w:p w:rsidR="00AF2508" w:rsidRDefault="00AF2508">
            <w:pPr>
              <w:pStyle w:val="TableText"/>
              <w:jc w:val="center"/>
              <w:rPr>
                <w:sz w:val="20"/>
              </w:rPr>
            </w:pPr>
            <w:r>
              <w:rPr>
                <w:sz w:val="20"/>
              </w:rPr>
              <w:t>9</w:t>
            </w:r>
          </w:p>
        </w:tc>
        <w:tc>
          <w:tcPr>
            <w:tcW w:w="832" w:type="dxa"/>
          </w:tcPr>
          <w:p w:rsidR="00AF2508" w:rsidRDefault="00AF2508">
            <w:pPr>
              <w:pStyle w:val="TableText"/>
              <w:jc w:val="center"/>
              <w:rPr>
                <w:sz w:val="20"/>
              </w:rPr>
            </w:pPr>
            <w:r>
              <w:rPr>
                <w:sz w:val="20"/>
              </w:rPr>
              <w:t>2</w:t>
            </w:r>
          </w:p>
        </w:tc>
        <w:tc>
          <w:tcPr>
            <w:tcW w:w="768" w:type="dxa"/>
            <w:tcBorders>
              <w:left w:val="single" w:sz="6" w:space="0" w:color="auto"/>
            </w:tcBorders>
          </w:tcPr>
          <w:p w:rsidR="00AF2508" w:rsidRDefault="00AF2508">
            <w:pPr>
              <w:pStyle w:val="TableText"/>
              <w:jc w:val="center"/>
              <w:rPr>
                <w:sz w:val="20"/>
              </w:rPr>
            </w:pPr>
            <w:r>
              <w:rPr>
                <w:sz w:val="20"/>
              </w:rPr>
              <w:t>7</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5</w:t>
            </w:r>
          </w:p>
        </w:tc>
        <w:tc>
          <w:tcPr>
            <w:tcW w:w="722" w:type="dxa"/>
          </w:tcPr>
          <w:p w:rsidR="00AF2508" w:rsidRDefault="00AF2508">
            <w:pPr>
              <w:pStyle w:val="TableText"/>
              <w:jc w:val="center"/>
              <w:rPr>
                <w:sz w:val="20"/>
              </w:rPr>
            </w:pPr>
            <w:r>
              <w:rPr>
                <w:sz w:val="20"/>
              </w:rPr>
              <w:t>5</w:t>
            </w:r>
          </w:p>
        </w:tc>
        <w:tc>
          <w:tcPr>
            <w:tcW w:w="838" w:type="dxa"/>
            <w:gridSpan w:val="2"/>
            <w:tcBorders>
              <w:left w:val="single" w:sz="6" w:space="0" w:color="auto"/>
            </w:tcBorders>
          </w:tcPr>
          <w:p w:rsidR="00AF2508" w:rsidRDefault="00AF2508">
            <w:pPr>
              <w:pStyle w:val="TableText"/>
              <w:jc w:val="center"/>
              <w:rPr>
                <w:sz w:val="20"/>
              </w:rPr>
            </w:pPr>
            <w:r>
              <w:rPr>
                <w:sz w:val="20"/>
              </w:rPr>
              <w:t>2</w:t>
            </w:r>
          </w:p>
        </w:tc>
        <w:tc>
          <w:tcPr>
            <w:tcW w:w="662" w:type="dxa"/>
            <w:gridSpan w:val="2"/>
          </w:tcPr>
          <w:p w:rsidR="00AF2508" w:rsidRDefault="00AF2508">
            <w:pPr>
              <w:pStyle w:val="TableText"/>
              <w:jc w:val="center"/>
              <w:rPr>
                <w:sz w:val="20"/>
              </w:rPr>
            </w:pPr>
            <w:r>
              <w:rPr>
                <w:sz w:val="20"/>
              </w:rPr>
              <w:t>14</w:t>
            </w:r>
          </w:p>
        </w:tc>
      </w:tr>
      <w:tr w:rsidR="00AF2508">
        <w:trPr>
          <w:cantSplit/>
          <w:trHeight w:val="200"/>
        </w:trPr>
        <w:tc>
          <w:tcPr>
            <w:tcW w:w="968" w:type="dxa"/>
          </w:tcPr>
          <w:p w:rsidR="00AF2508" w:rsidRDefault="00AF2508">
            <w:pPr>
              <w:pStyle w:val="TableText"/>
              <w:jc w:val="center"/>
              <w:rPr>
                <w:sz w:val="20"/>
              </w:rPr>
            </w:pPr>
            <w:r>
              <w:rPr>
                <w:sz w:val="20"/>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4</w:t>
            </w:r>
          </w:p>
        </w:tc>
        <w:tc>
          <w:tcPr>
            <w:tcW w:w="684" w:type="dxa"/>
            <w:gridSpan w:val="3"/>
          </w:tcPr>
          <w:p w:rsidR="00AF2508" w:rsidRDefault="00AF2508">
            <w:pPr>
              <w:pStyle w:val="TableText"/>
              <w:jc w:val="center"/>
              <w:rPr>
                <w:sz w:val="20"/>
              </w:rPr>
            </w:pPr>
            <w:r>
              <w:rPr>
                <w:sz w:val="20"/>
              </w:rPr>
              <w:t>6</w:t>
            </w:r>
          </w:p>
        </w:tc>
        <w:tc>
          <w:tcPr>
            <w:tcW w:w="852" w:type="dxa"/>
          </w:tcPr>
          <w:p w:rsidR="00AF2508" w:rsidRDefault="00AF2508">
            <w:pPr>
              <w:pStyle w:val="TableText"/>
              <w:jc w:val="center"/>
              <w:rPr>
                <w:sz w:val="20"/>
              </w:rPr>
            </w:pPr>
            <w:r>
              <w:rPr>
                <w:sz w:val="20"/>
              </w:rPr>
              <w:t>0</w:t>
            </w:r>
          </w:p>
        </w:tc>
        <w:tc>
          <w:tcPr>
            <w:tcW w:w="588" w:type="dxa"/>
            <w:tcBorders>
              <w:left w:val="single" w:sz="6" w:space="0" w:color="auto"/>
            </w:tcBorders>
          </w:tcPr>
          <w:p w:rsidR="00AF2508" w:rsidRDefault="00AF2508">
            <w:pPr>
              <w:pStyle w:val="TableText"/>
              <w:jc w:val="center"/>
              <w:rPr>
                <w:sz w:val="20"/>
              </w:rPr>
            </w:pPr>
            <w:r>
              <w:rPr>
                <w:sz w:val="20"/>
              </w:rPr>
              <w:t>11</w:t>
            </w:r>
          </w:p>
        </w:tc>
        <w:tc>
          <w:tcPr>
            <w:tcW w:w="720" w:type="dxa"/>
            <w:gridSpan w:val="2"/>
          </w:tcPr>
          <w:p w:rsidR="00AF2508" w:rsidRDefault="00AF2508">
            <w:pPr>
              <w:pStyle w:val="TableText"/>
              <w:jc w:val="center"/>
              <w:rPr>
                <w:sz w:val="20"/>
              </w:rPr>
            </w:pPr>
            <w:r>
              <w:rPr>
                <w:sz w:val="20"/>
              </w:rPr>
              <w:t>12</w:t>
            </w:r>
          </w:p>
        </w:tc>
        <w:tc>
          <w:tcPr>
            <w:tcW w:w="764" w:type="dxa"/>
            <w:gridSpan w:val="2"/>
            <w:tcBorders>
              <w:left w:val="single" w:sz="6" w:space="0" w:color="auto"/>
            </w:tcBorders>
          </w:tcPr>
          <w:p w:rsidR="00AF2508" w:rsidRDefault="00AF2508">
            <w:pPr>
              <w:pStyle w:val="TableText"/>
              <w:jc w:val="center"/>
              <w:rPr>
                <w:sz w:val="20"/>
              </w:rPr>
            </w:pPr>
            <w:r>
              <w:rPr>
                <w:sz w:val="20"/>
              </w:rPr>
              <w:t>10</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8</w:t>
            </w:r>
          </w:p>
        </w:tc>
        <w:tc>
          <w:tcPr>
            <w:tcW w:w="786" w:type="dxa"/>
            <w:gridSpan w:val="2"/>
          </w:tcPr>
          <w:p w:rsidR="00AF2508" w:rsidRDefault="00AF2508">
            <w:pPr>
              <w:pStyle w:val="TableText"/>
              <w:jc w:val="center"/>
              <w:rPr>
                <w:sz w:val="20"/>
              </w:rPr>
            </w:pPr>
            <w:r>
              <w:rPr>
                <w:sz w:val="20"/>
              </w:rPr>
              <w:t>10</w:t>
            </w:r>
          </w:p>
        </w:tc>
        <w:tc>
          <w:tcPr>
            <w:tcW w:w="760" w:type="dxa"/>
            <w:tcBorders>
              <w:left w:val="single" w:sz="6" w:space="0" w:color="auto"/>
            </w:tcBorders>
          </w:tcPr>
          <w:p w:rsidR="00AF2508" w:rsidRDefault="00AF2508">
            <w:pPr>
              <w:pStyle w:val="TableText"/>
              <w:jc w:val="center"/>
              <w:rPr>
                <w:sz w:val="20"/>
              </w:rPr>
            </w:pPr>
            <w:r>
              <w:rPr>
                <w:sz w:val="20"/>
              </w:rPr>
              <w:t>6</w:t>
            </w:r>
          </w:p>
        </w:tc>
        <w:tc>
          <w:tcPr>
            <w:tcW w:w="722" w:type="dxa"/>
          </w:tcPr>
          <w:p w:rsidR="00AF2508" w:rsidRDefault="00AF2508">
            <w:pPr>
              <w:pStyle w:val="TableText"/>
              <w:jc w:val="center"/>
              <w:rPr>
                <w:sz w:val="20"/>
              </w:rPr>
            </w:pPr>
            <w:r>
              <w:rPr>
                <w:sz w:val="20"/>
              </w:rPr>
              <w:t>0</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62" w:type="dxa"/>
            <w:gridSpan w:val="2"/>
          </w:tcPr>
          <w:p w:rsidR="00AF2508" w:rsidRDefault="00AF2508">
            <w:pPr>
              <w:pStyle w:val="TableText"/>
              <w:jc w:val="center"/>
              <w:rPr>
                <w:sz w:val="20"/>
              </w:rPr>
            </w:pPr>
            <w:r>
              <w:rPr>
                <w:sz w:val="20"/>
              </w:rPr>
              <w:t>2</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8</w:t>
            </w:r>
          </w:p>
        </w:tc>
        <w:tc>
          <w:tcPr>
            <w:tcW w:w="684" w:type="dxa"/>
            <w:gridSpan w:val="3"/>
          </w:tcPr>
          <w:p w:rsidR="00AF2508" w:rsidRDefault="00AF2508">
            <w:pPr>
              <w:pStyle w:val="TableText"/>
              <w:jc w:val="center"/>
              <w:rPr>
                <w:sz w:val="20"/>
              </w:rPr>
            </w:pPr>
            <w:r>
              <w:rPr>
                <w:sz w:val="20"/>
              </w:rPr>
              <w:t>6</w:t>
            </w:r>
          </w:p>
        </w:tc>
        <w:tc>
          <w:tcPr>
            <w:tcW w:w="852" w:type="dxa"/>
          </w:tcPr>
          <w:p w:rsidR="00AF2508" w:rsidRDefault="00AF2508">
            <w:pPr>
              <w:pStyle w:val="TableText"/>
              <w:jc w:val="center"/>
              <w:rPr>
                <w:sz w:val="20"/>
              </w:rPr>
            </w:pPr>
            <w:r>
              <w:rPr>
                <w:sz w:val="20"/>
              </w:rPr>
              <w:t>17</w:t>
            </w:r>
          </w:p>
        </w:tc>
        <w:tc>
          <w:tcPr>
            <w:tcW w:w="588" w:type="dxa"/>
            <w:tcBorders>
              <w:left w:val="single" w:sz="6" w:space="0" w:color="auto"/>
            </w:tcBorders>
          </w:tcPr>
          <w:p w:rsidR="00AF2508" w:rsidRDefault="00AF2508">
            <w:pPr>
              <w:pStyle w:val="TableText"/>
              <w:jc w:val="center"/>
              <w:rPr>
                <w:sz w:val="20"/>
              </w:rPr>
            </w:pPr>
            <w:r>
              <w:rPr>
                <w:sz w:val="20"/>
              </w:rPr>
              <w:t>13</w:t>
            </w:r>
          </w:p>
        </w:tc>
        <w:tc>
          <w:tcPr>
            <w:tcW w:w="720" w:type="dxa"/>
            <w:gridSpan w:val="2"/>
          </w:tcPr>
          <w:p w:rsidR="00AF2508" w:rsidRDefault="00AF2508">
            <w:pPr>
              <w:pStyle w:val="TableText"/>
              <w:jc w:val="center"/>
              <w:rPr>
                <w:sz w:val="20"/>
              </w:rPr>
            </w:pPr>
            <w:r>
              <w:rPr>
                <w:sz w:val="20"/>
              </w:rPr>
              <w:t>4</w:t>
            </w:r>
          </w:p>
        </w:tc>
        <w:tc>
          <w:tcPr>
            <w:tcW w:w="764" w:type="dxa"/>
            <w:gridSpan w:val="2"/>
            <w:tcBorders>
              <w:left w:val="single" w:sz="6" w:space="0" w:color="auto"/>
            </w:tcBorders>
          </w:tcPr>
          <w:p w:rsidR="00AF2508" w:rsidRDefault="00AF2508">
            <w:pPr>
              <w:pStyle w:val="TableText"/>
              <w:jc w:val="center"/>
              <w:rPr>
                <w:sz w:val="20"/>
              </w:rPr>
            </w:pPr>
            <w:r>
              <w:rPr>
                <w:sz w:val="20"/>
              </w:rPr>
              <w:t>11</w:t>
            </w:r>
          </w:p>
        </w:tc>
        <w:tc>
          <w:tcPr>
            <w:tcW w:w="832" w:type="dxa"/>
          </w:tcPr>
          <w:p w:rsidR="00AF2508" w:rsidRDefault="00AF2508">
            <w:pPr>
              <w:pStyle w:val="TableText"/>
              <w:jc w:val="center"/>
              <w:rPr>
                <w:sz w:val="20"/>
              </w:rPr>
            </w:pPr>
            <w:r>
              <w:rPr>
                <w:sz w:val="20"/>
              </w:rPr>
              <w:t>18</w:t>
            </w:r>
          </w:p>
        </w:tc>
        <w:tc>
          <w:tcPr>
            <w:tcW w:w="768" w:type="dxa"/>
            <w:tcBorders>
              <w:left w:val="single" w:sz="6" w:space="0" w:color="auto"/>
            </w:tcBorders>
          </w:tcPr>
          <w:p w:rsidR="00AF2508" w:rsidRDefault="00AF2508">
            <w:pPr>
              <w:pStyle w:val="TableText"/>
              <w:jc w:val="center"/>
              <w:rPr>
                <w:sz w:val="20"/>
              </w:rPr>
            </w:pPr>
            <w:r>
              <w:rPr>
                <w:sz w:val="20"/>
              </w:rPr>
              <w:t>9</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6</w:t>
            </w:r>
          </w:p>
        </w:tc>
        <w:tc>
          <w:tcPr>
            <w:tcW w:w="722" w:type="dxa"/>
          </w:tcPr>
          <w:p w:rsidR="00AF2508" w:rsidRDefault="00AF2508">
            <w:pPr>
              <w:pStyle w:val="TableText"/>
              <w:jc w:val="center"/>
              <w:rPr>
                <w:sz w:val="20"/>
              </w:rPr>
            </w:pPr>
            <w:r>
              <w:rPr>
                <w:sz w:val="20"/>
              </w:rPr>
              <w:t>17</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62" w:type="dxa"/>
            <w:gridSpan w:val="2"/>
          </w:tcPr>
          <w:p w:rsidR="00AF2508" w:rsidRDefault="00AF2508">
            <w:pPr>
              <w:pStyle w:val="TableText"/>
              <w:jc w:val="center"/>
              <w:rPr>
                <w:sz w:val="20"/>
              </w:rPr>
            </w:pPr>
            <w:r>
              <w:rPr>
                <w:sz w:val="20"/>
              </w:rPr>
              <w:t>11</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16</w:t>
            </w:r>
          </w:p>
        </w:tc>
        <w:tc>
          <w:tcPr>
            <w:tcW w:w="684" w:type="dxa"/>
            <w:gridSpan w:val="3"/>
          </w:tcPr>
          <w:p w:rsidR="00AF2508" w:rsidRDefault="00AF2508">
            <w:pPr>
              <w:pStyle w:val="TableText"/>
              <w:jc w:val="center"/>
              <w:rPr>
                <w:sz w:val="20"/>
              </w:rPr>
            </w:pPr>
            <w:r>
              <w:rPr>
                <w:sz w:val="20"/>
              </w:rPr>
              <w:t>7</w:t>
            </w:r>
          </w:p>
        </w:tc>
        <w:tc>
          <w:tcPr>
            <w:tcW w:w="852" w:type="dxa"/>
          </w:tcPr>
          <w:p w:rsidR="00AF2508" w:rsidRDefault="00AF2508">
            <w:pPr>
              <w:pStyle w:val="TableText"/>
              <w:jc w:val="center"/>
              <w:rPr>
                <w:sz w:val="20"/>
              </w:rPr>
            </w:pPr>
            <w:r>
              <w:rPr>
                <w:sz w:val="20"/>
              </w:rPr>
              <w:t>10</w:t>
            </w:r>
          </w:p>
        </w:tc>
        <w:tc>
          <w:tcPr>
            <w:tcW w:w="588" w:type="dxa"/>
            <w:tcBorders>
              <w:left w:val="single" w:sz="6" w:space="0" w:color="auto"/>
            </w:tcBorders>
          </w:tcPr>
          <w:p w:rsidR="00AF2508" w:rsidRDefault="00AF2508">
            <w:pPr>
              <w:pStyle w:val="TableText"/>
              <w:jc w:val="center"/>
              <w:rPr>
                <w:sz w:val="20"/>
              </w:rPr>
            </w:pPr>
            <w:r>
              <w:rPr>
                <w:sz w:val="20"/>
              </w:rPr>
              <w:t>14</w:t>
            </w:r>
          </w:p>
        </w:tc>
        <w:tc>
          <w:tcPr>
            <w:tcW w:w="720" w:type="dxa"/>
            <w:gridSpan w:val="2"/>
          </w:tcPr>
          <w:p w:rsidR="00AF2508" w:rsidRDefault="00AF2508">
            <w:pPr>
              <w:pStyle w:val="TableText"/>
              <w:jc w:val="center"/>
              <w:rPr>
                <w:sz w:val="20"/>
              </w:rPr>
            </w:pPr>
            <w:r>
              <w:rPr>
                <w:sz w:val="20"/>
              </w:rPr>
              <w:t>10</w:t>
            </w:r>
          </w:p>
        </w:tc>
        <w:tc>
          <w:tcPr>
            <w:tcW w:w="764" w:type="dxa"/>
            <w:gridSpan w:val="2"/>
            <w:tcBorders>
              <w:left w:val="single" w:sz="6" w:space="0" w:color="auto"/>
            </w:tcBorders>
          </w:tcPr>
          <w:p w:rsidR="00AF2508" w:rsidRDefault="00AF2508">
            <w:pPr>
              <w:pStyle w:val="TableText"/>
              <w:jc w:val="center"/>
              <w:rPr>
                <w:sz w:val="20"/>
              </w:rPr>
            </w:pPr>
            <w:r>
              <w:rPr>
                <w:sz w:val="20"/>
              </w:rPr>
              <w:t>13</w:t>
            </w:r>
          </w:p>
        </w:tc>
        <w:tc>
          <w:tcPr>
            <w:tcW w:w="832" w:type="dxa"/>
          </w:tcPr>
          <w:p w:rsidR="00AF2508" w:rsidRDefault="00AF2508">
            <w:pPr>
              <w:pStyle w:val="TableText"/>
              <w:jc w:val="center"/>
              <w:rPr>
                <w:sz w:val="20"/>
              </w:rPr>
            </w:pPr>
            <w:r>
              <w:rPr>
                <w:sz w:val="20"/>
              </w:rPr>
              <w:t>0</w:t>
            </w:r>
          </w:p>
        </w:tc>
        <w:tc>
          <w:tcPr>
            <w:tcW w:w="768" w:type="dxa"/>
            <w:tcBorders>
              <w:left w:val="single" w:sz="6" w:space="0" w:color="auto"/>
            </w:tcBorders>
          </w:tcPr>
          <w:p w:rsidR="00AF2508" w:rsidRDefault="00AF2508">
            <w:pPr>
              <w:pStyle w:val="TableText"/>
              <w:jc w:val="center"/>
              <w:rPr>
                <w:sz w:val="20"/>
              </w:rPr>
            </w:pPr>
            <w:r>
              <w:rPr>
                <w:sz w:val="20"/>
              </w:rPr>
              <w:t>10</w:t>
            </w:r>
          </w:p>
        </w:tc>
        <w:tc>
          <w:tcPr>
            <w:tcW w:w="786" w:type="dxa"/>
            <w:gridSpan w:val="2"/>
          </w:tcPr>
          <w:p w:rsidR="00AF2508" w:rsidRDefault="00AF2508">
            <w:pPr>
              <w:pStyle w:val="TableText"/>
              <w:jc w:val="center"/>
              <w:rPr>
                <w:sz w:val="20"/>
              </w:rPr>
            </w:pPr>
            <w:r>
              <w:rPr>
                <w:sz w:val="20"/>
              </w:rPr>
              <w:t>12</w:t>
            </w:r>
          </w:p>
        </w:tc>
        <w:tc>
          <w:tcPr>
            <w:tcW w:w="760" w:type="dxa"/>
            <w:tcBorders>
              <w:left w:val="single" w:sz="6" w:space="0" w:color="auto"/>
            </w:tcBorders>
          </w:tcPr>
          <w:p w:rsidR="00AF2508" w:rsidRDefault="00AF2508">
            <w:pPr>
              <w:pStyle w:val="TableText"/>
              <w:jc w:val="center"/>
              <w:rPr>
                <w:sz w:val="20"/>
              </w:rPr>
            </w:pPr>
            <w:r>
              <w:rPr>
                <w:sz w:val="20"/>
              </w:rPr>
              <w:t>7</w:t>
            </w:r>
          </w:p>
        </w:tc>
        <w:tc>
          <w:tcPr>
            <w:tcW w:w="722" w:type="dxa"/>
          </w:tcPr>
          <w:p w:rsidR="00AF2508" w:rsidRDefault="00AF2508">
            <w:pPr>
              <w:pStyle w:val="TableText"/>
              <w:jc w:val="center"/>
              <w:rPr>
                <w:sz w:val="20"/>
              </w:rPr>
            </w:pPr>
            <w:r>
              <w:rPr>
                <w:sz w:val="20"/>
              </w:rPr>
              <w:t>10</w:t>
            </w:r>
          </w:p>
        </w:tc>
        <w:tc>
          <w:tcPr>
            <w:tcW w:w="838" w:type="dxa"/>
            <w:gridSpan w:val="2"/>
            <w:tcBorders>
              <w:left w:val="single" w:sz="6" w:space="0" w:color="auto"/>
            </w:tcBorders>
          </w:tcPr>
          <w:p w:rsidR="00AF2508" w:rsidRDefault="00AF2508">
            <w:pPr>
              <w:pStyle w:val="TableText"/>
              <w:jc w:val="center"/>
              <w:rPr>
                <w:sz w:val="20"/>
              </w:rPr>
            </w:pPr>
            <w:r>
              <w:rPr>
                <w:sz w:val="20"/>
              </w:rPr>
              <w:t>3</w:t>
            </w:r>
          </w:p>
        </w:tc>
        <w:tc>
          <w:tcPr>
            <w:tcW w:w="662" w:type="dxa"/>
            <w:gridSpan w:val="2"/>
          </w:tcPr>
          <w:p w:rsidR="00AF2508" w:rsidRDefault="00AF2508">
            <w:pPr>
              <w:pStyle w:val="TableText"/>
              <w:jc w:val="center"/>
              <w:rPr>
                <w:sz w:val="20"/>
              </w:rPr>
            </w:pPr>
            <w:r>
              <w:rPr>
                <w:sz w:val="20"/>
              </w:rPr>
              <w:t>18</w:t>
            </w:r>
          </w:p>
        </w:tc>
      </w:tr>
      <w:tr w:rsidR="00AF2508">
        <w:trPr>
          <w:cantSplit/>
          <w:trHeight w:val="200"/>
        </w:trPr>
        <w:tc>
          <w:tcPr>
            <w:tcW w:w="968" w:type="dxa"/>
          </w:tcPr>
          <w:p w:rsidR="00AF2508" w:rsidRDefault="00AF2508">
            <w:pPr>
              <w:pStyle w:val="TableText"/>
              <w:jc w:val="center"/>
              <w:rPr>
                <w:sz w:val="20"/>
              </w:rPr>
            </w:pPr>
            <w:r>
              <w:rPr>
                <w:sz w:val="20"/>
              </w:rPr>
              <w:t>4</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w:t>
            </w:r>
            <w:r>
              <w:rPr>
                <w:sz w:val="20"/>
              </w:rPr>
              <w:t>/</w:t>
            </w:r>
            <w:r>
              <w:rPr>
                <w:sz w:val="16"/>
              </w:rPr>
              <w:t>2</w:t>
            </w:r>
          </w:p>
        </w:tc>
        <w:tc>
          <w:tcPr>
            <w:tcW w:w="684" w:type="dxa"/>
            <w:gridSpan w:val="3"/>
          </w:tcPr>
          <w:p w:rsidR="00AF2508" w:rsidRDefault="00AF2508">
            <w:pPr>
              <w:pStyle w:val="TableText"/>
              <w:jc w:val="center"/>
              <w:rPr>
                <w:sz w:val="20"/>
              </w:rPr>
            </w:pPr>
            <w:r>
              <w:rPr>
                <w:sz w:val="20"/>
              </w:rPr>
              <w:t>8</w:t>
            </w:r>
          </w:p>
        </w:tc>
        <w:tc>
          <w:tcPr>
            <w:tcW w:w="852" w:type="dxa"/>
          </w:tcPr>
          <w:p w:rsidR="00AF2508" w:rsidRDefault="00AF2508">
            <w:pPr>
              <w:pStyle w:val="TableText"/>
              <w:jc w:val="center"/>
              <w:rPr>
                <w:sz w:val="20"/>
              </w:rPr>
            </w:pPr>
            <w:r>
              <w:rPr>
                <w:sz w:val="20"/>
              </w:rPr>
              <w:t>9</w:t>
            </w:r>
          </w:p>
        </w:tc>
        <w:tc>
          <w:tcPr>
            <w:tcW w:w="588" w:type="dxa"/>
            <w:tcBorders>
              <w:left w:val="single" w:sz="6" w:space="0" w:color="auto"/>
            </w:tcBorders>
          </w:tcPr>
          <w:p w:rsidR="00AF2508" w:rsidRDefault="00AF2508">
            <w:pPr>
              <w:pStyle w:val="TableText"/>
              <w:jc w:val="center"/>
              <w:rPr>
                <w:sz w:val="20"/>
              </w:rPr>
            </w:pPr>
            <w:r>
              <w:rPr>
                <w:sz w:val="20"/>
              </w:rPr>
              <w:t>16</w:t>
            </w:r>
          </w:p>
        </w:tc>
        <w:tc>
          <w:tcPr>
            <w:tcW w:w="720" w:type="dxa"/>
            <w:gridSpan w:val="2"/>
          </w:tcPr>
          <w:p w:rsidR="00AF2508" w:rsidRDefault="00AF2508">
            <w:pPr>
              <w:pStyle w:val="TableText"/>
              <w:jc w:val="center"/>
              <w:rPr>
                <w:sz w:val="20"/>
              </w:rPr>
            </w:pPr>
            <w:r>
              <w:rPr>
                <w:sz w:val="20"/>
              </w:rPr>
              <w:t>8</w:t>
            </w:r>
          </w:p>
        </w:tc>
        <w:tc>
          <w:tcPr>
            <w:tcW w:w="764" w:type="dxa"/>
            <w:gridSpan w:val="2"/>
            <w:tcBorders>
              <w:left w:val="single" w:sz="6" w:space="0" w:color="auto"/>
            </w:tcBorders>
          </w:tcPr>
          <w:p w:rsidR="00AF2508" w:rsidRDefault="00AF2508">
            <w:pPr>
              <w:pStyle w:val="TableText"/>
              <w:jc w:val="center"/>
              <w:rPr>
                <w:sz w:val="20"/>
              </w:rPr>
            </w:pPr>
            <w:r>
              <w:rPr>
                <w:sz w:val="20"/>
              </w:rPr>
              <w:t>14</w:t>
            </w:r>
          </w:p>
        </w:tc>
        <w:tc>
          <w:tcPr>
            <w:tcW w:w="832" w:type="dxa"/>
          </w:tcPr>
          <w:p w:rsidR="00AF2508" w:rsidRDefault="00AF2508">
            <w:pPr>
              <w:pStyle w:val="TableText"/>
              <w:jc w:val="center"/>
              <w:rPr>
                <w:sz w:val="20"/>
              </w:rPr>
            </w:pPr>
            <w:r>
              <w:rPr>
                <w:sz w:val="20"/>
              </w:rPr>
              <w:t>13</w:t>
            </w:r>
          </w:p>
        </w:tc>
        <w:tc>
          <w:tcPr>
            <w:tcW w:w="768" w:type="dxa"/>
            <w:tcBorders>
              <w:left w:val="single" w:sz="6" w:space="0" w:color="auto"/>
            </w:tcBorders>
          </w:tcPr>
          <w:p w:rsidR="00AF2508" w:rsidRDefault="00AF2508">
            <w:pPr>
              <w:pStyle w:val="TableText"/>
              <w:jc w:val="center"/>
              <w:rPr>
                <w:sz w:val="20"/>
              </w:rPr>
            </w:pPr>
            <w:r>
              <w:rPr>
                <w:sz w:val="20"/>
              </w:rPr>
              <w:t>11</w:t>
            </w:r>
          </w:p>
        </w:tc>
        <w:tc>
          <w:tcPr>
            <w:tcW w:w="786" w:type="dxa"/>
            <w:gridSpan w:val="2"/>
          </w:tcPr>
          <w:p w:rsidR="00AF2508" w:rsidRDefault="00AF2508">
            <w:pPr>
              <w:pStyle w:val="TableText"/>
              <w:jc w:val="center"/>
              <w:rPr>
                <w:sz w:val="20"/>
              </w:rPr>
            </w:pPr>
            <w:r>
              <w:rPr>
                <w:sz w:val="20"/>
              </w:rPr>
              <w:t>19</w:t>
            </w:r>
          </w:p>
        </w:tc>
        <w:tc>
          <w:tcPr>
            <w:tcW w:w="760" w:type="dxa"/>
            <w:tcBorders>
              <w:left w:val="single" w:sz="6" w:space="0" w:color="auto"/>
            </w:tcBorders>
          </w:tcPr>
          <w:p w:rsidR="00AF2508" w:rsidRDefault="00AF2508">
            <w:pPr>
              <w:pStyle w:val="TableText"/>
              <w:jc w:val="center"/>
              <w:rPr>
                <w:sz w:val="20"/>
              </w:rPr>
            </w:pPr>
            <w:r>
              <w:rPr>
                <w:sz w:val="20"/>
              </w:rPr>
              <w:t>8</w:t>
            </w:r>
          </w:p>
        </w:tc>
        <w:tc>
          <w:tcPr>
            <w:tcW w:w="722" w:type="dxa"/>
          </w:tcPr>
          <w:p w:rsidR="00AF2508" w:rsidRDefault="00AF2508">
            <w:pPr>
              <w:pStyle w:val="TableText"/>
              <w:jc w:val="center"/>
              <w:rPr>
                <w:sz w:val="20"/>
              </w:rPr>
            </w:pPr>
            <w:r>
              <w:rPr>
                <w:sz w:val="20"/>
              </w:rPr>
              <w:t>9</w:t>
            </w:r>
          </w:p>
        </w:tc>
        <w:tc>
          <w:tcPr>
            <w:tcW w:w="838" w:type="dxa"/>
            <w:gridSpan w:val="2"/>
            <w:tcBorders>
              <w:left w:val="single" w:sz="6" w:space="0" w:color="auto"/>
            </w:tcBorders>
          </w:tcPr>
          <w:p w:rsidR="00AF2508" w:rsidRDefault="00AF2508">
            <w:pPr>
              <w:pStyle w:val="TableText"/>
              <w:jc w:val="center"/>
              <w:rPr>
                <w:sz w:val="20"/>
              </w:rPr>
            </w:pPr>
            <w:r>
              <w:rPr>
                <w:sz w:val="20"/>
              </w:rPr>
              <w:t>4</w:t>
            </w:r>
          </w:p>
        </w:tc>
        <w:tc>
          <w:tcPr>
            <w:tcW w:w="662" w:type="dxa"/>
            <w:gridSpan w:val="2"/>
          </w:tcPr>
          <w:p w:rsidR="00AF2508" w:rsidRDefault="00AF2508">
            <w:pPr>
              <w:pStyle w:val="TableText"/>
              <w:jc w:val="center"/>
              <w:rPr>
                <w:sz w:val="20"/>
              </w:rPr>
            </w:pPr>
            <w:r>
              <w:rPr>
                <w:sz w:val="20"/>
              </w:rPr>
              <w:t>8</w:t>
            </w:r>
          </w:p>
        </w:tc>
      </w:tr>
      <w:tr w:rsidR="00AF2508">
        <w:trPr>
          <w:cantSplit/>
          <w:trHeight w:val="200"/>
        </w:trPr>
        <w:tc>
          <w:tcPr>
            <w:tcW w:w="968" w:type="dxa"/>
          </w:tcPr>
          <w:p w:rsidR="00AF2508" w:rsidRDefault="00AF2508">
            <w:pPr>
              <w:pStyle w:val="TableText"/>
              <w:jc w:val="center"/>
              <w:rPr>
                <w:sz w:val="20"/>
              </w:rPr>
            </w:pPr>
            <w:r>
              <w:rPr>
                <w:sz w:val="20"/>
              </w:rPr>
              <w:t>5</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5</w:t>
            </w:r>
            <w:r>
              <w:rPr>
                <w:sz w:val="20"/>
              </w:rPr>
              <w:t>/</w:t>
            </w:r>
            <w:r>
              <w:rPr>
                <w:sz w:val="16"/>
              </w:rPr>
              <w:t>8</w:t>
            </w:r>
          </w:p>
        </w:tc>
        <w:tc>
          <w:tcPr>
            <w:tcW w:w="684" w:type="dxa"/>
            <w:gridSpan w:val="3"/>
          </w:tcPr>
          <w:p w:rsidR="00AF2508" w:rsidRDefault="00AF2508">
            <w:pPr>
              <w:pStyle w:val="TableText"/>
              <w:jc w:val="center"/>
              <w:rPr>
                <w:sz w:val="20"/>
              </w:rPr>
            </w:pPr>
            <w:r>
              <w:rPr>
                <w:sz w:val="20"/>
              </w:rPr>
              <w:t>9</w:t>
            </w:r>
          </w:p>
        </w:tc>
        <w:tc>
          <w:tcPr>
            <w:tcW w:w="852" w:type="dxa"/>
          </w:tcPr>
          <w:p w:rsidR="00AF2508" w:rsidRDefault="00AF2508">
            <w:pPr>
              <w:pStyle w:val="TableText"/>
              <w:jc w:val="center"/>
              <w:rPr>
                <w:sz w:val="20"/>
              </w:rPr>
            </w:pPr>
            <w:r>
              <w:rPr>
                <w:sz w:val="20"/>
              </w:rPr>
              <w:t>8</w:t>
            </w:r>
          </w:p>
        </w:tc>
        <w:tc>
          <w:tcPr>
            <w:tcW w:w="588" w:type="dxa"/>
            <w:tcBorders>
              <w:left w:val="single" w:sz="6" w:space="0" w:color="auto"/>
            </w:tcBorders>
          </w:tcPr>
          <w:p w:rsidR="00AF2508" w:rsidRDefault="00AF2508">
            <w:pPr>
              <w:pStyle w:val="TableText"/>
              <w:jc w:val="center"/>
              <w:rPr>
                <w:sz w:val="20"/>
              </w:rPr>
            </w:pPr>
            <w:r>
              <w:rPr>
                <w:sz w:val="20"/>
              </w:rPr>
              <w:t>18</w:t>
            </w:r>
          </w:p>
        </w:tc>
        <w:tc>
          <w:tcPr>
            <w:tcW w:w="720" w:type="dxa"/>
            <w:gridSpan w:val="2"/>
          </w:tcPr>
          <w:p w:rsidR="00AF2508" w:rsidRDefault="00AF2508">
            <w:pPr>
              <w:pStyle w:val="TableText"/>
              <w:jc w:val="center"/>
              <w:rPr>
                <w:sz w:val="20"/>
              </w:rPr>
            </w:pPr>
            <w:r>
              <w:rPr>
                <w:sz w:val="20"/>
              </w:rPr>
              <w:t>3</w:t>
            </w:r>
          </w:p>
        </w:tc>
        <w:tc>
          <w:tcPr>
            <w:tcW w:w="764" w:type="dxa"/>
            <w:gridSpan w:val="2"/>
            <w:tcBorders>
              <w:left w:val="single" w:sz="6" w:space="0" w:color="auto"/>
            </w:tcBorders>
          </w:tcPr>
          <w:p w:rsidR="00AF2508" w:rsidRDefault="00AF2508">
            <w:pPr>
              <w:pStyle w:val="TableText"/>
              <w:jc w:val="center"/>
              <w:rPr>
                <w:sz w:val="20"/>
              </w:rPr>
            </w:pPr>
            <w:r>
              <w:rPr>
                <w:sz w:val="20"/>
              </w:rPr>
              <w:t>16</w:t>
            </w:r>
          </w:p>
        </w:tc>
        <w:tc>
          <w:tcPr>
            <w:tcW w:w="832" w:type="dxa"/>
          </w:tcPr>
          <w:p w:rsidR="00AF2508" w:rsidRDefault="00AF2508">
            <w:pPr>
              <w:pStyle w:val="TableText"/>
              <w:jc w:val="center"/>
              <w:rPr>
                <w:sz w:val="20"/>
              </w:rPr>
            </w:pPr>
            <w:r>
              <w:rPr>
                <w:sz w:val="20"/>
              </w:rPr>
              <w:t>6</w:t>
            </w:r>
          </w:p>
        </w:tc>
        <w:tc>
          <w:tcPr>
            <w:tcW w:w="768" w:type="dxa"/>
            <w:tcBorders>
              <w:left w:val="single" w:sz="6" w:space="0" w:color="auto"/>
            </w:tcBorders>
          </w:tcPr>
          <w:p w:rsidR="00AF2508" w:rsidRDefault="00AF2508">
            <w:pPr>
              <w:pStyle w:val="TableText"/>
              <w:jc w:val="center"/>
              <w:rPr>
                <w:sz w:val="20"/>
              </w:rPr>
            </w:pPr>
            <w:r>
              <w:rPr>
                <w:sz w:val="20"/>
              </w:rPr>
              <w:t>13</w:t>
            </w:r>
          </w:p>
        </w:tc>
        <w:tc>
          <w:tcPr>
            <w:tcW w:w="786" w:type="dxa"/>
            <w:gridSpan w:val="2"/>
          </w:tcPr>
          <w:p w:rsidR="00AF2508" w:rsidRDefault="00AF2508">
            <w:pPr>
              <w:pStyle w:val="TableText"/>
              <w:jc w:val="center"/>
              <w:rPr>
                <w:sz w:val="20"/>
              </w:rPr>
            </w:pPr>
            <w:r>
              <w:rPr>
                <w:sz w:val="20"/>
              </w:rPr>
              <w:t>6</w:t>
            </w:r>
          </w:p>
        </w:tc>
        <w:tc>
          <w:tcPr>
            <w:tcW w:w="760" w:type="dxa"/>
            <w:tcBorders>
              <w:left w:val="single" w:sz="6" w:space="0" w:color="auto"/>
            </w:tcBorders>
          </w:tcPr>
          <w:p w:rsidR="00AF2508" w:rsidRDefault="00AF2508">
            <w:pPr>
              <w:pStyle w:val="TableText"/>
              <w:jc w:val="center"/>
              <w:rPr>
                <w:sz w:val="20"/>
              </w:rPr>
            </w:pPr>
            <w:r>
              <w:rPr>
                <w:sz w:val="20"/>
              </w:rPr>
              <w:t>9</w:t>
            </w:r>
          </w:p>
        </w:tc>
        <w:tc>
          <w:tcPr>
            <w:tcW w:w="722" w:type="dxa"/>
          </w:tcPr>
          <w:p w:rsidR="00AF2508" w:rsidRDefault="00AF2508">
            <w:pPr>
              <w:pStyle w:val="TableText"/>
              <w:jc w:val="center"/>
              <w:rPr>
                <w:sz w:val="20"/>
              </w:rPr>
            </w:pPr>
            <w:r>
              <w:rPr>
                <w:sz w:val="20"/>
              </w:rPr>
              <w:t>8</w:t>
            </w:r>
          </w:p>
        </w:tc>
        <w:tc>
          <w:tcPr>
            <w:tcW w:w="838" w:type="dxa"/>
            <w:gridSpan w:val="2"/>
            <w:tcBorders>
              <w:left w:val="single" w:sz="6" w:space="0" w:color="auto"/>
            </w:tcBorders>
          </w:tcPr>
          <w:p w:rsidR="00AF2508" w:rsidRDefault="00AF2508">
            <w:pPr>
              <w:pStyle w:val="TableText"/>
              <w:jc w:val="center"/>
              <w:rPr>
                <w:sz w:val="20"/>
              </w:rPr>
            </w:pPr>
            <w:r>
              <w:rPr>
                <w:sz w:val="20"/>
              </w:rPr>
              <w:t>4</w:t>
            </w:r>
          </w:p>
        </w:tc>
        <w:tc>
          <w:tcPr>
            <w:tcW w:w="662" w:type="dxa"/>
            <w:gridSpan w:val="2"/>
          </w:tcPr>
          <w:p w:rsidR="00AF2508" w:rsidRDefault="00AF2508">
            <w:pPr>
              <w:pStyle w:val="TableText"/>
              <w:jc w:val="center"/>
              <w:rPr>
                <w:sz w:val="20"/>
              </w:rPr>
            </w:pPr>
            <w:r>
              <w:rPr>
                <w:sz w:val="20"/>
              </w:rPr>
              <w:t>17</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11</w:t>
            </w:r>
            <w:r>
              <w:rPr>
                <w:sz w:val="20"/>
              </w:rPr>
              <w:t>/</w:t>
            </w:r>
            <w:r>
              <w:rPr>
                <w:sz w:val="16"/>
              </w:rPr>
              <w:t>16</w:t>
            </w:r>
          </w:p>
        </w:tc>
        <w:tc>
          <w:tcPr>
            <w:tcW w:w="684" w:type="dxa"/>
            <w:gridSpan w:val="3"/>
          </w:tcPr>
          <w:p w:rsidR="00AF2508" w:rsidRDefault="00AF2508">
            <w:pPr>
              <w:pStyle w:val="TableText"/>
              <w:jc w:val="center"/>
              <w:rPr>
                <w:sz w:val="20"/>
              </w:rPr>
            </w:pPr>
            <w:r>
              <w:rPr>
                <w:sz w:val="20"/>
              </w:rPr>
              <w:t>10</w:t>
            </w:r>
          </w:p>
        </w:tc>
        <w:tc>
          <w:tcPr>
            <w:tcW w:w="852" w:type="dxa"/>
          </w:tcPr>
          <w:p w:rsidR="00AF2508" w:rsidRDefault="00AF2508">
            <w:pPr>
              <w:pStyle w:val="TableText"/>
              <w:jc w:val="center"/>
              <w:rPr>
                <w:sz w:val="20"/>
              </w:rPr>
            </w:pPr>
            <w:r>
              <w:rPr>
                <w:sz w:val="20"/>
              </w:rPr>
              <w:t>8</w:t>
            </w:r>
          </w:p>
        </w:tc>
        <w:tc>
          <w:tcPr>
            <w:tcW w:w="588" w:type="dxa"/>
            <w:tcBorders>
              <w:left w:val="single" w:sz="6" w:space="0" w:color="auto"/>
            </w:tcBorders>
          </w:tcPr>
          <w:p w:rsidR="00AF2508" w:rsidRDefault="00AF2508">
            <w:pPr>
              <w:pStyle w:val="TableText"/>
              <w:jc w:val="center"/>
              <w:rPr>
                <w:sz w:val="20"/>
              </w:rPr>
            </w:pPr>
            <w:r>
              <w:rPr>
                <w:sz w:val="20"/>
              </w:rPr>
              <w:t>20</w:t>
            </w:r>
          </w:p>
        </w:tc>
        <w:tc>
          <w:tcPr>
            <w:tcW w:w="720" w:type="dxa"/>
            <w:gridSpan w:val="2"/>
          </w:tcPr>
          <w:p w:rsidR="00AF2508" w:rsidRDefault="00AF2508">
            <w:pPr>
              <w:pStyle w:val="TableText"/>
              <w:jc w:val="center"/>
              <w:rPr>
                <w:sz w:val="20"/>
              </w:rPr>
            </w:pPr>
            <w:r>
              <w:rPr>
                <w:sz w:val="20"/>
              </w:rPr>
              <w:t>2</w:t>
            </w:r>
          </w:p>
        </w:tc>
        <w:tc>
          <w:tcPr>
            <w:tcW w:w="764" w:type="dxa"/>
            <w:gridSpan w:val="2"/>
            <w:tcBorders>
              <w:left w:val="single" w:sz="6" w:space="0" w:color="auto"/>
            </w:tcBorders>
          </w:tcPr>
          <w:p w:rsidR="00AF2508" w:rsidRDefault="00AF2508">
            <w:pPr>
              <w:pStyle w:val="TableText"/>
              <w:jc w:val="center"/>
              <w:rPr>
                <w:sz w:val="20"/>
              </w:rPr>
            </w:pPr>
            <w:r>
              <w:rPr>
                <w:sz w:val="20"/>
              </w:rPr>
              <w:t>18</w:t>
            </w:r>
          </w:p>
        </w:tc>
        <w:tc>
          <w:tcPr>
            <w:tcW w:w="832" w:type="dxa"/>
          </w:tcPr>
          <w:p w:rsidR="00AF2508" w:rsidRDefault="00AF2508">
            <w:pPr>
              <w:pStyle w:val="TableText"/>
              <w:jc w:val="center"/>
              <w:rPr>
                <w:sz w:val="20"/>
              </w:rPr>
            </w:pPr>
            <w:r>
              <w:rPr>
                <w:sz w:val="20"/>
              </w:rPr>
              <w:t>0</w:t>
            </w:r>
          </w:p>
        </w:tc>
        <w:tc>
          <w:tcPr>
            <w:tcW w:w="768" w:type="dxa"/>
            <w:tcBorders>
              <w:left w:val="single" w:sz="6" w:space="0" w:color="auto"/>
            </w:tcBorders>
          </w:tcPr>
          <w:p w:rsidR="00AF2508" w:rsidRDefault="00AF2508">
            <w:pPr>
              <w:pStyle w:val="TableText"/>
              <w:jc w:val="center"/>
              <w:rPr>
                <w:sz w:val="20"/>
              </w:rPr>
            </w:pPr>
            <w:r>
              <w:rPr>
                <w:sz w:val="20"/>
              </w:rPr>
              <w:t>14</w:t>
            </w:r>
          </w:p>
        </w:tc>
        <w:tc>
          <w:tcPr>
            <w:tcW w:w="786" w:type="dxa"/>
            <w:gridSpan w:val="2"/>
          </w:tcPr>
          <w:p w:rsidR="00AF2508" w:rsidRDefault="00AF2508">
            <w:pPr>
              <w:pStyle w:val="TableText"/>
              <w:jc w:val="center"/>
              <w:rPr>
                <w:sz w:val="20"/>
              </w:rPr>
            </w:pPr>
            <w:r>
              <w:rPr>
                <w:sz w:val="20"/>
              </w:rPr>
              <w:t>14</w:t>
            </w:r>
          </w:p>
        </w:tc>
        <w:tc>
          <w:tcPr>
            <w:tcW w:w="760" w:type="dxa"/>
            <w:tcBorders>
              <w:left w:val="single" w:sz="6" w:space="0" w:color="auto"/>
            </w:tcBorders>
          </w:tcPr>
          <w:p w:rsidR="00AF2508" w:rsidRDefault="00AF2508">
            <w:pPr>
              <w:pStyle w:val="TableText"/>
              <w:jc w:val="center"/>
              <w:rPr>
                <w:sz w:val="20"/>
              </w:rPr>
            </w:pPr>
            <w:r>
              <w:rPr>
                <w:sz w:val="20"/>
              </w:rPr>
              <w:t>10</w:t>
            </w:r>
          </w:p>
        </w:tc>
        <w:tc>
          <w:tcPr>
            <w:tcW w:w="722" w:type="dxa"/>
          </w:tcPr>
          <w:p w:rsidR="00AF2508" w:rsidRDefault="00AF2508">
            <w:pPr>
              <w:pStyle w:val="TableText"/>
              <w:jc w:val="center"/>
              <w:rPr>
                <w:sz w:val="20"/>
              </w:rPr>
            </w:pPr>
            <w:r>
              <w:rPr>
                <w:sz w:val="20"/>
              </w:rPr>
              <w:t>8</w:t>
            </w:r>
          </w:p>
        </w:tc>
        <w:tc>
          <w:tcPr>
            <w:tcW w:w="838" w:type="dxa"/>
            <w:gridSpan w:val="2"/>
            <w:tcBorders>
              <w:left w:val="single" w:sz="6" w:space="0" w:color="auto"/>
            </w:tcBorders>
          </w:tcPr>
          <w:p w:rsidR="00AF2508" w:rsidRDefault="00AF2508">
            <w:pPr>
              <w:pStyle w:val="TableText"/>
              <w:jc w:val="center"/>
              <w:rPr>
                <w:sz w:val="20"/>
              </w:rPr>
            </w:pPr>
            <w:r>
              <w:rPr>
                <w:sz w:val="20"/>
              </w:rPr>
              <w:t>5</w:t>
            </w:r>
          </w:p>
        </w:tc>
        <w:tc>
          <w:tcPr>
            <w:tcW w:w="662" w:type="dxa"/>
            <w:gridSpan w:val="2"/>
          </w:tcPr>
          <w:p w:rsidR="00AF2508" w:rsidRDefault="00AF2508">
            <w:pPr>
              <w:pStyle w:val="TableText"/>
              <w:jc w:val="center"/>
              <w:rPr>
                <w:sz w:val="20"/>
              </w:rPr>
            </w:pPr>
            <w:r>
              <w:rPr>
                <w:sz w:val="20"/>
              </w:rPr>
              <w:t>8</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3</w:t>
            </w:r>
            <w:r>
              <w:rPr>
                <w:sz w:val="20"/>
              </w:rPr>
              <w:t>/</w:t>
            </w:r>
            <w:r>
              <w:rPr>
                <w:sz w:val="16"/>
              </w:rPr>
              <w:t>4</w:t>
            </w:r>
          </w:p>
        </w:tc>
        <w:tc>
          <w:tcPr>
            <w:tcW w:w="684" w:type="dxa"/>
            <w:gridSpan w:val="3"/>
          </w:tcPr>
          <w:p w:rsidR="00AF2508" w:rsidRDefault="00AF2508">
            <w:pPr>
              <w:pStyle w:val="TableText"/>
              <w:jc w:val="center"/>
              <w:rPr>
                <w:sz w:val="20"/>
              </w:rPr>
            </w:pPr>
            <w:r>
              <w:rPr>
                <w:sz w:val="20"/>
              </w:rPr>
              <w:t>11</w:t>
            </w:r>
          </w:p>
        </w:tc>
        <w:tc>
          <w:tcPr>
            <w:tcW w:w="852" w:type="dxa"/>
          </w:tcPr>
          <w:p w:rsidR="00AF2508" w:rsidRDefault="00AF2508">
            <w:pPr>
              <w:pStyle w:val="TableText"/>
              <w:jc w:val="center"/>
              <w:rPr>
                <w:sz w:val="20"/>
              </w:rPr>
            </w:pPr>
            <w:r>
              <w:rPr>
                <w:sz w:val="20"/>
              </w:rPr>
              <w:t>4</w:t>
            </w:r>
          </w:p>
        </w:tc>
        <w:tc>
          <w:tcPr>
            <w:tcW w:w="588" w:type="dxa"/>
            <w:tcBorders>
              <w:left w:val="single" w:sz="6" w:space="0" w:color="auto"/>
            </w:tcBorders>
          </w:tcPr>
          <w:p w:rsidR="00AF2508" w:rsidRDefault="00AF2508">
            <w:pPr>
              <w:pStyle w:val="TableText"/>
              <w:jc w:val="center"/>
              <w:rPr>
                <w:sz w:val="20"/>
              </w:rPr>
            </w:pPr>
            <w:r>
              <w:rPr>
                <w:sz w:val="20"/>
              </w:rPr>
              <w:t>21</w:t>
            </w:r>
          </w:p>
        </w:tc>
        <w:tc>
          <w:tcPr>
            <w:tcW w:w="720" w:type="dxa"/>
            <w:gridSpan w:val="2"/>
          </w:tcPr>
          <w:p w:rsidR="00AF2508" w:rsidRDefault="00AF2508">
            <w:pPr>
              <w:pStyle w:val="TableText"/>
              <w:jc w:val="center"/>
              <w:rPr>
                <w:sz w:val="20"/>
              </w:rPr>
            </w:pPr>
            <w:r>
              <w:rPr>
                <w:sz w:val="20"/>
              </w:rPr>
              <w:t>12</w:t>
            </w:r>
          </w:p>
        </w:tc>
        <w:tc>
          <w:tcPr>
            <w:tcW w:w="764" w:type="dxa"/>
            <w:gridSpan w:val="2"/>
            <w:tcBorders>
              <w:left w:val="single" w:sz="6" w:space="0" w:color="auto"/>
            </w:tcBorders>
          </w:tcPr>
          <w:p w:rsidR="00AF2508" w:rsidRDefault="00AF2508">
            <w:pPr>
              <w:pStyle w:val="TableText"/>
              <w:jc w:val="center"/>
              <w:rPr>
                <w:sz w:val="20"/>
              </w:rPr>
            </w:pPr>
            <w:r>
              <w:rPr>
                <w:sz w:val="20"/>
              </w:rPr>
              <w:t>19</w:t>
            </w:r>
          </w:p>
        </w:tc>
        <w:tc>
          <w:tcPr>
            <w:tcW w:w="832" w:type="dxa"/>
          </w:tcPr>
          <w:p w:rsidR="00AF2508" w:rsidRDefault="00AF2508">
            <w:pPr>
              <w:pStyle w:val="TableText"/>
              <w:jc w:val="center"/>
              <w:rPr>
                <w:sz w:val="20"/>
              </w:rPr>
            </w:pPr>
            <w:r>
              <w:rPr>
                <w:sz w:val="20"/>
              </w:rPr>
              <w:t>8</w:t>
            </w:r>
          </w:p>
        </w:tc>
        <w:tc>
          <w:tcPr>
            <w:tcW w:w="768" w:type="dxa"/>
            <w:tcBorders>
              <w:left w:val="single" w:sz="6" w:space="0" w:color="auto"/>
            </w:tcBorders>
          </w:tcPr>
          <w:p w:rsidR="00AF2508" w:rsidRDefault="00AF2508">
            <w:pPr>
              <w:pStyle w:val="TableText"/>
              <w:jc w:val="center"/>
              <w:rPr>
                <w:sz w:val="20"/>
              </w:rPr>
            </w:pPr>
            <w:r>
              <w:rPr>
                <w:sz w:val="20"/>
              </w:rPr>
              <w:t>15</w:t>
            </w:r>
          </w:p>
        </w:tc>
        <w:tc>
          <w:tcPr>
            <w:tcW w:w="786" w:type="dxa"/>
            <w:gridSpan w:val="2"/>
          </w:tcPr>
          <w:p w:rsidR="00AF2508" w:rsidRDefault="00AF2508">
            <w:pPr>
              <w:pStyle w:val="TableText"/>
              <w:jc w:val="center"/>
              <w:rPr>
                <w:sz w:val="20"/>
              </w:rPr>
            </w:pPr>
            <w:r>
              <w:rPr>
                <w:sz w:val="20"/>
              </w:rPr>
              <w:t>17</w:t>
            </w:r>
          </w:p>
        </w:tc>
        <w:tc>
          <w:tcPr>
            <w:tcW w:w="760" w:type="dxa"/>
            <w:tcBorders>
              <w:left w:val="single" w:sz="6" w:space="0" w:color="auto"/>
            </w:tcBorders>
          </w:tcPr>
          <w:p w:rsidR="00AF2508" w:rsidRDefault="00AF2508">
            <w:pPr>
              <w:pStyle w:val="TableText"/>
              <w:jc w:val="center"/>
              <w:rPr>
                <w:sz w:val="20"/>
              </w:rPr>
            </w:pPr>
            <w:r>
              <w:rPr>
                <w:sz w:val="20"/>
              </w:rPr>
              <w:t>11</w:t>
            </w:r>
          </w:p>
        </w:tc>
        <w:tc>
          <w:tcPr>
            <w:tcW w:w="722" w:type="dxa"/>
          </w:tcPr>
          <w:p w:rsidR="00AF2508" w:rsidRDefault="00AF2508">
            <w:pPr>
              <w:pStyle w:val="TableText"/>
              <w:jc w:val="center"/>
              <w:rPr>
                <w:sz w:val="20"/>
              </w:rPr>
            </w:pPr>
            <w:r>
              <w:rPr>
                <w:sz w:val="20"/>
              </w:rPr>
              <w:t>4</w:t>
            </w:r>
          </w:p>
        </w:tc>
        <w:tc>
          <w:tcPr>
            <w:tcW w:w="838" w:type="dxa"/>
            <w:gridSpan w:val="2"/>
            <w:tcBorders>
              <w:left w:val="single" w:sz="6" w:space="0" w:color="auto"/>
            </w:tcBorders>
          </w:tcPr>
          <w:p w:rsidR="00AF2508" w:rsidRDefault="00AF2508">
            <w:pPr>
              <w:pStyle w:val="TableText"/>
              <w:jc w:val="center"/>
              <w:rPr>
                <w:sz w:val="20"/>
              </w:rPr>
            </w:pPr>
            <w:r>
              <w:rPr>
                <w:sz w:val="20"/>
              </w:rPr>
              <w:t>5</w:t>
            </w:r>
          </w:p>
        </w:tc>
        <w:tc>
          <w:tcPr>
            <w:tcW w:w="662" w:type="dxa"/>
            <w:gridSpan w:val="2"/>
          </w:tcPr>
          <w:p w:rsidR="00AF2508" w:rsidRDefault="00AF2508">
            <w:pPr>
              <w:pStyle w:val="TableText"/>
              <w:jc w:val="center"/>
              <w:rPr>
                <w:sz w:val="20"/>
              </w:rPr>
            </w:pPr>
            <w:r>
              <w:rPr>
                <w:sz w:val="20"/>
              </w:rPr>
              <w:t>16</w:t>
            </w:r>
          </w:p>
        </w:tc>
      </w:tr>
      <w:tr w:rsidR="00AF2508">
        <w:trPr>
          <w:cantSplit/>
          <w:trHeight w:val="200"/>
        </w:trPr>
        <w:tc>
          <w:tcPr>
            <w:tcW w:w="968" w:type="dxa"/>
          </w:tcPr>
          <w:p w:rsidR="00AF2508" w:rsidRDefault="00AF2508">
            <w:pPr>
              <w:pStyle w:val="TableText"/>
              <w:jc w:val="center"/>
              <w:rPr>
                <w:sz w:val="20"/>
              </w:rPr>
            </w:pPr>
            <w:r>
              <w:rPr>
                <w:sz w:val="20"/>
              </w:rPr>
              <w:t>5</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AF2508" w:rsidRDefault="00AF2508">
            <w:pPr>
              <w:pStyle w:val="TableText"/>
              <w:jc w:val="center"/>
              <w:rPr>
                <w:sz w:val="20"/>
              </w:rPr>
            </w:pPr>
            <w:r>
              <w:rPr>
                <w:sz w:val="20"/>
              </w:rPr>
              <w:t>1</w:t>
            </w:r>
            <w:r>
              <w:rPr>
                <w:position w:val="4"/>
                <w:sz w:val="16"/>
              </w:rPr>
              <w:t>13</w:t>
            </w:r>
            <w:r>
              <w:rPr>
                <w:sz w:val="20"/>
              </w:rPr>
              <w:t>/</w:t>
            </w:r>
            <w:r>
              <w:rPr>
                <w:sz w:val="16"/>
              </w:rPr>
              <w:t>16</w:t>
            </w:r>
          </w:p>
        </w:tc>
        <w:tc>
          <w:tcPr>
            <w:tcW w:w="684" w:type="dxa"/>
            <w:gridSpan w:val="3"/>
          </w:tcPr>
          <w:p w:rsidR="00AF2508" w:rsidRDefault="00AF2508">
            <w:pPr>
              <w:pStyle w:val="TableText"/>
              <w:jc w:val="center"/>
              <w:rPr>
                <w:sz w:val="20"/>
              </w:rPr>
            </w:pPr>
            <w:r>
              <w:rPr>
                <w:sz w:val="20"/>
              </w:rPr>
              <w:t>12</w:t>
            </w:r>
          </w:p>
        </w:tc>
        <w:tc>
          <w:tcPr>
            <w:tcW w:w="852" w:type="dxa"/>
          </w:tcPr>
          <w:p w:rsidR="00AF2508" w:rsidRDefault="00AF2508">
            <w:pPr>
              <w:pStyle w:val="TableText"/>
              <w:jc w:val="center"/>
              <w:rPr>
                <w:sz w:val="20"/>
              </w:rPr>
            </w:pPr>
            <w:r>
              <w:rPr>
                <w:sz w:val="20"/>
              </w:rPr>
              <w:t>7</w:t>
            </w:r>
          </w:p>
        </w:tc>
        <w:tc>
          <w:tcPr>
            <w:tcW w:w="588" w:type="dxa"/>
            <w:tcBorders>
              <w:left w:val="single" w:sz="6" w:space="0" w:color="auto"/>
            </w:tcBorders>
          </w:tcPr>
          <w:p w:rsidR="00AF2508" w:rsidRDefault="00AF2508">
            <w:pPr>
              <w:pStyle w:val="TableText"/>
              <w:jc w:val="center"/>
              <w:rPr>
                <w:sz w:val="20"/>
              </w:rPr>
            </w:pPr>
            <w:r>
              <w:rPr>
                <w:sz w:val="20"/>
              </w:rPr>
              <w:t>23</w:t>
            </w:r>
          </w:p>
        </w:tc>
        <w:tc>
          <w:tcPr>
            <w:tcW w:w="720" w:type="dxa"/>
            <w:gridSpan w:val="2"/>
          </w:tcPr>
          <w:p w:rsidR="00AF2508" w:rsidRDefault="00AF2508">
            <w:pPr>
              <w:pStyle w:val="TableText"/>
              <w:jc w:val="center"/>
              <w:rPr>
                <w:sz w:val="20"/>
              </w:rPr>
            </w:pPr>
            <w:r>
              <w:rPr>
                <w:sz w:val="20"/>
              </w:rPr>
              <w:t>17</w:t>
            </w:r>
          </w:p>
        </w:tc>
        <w:tc>
          <w:tcPr>
            <w:tcW w:w="764" w:type="dxa"/>
            <w:gridSpan w:val="2"/>
            <w:tcBorders>
              <w:left w:val="single" w:sz="6" w:space="0" w:color="auto"/>
            </w:tcBorders>
          </w:tcPr>
          <w:p w:rsidR="00AF2508" w:rsidRDefault="00AF2508">
            <w:pPr>
              <w:pStyle w:val="TableText"/>
              <w:jc w:val="center"/>
              <w:rPr>
                <w:sz w:val="20"/>
              </w:rPr>
            </w:pPr>
            <w:r>
              <w:rPr>
                <w:sz w:val="20"/>
              </w:rPr>
              <w:t>21</w:t>
            </w:r>
          </w:p>
        </w:tc>
        <w:tc>
          <w:tcPr>
            <w:tcW w:w="832" w:type="dxa"/>
          </w:tcPr>
          <w:p w:rsidR="00AF2508" w:rsidRDefault="00AF2508">
            <w:pPr>
              <w:pStyle w:val="TableText"/>
              <w:jc w:val="center"/>
              <w:rPr>
                <w:sz w:val="20"/>
              </w:rPr>
            </w:pPr>
            <w:r>
              <w:rPr>
                <w:sz w:val="20"/>
              </w:rPr>
              <w:t>7</w:t>
            </w:r>
          </w:p>
        </w:tc>
        <w:tc>
          <w:tcPr>
            <w:tcW w:w="768" w:type="dxa"/>
            <w:tcBorders>
              <w:left w:val="single" w:sz="6" w:space="0" w:color="auto"/>
            </w:tcBorders>
          </w:tcPr>
          <w:p w:rsidR="00AF2508" w:rsidRDefault="00AF2508">
            <w:pPr>
              <w:pStyle w:val="TableText"/>
              <w:jc w:val="center"/>
              <w:rPr>
                <w:sz w:val="20"/>
              </w:rPr>
            </w:pPr>
            <w:r>
              <w:rPr>
                <w:sz w:val="20"/>
              </w:rPr>
              <w:t>17</w:t>
            </w:r>
          </w:p>
        </w:tc>
        <w:tc>
          <w:tcPr>
            <w:tcW w:w="786" w:type="dxa"/>
            <w:gridSpan w:val="2"/>
          </w:tcPr>
          <w:p w:rsidR="00AF2508" w:rsidRDefault="00AF2508">
            <w:pPr>
              <w:pStyle w:val="TableText"/>
              <w:jc w:val="center"/>
              <w:rPr>
                <w:sz w:val="20"/>
              </w:rPr>
            </w:pPr>
            <w:r>
              <w:rPr>
                <w:sz w:val="20"/>
              </w:rPr>
              <w:t>9</w:t>
            </w:r>
          </w:p>
        </w:tc>
        <w:tc>
          <w:tcPr>
            <w:tcW w:w="760" w:type="dxa"/>
            <w:tcBorders>
              <w:left w:val="single" w:sz="6" w:space="0" w:color="auto"/>
            </w:tcBorders>
          </w:tcPr>
          <w:p w:rsidR="00AF2508" w:rsidRDefault="00AF2508">
            <w:pPr>
              <w:pStyle w:val="TableText"/>
              <w:jc w:val="center"/>
              <w:rPr>
                <w:sz w:val="20"/>
              </w:rPr>
            </w:pPr>
            <w:r>
              <w:rPr>
                <w:sz w:val="20"/>
              </w:rPr>
              <w:t>12</w:t>
            </w:r>
          </w:p>
        </w:tc>
        <w:tc>
          <w:tcPr>
            <w:tcW w:w="722" w:type="dxa"/>
          </w:tcPr>
          <w:p w:rsidR="00AF2508" w:rsidRDefault="00AF2508">
            <w:pPr>
              <w:pStyle w:val="TableText"/>
              <w:jc w:val="center"/>
              <w:rPr>
                <w:sz w:val="20"/>
              </w:rPr>
            </w:pPr>
            <w:r>
              <w:rPr>
                <w:sz w:val="20"/>
              </w:rPr>
              <w:t>7</w:t>
            </w:r>
          </w:p>
        </w:tc>
        <w:tc>
          <w:tcPr>
            <w:tcW w:w="838" w:type="dxa"/>
            <w:gridSpan w:val="2"/>
            <w:tcBorders>
              <w:left w:val="single" w:sz="6" w:space="0" w:color="auto"/>
            </w:tcBorders>
          </w:tcPr>
          <w:p w:rsidR="00AF2508" w:rsidRDefault="00AF2508">
            <w:pPr>
              <w:pStyle w:val="TableText"/>
              <w:jc w:val="center"/>
              <w:rPr>
                <w:sz w:val="20"/>
              </w:rPr>
            </w:pPr>
            <w:r>
              <w:rPr>
                <w:sz w:val="20"/>
              </w:rPr>
              <w:t>6</w:t>
            </w:r>
          </w:p>
        </w:tc>
        <w:tc>
          <w:tcPr>
            <w:tcW w:w="662" w:type="dxa"/>
            <w:gridSpan w:val="2"/>
          </w:tcPr>
          <w:p w:rsidR="00AF2508" w:rsidRDefault="00AF2508">
            <w:pPr>
              <w:pStyle w:val="TableText"/>
              <w:jc w:val="center"/>
              <w:rPr>
                <w:sz w:val="20"/>
              </w:rPr>
            </w:pPr>
            <w:r>
              <w:rPr>
                <w:sz w:val="20"/>
              </w:rPr>
              <w:t>8</w:t>
            </w:r>
          </w:p>
        </w:tc>
      </w:tr>
      <w:tr w:rsidR="00AF2508">
        <w:trPr>
          <w:cantSplit/>
          <w:trHeight w:val="200"/>
        </w:trPr>
        <w:tc>
          <w:tcPr>
            <w:tcW w:w="968" w:type="dxa"/>
            <w:tcBorders>
              <w:bottom w:val="single" w:sz="6" w:space="0" w:color="auto"/>
            </w:tcBorders>
          </w:tcPr>
          <w:p w:rsidR="00AF2508" w:rsidRDefault="00AF2508">
            <w:pPr>
              <w:pStyle w:val="TableText"/>
              <w:jc w:val="center"/>
              <w:rPr>
                <w:sz w:val="20"/>
              </w:rPr>
            </w:pPr>
            <w:r>
              <w:rPr>
                <w:sz w:val="20"/>
              </w:rPr>
              <w:t>6</w:t>
            </w:r>
          </w:p>
        </w:tc>
        <w:tc>
          <w:tcPr>
            <w:tcW w:w="924" w:type="dxa"/>
            <w:gridSpan w:val="2"/>
            <w:tcBorders>
              <w:left w:val="single" w:sz="6" w:space="0" w:color="auto"/>
              <w:bottom w:val="single" w:sz="6" w:space="0" w:color="auto"/>
              <w:right w:val="single" w:sz="6" w:space="0" w:color="auto"/>
            </w:tcBorders>
          </w:tcPr>
          <w:p w:rsidR="00AF2508" w:rsidRDefault="00AF2508">
            <w:pPr>
              <w:pStyle w:val="TableText"/>
              <w:jc w:val="center"/>
              <w:rPr>
                <w:sz w:val="20"/>
              </w:rPr>
            </w:pPr>
            <w:r>
              <w:rPr>
                <w:sz w:val="20"/>
              </w:rPr>
              <w:t>1</w:t>
            </w:r>
            <w:r>
              <w:rPr>
                <w:position w:val="4"/>
                <w:sz w:val="16"/>
              </w:rPr>
              <w:t>7</w:t>
            </w:r>
            <w:r>
              <w:rPr>
                <w:sz w:val="20"/>
              </w:rPr>
              <w:t>/</w:t>
            </w:r>
            <w:r>
              <w:rPr>
                <w:sz w:val="16"/>
              </w:rPr>
              <w:t>8</w:t>
            </w:r>
          </w:p>
        </w:tc>
        <w:tc>
          <w:tcPr>
            <w:tcW w:w="684" w:type="dxa"/>
            <w:gridSpan w:val="3"/>
            <w:tcBorders>
              <w:bottom w:val="single" w:sz="6" w:space="0" w:color="auto"/>
            </w:tcBorders>
          </w:tcPr>
          <w:p w:rsidR="00AF2508" w:rsidRDefault="00AF2508">
            <w:pPr>
              <w:pStyle w:val="TableText"/>
              <w:jc w:val="center"/>
              <w:rPr>
                <w:sz w:val="20"/>
              </w:rPr>
            </w:pPr>
            <w:r>
              <w:rPr>
                <w:sz w:val="20"/>
              </w:rPr>
              <w:t>13</w:t>
            </w:r>
          </w:p>
        </w:tc>
        <w:tc>
          <w:tcPr>
            <w:tcW w:w="852" w:type="dxa"/>
            <w:tcBorders>
              <w:bottom w:val="single" w:sz="6" w:space="0" w:color="auto"/>
            </w:tcBorders>
          </w:tcPr>
          <w:p w:rsidR="00AF2508" w:rsidRDefault="00AF2508">
            <w:pPr>
              <w:pStyle w:val="TableText"/>
              <w:jc w:val="center"/>
              <w:rPr>
                <w:sz w:val="20"/>
              </w:rPr>
            </w:pPr>
            <w:r>
              <w:rPr>
                <w:sz w:val="20"/>
              </w:rPr>
              <w:t>10</w:t>
            </w:r>
          </w:p>
        </w:tc>
        <w:tc>
          <w:tcPr>
            <w:tcW w:w="588" w:type="dxa"/>
            <w:tcBorders>
              <w:left w:val="single" w:sz="6" w:space="0" w:color="auto"/>
              <w:bottom w:val="single" w:sz="6" w:space="0" w:color="auto"/>
            </w:tcBorders>
          </w:tcPr>
          <w:p w:rsidR="00AF2508" w:rsidRDefault="00AF2508">
            <w:pPr>
              <w:pStyle w:val="TableText"/>
              <w:jc w:val="center"/>
              <w:rPr>
                <w:sz w:val="20"/>
              </w:rPr>
            </w:pPr>
            <w:r>
              <w:rPr>
                <w:sz w:val="20"/>
              </w:rPr>
              <w:t>26</w:t>
            </w:r>
          </w:p>
        </w:tc>
        <w:tc>
          <w:tcPr>
            <w:tcW w:w="720" w:type="dxa"/>
            <w:gridSpan w:val="2"/>
            <w:tcBorders>
              <w:bottom w:val="single" w:sz="6" w:space="0" w:color="auto"/>
            </w:tcBorders>
          </w:tcPr>
          <w:p w:rsidR="00AF2508" w:rsidRDefault="00AF2508">
            <w:pPr>
              <w:pStyle w:val="TableText"/>
              <w:jc w:val="center"/>
              <w:rPr>
                <w:sz w:val="20"/>
              </w:rPr>
            </w:pPr>
            <w:r>
              <w:rPr>
                <w:sz w:val="20"/>
              </w:rPr>
              <w:t>1</w:t>
            </w:r>
          </w:p>
        </w:tc>
        <w:tc>
          <w:tcPr>
            <w:tcW w:w="764" w:type="dxa"/>
            <w:gridSpan w:val="2"/>
            <w:tcBorders>
              <w:left w:val="single" w:sz="6" w:space="0" w:color="auto"/>
              <w:bottom w:val="single" w:sz="6" w:space="0" w:color="auto"/>
            </w:tcBorders>
          </w:tcPr>
          <w:p w:rsidR="00AF2508" w:rsidRDefault="00AF2508">
            <w:pPr>
              <w:pStyle w:val="TableText"/>
              <w:jc w:val="center"/>
              <w:rPr>
                <w:sz w:val="20"/>
              </w:rPr>
            </w:pPr>
            <w:r>
              <w:rPr>
                <w:sz w:val="20"/>
              </w:rPr>
              <w:t>23</w:t>
            </w:r>
          </w:p>
        </w:tc>
        <w:tc>
          <w:tcPr>
            <w:tcW w:w="832" w:type="dxa"/>
            <w:tcBorders>
              <w:bottom w:val="single" w:sz="6" w:space="0" w:color="auto"/>
            </w:tcBorders>
          </w:tcPr>
          <w:p w:rsidR="00AF2508" w:rsidRDefault="00AF2508">
            <w:pPr>
              <w:pStyle w:val="TableText"/>
              <w:jc w:val="center"/>
              <w:rPr>
                <w:sz w:val="20"/>
              </w:rPr>
            </w:pPr>
            <w:r>
              <w:rPr>
                <w:sz w:val="20"/>
              </w:rPr>
              <w:t>8</w:t>
            </w:r>
          </w:p>
        </w:tc>
        <w:tc>
          <w:tcPr>
            <w:tcW w:w="768" w:type="dxa"/>
            <w:tcBorders>
              <w:left w:val="single" w:sz="6" w:space="0" w:color="auto"/>
              <w:bottom w:val="single" w:sz="6" w:space="0" w:color="auto"/>
            </w:tcBorders>
          </w:tcPr>
          <w:p w:rsidR="00AF2508" w:rsidRDefault="00AF2508">
            <w:pPr>
              <w:pStyle w:val="TableText"/>
              <w:jc w:val="center"/>
              <w:rPr>
                <w:sz w:val="20"/>
              </w:rPr>
            </w:pPr>
            <w:r>
              <w:rPr>
                <w:sz w:val="20"/>
              </w:rPr>
              <w:t>19</w:t>
            </w:r>
          </w:p>
        </w:tc>
        <w:tc>
          <w:tcPr>
            <w:tcW w:w="786" w:type="dxa"/>
            <w:gridSpan w:val="2"/>
            <w:tcBorders>
              <w:bottom w:val="single" w:sz="6" w:space="0" w:color="auto"/>
            </w:tcBorders>
          </w:tcPr>
          <w:p w:rsidR="00AF2508" w:rsidRDefault="00AF2508">
            <w:pPr>
              <w:pStyle w:val="TableText"/>
              <w:jc w:val="center"/>
              <w:rPr>
                <w:sz w:val="20"/>
              </w:rPr>
            </w:pPr>
            <w:r>
              <w:rPr>
                <w:sz w:val="20"/>
              </w:rPr>
              <w:t>2</w:t>
            </w:r>
          </w:p>
        </w:tc>
        <w:tc>
          <w:tcPr>
            <w:tcW w:w="760" w:type="dxa"/>
            <w:tcBorders>
              <w:left w:val="single" w:sz="6" w:space="0" w:color="auto"/>
              <w:bottom w:val="single" w:sz="6" w:space="0" w:color="auto"/>
            </w:tcBorders>
          </w:tcPr>
          <w:p w:rsidR="00AF2508" w:rsidRDefault="00AF2508">
            <w:pPr>
              <w:pStyle w:val="TableText"/>
              <w:jc w:val="center"/>
              <w:rPr>
                <w:sz w:val="20"/>
              </w:rPr>
            </w:pPr>
            <w:r>
              <w:rPr>
                <w:sz w:val="20"/>
              </w:rPr>
              <w:t>13</w:t>
            </w:r>
          </w:p>
        </w:tc>
        <w:tc>
          <w:tcPr>
            <w:tcW w:w="722" w:type="dxa"/>
            <w:tcBorders>
              <w:bottom w:val="single" w:sz="6" w:space="0" w:color="auto"/>
            </w:tcBorders>
          </w:tcPr>
          <w:p w:rsidR="00AF2508" w:rsidRDefault="00AF2508">
            <w:pPr>
              <w:pStyle w:val="TableText"/>
              <w:jc w:val="center"/>
              <w:rPr>
                <w:sz w:val="20"/>
              </w:rPr>
            </w:pPr>
            <w:r>
              <w:rPr>
                <w:sz w:val="20"/>
              </w:rPr>
              <w:t>10</w:t>
            </w:r>
          </w:p>
        </w:tc>
        <w:tc>
          <w:tcPr>
            <w:tcW w:w="838" w:type="dxa"/>
            <w:gridSpan w:val="2"/>
            <w:tcBorders>
              <w:left w:val="single" w:sz="6" w:space="0" w:color="auto"/>
              <w:bottom w:val="single" w:sz="6" w:space="0" w:color="auto"/>
            </w:tcBorders>
          </w:tcPr>
          <w:p w:rsidR="00AF2508" w:rsidRDefault="00AF2508">
            <w:pPr>
              <w:pStyle w:val="TableText"/>
              <w:jc w:val="center"/>
              <w:rPr>
                <w:sz w:val="20"/>
              </w:rPr>
            </w:pPr>
            <w:r>
              <w:rPr>
                <w:sz w:val="20"/>
              </w:rPr>
              <w:t>7</w:t>
            </w:r>
          </w:p>
        </w:tc>
        <w:tc>
          <w:tcPr>
            <w:tcW w:w="662" w:type="dxa"/>
            <w:gridSpan w:val="2"/>
            <w:tcBorders>
              <w:bottom w:val="single" w:sz="6" w:space="0" w:color="auto"/>
            </w:tcBorders>
          </w:tcPr>
          <w:p w:rsidR="00AF2508" w:rsidRDefault="00AF2508">
            <w:pPr>
              <w:pStyle w:val="TableText"/>
              <w:jc w:val="center"/>
              <w:rPr>
                <w:sz w:val="20"/>
              </w:rPr>
            </w:pPr>
            <w:r>
              <w:rPr>
                <w:sz w:val="20"/>
              </w:rPr>
              <w:t>0</w:t>
            </w:r>
          </w:p>
        </w:tc>
      </w:tr>
    </w:tbl>
    <w:p w:rsidR="00AF2508" w:rsidRDefault="00AF2508">
      <w:pPr>
        <w:pStyle w:val="02TextLandscape"/>
        <w:sectPr w:rsidR="00AF2508">
          <w:headerReference w:type="even" r:id="rId160"/>
          <w:headerReference w:type="default" r:id="rId161"/>
          <w:footerReference w:type="even" r:id="rId162"/>
          <w:footerReference w:type="default" r:id="rId163"/>
          <w:pgSz w:w="16839" w:h="11907" w:orient="landscape" w:code="9"/>
          <w:pgMar w:top="2300" w:right="3000" w:bottom="1900" w:left="2500" w:header="2480" w:footer="2100" w:gutter="0"/>
          <w:cols w:space="720"/>
          <w:docGrid w:linePitch="254"/>
        </w:sectPr>
      </w:pPr>
    </w:p>
    <w:p w:rsidR="00AF2508" w:rsidRDefault="00AF2508">
      <w:pPr>
        <w:pStyle w:val="Assectheading"/>
      </w:pPr>
      <w:r>
        <w:rPr>
          <w:rStyle w:val="charItals"/>
          <w:i/>
        </w:rPr>
        <w:t>Ratio of drum (barrel) or sheave diameter to rope</w:t>
      </w:r>
    </w:p>
    <w:p w:rsidR="00AF2508" w:rsidRDefault="00AF2508">
      <w:pPr>
        <w:pStyle w:val="Amain"/>
      </w:pPr>
      <w:r>
        <w:tab/>
        <w:t>(20)</w:t>
      </w:r>
      <w:r>
        <w:tab/>
        <w:t>When power operated and for rope speeds not greater than 120 feet per minute, the diameter of a drum (barrel) roller, sheave or quadrant measured at the surface on which the rope operates (where ungrooved) or at the bottom of the groove (where grooved) shall be not less than that provided in table 144.2 as relevant and appropriate to the construction of the rope concerned.</w:t>
      </w:r>
    </w:p>
    <w:p w:rsidR="00AF2508" w:rsidRDefault="00AF2508">
      <w:pPr>
        <w:pStyle w:val="Amain"/>
      </w:pPr>
      <w:r>
        <w:tab/>
        <w:t>(21)</w:t>
      </w:r>
      <w:r>
        <w:tab/>
        <w:t>For each increase in rope speed of 60 feet per minute, above 120 feet per minute, 7</w:t>
      </w:r>
      <w:r>
        <w:rPr>
          <w:position w:val="6"/>
          <w:sz w:val="18"/>
        </w:rPr>
        <w:t>1</w:t>
      </w:r>
      <w:r>
        <w:t>/</w:t>
      </w:r>
      <w:r>
        <w:rPr>
          <w:sz w:val="18"/>
        </w:rPr>
        <w:t>2</w:t>
      </w:r>
      <w:r>
        <w:rPr>
          <w:sz w:val="20"/>
        </w:rPr>
        <w:t>%</w:t>
      </w:r>
      <w:r>
        <w:t xml:space="preserve"> shall be added to the diameter of the drum, barrel, roller, sheave or quadrant.</w:t>
      </w:r>
    </w:p>
    <w:p w:rsidR="00AF2508" w:rsidRDefault="00AF2508">
      <w:pPr>
        <w:pStyle w:val="Amain"/>
      </w:pPr>
      <w:r>
        <w:tab/>
        <w:t>(22)</w:t>
      </w:r>
      <w:r>
        <w:tab/>
        <w:t>The ratio of drum, barrel, roller, sheave or quadrant diameter to rope diameter when hand operated shall be not less than 10, when measured at the surface on which the rope operates.</w:t>
      </w:r>
    </w:p>
    <w:p w:rsidR="00AF2508" w:rsidRDefault="00AF2508">
      <w:pPr>
        <w:pStyle w:val="TableHd"/>
      </w:pPr>
      <w:r>
        <w:t>Table 144.2</w:t>
      </w:r>
    </w:p>
    <w:tbl>
      <w:tblPr>
        <w:tblW w:w="0" w:type="auto"/>
        <w:tblLayout w:type="fixed"/>
        <w:tblCellMar>
          <w:left w:w="80" w:type="dxa"/>
          <w:right w:w="80" w:type="dxa"/>
        </w:tblCellMar>
        <w:tblLook w:val="0000" w:firstRow="0" w:lastRow="0" w:firstColumn="0" w:lastColumn="0" w:noHBand="0" w:noVBand="0"/>
      </w:tblPr>
      <w:tblGrid>
        <w:gridCol w:w="1200"/>
        <w:gridCol w:w="1320"/>
        <w:gridCol w:w="1940"/>
        <w:gridCol w:w="2820"/>
      </w:tblGrid>
      <w:tr w:rsidR="00AF2508">
        <w:trPr>
          <w:cantSplit/>
          <w:tblHeader/>
        </w:trPr>
        <w:tc>
          <w:tcPr>
            <w:tcW w:w="4460" w:type="dxa"/>
            <w:gridSpan w:val="3"/>
            <w:tcBorders>
              <w:top w:val="single" w:sz="6" w:space="0" w:color="auto"/>
              <w:bottom w:val="single" w:sz="6" w:space="0" w:color="auto"/>
            </w:tcBorders>
          </w:tcPr>
          <w:p w:rsidR="00AF2508" w:rsidRDefault="00AF2508">
            <w:pPr>
              <w:pStyle w:val="TableColHd"/>
              <w:jc w:val="center"/>
            </w:pPr>
            <w:r>
              <w:t>rope construction</w:t>
            </w:r>
          </w:p>
        </w:tc>
        <w:tc>
          <w:tcPr>
            <w:tcW w:w="2820" w:type="dxa"/>
            <w:tcBorders>
              <w:top w:val="single" w:sz="6" w:space="0" w:color="auto"/>
              <w:left w:val="single" w:sz="6" w:space="0" w:color="auto"/>
            </w:tcBorders>
          </w:tcPr>
          <w:p w:rsidR="00AF2508" w:rsidRDefault="00AF2508">
            <w:pPr>
              <w:pStyle w:val="TableColHd"/>
            </w:pPr>
          </w:p>
        </w:tc>
      </w:tr>
      <w:tr w:rsidR="00AF2508">
        <w:trPr>
          <w:cantSplit/>
          <w:tblHeader/>
        </w:trPr>
        <w:tc>
          <w:tcPr>
            <w:tcW w:w="1200" w:type="dxa"/>
            <w:vAlign w:val="bottom"/>
          </w:tcPr>
          <w:p w:rsidR="00AF2508" w:rsidRDefault="00AF2508">
            <w:pPr>
              <w:pStyle w:val="TableColHd"/>
            </w:pPr>
            <w:r>
              <w:t xml:space="preserve">number </w:t>
            </w:r>
            <w:r>
              <w:br/>
              <w:t>of strands</w:t>
            </w:r>
          </w:p>
        </w:tc>
        <w:tc>
          <w:tcPr>
            <w:tcW w:w="1320" w:type="dxa"/>
            <w:tcBorders>
              <w:left w:val="single" w:sz="6" w:space="0" w:color="auto"/>
              <w:bottom w:val="single" w:sz="6" w:space="0" w:color="auto"/>
              <w:right w:val="single" w:sz="6" w:space="0" w:color="auto"/>
            </w:tcBorders>
            <w:vAlign w:val="bottom"/>
          </w:tcPr>
          <w:p w:rsidR="00AF2508" w:rsidRDefault="00AF2508">
            <w:pPr>
              <w:pStyle w:val="TableColHd"/>
            </w:pPr>
            <w:r>
              <w:t>number of wires in each strand</w:t>
            </w:r>
          </w:p>
        </w:tc>
        <w:tc>
          <w:tcPr>
            <w:tcW w:w="1940" w:type="dxa"/>
            <w:tcBorders>
              <w:bottom w:val="single" w:sz="6" w:space="0" w:color="auto"/>
            </w:tcBorders>
            <w:vAlign w:val="bottom"/>
          </w:tcPr>
          <w:p w:rsidR="00AF2508" w:rsidRDefault="00AF2508">
            <w:pPr>
              <w:pStyle w:val="TableColHd"/>
            </w:pPr>
            <w:r>
              <w:t>note</w:t>
            </w:r>
          </w:p>
        </w:tc>
        <w:tc>
          <w:tcPr>
            <w:tcW w:w="2820" w:type="dxa"/>
            <w:tcBorders>
              <w:left w:val="single" w:sz="6" w:space="0" w:color="auto"/>
              <w:bottom w:val="single" w:sz="6" w:space="0" w:color="auto"/>
            </w:tcBorders>
            <w:vAlign w:val="bottom"/>
          </w:tcPr>
          <w:p w:rsidR="00AF2508" w:rsidRDefault="00AF2508">
            <w:pPr>
              <w:pStyle w:val="TableColHd"/>
            </w:pPr>
            <w:r>
              <w:t xml:space="preserve">minimum diameter of drum, </w:t>
            </w:r>
            <w:r>
              <w:br/>
              <w:t>barrel, roller, sheave or quadrant expressed in terms of ‘d’ the diameter of the rope concerned</w:t>
            </w:r>
          </w:p>
        </w:tc>
      </w:tr>
      <w:tr w:rsidR="00AF2508">
        <w:trPr>
          <w:cantSplit/>
          <w:trHeight w:val="396"/>
        </w:trPr>
        <w:tc>
          <w:tcPr>
            <w:tcW w:w="1200" w:type="dxa"/>
          </w:tcPr>
          <w:p w:rsidR="00AF2508" w:rsidRDefault="00AF2508">
            <w:pPr>
              <w:pStyle w:val="TableText"/>
              <w:spacing w:before="80" w:after="0"/>
            </w:pPr>
            <w:r>
              <w:t>4</w:t>
            </w:r>
          </w:p>
        </w:tc>
        <w:tc>
          <w:tcPr>
            <w:tcW w:w="1320" w:type="dxa"/>
            <w:vMerge w:val="restart"/>
            <w:tcBorders>
              <w:top w:val="single" w:sz="6" w:space="0" w:color="auto"/>
              <w:left w:val="single" w:sz="6" w:space="0" w:color="auto"/>
              <w:right w:val="single" w:sz="6" w:space="0" w:color="auto"/>
            </w:tcBorders>
          </w:tcPr>
          <w:p w:rsidR="00AF2508" w:rsidRDefault="00AF2508">
            <w:pPr>
              <w:pStyle w:val="Formula"/>
              <w:jc w:val="left"/>
            </w:pPr>
            <w:r>
              <w:rPr>
                <w:position w:val="-66"/>
              </w:rPr>
              <w:object w:dxaOrig="440" w:dyaOrig="1440">
                <v:shape id="_x0000_i1054" type="#_x0000_t75" style="width:21.75pt;height:1in" o:ole="" fillcolor="window">
                  <v:imagedata r:id="rId164" o:title=""/>
                </v:shape>
                <o:OLEObject Type="Embed" ProgID="Equation.2" ShapeID="_x0000_i1054" DrawAspect="Content" ObjectID="_1595940279" r:id="rId165"/>
              </w:object>
            </w:r>
          </w:p>
        </w:tc>
        <w:tc>
          <w:tcPr>
            <w:tcW w:w="1940" w:type="dxa"/>
            <w:vMerge w:val="restart"/>
            <w:tcBorders>
              <w:top w:val="single" w:sz="6" w:space="0" w:color="auto"/>
            </w:tcBorders>
          </w:tcPr>
          <w:p w:rsidR="00AF2508" w:rsidRDefault="00AF2508">
            <w:pPr>
              <w:pStyle w:val="TableText"/>
            </w:pPr>
            <w:r>
              <w:tab/>
            </w:r>
          </w:p>
        </w:tc>
        <w:tc>
          <w:tcPr>
            <w:tcW w:w="2820" w:type="dxa"/>
            <w:vMerge w:val="restart"/>
            <w:tcBorders>
              <w:top w:val="single" w:sz="6" w:space="0" w:color="auto"/>
              <w:left w:val="single" w:sz="6" w:space="0" w:color="auto"/>
            </w:tcBorders>
          </w:tcPr>
          <w:p w:rsidR="00AF2508" w:rsidRDefault="00AF2508">
            <w:pPr>
              <w:pStyle w:val="TableText"/>
            </w:pPr>
            <w:r>
              <w:t>23d.</w:t>
            </w:r>
          </w:p>
        </w:tc>
      </w:tr>
      <w:tr w:rsidR="00AF2508">
        <w:trPr>
          <w:cantSplit/>
          <w:trHeight w:val="393"/>
        </w:trPr>
        <w:tc>
          <w:tcPr>
            <w:tcW w:w="1200" w:type="dxa"/>
          </w:tcPr>
          <w:p w:rsidR="00AF2508" w:rsidRDefault="00AF2508">
            <w:pPr>
              <w:pStyle w:val="TableText"/>
              <w:spacing w:before="80" w:after="0"/>
            </w:pPr>
            <w:r>
              <w:t>6</w:t>
            </w:r>
          </w:p>
        </w:tc>
        <w:tc>
          <w:tcPr>
            <w:tcW w:w="1320" w:type="dxa"/>
            <w:vMerge/>
            <w:tcBorders>
              <w:top w:val="nil"/>
              <w:left w:val="single" w:sz="6" w:space="0" w:color="auto"/>
              <w:right w:val="single" w:sz="6" w:space="0" w:color="auto"/>
            </w:tcBorders>
          </w:tcPr>
          <w:p w:rsidR="00AF2508" w:rsidRDefault="00AF2508">
            <w:pPr>
              <w:pStyle w:val="Formula"/>
              <w:jc w:val="left"/>
            </w:pPr>
          </w:p>
        </w:tc>
        <w:tc>
          <w:tcPr>
            <w:tcW w:w="1940" w:type="dxa"/>
            <w:vMerge/>
            <w:tcBorders>
              <w:top w:val="nil"/>
            </w:tcBorders>
          </w:tcPr>
          <w:p w:rsidR="00AF2508" w:rsidRDefault="00AF2508">
            <w:pPr>
              <w:pStyle w:val="TableText"/>
            </w:pPr>
          </w:p>
        </w:tc>
        <w:tc>
          <w:tcPr>
            <w:tcW w:w="2820" w:type="dxa"/>
            <w:vMerge/>
            <w:tcBorders>
              <w:top w:val="nil"/>
              <w:left w:val="single" w:sz="6" w:space="0" w:color="auto"/>
            </w:tcBorders>
          </w:tcPr>
          <w:p w:rsidR="00AF2508" w:rsidRDefault="00AF2508">
            <w:pPr>
              <w:pStyle w:val="TableText"/>
            </w:pPr>
          </w:p>
        </w:tc>
      </w:tr>
      <w:tr w:rsidR="00AF2508">
        <w:trPr>
          <w:cantSplit/>
          <w:trHeight w:val="393"/>
        </w:trPr>
        <w:tc>
          <w:tcPr>
            <w:tcW w:w="1200" w:type="dxa"/>
          </w:tcPr>
          <w:p w:rsidR="00AF2508" w:rsidRDefault="00AF2508">
            <w:pPr>
              <w:pStyle w:val="TableText"/>
              <w:spacing w:before="80" w:after="0"/>
            </w:pPr>
            <w:r>
              <w:t>6</w:t>
            </w:r>
          </w:p>
        </w:tc>
        <w:tc>
          <w:tcPr>
            <w:tcW w:w="1320" w:type="dxa"/>
            <w:vMerge/>
            <w:tcBorders>
              <w:top w:val="nil"/>
              <w:left w:val="single" w:sz="6" w:space="0" w:color="auto"/>
              <w:right w:val="single" w:sz="6" w:space="0" w:color="auto"/>
            </w:tcBorders>
          </w:tcPr>
          <w:p w:rsidR="00AF2508" w:rsidRDefault="00AF2508">
            <w:pPr>
              <w:pStyle w:val="Formula"/>
              <w:jc w:val="left"/>
            </w:pPr>
          </w:p>
        </w:tc>
        <w:tc>
          <w:tcPr>
            <w:tcW w:w="1940" w:type="dxa"/>
            <w:vMerge/>
            <w:tcBorders>
              <w:top w:val="nil"/>
            </w:tcBorders>
          </w:tcPr>
          <w:p w:rsidR="00AF2508" w:rsidRDefault="00AF2508">
            <w:pPr>
              <w:pStyle w:val="TableText"/>
            </w:pPr>
          </w:p>
        </w:tc>
        <w:tc>
          <w:tcPr>
            <w:tcW w:w="2820" w:type="dxa"/>
            <w:vMerge/>
            <w:tcBorders>
              <w:top w:val="nil"/>
              <w:left w:val="single" w:sz="6" w:space="0" w:color="auto"/>
            </w:tcBorders>
          </w:tcPr>
          <w:p w:rsidR="00AF2508" w:rsidRDefault="00AF2508">
            <w:pPr>
              <w:pStyle w:val="TableText"/>
            </w:pPr>
          </w:p>
        </w:tc>
      </w:tr>
      <w:tr w:rsidR="00AF2508">
        <w:trPr>
          <w:cantSplit/>
          <w:trHeight w:val="393"/>
        </w:trPr>
        <w:tc>
          <w:tcPr>
            <w:tcW w:w="1200" w:type="dxa"/>
          </w:tcPr>
          <w:p w:rsidR="00AF2508" w:rsidRDefault="00AF2508">
            <w:pPr>
              <w:pStyle w:val="TableText"/>
              <w:spacing w:before="80" w:after="0"/>
            </w:pPr>
            <w:r>
              <w:t>6</w:t>
            </w:r>
          </w:p>
        </w:tc>
        <w:tc>
          <w:tcPr>
            <w:tcW w:w="1320" w:type="dxa"/>
            <w:vMerge/>
            <w:tcBorders>
              <w:top w:val="nil"/>
              <w:left w:val="single" w:sz="6" w:space="0" w:color="auto"/>
              <w:right w:val="single" w:sz="6" w:space="0" w:color="auto"/>
            </w:tcBorders>
          </w:tcPr>
          <w:p w:rsidR="00AF2508" w:rsidRDefault="00AF2508">
            <w:pPr>
              <w:pStyle w:val="Formula"/>
              <w:jc w:val="left"/>
            </w:pPr>
          </w:p>
        </w:tc>
        <w:tc>
          <w:tcPr>
            <w:tcW w:w="1940" w:type="dxa"/>
            <w:vMerge/>
            <w:tcBorders>
              <w:top w:val="nil"/>
            </w:tcBorders>
          </w:tcPr>
          <w:p w:rsidR="00AF2508" w:rsidRDefault="00AF2508">
            <w:pPr>
              <w:pStyle w:val="TableText"/>
            </w:pPr>
          </w:p>
        </w:tc>
        <w:tc>
          <w:tcPr>
            <w:tcW w:w="2820" w:type="dxa"/>
            <w:vMerge/>
            <w:tcBorders>
              <w:top w:val="nil"/>
              <w:left w:val="single" w:sz="6" w:space="0" w:color="auto"/>
            </w:tcBorders>
          </w:tcPr>
          <w:p w:rsidR="00AF2508" w:rsidRDefault="00AF2508">
            <w:pPr>
              <w:pStyle w:val="TableText"/>
            </w:pPr>
          </w:p>
        </w:tc>
      </w:tr>
      <w:tr w:rsidR="00AF2508">
        <w:trPr>
          <w:cantSplit/>
          <w:trHeight w:val="345"/>
        </w:trPr>
        <w:tc>
          <w:tcPr>
            <w:tcW w:w="1200" w:type="dxa"/>
          </w:tcPr>
          <w:p w:rsidR="00AF2508" w:rsidRDefault="00AF2508">
            <w:pPr>
              <w:pStyle w:val="TableText"/>
            </w:pPr>
            <w:r>
              <w:t>6</w:t>
            </w:r>
          </w:p>
        </w:tc>
        <w:tc>
          <w:tcPr>
            <w:tcW w:w="1320" w:type="dxa"/>
            <w:vMerge w:val="restart"/>
            <w:tcBorders>
              <w:left w:val="single" w:sz="6" w:space="0" w:color="auto"/>
              <w:right w:val="single" w:sz="6" w:space="0" w:color="auto"/>
            </w:tcBorders>
          </w:tcPr>
          <w:p w:rsidR="00AF2508" w:rsidRDefault="00AF2508">
            <w:pPr>
              <w:pStyle w:val="Formula"/>
              <w:jc w:val="left"/>
            </w:pPr>
            <w:r>
              <w:object w:dxaOrig="440" w:dyaOrig="740">
                <v:shape id="_x0000_i1055" type="#_x0000_t75" style="width:21.75pt;height:36.75pt" o:ole="" fillcolor="window">
                  <v:imagedata r:id="rId166" o:title=""/>
                </v:shape>
                <o:OLEObject Type="Embed" ProgID="Equation.2" ShapeID="_x0000_i1055" DrawAspect="Content" ObjectID="_1595940280" r:id="rId167"/>
              </w:object>
            </w:r>
          </w:p>
        </w:tc>
        <w:tc>
          <w:tcPr>
            <w:tcW w:w="1940" w:type="dxa"/>
            <w:vMerge w:val="restart"/>
          </w:tcPr>
          <w:p w:rsidR="00AF2508" w:rsidRDefault="00AF2508">
            <w:pPr>
              <w:pStyle w:val="TableText"/>
            </w:pPr>
            <w:r>
              <w:tab/>
            </w:r>
          </w:p>
        </w:tc>
        <w:tc>
          <w:tcPr>
            <w:tcW w:w="2820" w:type="dxa"/>
            <w:vMerge w:val="restart"/>
            <w:tcBorders>
              <w:left w:val="single" w:sz="6" w:space="0" w:color="auto"/>
            </w:tcBorders>
          </w:tcPr>
          <w:p w:rsidR="00AF2508" w:rsidRDefault="00AF2508">
            <w:pPr>
              <w:pStyle w:val="TableText"/>
            </w:pPr>
            <w:r>
              <w:t>19d.</w:t>
            </w:r>
          </w:p>
        </w:tc>
      </w:tr>
      <w:tr w:rsidR="00AF2508">
        <w:trPr>
          <w:cantSplit/>
          <w:trHeight w:val="345"/>
        </w:trPr>
        <w:tc>
          <w:tcPr>
            <w:tcW w:w="1200" w:type="dxa"/>
          </w:tcPr>
          <w:p w:rsidR="00AF2508" w:rsidRDefault="00AF2508">
            <w:pPr>
              <w:pStyle w:val="TableText"/>
            </w:pPr>
            <w:r>
              <w:t>6</w:t>
            </w:r>
          </w:p>
        </w:tc>
        <w:tc>
          <w:tcPr>
            <w:tcW w:w="1320" w:type="dxa"/>
            <w:vMerge/>
            <w:tcBorders>
              <w:left w:val="single" w:sz="6" w:space="0" w:color="auto"/>
              <w:right w:val="single" w:sz="6" w:space="0" w:color="auto"/>
            </w:tcBorders>
          </w:tcPr>
          <w:p w:rsidR="00AF2508" w:rsidRDefault="00AF2508">
            <w:pPr>
              <w:pStyle w:val="allsections"/>
              <w:spacing w:before="0" w:after="0"/>
              <w:ind w:firstLine="0"/>
              <w:rPr>
                <w:color w:val="000000"/>
                <w:sz w:val="18"/>
              </w:rPr>
            </w:pPr>
          </w:p>
        </w:tc>
        <w:tc>
          <w:tcPr>
            <w:tcW w:w="1940" w:type="dxa"/>
            <w:vMerge/>
          </w:tcPr>
          <w:p w:rsidR="00AF2508" w:rsidRDefault="00AF2508">
            <w:pPr>
              <w:pStyle w:val="TableText"/>
            </w:pPr>
          </w:p>
        </w:tc>
        <w:tc>
          <w:tcPr>
            <w:tcW w:w="2820" w:type="dxa"/>
            <w:vMerge/>
            <w:tcBorders>
              <w:left w:val="single" w:sz="6" w:space="0" w:color="auto"/>
            </w:tcBorders>
          </w:tcPr>
          <w:p w:rsidR="00AF2508" w:rsidRDefault="00AF2508">
            <w:pPr>
              <w:pStyle w:val="TableText"/>
            </w:pPr>
          </w:p>
        </w:tc>
      </w:tr>
      <w:tr w:rsidR="00AF2508">
        <w:trPr>
          <w:cantSplit/>
        </w:trPr>
        <w:tc>
          <w:tcPr>
            <w:tcW w:w="1200" w:type="dxa"/>
          </w:tcPr>
          <w:p w:rsidR="00AF2508" w:rsidRDefault="00AF2508">
            <w:pPr>
              <w:pStyle w:val="TableText"/>
            </w:pPr>
            <w:r>
              <w:t>6</w:t>
            </w:r>
          </w:p>
        </w:tc>
        <w:tc>
          <w:tcPr>
            <w:tcW w:w="1320" w:type="dxa"/>
            <w:tcBorders>
              <w:left w:val="single" w:sz="6" w:space="0" w:color="auto"/>
              <w:right w:val="single" w:sz="6" w:space="0" w:color="auto"/>
            </w:tcBorders>
          </w:tcPr>
          <w:p w:rsidR="00AF2508" w:rsidRDefault="00AF2508">
            <w:pPr>
              <w:pStyle w:val="TableText"/>
            </w:pPr>
            <w:r>
              <w:t>37</w:t>
            </w:r>
          </w:p>
        </w:tc>
        <w:tc>
          <w:tcPr>
            <w:tcW w:w="1940" w:type="dxa"/>
          </w:tcPr>
          <w:p w:rsidR="00AF2508" w:rsidRDefault="00AF2508">
            <w:pPr>
              <w:pStyle w:val="TableText"/>
            </w:pPr>
            <w:r>
              <w:tab/>
            </w:r>
          </w:p>
        </w:tc>
        <w:tc>
          <w:tcPr>
            <w:tcW w:w="2820" w:type="dxa"/>
            <w:tcBorders>
              <w:left w:val="single" w:sz="6" w:space="0" w:color="auto"/>
            </w:tcBorders>
          </w:tcPr>
          <w:p w:rsidR="00AF2508" w:rsidRDefault="00AF2508">
            <w:pPr>
              <w:pStyle w:val="TableText"/>
            </w:pPr>
            <w:r>
              <w:t>16</w:t>
            </w:r>
            <w:r>
              <w:rPr>
                <w:position w:val="6"/>
                <w:sz w:val="18"/>
              </w:rPr>
              <w:t>1</w:t>
            </w:r>
            <w:r>
              <w:t>/</w:t>
            </w:r>
            <w:r>
              <w:rPr>
                <w:sz w:val="18"/>
              </w:rPr>
              <w:t>2</w:t>
            </w:r>
            <w:r>
              <w:t xml:space="preserve"> d.</w:t>
            </w:r>
          </w:p>
        </w:tc>
      </w:tr>
      <w:tr w:rsidR="00AF2508">
        <w:trPr>
          <w:cantSplit/>
        </w:trPr>
        <w:tc>
          <w:tcPr>
            <w:tcW w:w="1200" w:type="dxa"/>
          </w:tcPr>
          <w:p w:rsidR="00AF2508" w:rsidRDefault="00AF2508">
            <w:pPr>
              <w:pStyle w:val="TableText"/>
            </w:pPr>
            <w:r>
              <w:t>6</w:t>
            </w:r>
          </w:p>
        </w:tc>
        <w:tc>
          <w:tcPr>
            <w:tcW w:w="1320" w:type="dxa"/>
            <w:tcBorders>
              <w:left w:val="single" w:sz="6" w:space="0" w:color="auto"/>
              <w:right w:val="single" w:sz="6" w:space="0" w:color="auto"/>
            </w:tcBorders>
          </w:tcPr>
          <w:p w:rsidR="00AF2508" w:rsidRDefault="00AF2508">
            <w:pPr>
              <w:pStyle w:val="TableText"/>
            </w:pPr>
            <w:r>
              <w:t>61</w:t>
            </w:r>
          </w:p>
        </w:tc>
        <w:tc>
          <w:tcPr>
            <w:tcW w:w="1940" w:type="dxa"/>
          </w:tcPr>
          <w:p w:rsidR="00AF2508" w:rsidRDefault="00AF2508">
            <w:pPr>
              <w:pStyle w:val="TableText"/>
            </w:pPr>
            <w:r>
              <w:tab/>
            </w:r>
          </w:p>
        </w:tc>
        <w:tc>
          <w:tcPr>
            <w:tcW w:w="2820" w:type="dxa"/>
            <w:tcBorders>
              <w:left w:val="single" w:sz="6" w:space="0" w:color="auto"/>
            </w:tcBorders>
          </w:tcPr>
          <w:p w:rsidR="00AF2508" w:rsidRDefault="00AF2508">
            <w:pPr>
              <w:pStyle w:val="TableText"/>
            </w:pPr>
            <w:r>
              <w:t>15</w:t>
            </w:r>
            <w:r>
              <w:rPr>
                <w:position w:val="6"/>
                <w:sz w:val="18"/>
              </w:rPr>
              <w:t>1</w:t>
            </w:r>
            <w:r>
              <w:t>/</w:t>
            </w:r>
            <w:r>
              <w:rPr>
                <w:sz w:val="18"/>
              </w:rPr>
              <w:t>2</w:t>
            </w:r>
            <w:r>
              <w:t xml:space="preserve"> d.</w:t>
            </w:r>
          </w:p>
        </w:tc>
      </w:tr>
      <w:tr w:rsidR="00AF2508">
        <w:trPr>
          <w:cantSplit/>
        </w:trPr>
        <w:tc>
          <w:tcPr>
            <w:tcW w:w="1200" w:type="dxa"/>
          </w:tcPr>
          <w:p w:rsidR="00AF2508" w:rsidRDefault="00AF2508">
            <w:pPr>
              <w:pStyle w:val="TableText"/>
            </w:pPr>
            <w:r>
              <w:t>6</w:t>
            </w:r>
          </w:p>
        </w:tc>
        <w:tc>
          <w:tcPr>
            <w:tcW w:w="1320" w:type="dxa"/>
            <w:tcBorders>
              <w:left w:val="single" w:sz="6" w:space="0" w:color="auto"/>
              <w:right w:val="single" w:sz="6" w:space="0" w:color="auto"/>
            </w:tcBorders>
          </w:tcPr>
          <w:p w:rsidR="00AF2508" w:rsidRDefault="00AF2508">
            <w:pPr>
              <w:pStyle w:val="TableText"/>
            </w:pPr>
            <w:r>
              <w:t>10</w:t>
            </w:r>
          </w:p>
        </w:tc>
        <w:tc>
          <w:tcPr>
            <w:tcW w:w="1940" w:type="dxa"/>
          </w:tcPr>
          <w:p w:rsidR="00AF2508" w:rsidRDefault="00AF2508">
            <w:pPr>
              <w:pStyle w:val="TableText"/>
            </w:pPr>
            <w:r>
              <w:t>flattened strand</w:t>
            </w:r>
          </w:p>
        </w:tc>
        <w:tc>
          <w:tcPr>
            <w:tcW w:w="2820" w:type="dxa"/>
            <w:tcBorders>
              <w:left w:val="single" w:sz="6" w:space="0" w:color="auto"/>
            </w:tcBorders>
          </w:tcPr>
          <w:p w:rsidR="00AF2508" w:rsidRDefault="00AF2508">
            <w:pPr>
              <w:pStyle w:val="TableText"/>
            </w:pPr>
            <w:r>
              <w:t>33d.</w:t>
            </w:r>
          </w:p>
        </w:tc>
      </w:tr>
      <w:tr w:rsidR="00AF2508">
        <w:trPr>
          <w:cantSplit/>
        </w:trPr>
        <w:tc>
          <w:tcPr>
            <w:tcW w:w="1200" w:type="dxa"/>
          </w:tcPr>
          <w:p w:rsidR="00AF2508" w:rsidRDefault="00AF2508">
            <w:pPr>
              <w:pStyle w:val="TableText"/>
            </w:pPr>
            <w:r>
              <w:t>6</w:t>
            </w:r>
          </w:p>
        </w:tc>
        <w:tc>
          <w:tcPr>
            <w:tcW w:w="1320" w:type="dxa"/>
            <w:tcBorders>
              <w:left w:val="single" w:sz="6" w:space="0" w:color="auto"/>
              <w:right w:val="single" w:sz="6" w:space="0" w:color="auto"/>
            </w:tcBorders>
          </w:tcPr>
          <w:p w:rsidR="00AF2508" w:rsidRDefault="00AF2508">
            <w:pPr>
              <w:pStyle w:val="TableText"/>
            </w:pPr>
            <w:r>
              <w:t>25</w:t>
            </w:r>
          </w:p>
        </w:tc>
        <w:tc>
          <w:tcPr>
            <w:tcW w:w="1940" w:type="dxa"/>
          </w:tcPr>
          <w:p w:rsidR="00AF2508" w:rsidRDefault="00AF2508">
            <w:pPr>
              <w:pStyle w:val="TableText"/>
            </w:pPr>
            <w:r>
              <w:t>flattened strand</w:t>
            </w:r>
          </w:p>
        </w:tc>
        <w:tc>
          <w:tcPr>
            <w:tcW w:w="2820" w:type="dxa"/>
            <w:tcBorders>
              <w:left w:val="single" w:sz="6" w:space="0" w:color="auto"/>
            </w:tcBorders>
          </w:tcPr>
          <w:p w:rsidR="00AF2508" w:rsidRDefault="00AF2508">
            <w:pPr>
              <w:pStyle w:val="TableText"/>
            </w:pPr>
            <w:r>
              <w:t>27d.</w:t>
            </w:r>
          </w:p>
        </w:tc>
      </w:tr>
      <w:tr w:rsidR="00AF2508">
        <w:trPr>
          <w:cantSplit/>
        </w:trPr>
        <w:tc>
          <w:tcPr>
            <w:tcW w:w="1200" w:type="dxa"/>
          </w:tcPr>
          <w:p w:rsidR="00AF2508" w:rsidRDefault="00AF2508">
            <w:pPr>
              <w:pStyle w:val="TableText"/>
            </w:pPr>
            <w:r>
              <w:t>6</w:t>
            </w:r>
          </w:p>
        </w:tc>
        <w:tc>
          <w:tcPr>
            <w:tcW w:w="1320" w:type="dxa"/>
            <w:tcBorders>
              <w:left w:val="single" w:sz="6" w:space="0" w:color="auto"/>
              <w:right w:val="single" w:sz="6" w:space="0" w:color="auto"/>
            </w:tcBorders>
          </w:tcPr>
          <w:p w:rsidR="00AF2508" w:rsidRDefault="00AF2508">
            <w:pPr>
              <w:pStyle w:val="TableText"/>
            </w:pPr>
            <w:r>
              <w:t>27</w:t>
            </w:r>
          </w:p>
        </w:tc>
        <w:tc>
          <w:tcPr>
            <w:tcW w:w="1940" w:type="dxa"/>
          </w:tcPr>
          <w:p w:rsidR="00AF2508" w:rsidRDefault="00AF2508">
            <w:pPr>
              <w:pStyle w:val="TableText"/>
            </w:pPr>
            <w:r>
              <w:t>flattened strand</w:t>
            </w:r>
          </w:p>
        </w:tc>
        <w:tc>
          <w:tcPr>
            <w:tcW w:w="2820" w:type="dxa"/>
            <w:tcBorders>
              <w:left w:val="single" w:sz="6" w:space="0" w:color="auto"/>
            </w:tcBorders>
          </w:tcPr>
          <w:p w:rsidR="00AF2508" w:rsidRDefault="00AF2508">
            <w:pPr>
              <w:pStyle w:val="TableText"/>
            </w:pPr>
            <w:r>
              <w:t>25d.</w:t>
            </w:r>
          </w:p>
        </w:tc>
      </w:tr>
      <w:tr w:rsidR="00AF2508">
        <w:trPr>
          <w:cantSplit/>
        </w:trPr>
        <w:tc>
          <w:tcPr>
            <w:tcW w:w="1200" w:type="dxa"/>
          </w:tcPr>
          <w:p w:rsidR="00AF2508" w:rsidRDefault="00AF2508">
            <w:pPr>
              <w:pStyle w:val="TableText"/>
            </w:pPr>
            <w:r>
              <w:t>8</w:t>
            </w:r>
          </w:p>
        </w:tc>
        <w:tc>
          <w:tcPr>
            <w:tcW w:w="1320" w:type="dxa"/>
            <w:tcBorders>
              <w:left w:val="single" w:sz="6" w:space="0" w:color="auto"/>
              <w:right w:val="single" w:sz="6" w:space="0" w:color="auto"/>
            </w:tcBorders>
          </w:tcPr>
          <w:p w:rsidR="00AF2508" w:rsidRDefault="00AF2508">
            <w:pPr>
              <w:pStyle w:val="TableText"/>
            </w:pPr>
            <w:r>
              <w:t>19</w:t>
            </w:r>
          </w:p>
        </w:tc>
        <w:tc>
          <w:tcPr>
            <w:tcW w:w="1940" w:type="dxa"/>
          </w:tcPr>
          <w:p w:rsidR="00AF2508" w:rsidRDefault="00AF2508">
            <w:pPr>
              <w:pStyle w:val="TableText"/>
            </w:pPr>
            <w:r>
              <w:t>flattened strand</w:t>
            </w:r>
          </w:p>
        </w:tc>
        <w:tc>
          <w:tcPr>
            <w:tcW w:w="2820" w:type="dxa"/>
            <w:tcBorders>
              <w:left w:val="single" w:sz="6" w:space="0" w:color="auto"/>
            </w:tcBorders>
          </w:tcPr>
          <w:p w:rsidR="00AF2508" w:rsidRDefault="00AF2508">
            <w:pPr>
              <w:pStyle w:val="TableText"/>
            </w:pPr>
            <w:r>
              <w:t>17</w:t>
            </w:r>
            <w:r>
              <w:rPr>
                <w:position w:val="6"/>
                <w:sz w:val="18"/>
              </w:rPr>
              <w:t>1</w:t>
            </w:r>
            <w:r>
              <w:t>/</w:t>
            </w:r>
            <w:r>
              <w:rPr>
                <w:sz w:val="18"/>
              </w:rPr>
              <w:t>2</w:t>
            </w:r>
            <w:r>
              <w:t xml:space="preserve"> d.</w:t>
            </w:r>
          </w:p>
        </w:tc>
      </w:tr>
      <w:tr w:rsidR="00AF2508">
        <w:trPr>
          <w:cantSplit/>
        </w:trPr>
        <w:tc>
          <w:tcPr>
            <w:tcW w:w="1200" w:type="dxa"/>
          </w:tcPr>
          <w:p w:rsidR="00AF2508" w:rsidRDefault="00AF2508">
            <w:pPr>
              <w:pStyle w:val="TableText"/>
            </w:pPr>
            <w:r>
              <w:t>17</w:t>
            </w:r>
          </w:p>
        </w:tc>
        <w:tc>
          <w:tcPr>
            <w:tcW w:w="1320" w:type="dxa"/>
            <w:tcBorders>
              <w:left w:val="single" w:sz="6" w:space="0" w:color="auto"/>
              <w:right w:val="single" w:sz="6" w:space="0" w:color="auto"/>
            </w:tcBorders>
          </w:tcPr>
          <w:p w:rsidR="00AF2508" w:rsidRDefault="00AF2508">
            <w:pPr>
              <w:pStyle w:val="TableText"/>
            </w:pPr>
            <w:r>
              <w:t>7</w:t>
            </w:r>
          </w:p>
        </w:tc>
        <w:tc>
          <w:tcPr>
            <w:tcW w:w="1940" w:type="dxa"/>
          </w:tcPr>
          <w:p w:rsidR="00AF2508" w:rsidRDefault="00AF2508">
            <w:pPr>
              <w:pStyle w:val="TableText"/>
            </w:pPr>
            <w:r>
              <w:t>non-spin</w:t>
            </w:r>
          </w:p>
        </w:tc>
        <w:tc>
          <w:tcPr>
            <w:tcW w:w="2820" w:type="dxa"/>
            <w:tcBorders>
              <w:left w:val="single" w:sz="6" w:space="0" w:color="auto"/>
            </w:tcBorders>
          </w:tcPr>
          <w:p w:rsidR="00AF2508" w:rsidRDefault="00AF2508">
            <w:pPr>
              <w:pStyle w:val="TableText"/>
            </w:pPr>
            <w:r>
              <w:t>20d.</w:t>
            </w:r>
          </w:p>
        </w:tc>
      </w:tr>
      <w:tr w:rsidR="00AF2508">
        <w:trPr>
          <w:cantSplit/>
        </w:trPr>
        <w:tc>
          <w:tcPr>
            <w:tcW w:w="1200" w:type="dxa"/>
            <w:tcBorders>
              <w:bottom w:val="single" w:sz="6" w:space="0" w:color="auto"/>
            </w:tcBorders>
          </w:tcPr>
          <w:p w:rsidR="00AF2508" w:rsidRDefault="00AF2508">
            <w:pPr>
              <w:pStyle w:val="TableText"/>
            </w:pPr>
            <w:r>
              <w:t>34</w:t>
            </w:r>
          </w:p>
        </w:tc>
        <w:tc>
          <w:tcPr>
            <w:tcW w:w="1320" w:type="dxa"/>
            <w:tcBorders>
              <w:left w:val="single" w:sz="6" w:space="0" w:color="auto"/>
              <w:bottom w:val="single" w:sz="6" w:space="0" w:color="auto"/>
              <w:right w:val="single" w:sz="6" w:space="0" w:color="auto"/>
            </w:tcBorders>
          </w:tcPr>
          <w:p w:rsidR="00AF2508" w:rsidRDefault="00AF2508">
            <w:pPr>
              <w:pStyle w:val="TableText"/>
            </w:pPr>
            <w:r>
              <w:t>7</w:t>
            </w:r>
          </w:p>
        </w:tc>
        <w:tc>
          <w:tcPr>
            <w:tcW w:w="1940" w:type="dxa"/>
            <w:tcBorders>
              <w:bottom w:val="single" w:sz="6" w:space="0" w:color="auto"/>
            </w:tcBorders>
          </w:tcPr>
          <w:p w:rsidR="00AF2508" w:rsidRDefault="00AF2508">
            <w:pPr>
              <w:pStyle w:val="TableText"/>
            </w:pPr>
            <w:r>
              <w:t>non-spin</w:t>
            </w:r>
          </w:p>
        </w:tc>
        <w:tc>
          <w:tcPr>
            <w:tcW w:w="2820" w:type="dxa"/>
            <w:tcBorders>
              <w:left w:val="single" w:sz="6" w:space="0" w:color="auto"/>
              <w:bottom w:val="single" w:sz="6" w:space="0" w:color="auto"/>
            </w:tcBorders>
          </w:tcPr>
          <w:p w:rsidR="00AF2508" w:rsidRDefault="00AF2508">
            <w:pPr>
              <w:pStyle w:val="TableText"/>
            </w:pPr>
            <w:r>
              <w:t>16</w:t>
            </w:r>
            <w:r>
              <w:rPr>
                <w:position w:val="6"/>
                <w:sz w:val="18"/>
              </w:rPr>
              <w:t>1</w:t>
            </w:r>
            <w:r>
              <w:t>/</w:t>
            </w:r>
            <w:r>
              <w:rPr>
                <w:sz w:val="18"/>
              </w:rPr>
              <w:t>2</w:t>
            </w:r>
            <w:r>
              <w:t xml:space="preserve"> d.</w:t>
            </w:r>
          </w:p>
        </w:tc>
      </w:tr>
    </w:tbl>
    <w:p w:rsidR="00AF2508" w:rsidRDefault="00AF2508"/>
    <w:p w:rsidR="00AF2508" w:rsidRDefault="00AF2508">
      <w:pPr>
        <w:pStyle w:val="Assectheading"/>
        <w:rPr>
          <w:i w:val="0"/>
        </w:rPr>
      </w:pPr>
      <w:r>
        <w:rPr>
          <w:rStyle w:val="charItals"/>
          <w:i/>
        </w:rPr>
        <w:t>Equalising sheaves</w:t>
      </w:r>
    </w:p>
    <w:p w:rsidR="00AF2508" w:rsidRDefault="00AF2508">
      <w:pPr>
        <w:pStyle w:val="Amain"/>
      </w:pPr>
      <w:r>
        <w:tab/>
        <w:t>(23)</w:t>
      </w:r>
      <w:r>
        <w:tab/>
        <w:t>Equalising sheaves and analogous media shall have diameters at the bottoms of the grooves not less than 15 times the diameter of the ropes concerned.</w:t>
      </w:r>
    </w:p>
    <w:p w:rsidR="00AF2508" w:rsidRDefault="00AF2508">
      <w:pPr>
        <w:pStyle w:val="Assectheading"/>
      </w:pPr>
      <w:r>
        <w:rPr>
          <w:rStyle w:val="charItals"/>
          <w:i/>
        </w:rPr>
        <w:t>Angle of lead of rope to and from drums or sheaves—for grooved drums or sheaves</w:t>
      </w:r>
    </w:p>
    <w:p w:rsidR="00AF2508" w:rsidRDefault="00AF2508">
      <w:pPr>
        <w:pStyle w:val="Amain"/>
      </w:pPr>
      <w:r>
        <w:tab/>
        <w:t>(24)</w:t>
      </w:r>
      <w:r>
        <w:tab/>
      </w:r>
      <w:r>
        <w:rPr>
          <w:rStyle w:val="charItals"/>
          <w:i w:val="0"/>
        </w:rPr>
        <w:t>T</w:t>
      </w:r>
      <w:r>
        <w:t>he maximum lead angle shall be such that there is no danger of the rope being drawn out of its bed in the groove and shall not exceed 5° (1 in 12) each side of a plane perpendicular to the axis of rotation of the drum or sheave.</w:t>
      </w:r>
    </w:p>
    <w:p w:rsidR="00AF2508" w:rsidRDefault="00AF2508">
      <w:pPr>
        <w:pStyle w:val="Assectheading"/>
      </w:pPr>
      <w:r>
        <w:rPr>
          <w:rStyle w:val="charItals"/>
          <w:i/>
        </w:rPr>
        <w:t>Angle of lead of rope to and from drums or sheaves—for ungrooved drums</w:t>
      </w:r>
    </w:p>
    <w:p w:rsidR="00AF2508" w:rsidRDefault="00AF2508">
      <w:pPr>
        <w:pStyle w:val="Amain"/>
      </w:pPr>
      <w:r>
        <w:tab/>
        <w:t>(25)</w:t>
      </w:r>
      <w:r>
        <w:tab/>
      </w:r>
      <w:r>
        <w:rPr>
          <w:rStyle w:val="charItals"/>
          <w:i w:val="0"/>
        </w:rPr>
        <w:t>T</w:t>
      </w:r>
      <w:r>
        <w:t>he maximum lead angle shall be such that there is no danger of the rope ‘bunching’ on the drum and failing to lay correctly on it, and shall not exceed 3° (1 in 19) each side of a plane perpendicular to the axis of rotation of the drum.</w:t>
      </w:r>
    </w:p>
    <w:p w:rsidR="00AF2508" w:rsidRDefault="00AF2508">
      <w:pPr>
        <w:pStyle w:val="Assectheading"/>
      </w:pPr>
      <w:r>
        <w:rPr>
          <w:rStyle w:val="charItals"/>
          <w:i/>
        </w:rPr>
        <w:t>Grooving of drums</w:t>
      </w:r>
    </w:p>
    <w:p w:rsidR="00AF2508" w:rsidRDefault="00AF2508">
      <w:pPr>
        <w:pStyle w:val="Amain"/>
      </w:pPr>
      <w:r>
        <w:tab/>
        <w:t>(26)</w:t>
      </w:r>
      <w:r>
        <w:tab/>
        <w:t>If drums are grooved the grooves shall be machined and the contour at the bottom of the grooves shall be circular over an angle of 120°.</w:t>
      </w:r>
    </w:p>
    <w:p w:rsidR="00AF2508" w:rsidRDefault="00AF2508">
      <w:pPr>
        <w:pStyle w:val="Amain"/>
      </w:pPr>
      <w:r>
        <w:tab/>
        <w:t>(27)</w:t>
      </w:r>
      <w:r>
        <w:tab/>
        <w:t>The radius of the grooves shall be as shown in table 144.3.</w:t>
      </w:r>
    </w:p>
    <w:p w:rsidR="00AF2508" w:rsidRDefault="00AF2508">
      <w:pPr>
        <w:pStyle w:val="TableHd"/>
        <w:ind w:left="1425" w:hanging="1311"/>
      </w:pPr>
      <w:r>
        <w:t>Table 144.3</w:t>
      </w:r>
      <w:r>
        <w:tab/>
        <w:t>Radius of grooves in rope drums</w:t>
      </w:r>
    </w:p>
    <w:tbl>
      <w:tblPr>
        <w:tblW w:w="0" w:type="auto"/>
        <w:tblInd w:w="200" w:type="dxa"/>
        <w:tblLayout w:type="fixed"/>
        <w:tblCellMar>
          <w:left w:w="80" w:type="dxa"/>
          <w:right w:w="80" w:type="dxa"/>
        </w:tblCellMar>
        <w:tblLook w:val="0000" w:firstRow="0" w:lastRow="0" w:firstColumn="0" w:lastColumn="0" w:noHBand="0" w:noVBand="0"/>
      </w:tblPr>
      <w:tblGrid>
        <w:gridCol w:w="3300"/>
        <w:gridCol w:w="4218"/>
      </w:tblGrid>
      <w:tr w:rsidR="00AF2508">
        <w:trPr>
          <w:cantSplit/>
        </w:trPr>
        <w:tc>
          <w:tcPr>
            <w:tcW w:w="3300" w:type="dxa"/>
          </w:tcPr>
          <w:p w:rsidR="00AF2508" w:rsidRDefault="00AF2508">
            <w:pPr>
              <w:pStyle w:val="TableText"/>
            </w:pPr>
            <w:r>
              <w:t>for ropes up to and including 2 inches circumference</w:t>
            </w:r>
          </w:p>
        </w:tc>
        <w:tc>
          <w:tcPr>
            <w:tcW w:w="4218" w:type="dxa"/>
          </w:tcPr>
          <w:p w:rsidR="00AF2508" w:rsidRDefault="00AF2508">
            <w:pPr>
              <w:pStyle w:val="TableText"/>
              <w:ind w:left="832"/>
            </w:pPr>
            <w:r>
              <w:t xml:space="preserve">radius of rope plus </w:t>
            </w:r>
            <w:r>
              <w:rPr>
                <w:position w:val="6"/>
                <w:sz w:val="18"/>
              </w:rPr>
              <w:t>1</w:t>
            </w:r>
            <w:r>
              <w:t>/</w:t>
            </w:r>
            <w:r>
              <w:rPr>
                <w:sz w:val="18"/>
              </w:rPr>
              <w:t>32</w:t>
            </w:r>
            <w:r>
              <w:t xml:space="preserve"> of an inch</w:t>
            </w:r>
          </w:p>
        </w:tc>
      </w:tr>
      <w:tr w:rsidR="00AF2508">
        <w:trPr>
          <w:cantSplit/>
        </w:trPr>
        <w:tc>
          <w:tcPr>
            <w:tcW w:w="3300" w:type="dxa"/>
          </w:tcPr>
          <w:p w:rsidR="00AF2508" w:rsidRDefault="00AF2508">
            <w:pPr>
              <w:pStyle w:val="TableText"/>
            </w:pPr>
            <w:r>
              <w:t>for ropes of 2</w:t>
            </w:r>
            <w:r>
              <w:rPr>
                <w:position w:val="6"/>
                <w:sz w:val="18"/>
              </w:rPr>
              <w:t>1</w:t>
            </w:r>
            <w:r>
              <w:t>/</w:t>
            </w:r>
            <w:r>
              <w:rPr>
                <w:sz w:val="18"/>
              </w:rPr>
              <w:t>8</w:t>
            </w:r>
            <w:r>
              <w:t xml:space="preserve"> to 2</w:t>
            </w:r>
            <w:r>
              <w:rPr>
                <w:position w:val="6"/>
                <w:sz w:val="18"/>
              </w:rPr>
              <w:t>3</w:t>
            </w:r>
            <w:r>
              <w:t>/</w:t>
            </w:r>
            <w:r>
              <w:rPr>
                <w:sz w:val="18"/>
              </w:rPr>
              <w:t>4</w:t>
            </w:r>
            <w:r>
              <w:t xml:space="preserve"> inches circumference inclusive</w:t>
            </w:r>
          </w:p>
        </w:tc>
        <w:tc>
          <w:tcPr>
            <w:tcW w:w="4218" w:type="dxa"/>
          </w:tcPr>
          <w:p w:rsidR="00AF2508" w:rsidRDefault="00AF2508">
            <w:pPr>
              <w:pStyle w:val="TableText"/>
              <w:ind w:left="832"/>
            </w:pPr>
            <w:r>
              <w:t xml:space="preserve">radius of rope plus </w:t>
            </w:r>
            <w:r>
              <w:rPr>
                <w:position w:val="6"/>
                <w:sz w:val="18"/>
              </w:rPr>
              <w:t>3</w:t>
            </w:r>
            <w:r>
              <w:t>/</w:t>
            </w:r>
            <w:r>
              <w:rPr>
                <w:sz w:val="18"/>
              </w:rPr>
              <w:t>64</w:t>
            </w:r>
            <w:r>
              <w:t xml:space="preserve"> of an inch</w:t>
            </w:r>
          </w:p>
        </w:tc>
      </w:tr>
      <w:tr w:rsidR="00AF2508">
        <w:trPr>
          <w:cantSplit/>
        </w:trPr>
        <w:tc>
          <w:tcPr>
            <w:tcW w:w="3300" w:type="dxa"/>
          </w:tcPr>
          <w:p w:rsidR="00AF2508" w:rsidRDefault="00AF2508">
            <w:pPr>
              <w:pStyle w:val="TableText"/>
            </w:pPr>
            <w:r>
              <w:t>for ropes of 3 to 3</w:t>
            </w:r>
            <w:r>
              <w:rPr>
                <w:position w:val="6"/>
                <w:sz w:val="18"/>
              </w:rPr>
              <w:t>1</w:t>
            </w:r>
            <w:r>
              <w:t>/</w:t>
            </w:r>
            <w:r>
              <w:rPr>
                <w:sz w:val="18"/>
              </w:rPr>
              <w:t>2</w:t>
            </w:r>
            <w:r>
              <w:t xml:space="preserve"> inches circumference inclusive</w:t>
            </w:r>
          </w:p>
        </w:tc>
        <w:tc>
          <w:tcPr>
            <w:tcW w:w="4218" w:type="dxa"/>
          </w:tcPr>
          <w:p w:rsidR="00AF2508" w:rsidRDefault="00AF2508">
            <w:pPr>
              <w:pStyle w:val="TableText"/>
              <w:ind w:left="832"/>
            </w:pPr>
            <w:r>
              <w:t xml:space="preserve">radius of rope plus </w:t>
            </w:r>
            <w:r>
              <w:rPr>
                <w:position w:val="6"/>
                <w:sz w:val="18"/>
              </w:rPr>
              <w:t>1</w:t>
            </w:r>
            <w:r>
              <w:t>/</w:t>
            </w:r>
            <w:r>
              <w:rPr>
                <w:sz w:val="18"/>
              </w:rPr>
              <w:t>16</w:t>
            </w:r>
            <w:r>
              <w:t xml:space="preserve"> of an inch</w:t>
            </w:r>
          </w:p>
        </w:tc>
      </w:tr>
      <w:tr w:rsidR="00AF2508">
        <w:trPr>
          <w:cantSplit/>
        </w:trPr>
        <w:tc>
          <w:tcPr>
            <w:tcW w:w="3300" w:type="dxa"/>
          </w:tcPr>
          <w:p w:rsidR="00AF2508" w:rsidRDefault="00AF2508">
            <w:pPr>
              <w:pStyle w:val="TableText"/>
            </w:pPr>
            <w:r>
              <w:t>for ropes of 3</w:t>
            </w:r>
            <w:r>
              <w:rPr>
                <w:position w:val="6"/>
                <w:sz w:val="18"/>
              </w:rPr>
              <w:t>3</w:t>
            </w:r>
            <w:r>
              <w:t>/</w:t>
            </w:r>
            <w:r>
              <w:rPr>
                <w:sz w:val="18"/>
              </w:rPr>
              <w:t>4</w:t>
            </w:r>
            <w:r>
              <w:t xml:space="preserve"> inches circumference and larger</w:t>
            </w:r>
          </w:p>
        </w:tc>
        <w:tc>
          <w:tcPr>
            <w:tcW w:w="4218" w:type="dxa"/>
          </w:tcPr>
          <w:p w:rsidR="00AF2508" w:rsidRDefault="00AF2508">
            <w:pPr>
              <w:pStyle w:val="TableText"/>
              <w:ind w:left="832"/>
            </w:pPr>
            <w:r>
              <w:t xml:space="preserve">radius of rope plus </w:t>
            </w:r>
            <w:r>
              <w:rPr>
                <w:position w:val="6"/>
                <w:sz w:val="18"/>
              </w:rPr>
              <w:t>3</w:t>
            </w:r>
            <w:r>
              <w:t>/</w:t>
            </w:r>
            <w:r>
              <w:rPr>
                <w:sz w:val="18"/>
              </w:rPr>
              <w:t>32</w:t>
            </w:r>
            <w:r>
              <w:t xml:space="preserve"> of an inch</w:t>
            </w:r>
          </w:p>
        </w:tc>
      </w:tr>
    </w:tbl>
    <w:p w:rsidR="00AF2508" w:rsidRDefault="00AF2508"/>
    <w:p w:rsidR="00AF2508" w:rsidRDefault="00AF2508">
      <w:pPr>
        <w:pStyle w:val="Amain"/>
      </w:pPr>
      <w:r>
        <w:tab/>
        <w:t>(28)</w:t>
      </w:r>
      <w:r>
        <w:tab/>
        <w:t xml:space="preserve">Grooves shall have a depth of not less than </w:t>
      </w:r>
      <w:r>
        <w:rPr>
          <w:position w:val="6"/>
          <w:sz w:val="18"/>
        </w:rPr>
        <w:t>1</w:t>
      </w:r>
      <w:r>
        <w:t>/</w:t>
      </w:r>
      <w:r>
        <w:rPr>
          <w:sz w:val="18"/>
        </w:rPr>
        <w:t>3</w:t>
      </w:r>
      <w:r>
        <w:t xml:space="preserve"> of the diameter of the rope and shall be so pitched that there is a clearance of not less than </w:t>
      </w:r>
      <w:r>
        <w:rPr>
          <w:position w:val="6"/>
          <w:sz w:val="18"/>
        </w:rPr>
        <w:t>1</w:t>
      </w:r>
      <w:r>
        <w:t>/</w:t>
      </w:r>
      <w:r>
        <w:rPr>
          <w:sz w:val="18"/>
        </w:rPr>
        <w:t>32</w:t>
      </w:r>
      <w:r>
        <w:t xml:space="preserve"> of an inch for ropes up to 1</w:t>
      </w:r>
      <w:r>
        <w:rPr>
          <w:position w:val="6"/>
          <w:sz w:val="18"/>
        </w:rPr>
        <w:t>1</w:t>
      </w:r>
      <w:r>
        <w:t>/</w:t>
      </w:r>
      <w:r>
        <w:rPr>
          <w:sz w:val="18"/>
        </w:rPr>
        <w:t>2</w:t>
      </w:r>
      <w:r>
        <w:t xml:space="preserve"> inches diameter and not less than </w:t>
      </w:r>
      <w:r>
        <w:rPr>
          <w:position w:val="6"/>
          <w:sz w:val="18"/>
        </w:rPr>
        <w:t>1</w:t>
      </w:r>
      <w:r>
        <w:t>/</w:t>
      </w:r>
      <w:r>
        <w:rPr>
          <w:sz w:val="18"/>
        </w:rPr>
        <w:t>16</w:t>
      </w:r>
      <w:r>
        <w:t xml:space="preserve"> of an inch for ropes over 1</w:t>
      </w:r>
      <w:r>
        <w:rPr>
          <w:position w:val="6"/>
          <w:sz w:val="18"/>
        </w:rPr>
        <w:t>1</w:t>
      </w:r>
      <w:r>
        <w:t>/</w:t>
      </w:r>
      <w:r>
        <w:rPr>
          <w:sz w:val="18"/>
        </w:rPr>
        <w:t>2</w:t>
      </w:r>
      <w:r>
        <w:t xml:space="preserve"> inches diameter, between the parts of the rope when coiled on the drum.</w:t>
      </w:r>
    </w:p>
    <w:p w:rsidR="00AF2508" w:rsidRDefault="00AF2508">
      <w:pPr>
        <w:pStyle w:val="Amain"/>
      </w:pPr>
      <w:r>
        <w:tab/>
        <w:t>(29)</w:t>
      </w:r>
      <w:r>
        <w:tab/>
        <w:t>The grooves shall be smoothly finished and all sharp edges removed.</w:t>
      </w:r>
    </w:p>
    <w:p w:rsidR="00AF2508" w:rsidRDefault="00AF2508">
      <w:pPr>
        <w:pStyle w:val="Assectheading"/>
      </w:pPr>
      <w:r>
        <w:rPr>
          <w:rStyle w:val="charItals"/>
          <w:i/>
        </w:rPr>
        <w:t>Ungrooved drums for rope</w:t>
      </w:r>
    </w:p>
    <w:p w:rsidR="00AF2508" w:rsidRDefault="00AF2508">
      <w:pPr>
        <w:pStyle w:val="Amain"/>
      </w:pPr>
      <w:r>
        <w:tab/>
        <w:t>(30)</w:t>
      </w:r>
      <w:r>
        <w:tab/>
        <w:t>Ungrooved drums shall have flanges extending 1 rope diameter above the surface of the outer layer of rope when the maximum designed number of turns are wound on it, but in no case shall the total depth of the flange measured from the face of the empty drum be less than 3 rope diameters.</w:t>
      </w:r>
    </w:p>
    <w:p w:rsidR="00AF2508" w:rsidRDefault="00AF2508">
      <w:pPr>
        <w:pStyle w:val="Amain"/>
      </w:pPr>
      <w:r>
        <w:tab/>
        <w:t>(31)</w:t>
      </w:r>
      <w:r>
        <w:tab/>
        <w:t>Subsection (30) shall not imply that an additional flange is to be provided when a wheel that is attached to the drum will serve to form 1 of the flanges.</w:t>
      </w:r>
    </w:p>
    <w:p w:rsidR="00AF2508" w:rsidRDefault="00AF2508">
      <w:pPr>
        <w:pStyle w:val="Assectheading"/>
      </w:pPr>
      <w:r>
        <w:rPr>
          <w:rStyle w:val="charItals"/>
          <w:i/>
        </w:rPr>
        <w:t>Rope pulleys and quadrants</w:t>
      </w:r>
    </w:p>
    <w:p w:rsidR="00AF2508" w:rsidRDefault="00AF2508">
      <w:pPr>
        <w:pStyle w:val="Amain"/>
      </w:pPr>
      <w:r>
        <w:tab/>
        <w:t>(32)</w:t>
      </w:r>
      <w:r>
        <w:tab/>
        <w:t>Rope pulleys and quadrants shall be machine grooved to a depth not less than 1</w:t>
      </w:r>
      <w:r>
        <w:rPr>
          <w:position w:val="6"/>
          <w:sz w:val="18"/>
        </w:rPr>
        <w:t>1</w:t>
      </w:r>
      <w:r>
        <w:t>/</w:t>
      </w:r>
      <w:r>
        <w:rPr>
          <w:sz w:val="18"/>
        </w:rPr>
        <w:t>2</w:t>
      </w:r>
      <w:r>
        <w:t xml:space="preserve"> times the diameter of the rope used on it and the grooving shall comply with the provisions of subsections (26) to (29).</w:t>
      </w:r>
    </w:p>
    <w:p w:rsidR="00AF2508" w:rsidRDefault="00AF2508">
      <w:pPr>
        <w:pStyle w:val="Amain"/>
      </w:pPr>
      <w:r>
        <w:tab/>
        <w:t>(33)</w:t>
      </w:r>
      <w:r>
        <w:tab/>
        <w:t>The included angle of flare between the 2 sides of the grooving of a pulley or quadrant shall be not less than 42° and not more than 52°.</w:t>
      </w:r>
    </w:p>
    <w:p w:rsidR="00AF2508" w:rsidRDefault="00AF2508">
      <w:pPr>
        <w:pStyle w:val="Amain"/>
      </w:pPr>
      <w:r>
        <w:tab/>
        <w:t>(34)</w:t>
      </w:r>
      <w:r>
        <w:tab/>
        <w:t>When ropes are prevented from leaving their grooves, the grooves may be not less in depth than the diameter of the rope concerned.</w:t>
      </w:r>
    </w:p>
    <w:p w:rsidR="00AF2508" w:rsidRDefault="00AF2508">
      <w:pPr>
        <w:pStyle w:val="Amain"/>
      </w:pPr>
      <w:r>
        <w:tab/>
        <w:t>(35)</w:t>
      </w:r>
      <w:r>
        <w:tab/>
        <w:t>Lifting block pulleys shall be provided with suitable guards to keep the ropes in the grooves.</w:t>
      </w:r>
    </w:p>
    <w:p w:rsidR="00AF2508" w:rsidRDefault="00AF2508">
      <w:pPr>
        <w:pStyle w:val="Assectheading"/>
      </w:pPr>
      <w:r>
        <w:rPr>
          <w:rStyle w:val="charItals"/>
          <w:i/>
        </w:rPr>
        <w:t>Swivel hooks</w:t>
      </w:r>
    </w:p>
    <w:p w:rsidR="00AF2508" w:rsidRDefault="00AF2508">
      <w:pPr>
        <w:pStyle w:val="Amain"/>
      </w:pPr>
      <w:r>
        <w:tab/>
        <w:t>(36)</w:t>
      </w:r>
      <w:r>
        <w:tab/>
        <w:t>Lifting hooks and lifting eyes attached to single falls (parts) of steel wire rope other than rope slings, shall be freely rotatable under all conditions of loading and if the load exceeds 2 tons shall be of the ball or roller thrust bearing type.</w:t>
      </w:r>
    </w:p>
    <w:p w:rsidR="00AF2508" w:rsidRDefault="00AF2508">
      <w:pPr>
        <w:pStyle w:val="Amain"/>
      </w:pPr>
      <w:r>
        <w:tab/>
        <w:t>(37)</w:t>
      </w:r>
      <w:r>
        <w:tab/>
        <w:t>Provision shall be made to exclude dust and other foreign matter from thrust bearings.</w:t>
      </w:r>
    </w:p>
    <w:p w:rsidR="00AF2508" w:rsidRDefault="00AF2508">
      <w:pPr>
        <w:pStyle w:val="Assectheading"/>
        <w:rPr>
          <w:i w:val="0"/>
        </w:rPr>
      </w:pPr>
      <w:r>
        <w:rPr>
          <w:rStyle w:val="charItals"/>
          <w:i/>
        </w:rPr>
        <w:t>Guards</w:t>
      </w:r>
    </w:p>
    <w:p w:rsidR="00AF2508" w:rsidRDefault="00AF2508">
      <w:pPr>
        <w:pStyle w:val="Amain"/>
      </w:pPr>
      <w:r>
        <w:tab/>
        <w:t>(38)</w:t>
      </w:r>
      <w:r>
        <w:tab/>
        <w:t>Guards shall be provided to prevent persons’ hands or other parts of their body being injured by the rope or pulleys of hook blocks or bottom blocks in power-operated cranes or hoists if the blocks are used for loads of less than 5 tons.</w:t>
      </w:r>
    </w:p>
    <w:p w:rsidR="00AF2508" w:rsidRDefault="00AF2508">
      <w:pPr>
        <w:pStyle w:val="Amain"/>
      </w:pPr>
      <w:r>
        <w:tab/>
        <w:t>(39)</w:t>
      </w:r>
      <w:r>
        <w:tab/>
        <w:t>Guards shall be provided if there is a danger that ropes will become displaced from pulleys, or quadrants.</w:t>
      </w:r>
    </w:p>
    <w:p w:rsidR="00AF2508" w:rsidRDefault="00AF2508">
      <w:pPr>
        <w:pStyle w:val="Assectheading"/>
      </w:pPr>
      <w:r>
        <w:rPr>
          <w:rStyle w:val="charItals"/>
          <w:i/>
        </w:rPr>
        <w:t>Rope anchorages</w:t>
      </w:r>
    </w:p>
    <w:p w:rsidR="00AF2508" w:rsidRDefault="00AF2508">
      <w:pPr>
        <w:pStyle w:val="Amain"/>
      </w:pPr>
      <w:r>
        <w:tab/>
        <w:t>(40)</w:t>
      </w:r>
      <w:r>
        <w:tab/>
        <w:t>Eye splices, sockets, and rope anchorages shall be capable of withstanding 90% of the guaranteed breaking strength of the rope or ropes to which they are attached.</w:t>
      </w:r>
    </w:p>
    <w:p w:rsidR="00AF2508" w:rsidRDefault="00AF2508">
      <w:pPr>
        <w:pStyle w:val="Amain"/>
      </w:pPr>
      <w:r>
        <w:tab/>
        <w:t>(41)</w:t>
      </w:r>
      <w:r>
        <w:tab/>
        <w:t>Rope anchorages shall be readily accessible at all times.</w:t>
      </w:r>
    </w:p>
    <w:p w:rsidR="00AF2508" w:rsidRDefault="00AF2508">
      <w:pPr>
        <w:pStyle w:val="Amain"/>
      </w:pPr>
      <w:r>
        <w:tab/>
        <w:t>(42)</w:t>
      </w:r>
      <w:r>
        <w:tab/>
        <w:t>There shall be at least 2 full turns of each rope, remaining on the drum or barrel when the hook or other lifting or hauling medium is fully lowered or unwound.</w:t>
      </w:r>
    </w:p>
    <w:p w:rsidR="00AF2508" w:rsidRDefault="00AF2508">
      <w:pPr>
        <w:pStyle w:val="Assectheading"/>
      </w:pPr>
      <w:r>
        <w:rPr>
          <w:rStyle w:val="charItals"/>
          <w:i/>
        </w:rPr>
        <w:t>Splicing</w:t>
      </w:r>
    </w:p>
    <w:p w:rsidR="00AF2508" w:rsidRDefault="00AF2508">
      <w:pPr>
        <w:pStyle w:val="Amain"/>
      </w:pPr>
      <w:r>
        <w:tab/>
        <w:t>(43)</w:t>
      </w:r>
      <w:r>
        <w:tab/>
        <w:t xml:space="preserve">Eye splices shall have at least 3 tucks with each whole strand of the rope, and 2 tucks with </w:t>
      </w:r>
      <w:r>
        <w:rPr>
          <w:position w:val="6"/>
          <w:sz w:val="18"/>
        </w:rPr>
        <w:t>1</w:t>
      </w:r>
      <w:r>
        <w:t>/</w:t>
      </w:r>
      <w:r>
        <w:rPr>
          <w:sz w:val="18"/>
        </w:rPr>
        <w:t>2</w:t>
      </w:r>
      <w:r>
        <w:t xml:space="preserve"> of the wires cut out of each strand, made in each case, under and over against the lay of the rope.</w:t>
      </w:r>
    </w:p>
    <w:p w:rsidR="00AF2508" w:rsidRDefault="00AF2508">
      <w:pPr>
        <w:pStyle w:val="Amain"/>
      </w:pPr>
      <w:r>
        <w:tab/>
        <w:t>(44)</w:t>
      </w:r>
      <w:r>
        <w:tab/>
        <w:t>The splice shall be tightly drawn and neatly made.</w:t>
      </w:r>
    </w:p>
    <w:p w:rsidR="00AF2508" w:rsidRDefault="00AF2508">
      <w:pPr>
        <w:pStyle w:val="Amain"/>
      </w:pPr>
      <w:r>
        <w:tab/>
        <w:t>(45)</w:t>
      </w:r>
      <w:r>
        <w:tab/>
        <w:t>Thimbles shall be used if ropes are spliced to hooks, shackles, rings, swivels, pins, eyes, and analogous fittings.</w:t>
      </w:r>
    </w:p>
    <w:p w:rsidR="00AF2508" w:rsidRDefault="00AF2508">
      <w:pPr>
        <w:pStyle w:val="Assectheading"/>
      </w:pPr>
      <w:r>
        <w:rPr>
          <w:rStyle w:val="charItals"/>
          <w:i/>
        </w:rPr>
        <w:t>Periodic inspection of rope</w:t>
      </w:r>
    </w:p>
    <w:p w:rsidR="00AF2508" w:rsidRDefault="00AF2508">
      <w:pPr>
        <w:pStyle w:val="Amain"/>
      </w:pPr>
      <w:r>
        <w:tab/>
        <w:t>(46)</w:t>
      </w:r>
      <w:r>
        <w:tab/>
        <w:t>No person shall use any wire rope or any attachments of it unless the rope and the attachments of it have been subjected to close detailed examination at the intervals that are necessary or advisable to ensure that defective ropes or attachments are not used.</w:t>
      </w:r>
    </w:p>
    <w:p w:rsidR="00AF2508" w:rsidRDefault="00AF2508">
      <w:pPr>
        <w:pStyle w:val="Amain"/>
      </w:pPr>
      <w:r>
        <w:tab/>
        <w:t>(47)</w:t>
      </w:r>
      <w:r>
        <w:tab/>
        <w:t>No steel wire rope shall be used if it is excessively worn, corroded, or otherwise defective, or if in any length equal to 8 diameters of the rope the number of visible broken wires exceeds 10% of the total number of wires in the rope.</w:t>
      </w:r>
    </w:p>
    <w:p w:rsidR="00AF2508" w:rsidRDefault="00AF2508">
      <w:pPr>
        <w:pStyle w:val="Assectheading"/>
      </w:pPr>
      <w:r>
        <w:rPr>
          <w:rStyle w:val="charItals"/>
          <w:i/>
        </w:rPr>
        <w:t>Identification and testing of steel wire rope</w:t>
      </w:r>
    </w:p>
    <w:p w:rsidR="00AF2508" w:rsidRDefault="00AF2508">
      <w:pPr>
        <w:pStyle w:val="Amain"/>
        <w:keepLines/>
      </w:pPr>
      <w:r>
        <w:tab/>
        <w:t>(48)</w:t>
      </w:r>
      <w:r>
        <w:tab/>
        <w:t>No person shall use any steel wire rope unless the person holds a purchaser’s docket or other document, issued to the person and signed by the person from whom he or she purchased or obtained the use of the rope, clearly and legibly setting out in the English language the length of rope to which the docket or document applies, the size, construction and lay of the rope, the maker’s guaranteed minimum breaking tensile strength of the rope, the maker’s identification number of the coil from which the rope was obtained, and the date of purchase or acquisition of the rope.</w:t>
      </w:r>
    </w:p>
    <w:p w:rsidR="00AF2508" w:rsidRDefault="00AF2508">
      <w:pPr>
        <w:pStyle w:val="Amain"/>
      </w:pPr>
      <w:r>
        <w:tab/>
        <w:t>(49)</w:t>
      </w:r>
      <w:r>
        <w:tab/>
        <w:t>Every person using any steel wire rope shall when so required by an inspector immediately produce to the inspector, and allow the inspector to examine and copy, the docket or document required by subsection (48) to be held by the person for that rope.</w:t>
      </w:r>
    </w:p>
    <w:p w:rsidR="00AF2508" w:rsidRDefault="00AF2508">
      <w:pPr>
        <w:pStyle w:val="Amain"/>
      </w:pPr>
      <w:r>
        <w:tab/>
        <w:t>(50)</w:t>
      </w:r>
      <w:r>
        <w:tab/>
        <w:t>Every person who uses or has in his or her possession for use any steel wire rope shall, if requested by the chief inspector so to do, produce to the chief inspector or to an inspector named in the request, at a reasonable place specified in the request and within a reasonable time not exceeding 4 weeks after the receipt of the request, a test certificate for the rope or of rope of which it formed a part, which certificate shall be in accordance with Australian Standard Specification No M4—1955, appendix K, ‘Steel Wire Ropes for Winding and Hauling Purposes in Mines’ of Standards Australia, and the person shall, if necessary for compliance with the request, cause the appropriate test to be made.</w:t>
      </w:r>
    </w:p>
    <w:p w:rsidR="00AF2508" w:rsidRDefault="00AF2508">
      <w:pPr>
        <w:pStyle w:val="Amain"/>
      </w:pPr>
      <w:r>
        <w:tab/>
        <w:t>(51)</w:t>
      </w:r>
      <w:r>
        <w:tab/>
        <w:t>Unless the chief inspector directs the production of the original certificate, the production of a true copy of it, if bearing a statement signed by the maker or a vendor of the rope that it is a true copy, shall be a sufficient compliance with the request.</w:t>
      </w:r>
    </w:p>
    <w:p w:rsidR="00AF2508" w:rsidRDefault="00AF2508">
      <w:pPr>
        <w:pStyle w:val="Amain"/>
      </w:pPr>
      <w:r>
        <w:tab/>
        <w:t>(52)</w:t>
      </w:r>
      <w:r>
        <w:tab/>
        <w:t>Any person who in any test certificate given for steel wire rope knowingly makes or signs any false statement, or who knowingly makes or signs a false statement that any document is a true copy of the certificate, commits a breach of this regulation.</w:t>
      </w:r>
    </w:p>
    <w:p w:rsidR="00AF2508" w:rsidRDefault="00AF2508">
      <w:pPr>
        <w:pStyle w:val="AH4SubDiv"/>
        <w:ind w:left="0" w:firstLine="0"/>
      </w:pPr>
      <w:bookmarkStart w:id="297" w:name="_Toc161636929"/>
      <w:r>
        <w:t>Fibre rope for use in connection with cranes, lifts, hoists, scaffolding, plant, gear, or building work, excavation work, or compressed air work</w:t>
      </w:r>
      <w:bookmarkEnd w:id="297"/>
    </w:p>
    <w:p w:rsidR="00AF2508" w:rsidRDefault="00AF2508">
      <w:pPr>
        <w:pStyle w:val="AH5Sec"/>
      </w:pPr>
      <w:bookmarkStart w:id="298" w:name="_Toc161636930"/>
      <w:r>
        <w:rPr>
          <w:rStyle w:val="CharSectNo"/>
        </w:rPr>
        <w:t>145</w:t>
      </w:r>
      <w:bookmarkEnd w:id="298"/>
      <w:r>
        <w:tab/>
        <w:t xml:space="preserve">  </w:t>
      </w:r>
    </w:p>
    <w:p w:rsidR="00AF2508" w:rsidRDefault="00AF2508">
      <w:pPr>
        <w:pStyle w:val="Assectheading"/>
      </w:pPr>
      <w:r>
        <w:rPr>
          <w:rStyle w:val="charItals"/>
          <w:i/>
        </w:rPr>
        <w:t>General</w:t>
      </w:r>
    </w:p>
    <w:p w:rsidR="00AF2508" w:rsidRDefault="00AF2508">
      <w:pPr>
        <w:pStyle w:val="Amain"/>
      </w:pPr>
      <w:r>
        <w:tab/>
        <w:t>(1)</w:t>
      </w:r>
      <w:r>
        <w:tab/>
        <w:t>All fibre rope and every part of it shall be of sound material, good construction, adequate strength, free from patent defects and be suitable and safe for the purpose for which it is intended.</w:t>
      </w:r>
    </w:p>
    <w:p w:rsidR="00AF2508" w:rsidRDefault="00AF2508">
      <w:pPr>
        <w:pStyle w:val="Amain"/>
      </w:pPr>
      <w:r>
        <w:tab/>
        <w:t>(2)</w:t>
      </w:r>
      <w:r>
        <w:tab/>
        <w:t>Suitable packing shall be provided and used to prevent fibre rope coming in contact with sharp edges of loads, etc.</w:t>
      </w:r>
    </w:p>
    <w:p w:rsidR="00AF2508" w:rsidRDefault="00AF2508">
      <w:pPr>
        <w:pStyle w:val="Amain"/>
      </w:pPr>
      <w:r>
        <w:tab/>
        <w:t>(3)</w:t>
      </w:r>
      <w:r>
        <w:tab/>
        <w:t>Fibre rope shall not be exposed to extremes of temperature either in or out of use.</w:t>
      </w:r>
    </w:p>
    <w:p w:rsidR="00AF2508" w:rsidRDefault="00AF2508">
      <w:pPr>
        <w:pStyle w:val="Amain"/>
      </w:pPr>
      <w:r>
        <w:tab/>
        <w:t>(4)</w:t>
      </w:r>
      <w:r>
        <w:tab/>
        <w:t>Fibre ropes of circumference less than 1</w:t>
      </w:r>
      <w:r>
        <w:rPr>
          <w:position w:val="6"/>
          <w:sz w:val="18"/>
        </w:rPr>
        <w:t>1</w:t>
      </w:r>
      <w:r>
        <w:t>/</w:t>
      </w:r>
      <w:r>
        <w:rPr>
          <w:sz w:val="18"/>
        </w:rPr>
        <w:t>2</w:t>
      </w:r>
      <w:r>
        <w:t xml:space="preserve"> inches shall not be used for load carrying purposes unless otherwise approved.</w:t>
      </w:r>
    </w:p>
    <w:p w:rsidR="00AF2508" w:rsidRDefault="00AF2508">
      <w:pPr>
        <w:pStyle w:val="Amain"/>
      </w:pPr>
      <w:r>
        <w:tab/>
        <w:t>(5)</w:t>
      </w:r>
      <w:r>
        <w:tab/>
        <w:t>If fibre rope is held by hand under load, it shall be not less than 2 inches circumference.</w:t>
      </w:r>
    </w:p>
    <w:p w:rsidR="00AF2508" w:rsidRDefault="00AF2508">
      <w:pPr>
        <w:pStyle w:val="Amain"/>
      </w:pPr>
      <w:r>
        <w:tab/>
        <w:t>(6)</w:t>
      </w:r>
      <w:r>
        <w:tab/>
        <w:t>Kinked ropes shall not be used.</w:t>
      </w:r>
    </w:p>
    <w:p w:rsidR="00AF2508" w:rsidRDefault="00AF2508">
      <w:pPr>
        <w:pStyle w:val="Amain"/>
      </w:pPr>
      <w:r>
        <w:tab/>
        <w:t>(7)</w:t>
      </w:r>
      <w:r>
        <w:tab/>
        <w:t>Ropes shall be kept clean, stored under cover in a clean dry place, and be raised clear of the ground.</w:t>
      </w:r>
    </w:p>
    <w:p w:rsidR="00AF2508" w:rsidRDefault="00AF2508">
      <w:pPr>
        <w:pStyle w:val="Amain"/>
      </w:pPr>
      <w:r>
        <w:tab/>
        <w:t>(8)</w:t>
      </w:r>
      <w:r>
        <w:tab/>
        <w:t>In no case shall the rope be in contact with ashes, clinker or coke.</w:t>
      </w:r>
    </w:p>
    <w:p w:rsidR="00AF2508" w:rsidRDefault="00AF2508">
      <w:pPr>
        <w:pStyle w:val="Amain"/>
      </w:pPr>
      <w:r>
        <w:tab/>
        <w:t>(9)</w:t>
      </w:r>
      <w:r>
        <w:tab/>
        <w:t>Ropes shall be kept clear of acids and other deleterious chemicals and their fumes.</w:t>
      </w:r>
    </w:p>
    <w:p w:rsidR="00AF2508" w:rsidRDefault="00AF2508">
      <w:pPr>
        <w:pStyle w:val="Amain"/>
      </w:pPr>
      <w:r>
        <w:tab/>
        <w:t>(10)</w:t>
      </w:r>
      <w:r>
        <w:tab/>
        <w:t>Ropes shall be examined each time before being used.</w:t>
      </w:r>
    </w:p>
    <w:p w:rsidR="00AF2508" w:rsidRDefault="00AF2508">
      <w:pPr>
        <w:pStyle w:val="Amain"/>
      </w:pPr>
      <w:r>
        <w:tab/>
        <w:t>(11)</w:t>
      </w:r>
      <w:r>
        <w:tab/>
        <w:t>If a load is supported on more than 1 fall or single part of rope, the load shall be equally distributed by statically determinate automatic means between the various falls, singles or parts.</w:t>
      </w:r>
    </w:p>
    <w:p w:rsidR="00AF2508" w:rsidRDefault="00AF2508">
      <w:pPr>
        <w:pStyle w:val="Amain"/>
      </w:pPr>
      <w:r>
        <w:tab/>
        <w:t>(12)</w:t>
      </w:r>
      <w:r>
        <w:tab/>
        <w:t>No rope shall be used for load-carrying purposes that has been subjected to a severe shock or that has been unduly stretched.</w:t>
      </w:r>
    </w:p>
    <w:p w:rsidR="00AF2508" w:rsidRDefault="00AF2508">
      <w:pPr>
        <w:pStyle w:val="Amain"/>
      </w:pPr>
      <w:r>
        <w:tab/>
        <w:t>(13)</w:t>
      </w:r>
      <w:r>
        <w:tab/>
        <w:t>No rope sling shall be used if the included angle measured between any 2 legs exceeds 150°, or if the angle formed between any sling leg and the line of action of the pull exceeds 75°.</w:t>
      </w:r>
    </w:p>
    <w:p w:rsidR="00AF2508" w:rsidRDefault="00AF2508">
      <w:pPr>
        <w:pStyle w:val="Amain"/>
      </w:pPr>
      <w:r>
        <w:tab/>
        <w:t>(14)</w:t>
      </w:r>
      <w:r>
        <w:tab/>
        <w:t>Rope slings before being used, and if repaired or altered, before being reused shall be subjected to a load equal to their safe working load and closely examined to ensure suitability for use or reuse as the case may be.</w:t>
      </w:r>
    </w:p>
    <w:p w:rsidR="00AF2508" w:rsidRDefault="00AF2508">
      <w:pPr>
        <w:pStyle w:val="Amain"/>
      </w:pPr>
      <w:r>
        <w:tab/>
        <w:t>(15)</w:t>
      </w:r>
      <w:r>
        <w:tab/>
        <w:t>Fibre rope shall not be exposed to temperatures exceeding 150° Fahrenheit.</w:t>
      </w:r>
    </w:p>
    <w:p w:rsidR="00AF2508" w:rsidRDefault="00AF2508">
      <w:pPr>
        <w:pStyle w:val="Amain"/>
      </w:pPr>
      <w:r>
        <w:tab/>
        <w:t>(16)</w:t>
      </w:r>
      <w:r>
        <w:tab/>
        <w:t>Fibre ropes that are excessively worn or have been adversely affected by weather or by water shall be discarded.</w:t>
      </w:r>
    </w:p>
    <w:p w:rsidR="00AF2508" w:rsidRDefault="00AF2508">
      <w:pPr>
        <w:pStyle w:val="Assectheading"/>
      </w:pPr>
      <w:r>
        <w:rPr>
          <w:rStyle w:val="charItals"/>
          <w:i/>
        </w:rPr>
        <w:t>Design, construction, use and safe working load</w:t>
      </w:r>
    </w:p>
    <w:p w:rsidR="00AF2508" w:rsidRDefault="00AF2508">
      <w:pPr>
        <w:pStyle w:val="Amain"/>
      </w:pPr>
      <w:r>
        <w:tab/>
        <w:t>(17)</w:t>
      </w:r>
      <w:r>
        <w:tab/>
        <w:t>All fibre rope shall comply with the provisions of Australian Standard Specifications No (E) L.507—1941, or No (E) L.508—1941, promulgated by Standards Australia, unless otherwise approved.</w:t>
      </w:r>
    </w:p>
    <w:p w:rsidR="00AF2508" w:rsidRDefault="00AF2508">
      <w:pPr>
        <w:pStyle w:val="Amain"/>
      </w:pPr>
      <w:r>
        <w:tab/>
        <w:t>(18)</w:t>
      </w:r>
      <w:r>
        <w:tab/>
        <w:t>However—</w:t>
      </w:r>
    </w:p>
    <w:p w:rsidR="00AF2508" w:rsidRDefault="00AF2508">
      <w:pPr>
        <w:pStyle w:val="Apara"/>
      </w:pPr>
      <w:r>
        <w:tab/>
        <w:t>(a)</w:t>
      </w:r>
      <w:r>
        <w:tab/>
        <w:t>every fibre rope shall be classified numerically in conformity with table 145; and</w:t>
      </w:r>
    </w:p>
    <w:p w:rsidR="00AF2508" w:rsidRDefault="00AF2508">
      <w:pPr>
        <w:pStyle w:val="Apara"/>
      </w:pPr>
      <w:r>
        <w:tab/>
        <w:t>(b)</w:t>
      </w:r>
      <w:r>
        <w:tab/>
        <w:t>in the event of uncertainty or dispute the classification may be determined by the chief inspector; and</w:t>
      </w:r>
    </w:p>
    <w:p w:rsidR="00AF2508" w:rsidRDefault="00AF2508">
      <w:pPr>
        <w:pStyle w:val="Apara"/>
      </w:pPr>
      <w:r>
        <w:tab/>
        <w:t>(c)</w:t>
      </w:r>
      <w:r>
        <w:tab/>
        <w:t>no fibre rope shall be subjected to any greater load than that determined by multiplying the least ultimate tensile value of the rope by the fraction mentioned in subsections (21) and (22) relevant and appropriate to its classification and way of use.</w:t>
      </w:r>
    </w:p>
    <w:p w:rsidR="00AF2508" w:rsidRDefault="00AF2508">
      <w:pPr>
        <w:pStyle w:val="Amain"/>
        <w:keepLines/>
      </w:pPr>
      <w:r>
        <w:tab/>
        <w:t>(19)</w:t>
      </w:r>
      <w:r>
        <w:tab/>
        <w:t>For subsection (18) (c), the least ultimate tensile value of a rope that is in the best condition may be deemed equal to the minimum breaking load or strength of that rope prescribed by Australian Standard Specification No (E) L.507—1941, for sisal rope or No (E) L.508—1941, for Manila rope, whichever is relevant and appropriate, the specifications being those promulgated by Standards Australia.</w:t>
      </w:r>
    </w:p>
    <w:p w:rsidR="00AF2508" w:rsidRDefault="00AF2508">
      <w:pPr>
        <w:pStyle w:val="Amain"/>
      </w:pPr>
      <w:r>
        <w:tab/>
        <w:t>(20)</w:t>
      </w:r>
      <w:r>
        <w:tab/>
        <w:t xml:space="preserve">For worn rope the ultimate tensile value shall be deemed to be </w:t>
      </w:r>
      <w:r>
        <w:rPr>
          <w:position w:val="6"/>
          <w:sz w:val="18"/>
        </w:rPr>
        <w:t>1</w:t>
      </w:r>
      <w:r>
        <w:t>/</w:t>
      </w:r>
      <w:r>
        <w:rPr>
          <w:sz w:val="18"/>
        </w:rPr>
        <w:t>2</w:t>
      </w:r>
      <w:r>
        <w:t xml:space="preserve"> of that determined in accordance with subsection (18) (c).</w:t>
      </w:r>
    </w:p>
    <w:p w:rsidR="00AF2508" w:rsidRDefault="00AF2508">
      <w:pPr>
        <w:pStyle w:val="Amain"/>
      </w:pPr>
      <w:r>
        <w:tab/>
        <w:t>(21)</w:t>
      </w:r>
      <w:r>
        <w:tab/>
        <w:t>Ropes within classification 1 of table 145.</w:t>
      </w:r>
    </w:p>
    <w:p w:rsidR="00AF2508" w:rsidRDefault="00AF2508">
      <w:pPr>
        <w:pStyle w:val="Amain"/>
      </w:pPr>
      <w:r>
        <w:tab/>
        <w:t>(22)</w:t>
      </w:r>
      <w:r>
        <w:tab/>
        <w:t>Ropes within classification 2 of table 145.</w:t>
      </w:r>
    </w:p>
    <w:p w:rsidR="00AF2508" w:rsidRDefault="00AF2508">
      <w:pPr>
        <w:pStyle w:val="Amain"/>
      </w:pPr>
      <w:r>
        <w:tab/>
        <w:t>(23)</w:t>
      </w:r>
      <w:r>
        <w:tab/>
        <w:t>Unless first approved by the chief inspector no fibre rope shall be used of other design or other material than that provided in Australian Standard Specifications mentioned in subsection (19).</w:t>
      </w:r>
    </w:p>
    <w:p w:rsidR="00AF2508" w:rsidRDefault="00AF2508">
      <w:pPr>
        <w:pStyle w:val="TableHd"/>
      </w:pPr>
      <w:r>
        <w:t>Table 145</w:t>
      </w:r>
      <w:r>
        <w:tab/>
        <w:t>Classification of fibre rope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80"/>
        <w:gridCol w:w="3687"/>
        <w:gridCol w:w="2041"/>
      </w:tblGrid>
      <w:tr w:rsidR="00AF2508">
        <w:trPr>
          <w:cantSplit/>
        </w:trPr>
        <w:tc>
          <w:tcPr>
            <w:tcW w:w="1580" w:type="dxa"/>
            <w:tcBorders>
              <w:bottom w:val="single" w:sz="4" w:space="0" w:color="auto"/>
            </w:tcBorders>
            <w:vAlign w:val="bottom"/>
          </w:tcPr>
          <w:p w:rsidR="00AF2508" w:rsidRDefault="00AF2508">
            <w:pPr>
              <w:pStyle w:val="TableColHd"/>
            </w:pPr>
            <w:r>
              <w:t>classification number</w:t>
            </w:r>
          </w:p>
        </w:tc>
        <w:tc>
          <w:tcPr>
            <w:tcW w:w="3687" w:type="dxa"/>
            <w:tcBorders>
              <w:bottom w:val="single" w:sz="4" w:space="0" w:color="auto"/>
            </w:tcBorders>
            <w:vAlign w:val="bottom"/>
          </w:tcPr>
          <w:p w:rsidR="00AF2508" w:rsidRDefault="00AF2508">
            <w:pPr>
              <w:pStyle w:val="TableColHd"/>
            </w:pPr>
            <w:r>
              <w:t xml:space="preserve">classification of crane, hoist, lift, plant </w:t>
            </w:r>
            <w:r>
              <w:br/>
              <w:t>or scaffolding in connection with which the fibre rope is used</w:t>
            </w:r>
          </w:p>
        </w:tc>
        <w:tc>
          <w:tcPr>
            <w:tcW w:w="2041" w:type="dxa"/>
            <w:tcBorders>
              <w:bottom w:val="single" w:sz="4" w:space="0" w:color="auto"/>
            </w:tcBorders>
            <w:vAlign w:val="bottom"/>
          </w:tcPr>
          <w:p w:rsidR="00AF2508" w:rsidRDefault="00AF2508">
            <w:pPr>
              <w:pStyle w:val="TableColHd"/>
            </w:pPr>
            <w:r>
              <w:t>rope used for other purposes</w:t>
            </w:r>
          </w:p>
        </w:tc>
      </w:tr>
      <w:tr w:rsidR="00AF2508">
        <w:trPr>
          <w:cantSplit/>
        </w:trPr>
        <w:tc>
          <w:tcPr>
            <w:tcW w:w="1580" w:type="dxa"/>
            <w:tcBorders>
              <w:top w:val="single" w:sz="4" w:space="0" w:color="auto"/>
            </w:tcBorders>
          </w:tcPr>
          <w:p w:rsidR="00AF2508" w:rsidRDefault="00AF2508">
            <w:pPr>
              <w:pStyle w:val="TableText"/>
            </w:pPr>
            <w:r>
              <w:t>1</w:t>
            </w:r>
          </w:p>
        </w:tc>
        <w:tc>
          <w:tcPr>
            <w:tcW w:w="3687" w:type="dxa"/>
            <w:tcBorders>
              <w:top w:val="single" w:sz="4" w:space="0" w:color="auto"/>
            </w:tcBorders>
          </w:tcPr>
          <w:p w:rsidR="00AF2508" w:rsidRDefault="00AF2508">
            <w:pPr>
              <w:pStyle w:val="TableText"/>
            </w:pPr>
            <w:r>
              <w:t>classification No 1, 2 and 3</w:t>
            </w:r>
          </w:p>
        </w:tc>
        <w:tc>
          <w:tcPr>
            <w:tcW w:w="2041" w:type="dxa"/>
            <w:tcBorders>
              <w:top w:val="single" w:sz="4" w:space="0" w:color="auto"/>
            </w:tcBorders>
          </w:tcPr>
          <w:p w:rsidR="00AF2508" w:rsidRDefault="00AF2508">
            <w:pPr>
              <w:pStyle w:val="TableText"/>
            </w:pPr>
            <w:r>
              <w:t>building work, excavation work, or compressed air work</w:t>
            </w:r>
          </w:p>
        </w:tc>
      </w:tr>
      <w:tr w:rsidR="00AF2508">
        <w:trPr>
          <w:cantSplit/>
        </w:trPr>
        <w:tc>
          <w:tcPr>
            <w:tcW w:w="1580" w:type="dxa"/>
          </w:tcPr>
          <w:p w:rsidR="00AF2508" w:rsidRDefault="00AF2508">
            <w:pPr>
              <w:pStyle w:val="TableText"/>
            </w:pPr>
            <w:r>
              <w:t>2</w:t>
            </w:r>
          </w:p>
        </w:tc>
        <w:tc>
          <w:tcPr>
            <w:tcW w:w="3687" w:type="dxa"/>
          </w:tcPr>
          <w:p w:rsidR="00AF2508" w:rsidRDefault="00AF2508">
            <w:pPr>
              <w:pStyle w:val="TableText"/>
            </w:pPr>
            <w:r>
              <w:t>classification No 4</w:t>
            </w:r>
          </w:p>
        </w:tc>
        <w:tc>
          <w:tcPr>
            <w:tcW w:w="2041" w:type="dxa"/>
          </w:tcPr>
          <w:p w:rsidR="00AF2508" w:rsidRDefault="00AF2508">
            <w:pPr>
              <w:pStyle w:val="TableText"/>
            </w:pPr>
            <w:r>
              <w:tab/>
            </w:r>
          </w:p>
        </w:tc>
      </w:tr>
    </w:tbl>
    <w:p w:rsidR="00AF2508" w:rsidRDefault="00AF2508"/>
    <w:p w:rsidR="00AF2508" w:rsidRDefault="00AF2508">
      <w:pPr>
        <w:pStyle w:val="Assectheading"/>
        <w:rPr>
          <w:i w:val="0"/>
        </w:rPr>
      </w:pPr>
      <w:r>
        <w:rPr>
          <w:rStyle w:val="charItals"/>
          <w:i/>
        </w:rPr>
        <w:t>Ratio of drum (barrel) or sheave diameter to rope diameter</w:t>
      </w:r>
    </w:p>
    <w:p w:rsidR="00AF2508" w:rsidRDefault="00AF2508">
      <w:pPr>
        <w:pStyle w:val="Amain"/>
      </w:pPr>
      <w:r>
        <w:tab/>
        <w:t>(24)</w:t>
      </w:r>
      <w:r>
        <w:tab/>
        <w:t>The diameter of any drum, barrel, roller, sheave or quadrant measured at the surface on which the rope operates shall be not less than 5 times the diameter of the rope concerned if hand-operated, or 10 times the rope diameter if power-operated.</w:t>
      </w:r>
    </w:p>
    <w:p w:rsidR="00AF2508" w:rsidRDefault="00AF2508">
      <w:pPr>
        <w:pStyle w:val="Assectheading"/>
      </w:pPr>
      <w:r>
        <w:rPr>
          <w:rStyle w:val="charItals"/>
          <w:i/>
        </w:rPr>
        <w:t>Guards</w:t>
      </w:r>
    </w:p>
    <w:p w:rsidR="00AF2508" w:rsidRDefault="00AF2508">
      <w:pPr>
        <w:pStyle w:val="Amain"/>
      </w:pPr>
      <w:r>
        <w:tab/>
        <w:t>(25)</w:t>
      </w:r>
      <w:r>
        <w:tab/>
        <w:t>Guards shall be provided to prevent ropes becoming displaced from sheaves, rollers or quadrants.</w:t>
      </w:r>
    </w:p>
    <w:p w:rsidR="00AF2508" w:rsidRDefault="00AF2508">
      <w:pPr>
        <w:pStyle w:val="Assectheading"/>
      </w:pPr>
      <w:r>
        <w:rPr>
          <w:rStyle w:val="charItals"/>
          <w:i/>
        </w:rPr>
        <w:t>Rope anchorages</w:t>
      </w:r>
    </w:p>
    <w:p w:rsidR="00AF2508" w:rsidRDefault="00AF2508">
      <w:pPr>
        <w:pStyle w:val="Amain"/>
      </w:pPr>
      <w:r>
        <w:tab/>
        <w:t>(26)</w:t>
      </w:r>
      <w:r>
        <w:tab/>
        <w:t>Each rope anchorage shall be capable of withstanding 75% of the ultimate tensile strength of the rope attached to it.</w:t>
      </w:r>
    </w:p>
    <w:p w:rsidR="00AF2508" w:rsidRDefault="00AF2508">
      <w:pPr>
        <w:pStyle w:val="Amain"/>
      </w:pPr>
      <w:r>
        <w:tab/>
        <w:t>(27)</w:t>
      </w:r>
      <w:r>
        <w:tab/>
        <w:t>Rope anchorages shall be readily accessible at all times.</w:t>
      </w:r>
    </w:p>
    <w:p w:rsidR="00AF2508" w:rsidRDefault="00AF2508">
      <w:pPr>
        <w:pStyle w:val="Amain"/>
      </w:pPr>
      <w:r>
        <w:tab/>
        <w:t>(28)</w:t>
      </w:r>
      <w:r>
        <w:tab/>
        <w:t>There shall be at least 2 full turns of each rope remaining on the drum or barrel when the hook or other lifting or hauling medium is fully lowered or unwound.</w:t>
      </w:r>
    </w:p>
    <w:p w:rsidR="00AF2508" w:rsidRDefault="00AF2508">
      <w:pPr>
        <w:pStyle w:val="Assectheading"/>
      </w:pPr>
      <w:r>
        <w:rPr>
          <w:rStyle w:val="charItals"/>
          <w:i/>
        </w:rPr>
        <w:t>Splicing</w:t>
      </w:r>
    </w:p>
    <w:p w:rsidR="00AF2508" w:rsidRDefault="00AF2508">
      <w:pPr>
        <w:pStyle w:val="Amain"/>
      </w:pPr>
      <w:r>
        <w:tab/>
        <w:t>(29)</w:t>
      </w:r>
      <w:r>
        <w:tab/>
        <w:t>Eye splices shall have at least 3 tucks with each whole strand of the rope, made under and over against the lay of the rope, and followed by effective dog-knotting.</w:t>
      </w:r>
    </w:p>
    <w:p w:rsidR="00AF2508" w:rsidRDefault="00AF2508">
      <w:pPr>
        <w:pStyle w:val="Amain"/>
      </w:pPr>
      <w:r>
        <w:tab/>
        <w:t>(30)</w:t>
      </w:r>
      <w:r>
        <w:tab/>
        <w:t>The splice shall be tightly drawn and neatly made.</w:t>
      </w:r>
    </w:p>
    <w:p w:rsidR="00AF2508" w:rsidRDefault="00AF2508">
      <w:pPr>
        <w:pStyle w:val="Amain"/>
      </w:pPr>
      <w:r>
        <w:tab/>
        <w:t>(31)</w:t>
      </w:r>
      <w:r>
        <w:tab/>
        <w:t>Thimbles shall be used if ropes are spliced to hooks, shackles, rings, swivels, pins, eyes or analogous media.</w:t>
      </w:r>
    </w:p>
    <w:p w:rsidR="00AF2508" w:rsidRDefault="00AF2508">
      <w:pPr>
        <w:pStyle w:val="Assectheading"/>
      </w:pPr>
      <w:r>
        <w:rPr>
          <w:rStyle w:val="charItals"/>
          <w:i/>
        </w:rPr>
        <w:t>Periodic inspection of rope</w:t>
      </w:r>
    </w:p>
    <w:p w:rsidR="00AF2508" w:rsidRDefault="00AF2508">
      <w:pPr>
        <w:pStyle w:val="Amain"/>
      </w:pPr>
      <w:r>
        <w:tab/>
        <w:t>(32)</w:t>
      </w:r>
      <w:r>
        <w:tab/>
        <w:t>No person shall use any fibre rope or any attachment of it unless the rope and the attachments have been subjected to close detailed examinations at the intervals that are necessary or advisable to ensure that defective ropes or attachments are not used.</w:t>
      </w:r>
    </w:p>
    <w:p w:rsidR="00AF2508" w:rsidRDefault="00AF2508">
      <w:pPr>
        <w:pStyle w:val="AH4SubDiv"/>
      </w:pPr>
      <w:bookmarkStart w:id="299" w:name="_Toc161636931"/>
      <w:r>
        <w:t>Airlocks</w:t>
      </w:r>
      <w:bookmarkEnd w:id="299"/>
    </w:p>
    <w:p w:rsidR="00AF2508" w:rsidRDefault="00AF2508">
      <w:pPr>
        <w:pStyle w:val="AH5Sec"/>
      </w:pPr>
      <w:bookmarkStart w:id="300" w:name="_Toc161636932"/>
      <w:r>
        <w:rPr>
          <w:rStyle w:val="CharSectNo"/>
        </w:rPr>
        <w:t>146</w:t>
      </w:r>
      <w:bookmarkEnd w:id="300"/>
      <w:r>
        <w:tab/>
        <w:t xml:space="preserve">  </w:t>
      </w:r>
    </w:p>
    <w:p w:rsidR="00AF2508" w:rsidRDefault="00AF2508">
      <w:pPr>
        <w:pStyle w:val="Amainreturn"/>
        <w:keepLines/>
      </w:pPr>
      <w:r>
        <w:t>Every airlock shall be designed and constructed in accordance with the provisions of the Australian Standard Rules for the Design, Construction, Inspection and Operation of Boilers and Unfired Pressure Vessels and their Appurtenances published by Standards Australia, as revised in 1942.</w:t>
      </w:r>
    </w:p>
    <w:p w:rsidR="00AF2508" w:rsidRDefault="00AF2508">
      <w:pPr>
        <w:pStyle w:val="AH4SubDiv"/>
      </w:pPr>
      <w:bookmarkStart w:id="301" w:name="_Toc161636933"/>
      <w:r>
        <w:t>Bordeaux connections</w:t>
      </w:r>
      <w:bookmarkEnd w:id="301"/>
    </w:p>
    <w:p w:rsidR="00AF2508" w:rsidRDefault="00AF2508">
      <w:pPr>
        <w:pStyle w:val="AH5Sec"/>
      </w:pPr>
      <w:bookmarkStart w:id="302" w:name="_Toc161636934"/>
      <w:r>
        <w:rPr>
          <w:rStyle w:val="CharSectNo"/>
        </w:rPr>
        <w:t>147</w:t>
      </w:r>
      <w:bookmarkEnd w:id="302"/>
      <w:r>
        <w:tab/>
        <w:t xml:space="preserve">  </w:t>
      </w:r>
    </w:p>
    <w:p w:rsidR="00AF2508" w:rsidRDefault="00AF2508">
      <w:pPr>
        <w:pStyle w:val="Amainreturn"/>
      </w:pPr>
      <w:r>
        <w:t>Bordeaux connections for connecting wire rope to crane chain, and fittings used in a like way shall comply with the provisions of British Standard Specification No 461—1932, promulgated by the British Standards Institution, England, except as may be otherwise provided in this regulation.</w:t>
      </w:r>
    </w:p>
    <w:p w:rsidR="00AF2508" w:rsidRDefault="00AF2508">
      <w:pPr>
        <w:pStyle w:val="AH4SubDiv"/>
      </w:pPr>
      <w:bookmarkStart w:id="303" w:name="_Toc161636935"/>
      <w:r>
        <w:t>Sockets for wire ropes</w:t>
      </w:r>
      <w:bookmarkEnd w:id="303"/>
    </w:p>
    <w:p w:rsidR="00AF2508" w:rsidRDefault="00AF2508">
      <w:pPr>
        <w:pStyle w:val="AH5Sec"/>
      </w:pPr>
      <w:bookmarkStart w:id="304" w:name="_Toc161636936"/>
      <w:r>
        <w:rPr>
          <w:rStyle w:val="CharSectNo"/>
        </w:rPr>
        <w:t>148</w:t>
      </w:r>
      <w:bookmarkEnd w:id="304"/>
      <w:r>
        <w:tab/>
        <w:t xml:space="preserve">  </w:t>
      </w:r>
    </w:p>
    <w:p w:rsidR="00AF2508" w:rsidRDefault="00AF2508">
      <w:pPr>
        <w:pStyle w:val="Amainreturn"/>
      </w:pPr>
      <w:r>
        <w:t>Sockets for wire rope and fittings used in a like way shall comply with the provisions of British Standard Specification No 463—1946, promulgated by the British Standards Institution, England, except as may be otherwise provided in this regulation.</w:t>
      </w:r>
    </w:p>
    <w:p w:rsidR="00AF2508" w:rsidRDefault="00AF2508">
      <w:pPr>
        <w:pStyle w:val="AH4SubDiv"/>
      </w:pPr>
      <w:bookmarkStart w:id="305" w:name="_Toc161636937"/>
      <w:r>
        <w:t>Thimbles for wire and fibre rope</w:t>
      </w:r>
      <w:bookmarkEnd w:id="305"/>
    </w:p>
    <w:p w:rsidR="00AF2508" w:rsidRDefault="00AF2508">
      <w:pPr>
        <w:pStyle w:val="AH5Sec"/>
      </w:pPr>
      <w:bookmarkStart w:id="306" w:name="_Toc161636938"/>
      <w:r>
        <w:rPr>
          <w:rStyle w:val="CharSectNo"/>
        </w:rPr>
        <w:t>149</w:t>
      </w:r>
      <w:bookmarkEnd w:id="306"/>
      <w:r>
        <w:tab/>
        <w:t xml:space="preserve">  </w:t>
      </w:r>
    </w:p>
    <w:p w:rsidR="00AF2508" w:rsidRDefault="00AF2508">
      <w:pPr>
        <w:pStyle w:val="Amainreturn"/>
      </w:pPr>
      <w:r>
        <w:t>Thimbles for wire and fibre rope shall be of approved design and construction.</w:t>
      </w:r>
    </w:p>
    <w:p w:rsidR="00AF2508" w:rsidRDefault="00AF2508">
      <w:pPr>
        <w:pStyle w:val="AH4SubDiv"/>
      </w:pPr>
      <w:bookmarkStart w:id="307" w:name="_Toc161636939"/>
      <w:r>
        <w:t>Steel eye bolts</w:t>
      </w:r>
      <w:bookmarkEnd w:id="307"/>
    </w:p>
    <w:p w:rsidR="00AF2508" w:rsidRDefault="00AF2508">
      <w:pPr>
        <w:pStyle w:val="AH5Sec"/>
      </w:pPr>
      <w:bookmarkStart w:id="308" w:name="_Toc161636940"/>
      <w:r>
        <w:rPr>
          <w:rStyle w:val="CharSectNo"/>
        </w:rPr>
        <w:t>150</w:t>
      </w:r>
      <w:bookmarkEnd w:id="308"/>
      <w:r>
        <w:tab/>
        <w:t xml:space="preserve">  </w:t>
      </w:r>
    </w:p>
    <w:p w:rsidR="00AF2508" w:rsidRDefault="00AF2508">
      <w:pPr>
        <w:pStyle w:val="Amain"/>
      </w:pPr>
      <w:r>
        <w:tab/>
        <w:t>(1)</w:t>
      </w:r>
      <w:r>
        <w:tab/>
        <w:t>Steel eye bolts and analogous fittings shall comply with the provisions of British Standard Specification No 529, parts 1 and 2, 1944, promulgated by the British Standards Institution, England, except as may be otherwise provided in this regulation.</w:t>
      </w:r>
    </w:p>
    <w:p w:rsidR="00AF2508" w:rsidRDefault="00AF2508">
      <w:pPr>
        <w:pStyle w:val="Amain"/>
      </w:pPr>
      <w:r>
        <w:tab/>
        <w:t>(2)</w:t>
      </w:r>
      <w:r>
        <w:tab/>
        <w:t>The maximum load in the threaded part of an eye bolt shall not exceed that prescribed by section 126 (38) having due regard to the classification of the eye bolt.</w:t>
      </w:r>
    </w:p>
    <w:p w:rsidR="00AF2508" w:rsidRDefault="00AF2508">
      <w:pPr>
        <w:pStyle w:val="Amain"/>
      </w:pPr>
      <w:r>
        <w:tab/>
        <w:t>(3)</w:t>
      </w:r>
      <w:r>
        <w:tab/>
        <w:t xml:space="preserve">Eye bolts without collars shall, unless otherwise approved, be used only for direct axial loading. </w:t>
      </w:r>
    </w:p>
    <w:p w:rsidR="00AF2508" w:rsidRDefault="00AF2508">
      <w:pPr>
        <w:pStyle w:val="AH4SubDiv"/>
        <w:ind w:left="0" w:firstLine="0"/>
      </w:pPr>
      <w:bookmarkStart w:id="309" w:name="_Toc161636941"/>
      <w:r>
        <w:t>Mild steel rigging screws, and stretching screws and turnbuckles</w:t>
      </w:r>
      <w:bookmarkEnd w:id="309"/>
    </w:p>
    <w:p w:rsidR="00AF2508" w:rsidRDefault="00AF2508">
      <w:pPr>
        <w:pStyle w:val="AH5Sec"/>
      </w:pPr>
      <w:bookmarkStart w:id="310" w:name="_Toc161636942"/>
      <w:r>
        <w:rPr>
          <w:rStyle w:val="CharSectNo"/>
        </w:rPr>
        <w:t>151</w:t>
      </w:r>
      <w:bookmarkEnd w:id="310"/>
      <w:r>
        <w:tab/>
        <w:t xml:space="preserve">  </w:t>
      </w:r>
    </w:p>
    <w:p w:rsidR="00AF2508" w:rsidRDefault="00AF2508">
      <w:pPr>
        <w:pStyle w:val="Amain"/>
      </w:pPr>
      <w:r>
        <w:tab/>
        <w:t>(1)</w:t>
      </w:r>
      <w:r>
        <w:tab/>
        <w:t>Mild steel rigging screws, and stretching screws and turnbuckles and analogous fittings shall comply with the provision of British Standard Specification No 716—1937, promulgated by the British Standards Institution, England, except as may be otherwise provided in this regulation.</w:t>
      </w:r>
    </w:p>
    <w:p w:rsidR="00AF2508" w:rsidRDefault="00AF2508">
      <w:pPr>
        <w:pStyle w:val="Amain"/>
      </w:pPr>
      <w:r>
        <w:tab/>
        <w:t>(2)</w:t>
      </w:r>
      <w:r>
        <w:tab/>
        <w:t>The maximum load in the threaded section of any tensile male component of these fittings shall not exceed that prescribed by section 126</w:t>
      </w:r>
      <w:r>
        <w:rPr>
          <w:b/>
        </w:rPr>
        <w:t xml:space="preserve"> </w:t>
      </w:r>
      <w:r>
        <w:t>(38)</w:t>
      </w:r>
      <w:r>
        <w:rPr>
          <w:b/>
        </w:rPr>
        <w:t xml:space="preserve"> </w:t>
      </w:r>
      <w:r>
        <w:t>having due regard to classification.</w:t>
      </w:r>
    </w:p>
    <w:p w:rsidR="00AF2508" w:rsidRDefault="00AF2508">
      <w:pPr>
        <w:pStyle w:val="AH4SubDiv"/>
      </w:pPr>
      <w:bookmarkStart w:id="311" w:name="_Toc161636943"/>
      <w:r>
        <w:t>Mild steel shackles</w:t>
      </w:r>
      <w:bookmarkEnd w:id="311"/>
    </w:p>
    <w:p w:rsidR="00AF2508" w:rsidRDefault="00AF2508">
      <w:pPr>
        <w:pStyle w:val="AH5Sec"/>
      </w:pPr>
      <w:bookmarkStart w:id="312" w:name="_Toc161636944"/>
      <w:r>
        <w:rPr>
          <w:rStyle w:val="CharSectNo"/>
        </w:rPr>
        <w:t>152</w:t>
      </w:r>
      <w:bookmarkEnd w:id="312"/>
      <w:r>
        <w:tab/>
        <w:t xml:space="preserve">  </w:t>
      </w:r>
    </w:p>
    <w:p w:rsidR="00AF2508" w:rsidRDefault="00AF2508">
      <w:pPr>
        <w:pStyle w:val="Amainreturn"/>
      </w:pPr>
      <w:r>
        <w:t>Mild steel shackles and analogous fittings shall comply with British Standard Specification No  825—1939, promulgated by the British Standards Institution, England, except as may be otherwise provided in this regulation.</w:t>
      </w:r>
    </w:p>
    <w:p w:rsidR="00AF2508" w:rsidRDefault="00AF2508">
      <w:pPr>
        <w:pStyle w:val="AH4SubDiv"/>
        <w:ind w:left="0" w:firstLine="0"/>
      </w:pPr>
      <w:bookmarkStart w:id="313" w:name="_Toc161636945"/>
      <w:r>
        <w:t>Rings, links alternative to rings, egg links and Intermediate links</w:t>
      </w:r>
      <w:bookmarkEnd w:id="313"/>
    </w:p>
    <w:p w:rsidR="00AF2508" w:rsidRDefault="00AF2508">
      <w:pPr>
        <w:pStyle w:val="AH5Sec"/>
      </w:pPr>
      <w:bookmarkStart w:id="314" w:name="_Toc161636946"/>
      <w:r>
        <w:rPr>
          <w:rStyle w:val="CharSectNo"/>
        </w:rPr>
        <w:t>153</w:t>
      </w:r>
      <w:bookmarkEnd w:id="314"/>
      <w:r>
        <w:tab/>
        <w:t xml:space="preserve">  </w:t>
      </w:r>
    </w:p>
    <w:p w:rsidR="00AF2508" w:rsidRDefault="00AF2508">
      <w:pPr>
        <w:pStyle w:val="Amainreturn"/>
      </w:pPr>
      <w:r>
        <w:t>Rings, links alternative to rings, egg links and intermediate links, and analogous fittings shall comply with the provisions of British Standard Specification No 781—1938, promulgated by the British Standards Institution, England, except as may be otherwise provided in this regulation.</w:t>
      </w:r>
    </w:p>
    <w:p w:rsidR="00AF2508" w:rsidRDefault="00AF2508">
      <w:pPr>
        <w:pStyle w:val="AH4SubDiv"/>
      </w:pPr>
      <w:bookmarkStart w:id="315" w:name="_Toc161636947"/>
      <w:r>
        <w:t>Handrails</w:t>
      </w:r>
      <w:bookmarkEnd w:id="315"/>
    </w:p>
    <w:p w:rsidR="00AF2508" w:rsidRDefault="00AF2508">
      <w:pPr>
        <w:pStyle w:val="AH5Sec"/>
      </w:pPr>
      <w:bookmarkStart w:id="316" w:name="_Toc161636948"/>
      <w:r>
        <w:rPr>
          <w:rStyle w:val="CharSectNo"/>
        </w:rPr>
        <w:t>154</w:t>
      </w:r>
      <w:bookmarkEnd w:id="316"/>
      <w:r>
        <w:tab/>
        <w:t xml:space="preserve">  </w:t>
      </w:r>
    </w:p>
    <w:p w:rsidR="00AF2508" w:rsidRDefault="00AF2508">
      <w:pPr>
        <w:pStyle w:val="Amain"/>
      </w:pPr>
      <w:r>
        <w:tab/>
        <w:t>(1)</w:t>
      </w:r>
      <w:r>
        <w:tab/>
        <w:t>Except if otherwise provided—</w:t>
      </w:r>
    </w:p>
    <w:p w:rsidR="00AF2508" w:rsidRDefault="00AF2508">
      <w:pPr>
        <w:pStyle w:val="Apara"/>
      </w:pPr>
      <w:r>
        <w:tab/>
        <w:t>(a)</w:t>
      </w:r>
      <w:r>
        <w:tab/>
        <w:t>handrails shall be fixed at a height of 3 feet above the working platforms or surfaces served, and shall be strongly supported at points not further apart than 8 feet; and</w:t>
      </w:r>
    </w:p>
    <w:p w:rsidR="00AF2508" w:rsidRDefault="00AF2508">
      <w:pPr>
        <w:pStyle w:val="Apara"/>
      </w:pPr>
      <w:r>
        <w:tab/>
        <w:t>(b)</w:t>
      </w:r>
      <w:r>
        <w:tab/>
        <w:t>handrails shall be of not less strength and rigidity than the following alternative members:</w:t>
      </w:r>
    </w:p>
    <w:p w:rsidR="00AF2508" w:rsidRDefault="00AF2508">
      <w:pPr>
        <w:pStyle w:val="Asubpara"/>
      </w:pPr>
      <w:r>
        <w:tab/>
        <w:t>(i)</w:t>
      </w:r>
      <w:r>
        <w:tab/>
        <w:t>if of timber—pine timber not less than 3 inches in depth by 2 inches in horizontal width; or</w:t>
      </w:r>
    </w:p>
    <w:p w:rsidR="00AF2508" w:rsidRDefault="00AF2508">
      <w:pPr>
        <w:pStyle w:val="Asubpara"/>
      </w:pPr>
      <w:r>
        <w:tab/>
        <w:t>(ii)</w:t>
      </w:r>
      <w:r>
        <w:tab/>
        <w:t>if of steel—steel water pipe of 1 inch diameter nominal bore, having a wall thickness not less than 0.144 of an inch; or</w:t>
      </w:r>
    </w:p>
    <w:p w:rsidR="00AF2508" w:rsidRDefault="00AF2508">
      <w:pPr>
        <w:pStyle w:val="Asubpara"/>
      </w:pPr>
      <w:r>
        <w:tab/>
        <w:t>(iii)</w:t>
      </w:r>
      <w:r>
        <w:tab/>
        <w:t>if of rolled mild steel—rolled mild steel angle section 1</w:t>
      </w:r>
      <w:r>
        <w:rPr>
          <w:position w:val="6"/>
          <w:sz w:val="18"/>
        </w:rPr>
        <w:t>3</w:t>
      </w:r>
      <w:r>
        <w:t>/</w:t>
      </w:r>
      <w:r>
        <w:rPr>
          <w:sz w:val="18"/>
        </w:rPr>
        <w:t>4</w:t>
      </w:r>
      <w:r>
        <w:t xml:space="preserve"> inches by 1</w:t>
      </w:r>
      <w:r>
        <w:rPr>
          <w:position w:val="6"/>
          <w:sz w:val="18"/>
        </w:rPr>
        <w:t>3</w:t>
      </w:r>
      <w:r>
        <w:t>/</w:t>
      </w:r>
      <w:r>
        <w:rPr>
          <w:sz w:val="18"/>
        </w:rPr>
        <w:t>4</w:t>
      </w:r>
      <w:r>
        <w:t xml:space="preserve"> inches by </w:t>
      </w:r>
      <w:r>
        <w:rPr>
          <w:position w:val="6"/>
          <w:sz w:val="18"/>
        </w:rPr>
        <w:t>1</w:t>
      </w:r>
      <w:r>
        <w:t>/</w:t>
      </w:r>
      <w:r>
        <w:rPr>
          <w:sz w:val="18"/>
        </w:rPr>
        <w:t>4</w:t>
      </w:r>
      <w:r>
        <w:t xml:space="preserve"> of an inch.</w:t>
      </w:r>
    </w:p>
    <w:p w:rsidR="00AF2508" w:rsidRDefault="00AF2508">
      <w:pPr>
        <w:pStyle w:val="Amain"/>
      </w:pPr>
      <w:r>
        <w:tab/>
        <w:t>(2)</w:t>
      </w:r>
      <w:r>
        <w:tab/>
        <w:t xml:space="preserve">Unless otherwise approved, handrail stanchions or standards shall be welded or bolted in place, with bolts each not less than </w:t>
      </w:r>
      <w:r>
        <w:rPr>
          <w:position w:val="6"/>
          <w:sz w:val="18"/>
        </w:rPr>
        <w:t>3</w:t>
      </w:r>
      <w:r>
        <w:t>/</w:t>
      </w:r>
      <w:r>
        <w:rPr>
          <w:sz w:val="18"/>
        </w:rPr>
        <w:t>8</w:t>
      </w:r>
      <w:r>
        <w:t xml:space="preserve"> of an inch in diameter and having washers under heads and nuts.</w:t>
      </w:r>
    </w:p>
    <w:p w:rsidR="00AF2508" w:rsidRDefault="00AF2508">
      <w:pPr>
        <w:pStyle w:val="Amain"/>
        <w:keepNext/>
      </w:pPr>
      <w:r>
        <w:tab/>
        <w:t>(3)</w:t>
      </w:r>
      <w:r>
        <w:tab/>
        <w:t>Handrails shall be strongly secured to standards by—</w:t>
      </w:r>
    </w:p>
    <w:p w:rsidR="00AF2508" w:rsidRDefault="00AF2508">
      <w:pPr>
        <w:pStyle w:val="Apara"/>
      </w:pPr>
      <w:r>
        <w:tab/>
        <w:t>(a)</w:t>
      </w:r>
      <w:r>
        <w:tab/>
        <w:t xml:space="preserve">steel U-strips not less than 1 inch in width and </w:t>
      </w:r>
      <w:r>
        <w:rPr>
          <w:position w:val="6"/>
          <w:sz w:val="18"/>
        </w:rPr>
        <w:t>1</w:t>
      </w:r>
      <w:r>
        <w:t>/</w:t>
      </w:r>
      <w:r>
        <w:rPr>
          <w:sz w:val="18"/>
        </w:rPr>
        <w:t>16</w:t>
      </w:r>
      <w:r>
        <w:t xml:space="preserve"> of an inch in thickness, strongly spiked or screwed in place; or</w:t>
      </w:r>
    </w:p>
    <w:p w:rsidR="00AF2508" w:rsidRDefault="00AF2508">
      <w:pPr>
        <w:pStyle w:val="Apara"/>
      </w:pPr>
      <w:r>
        <w:tab/>
        <w:t>(b)</w:t>
      </w:r>
      <w:r>
        <w:tab/>
        <w:t>bolts as for standards; or</w:t>
      </w:r>
    </w:p>
    <w:p w:rsidR="00AF2508" w:rsidRDefault="00AF2508">
      <w:pPr>
        <w:pStyle w:val="Apara"/>
      </w:pPr>
      <w:r>
        <w:tab/>
        <w:t>(c)</w:t>
      </w:r>
      <w:r>
        <w:tab/>
        <w:t>approved cleats or approved lashings; or</w:t>
      </w:r>
    </w:p>
    <w:p w:rsidR="00AF2508" w:rsidRDefault="00AF2508">
      <w:pPr>
        <w:pStyle w:val="Apara"/>
      </w:pPr>
      <w:r>
        <w:tab/>
        <w:t>(d)</w:t>
      </w:r>
      <w:r>
        <w:tab/>
        <w:t>by adequate full-strength welding.</w:t>
      </w:r>
    </w:p>
    <w:p w:rsidR="00AF2508" w:rsidRDefault="00AF2508">
      <w:pPr>
        <w:pStyle w:val="AH4SubDiv"/>
      </w:pPr>
      <w:bookmarkStart w:id="317" w:name="_Toc161636949"/>
      <w:r>
        <w:t>Rope clips</w:t>
      </w:r>
      <w:bookmarkEnd w:id="317"/>
    </w:p>
    <w:p w:rsidR="00AF2508" w:rsidRDefault="00AF2508">
      <w:pPr>
        <w:pStyle w:val="AH5Sec"/>
      </w:pPr>
      <w:bookmarkStart w:id="318" w:name="_Toc161636950"/>
      <w:r>
        <w:rPr>
          <w:rStyle w:val="CharSectNo"/>
        </w:rPr>
        <w:t>155</w:t>
      </w:r>
      <w:bookmarkEnd w:id="318"/>
      <w:r>
        <w:tab/>
        <w:t xml:space="preserve">  </w:t>
      </w:r>
    </w:p>
    <w:p w:rsidR="00AF2508" w:rsidRDefault="00AF2508">
      <w:pPr>
        <w:pStyle w:val="Amainreturn"/>
      </w:pPr>
      <w:r>
        <w:t>Rope clips shall not be used unless—</w:t>
      </w:r>
    </w:p>
    <w:p w:rsidR="00AF2508" w:rsidRDefault="00AF2508">
      <w:pPr>
        <w:pStyle w:val="Apara"/>
      </w:pPr>
      <w:r>
        <w:tab/>
        <w:t>(a)</w:t>
      </w:r>
      <w:r>
        <w:tab/>
        <w:t>they are of approved design and construction; and</w:t>
      </w:r>
    </w:p>
    <w:p w:rsidR="00AF2508" w:rsidRDefault="00AF2508">
      <w:pPr>
        <w:pStyle w:val="Apara"/>
      </w:pPr>
      <w:r>
        <w:tab/>
        <w:t>(b)</w:t>
      </w:r>
      <w:r>
        <w:tab/>
        <w:t>they are used only for the purpose and in the way approved.</w:t>
      </w:r>
    </w:p>
    <w:p w:rsidR="00AF2508" w:rsidRDefault="00AF2508">
      <w:pPr>
        <w:pStyle w:val="AH4SubDiv"/>
      </w:pPr>
      <w:bookmarkStart w:id="319" w:name="_Toc161636951"/>
      <w:r>
        <w:t>Gin blocks used with fibre rope</w:t>
      </w:r>
      <w:bookmarkEnd w:id="319"/>
    </w:p>
    <w:p w:rsidR="00AF2508" w:rsidRDefault="00AF2508">
      <w:pPr>
        <w:pStyle w:val="AH5Sec"/>
      </w:pPr>
      <w:bookmarkStart w:id="320" w:name="_Toc161636952"/>
      <w:r>
        <w:rPr>
          <w:rStyle w:val="CharSectNo"/>
        </w:rPr>
        <w:t>156</w:t>
      </w:r>
      <w:bookmarkEnd w:id="320"/>
      <w:r>
        <w:tab/>
        <w:t xml:space="preserve">  </w:t>
      </w:r>
    </w:p>
    <w:p w:rsidR="00AF2508" w:rsidRDefault="00AF2508">
      <w:pPr>
        <w:pStyle w:val="Assectheading"/>
      </w:pPr>
      <w:r>
        <w:rPr>
          <w:rStyle w:val="charItals"/>
          <w:i/>
        </w:rPr>
        <w:t>Frames</w:t>
      </w:r>
    </w:p>
    <w:p w:rsidR="00AF2508" w:rsidRDefault="00AF2508">
      <w:pPr>
        <w:pStyle w:val="Amain"/>
      </w:pPr>
      <w:r>
        <w:tab/>
        <w:t>(1)</w:t>
      </w:r>
      <w:r>
        <w:tab/>
        <w:t>The frame shall be either—</w:t>
      </w:r>
    </w:p>
    <w:p w:rsidR="00AF2508" w:rsidRDefault="00AF2508">
      <w:pPr>
        <w:pStyle w:val="Apara"/>
      </w:pPr>
      <w:r>
        <w:tab/>
        <w:t>(a)</w:t>
      </w:r>
      <w:r>
        <w:tab/>
        <w:t>a malleable iron or steel casting, or other approved material; or</w:t>
      </w:r>
    </w:p>
    <w:p w:rsidR="00AF2508" w:rsidRDefault="00AF2508">
      <w:pPr>
        <w:pStyle w:val="Apara"/>
      </w:pPr>
      <w:r>
        <w:tab/>
        <w:t>(b)</w:t>
      </w:r>
      <w:r>
        <w:tab/>
        <w:t>a fabricated wrought steel frame constructed as follows:</w:t>
      </w:r>
    </w:p>
    <w:p w:rsidR="00AF2508" w:rsidRDefault="00AF2508">
      <w:pPr>
        <w:pStyle w:val="Asubpara"/>
      </w:pPr>
      <w:r>
        <w:tab/>
        <w:t>(i)</w:t>
      </w:r>
      <w:r>
        <w:tab/>
        <w:t>the vertical part of the frames shall be formed from flat rectangular mild steel bar with horizontal rope guards (also of flat rectangular mild steel bar) welded by an approved process to the vertical part of the frame; and</w:t>
      </w:r>
    </w:p>
    <w:p w:rsidR="00AF2508" w:rsidRDefault="00AF2508">
      <w:pPr>
        <w:pStyle w:val="Asubpara"/>
      </w:pPr>
      <w:r>
        <w:tab/>
        <w:t>(ii)</w:t>
      </w:r>
      <w:r>
        <w:tab/>
        <w:t>all sharp corners and edges shall be dressed to prevent the chafing of the rope.</w:t>
      </w:r>
    </w:p>
    <w:p w:rsidR="00AF2508" w:rsidRDefault="00AF2508">
      <w:pPr>
        <w:pStyle w:val="Assectheading"/>
      </w:pPr>
      <w:r>
        <w:rPr>
          <w:rStyle w:val="charItals"/>
          <w:i/>
        </w:rPr>
        <w:t>Clearances</w:t>
      </w:r>
    </w:p>
    <w:p w:rsidR="00AF2508" w:rsidRDefault="00AF2508">
      <w:pPr>
        <w:pStyle w:val="Amain"/>
      </w:pPr>
      <w:r>
        <w:tab/>
        <w:t>(2)</w:t>
      </w:r>
      <w:r>
        <w:tab/>
        <w:t>The openings in the frame shall be adequate to prevent contact with and chafing the rope.</w:t>
      </w:r>
    </w:p>
    <w:p w:rsidR="00AF2508" w:rsidRDefault="00AF2508">
      <w:pPr>
        <w:pStyle w:val="Amain"/>
      </w:pPr>
      <w:r>
        <w:tab/>
        <w:t>(3)</w:t>
      </w:r>
      <w:r>
        <w:tab/>
      </w:r>
      <w:r>
        <w:tab/>
        <w:t xml:space="preserve">The total clearance between the sheave and the frame shall not exceed </w:t>
      </w:r>
      <w:r>
        <w:rPr>
          <w:position w:val="6"/>
          <w:sz w:val="18"/>
        </w:rPr>
        <w:t>1</w:t>
      </w:r>
      <w:r>
        <w:t>/</w:t>
      </w:r>
      <w:r>
        <w:rPr>
          <w:sz w:val="18"/>
        </w:rPr>
        <w:t>16</w:t>
      </w:r>
      <w:r>
        <w:t xml:space="preserve"> of an inch.</w:t>
      </w:r>
    </w:p>
    <w:p w:rsidR="00AF2508" w:rsidRDefault="00AF2508">
      <w:pPr>
        <w:pStyle w:val="Amain"/>
      </w:pPr>
      <w:r>
        <w:tab/>
        <w:t>(4)</w:t>
      </w:r>
      <w:r>
        <w:tab/>
      </w:r>
      <w:r>
        <w:tab/>
        <w:t xml:space="preserve">The clearance between the hole in the crosshead and shank of the hook, between the axle pin and the holes in the frame, between the axle pin and the hole in the sheave and between the side of the cotter pin and the frame shall not exceed </w:t>
      </w:r>
      <w:r>
        <w:rPr>
          <w:position w:val="6"/>
          <w:sz w:val="18"/>
        </w:rPr>
        <w:t>1</w:t>
      </w:r>
      <w:r>
        <w:t>/</w:t>
      </w:r>
      <w:r>
        <w:rPr>
          <w:sz w:val="18"/>
        </w:rPr>
        <w:t>64</w:t>
      </w:r>
      <w:r>
        <w:t xml:space="preserve"> of an inch.</w:t>
      </w:r>
    </w:p>
    <w:p w:rsidR="00AF2508" w:rsidRDefault="00AF2508">
      <w:pPr>
        <w:pStyle w:val="AH4SubDiv"/>
      </w:pPr>
      <w:bookmarkStart w:id="321" w:name="_Toc161636953"/>
      <w:r>
        <w:t>Lift boxes</w:t>
      </w:r>
      <w:bookmarkEnd w:id="321"/>
    </w:p>
    <w:p w:rsidR="00AF2508" w:rsidRDefault="00AF2508">
      <w:pPr>
        <w:pStyle w:val="AH5Sec"/>
      </w:pPr>
      <w:bookmarkStart w:id="322" w:name="_Toc161636954"/>
      <w:r>
        <w:rPr>
          <w:rStyle w:val="CharSectNo"/>
        </w:rPr>
        <w:t>157</w:t>
      </w:r>
      <w:bookmarkEnd w:id="322"/>
      <w:r>
        <w:tab/>
        <w:t xml:space="preserve">  </w:t>
      </w:r>
    </w:p>
    <w:p w:rsidR="00AF2508" w:rsidRDefault="00AF2508">
      <w:pPr>
        <w:pStyle w:val="Assectheading"/>
      </w:pPr>
      <w:r>
        <w:rPr>
          <w:rStyle w:val="charItals"/>
          <w:i/>
        </w:rPr>
        <w:t>Materials</w:t>
      </w:r>
    </w:p>
    <w:p w:rsidR="00AF2508" w:rsidRDefault="00AF2508">
      <w:pPr>
        <w:pStyle w:val="Amain"/>
      </w:pPr>
      <w:r>
        <w:tab/>
        <w:t>(1)</w:t>
      </w:r>
      <w:r>
        <w:tab/>
        <w:t>All timber used in the construction of lift boxes shall comply with the provisions of ‘Standard Grade for Scantlings’ set out in the Australian Standard Grading Rules (Emergency Series) for Sawn and Hewn Structural Timbers, No (E) 054—1942, as amended in June, 1944.</w:t>
      </w:r>
    </w:p>
    <w:p w:rsidR="00AF2508" w:rsidRDefault="00AF2508">
      <w:pPr>
        <w:pStyle w:val="Amain"/>
      </w:pPr>
      <w:r>
        <w:tab/>
        <w:t>(2)</w:t>
      </w:r>
      <w:r>
        <w:tab/>
        <w:t>Lift boxes for loads not exceeding 3 tons shall be made of oregon timber 2 inches thickness, or alternatively of hardwood 1</w:t>
      </w:r>
      <w:r>
        <w:rPr>
          <w:position w:val="6"/>
          <w:sz w:val="18"/>
        </w:rPr>
        <w:t>1</w:t>
      </w:r>
      <w:r>
        <w:t>/</w:t>
      </w:r>
      <w:r>
        <w:rPr>
          <w:sz w:val="18"/>
        </w:rPr>
        <w:t>2</w:t>
      </w:r>
      <w:r>
        <w:t xml:space="preserve"> inches thickness.</w:t>
      </w:r>
    </w:p>
    <w:p w:rsidR="00AF2508" w:rsidRDefault="00AF2508">
      <w:pPr>
        <w:pStyle w:val="Amain"/>
      </w:pPr>
      <w:r>
        <w:tab/>
        <w:t>(3)</w:t>
      </w:r>
      <w:r>
        <w:tab/>
        <w:t xml:space="preserve">Every lift box shall be fitted with 2 carrying straps 3 inches by </w:t>
      </w:r>
      <w:r>
        <w:rPr>
          <w:position w:val="6"/>
          <w:sz w:val="18"/>
        </w:rPr>
        <w:t>5</w:t>
      </w:r>
      <w:r>
        <w:t>/</w:t>
      </w:r>
      <w:r>
        <w:rPr>
          <w:sz w:val="18"/>
        </w:rPr>
        <w:t>8</w:t>
      </w:r>
      <w:r>
        <w:t xml:space="preserve"> of an inch mild steel each passing under the bottom and up both sides of the box.</w:t>
      </w:r>
    </w:p>
    <w:p w:rsidR="00AF2508" w:rsidRDefault="00AF2508">
      <w:pPr>
        <w:pStyle w:val="Amain"/>
      </w:pPr>
      <w:r>
        <w:tab/>
        <w:t>(4)</w:t>
      </w:r>
      <w:r>
        <w:tab/>
        <w:t xml:space="preserve">These straps shall be secured to the timber with bolts </w:t>
      </w:r>
      <w:r>
        <w:rPr>
          <w:position w:val="6"/>
          <w:sz w:val="18"/>
        </w:rPr>
        <w:t>1</w:t>
      </w:r>
      <w:r>
        <w:t>/</w:t>
      </w:r>
      <w:r>
        <w:rPr>
          <w:sz w:val="18"/>
        </w:rPr>
        <w:t>2</w:t>
      </w:r>
      <w:r>
        <w:t xml:space="preserve"> an inch diameter.</w:t>
      </w:r>
    </w:p>
    <w:p w:rsidR="00AF2508" w:rsidRDefault="00AF2508">
      <w:pPr>
        <w:pStyle w:val="Amain"/>
      </w:pPr>
      <w:r>
        <w:tab/>
        <w:t>(5)</w:t>
      </w:r>
      <w:r>
        <w:tab/>
        <w:t>The end of each strap at the top of the box shall have a hole formed in it to accommodate the lifting tackle.</w:t>
      </w:r>
    </w:p>
    <w:p w:rsidR="00AF2508" w:rsidRDefault="00AF2508">
      <w:pPr>
        <w:pStyle w:val="02Text"/>
        <w:sectPr w:rsidR="00AF2508">
          <w:headerReference w:type="even" r:id="rId168"/>
          <w:headerReference w:type="default" r:id="rId169"/>
          <w:footerReference w:type="even" r:id="rId170"/>
          <w:footerReference w:type="default" r:id="rId171"/>
          <w:footerReference w:type="first" r:id="rId172"/>
          <w:pgSz w:w="11907" w:h="16839" w:code="9"/>
          <w:pgMar w:top="3000" w:right="1900" w:bottom="2500" w:left="2300" w:header="2480" w:footer="2100" w:gutter="0"/>
          <w:cols w:space="720"/>
          <w:docGrid w:linePitch="254"/>
        </w:sectPr>
      </w:pPr>
    </w:p>
    <w:p w:rsidR="00AF2508" w:rsidRDefault="00AF2508">
      <w:pPr>
        <w:pStyle w:val="AH2Part"/>
      </w:pPr>
      <w:bookmarkStart w:id="323" w:name="_Toc161636955"/>
      <w:r>
        <w:rPr>
          <w:rStyle w:val="CharPartNo"/>
        </w:rPr>
        <w:t>Part 13</w:t>
      </w:r>
      <w:r>
        <w:rPr>
          <w:caps/>
        </w:rPr>
        <w:tab/>
      </w:r>
      <w:r>
        <w:rPr>
          <w:rStyle w:val="CharPartText"/>
        </w:rPr>
        <w:t>Precautions and measures to be taken for securing the safety of persons in connection with roofs sheathed with asbestos cement or other brittle material</w:t>
      </w:r>
      <w:bookmarkEnd w:id="323"/>
    </w:p>
    <w:p w:rsidR="00AF2508" w:rsidRDefault="00AF2508">
      <w:pPr>
        <w:pStyle w:val="Placeholder"/>
      </w:pPr>
      <w:r>
        <w:rPr>
          <w:rStyle w:val="CharDivNo"/>
        </w:rPr>
        <w:t xml:space="preserve">  </w:t>
      </w:r>
      <w:r>
        <w:rPr>
          <w:rStyle w:val="CharDivText"/>
        </w:rPr>
        <w:t xml:space="preserve">  </w:t>
      </w:r>
    </w:p>
    <w:p w:rsidR="00AF2508" w:rsidRDefault="00AF2508">
      <w:pPr>
        <w:pStyle w:val="AH5Sec"/>
      </w:pPr>
      <w:bookmarkStart w:id="324" w:name="_Toc161636956"/>
      <w:r>
        <w:rPr>
          <w:rStyle w:val="CharSectNo"/>
        </w:rPr>
        <w:t>158</w:t>
      </w:r>
      <w:bookmarkEnd w:id="324"/>
      <w:r>
        <w:tab/>
        <w:t xml:space="preserve">  </w:t>
      </w:r>
    </w:p>
    <w:p w:rsidR="00AF2508" w:rsidRDefault="00AF2508">
      <w:pPr>
        <w:pStyle w:val="Amain"/>
      </w:pPr>
      <w:r>
        <w:tab/>
        <w:t>(1)</w:t>
      </w:r>
      <w:r>
        <w:rPr>
          <w:b/>
        </w:rPr>
        <w:tab/>
      </w:r>
      <w:r>
        <w:t>In this section:</w:t>
      </w:r>
    </w:p>
    <w:p w:rsidR="00AF2508" w:rsidRDefault="00AF2508">
      <w:pPr>
        <w:pStyle w:val="aDef"/>
      </w:pPr>
      <w:r>
        <w:rPr>
          <w:b/>
          <w:i/>
        </w:rPr>
        <w:t>large regulation sheets</w:t>
      </w:r>
      <w:r>
        <w:t xml:space="preserve"> means corrugated asbestos cement sheets of material not less than </w:t>
      </w:r>
      <w:r>
        <w:rPr>
          <w:position w:val="6"/>
          <w:sz w:val="18"/>
        </w:rPr>
        <w:t>1</w:t>
      </w:r>
      <w:r>
        <w:t>/</w:t>
      </w:r>
      <w:r>
        <w:rPr>
          <w:sz w:val="18"/>
        </w:rPr>
        <w:t>4</w:t>
      </w:r>
      <w:r>
        <w:t xml:space="preserve"> of an inch in thickness, having corrugations 1</w:t>
      </w:r>
      <w:r>
        <w:rPr>
          <w:position w:val="6"/>
          <w:sz w:val="18"/>
        </w:rPr>
        <w:t>7</w:t>
      </w:r>
      <w:r>
        <w:t>/</w:t>
      </w:r>
      <w:r>
        <w:rPr>
          <w:sz w:val="18"/>
        </w:rPr>
        <w:t>8</w:t>
      </w:r>
      <w:r>
        <w:t xml:space="preserve"> inches and over in depth, the pitch of the corrugations being more than 3 inches but not more than 5</w:t>
      </w:r>
      <w:r>
        <w:rPr>
          <w:position w:val="6"/>
          <w:sz w:val="18"/>
        </w:rPr>
        <w:t>3</w:t>
      </w:r>
      <w:r>
        <w:t>/</w:t>
      </w:r>
      <w:r>
        <w:rPr>
          <w:sz w:val="18"/>
        </w:rPr>
        <w:t>4</w:t>
      </w:r>
      <w:r>
        <w:t xml:space="preserve"> inches measured centre to centre of adjacent crests or troughs.</w:t>
      </w:r>
    </w:p>
    <w:p w:rsidR="00AF2508" w:rsidRDefault="00AF2508">
      <w:pPr>
        <w:pStyle w:val="aDef"/>
      </w:pPr>
      <w:r>
        <w:rPr>
          <w:rStyle w:val="charBoldItals"/>
        </w:rPr>
        <w:t>longitudinal wires</w:t>
      </w:r>
      <w:r>
        <w:t xml:space="preserve"> means the safety mesh wires parallel to the corrugations of the roof sheathing.</w:t>
      </w:r>
    </w:p>
    <w:p w:rsidR="00AF2508" w:rsidRDefault="00AF2508">
      <w:pPr>
        <w:pStyle w:val="aDef"/>
      </w:pPr>
      <w:r>
        <w:rPr>
          <w:rStyle w:val="charBoldItals"/>
        </w:rPr>
        <w:t>roof</w:t>
      </w:r>
      <w:r>
        <w:t xml:space="preserve"> means the roof, or part of it, of any building or structure, except of a private dwelling house and its outhouses, the upper surface of which roof makes an angle of less than 50° with the horizontal.</w:t>
      </w:r>
    </w:p>
    <w:p w:rsidR="00AF2508" w:rsidRDefault="00AF2508">
      <w:pPr>
        <w:pStyle w:val="aDef"/>
      </w:pPr>
      <w:r>
        <w:rPr>
          <w:rStyle w:val="charBoldItals"/>
        </w:rPr>
        <w:t>safety mesh</w:t>
      </w:r>
      <w:r>
        <w:t xml:space="preserve"> means a meshwork of steel wires of size and arrangement required by this section.</w:t>
      </w:r>
    </w:p>
    <w:p w:rsidR="00AF2508" w:rsidRDefault="00AF2508">
      <w:pPr>
        <w:pStyle w:val="aDef"/>
      </w:pPr>
      <w:r>
        <w:rPr>
          <w:rStyle w:val="charBoldItals"/>
        </w:rPr>
        <w:t>small section sheets</w:t>
      </w:r>
      <w:r>
        <w:t xml:space="preserve"> means corrugated asbestos cement sheets of material not less than </w:t>
      </w:r>
      <w:r>
        <w:rPr>
          <w:position w:val="6"/>
          <w:sz w:val="18"/>
        </w:rPr>
        <w:t>7</w:t>
      </w:r>
      <w:r>
        <w:t>/</w:t>
      </w:r>
      <w:r>
        <w:rPr>
          <w:sz w:val="18"/>
        </w:rPr>
        <w:t>32</w:t>
      </w:r>
      <w:r>
        <w:t xml:space="preserve"> of an inch in thickness, having corrugations less than 1</w:t>
      </w:r>
      <w:r>
        <w:rPr>
          <w:position w:val="6"/>
          <w:sz w:val="18"/>
        </w:rPr>
        <w:t>7</w:t>
      </w:r>
      <w:r>
        <w:t>/</w:t>
      </w:r>
      <w:r>
        <w:rPr>
          <w:sz w:val="18"/>
        </w:rPr>
        <w:t>8</w:t>
      </w:r>
      <w:r>
        <w:t xml:space="preserve"> inches in depth, the pitch of the corrugations being 3 inches or less measured centre to centre of adjacent crests or troughs.</w:t>
      </w:r>
    </w:p>
    <w:p w:rsidR="00AF2508" w:rsidRDefault="00AF2508">
      <w:pPr>
        <w:pStyle w:val="aDef"/>
      </w:pPr>
      <w:r>
        <w:rPr>
          <w:rStyle w:val="charBoldItals"/>
        </w:rPr>
        <w:t>transverse wires</w:t>
      </w:r>
      <w:r>
        <w:t xml:space="preserve"> means the safety mesh wires at right angles to the corrugations of the roof sheathing.</w:t>
      </w:r>
    </w:p>
    <w:p w:rsidR="00AF2508" w:rsidRDefault="00AF2508">
      <w:pPr>
        <w:pStyle w:val="Amain"/>
      </w:pPr>
      <w:r>
        <w:tab/>
        <w:t>(2)</w:t>
      </w:r>
      <w:r>
        <w:tab/>
        <w:t>No person shall place, lay or fix, or cause to be placed, laid or fixed, on any roof structure, or part of a roof structure, any roof sheathing of asbestos cement or other brittle material unless safety mesh has first been securely fixed in the way provided in this regulation over the area to be sheathed.</w:t>
      </w:r>
    </w:p>
    <w:p w:rsidR="00AF2508" w:rsidRDefault="00AF2508">
      <w:pPr>
        <w:pStyle w:val="Amain"/>
      </w:pPr>
      <w:r>
        <w:tab/>
        <w:t>(3)</w:t>
      </w:r>
      <w:r>
        <w:tab/>
        <w:t>However, the chief inspector may, by written notice, exempt from this requirement any roof—</w:t>
      </w:r>
    </w:p>
    <w:p w:rsidR="00AF2508" w:rsidRDefault="00AF2508">
      <w:pPr>
        <w:pStyle w:val="Apara"/>
      </w:pPr>
      <w:r>
        <w:tab/>
        <w:t>(a)</w:t>
      </w:r>
      <w:r>
        <w:tab/>
        <w:t>if the chief inspector is satisfied that generally the roof construction is such that it would provide the same degree of safety as would any other roof on which safety mesh has been fixed; or</w:t>
      </w:r>
    </w:p>
    <w:p w:rsidR="00AF2508" w:rsidRDefault="00AF2508">
      <w:pPr>
        <w:pStyle w:val="Apara"/>
      </w:pPr>
      <w:r>
        <w:tab/>
        <w:t>(b)</w:t>
      </w:r>
      <w:r>
        <w:tab/>
        <w:t>in which the members immediately supporting corrugated asbestos cement sheathing are spaced—</w:t>
      </w:r>
    </w:p>
    <w:p w:rsidR="00AF2508" w:rsidRDefault="00AF2508">
      <w:pPr>
        <w:pStyle w:val="Asubpara"/>
      </w:pPr>
      <w:r>
        <w:tab/>
        <w:t>(i)</w:t>
      </w:r>
      <w:r>
        <w:tab/>
        <w:t>not more than 1 foot 6 inches apart measured centre to centre for small section sheets; or</w:t>
      </w:r>
    </w:p>
    <w:p w:rsidR="00AF2508" w:rsidRDefault="00AF2508">
      <w:pPr>
        <w:pStyle w:val="Asubpara"/>
      </w:pPr>
      <w:r>
        <w:tab/>
        <w:t>(ii)</w:t>
      </w:r>
      <w:r>
        <w:tab/>
        <w:t>not more than 2 feet apart measured centre to centre for large section sheets; or</w:t>
      </w:r>
    </w:p>
    <w:p w:rsidR="00AF2508" w:rsidRDefault="00AF2508">
      <w:pPr>
        <w:pStyle w:val="Apara"/>
      </w:pPr>
      <w:r>
        <w:tab/>
        <w:t>(c)</w:t>
      </w:r>
      <w:r>
        <w:tab/>
        <w:t>vertically below which a substantial and closely boarded floor or like structure is located at a distance not greater than 8 feet, measured from the highest part of the roof.</w:t>
      </w:r>
    </w:p>
    <w:p w:rsidR="00AF2508" w:rsidRDefault="00AF2508">
      <w:pPr>
        <w:pStyle w:val="Amain"/>
      </w:pPr>
      <w:r>
        <w:tab/>
        <w:t>(4)</w:t>
      </w:r>
      <w:r>
        <w:tab/>
        <w:t>Corrugated asbestos cement sheathing for roofs shall be mature and free from cracks and defects liable to impair its strength.</w:t>
      </w:r>
    </w:p>
    <w:p w:rsidR="00AF2508" w:rsidRDefault="00AF2508">
      <w:pPr>
        <w:pStyle w:val="Amain"/>
      </w:pPr>
      <w:r>
        <w:tab/>
        <w:t>(5)</w:t>
      </w:r>
      <w:r>
        <w:tab/>
        <w:t>The distance between purlins or other immediate supports for corrugated asbestos cement roof sheathing shall not when measured centre to centre exceed—</w:t>
      </w:r>
    </w:p>
    <w:p w:rsidR="00AF2508" w:rsidRDefault="00AF2508">
      <w:pPr>
        <w:pStyle w:val="Apara"/>
      </w:pPr>
      <w:r>
        <w:tab/>
        <w:t>(a)</w:t>
      </w:r>
      <w:r>
        <w:tab/>
        <w:t>4 feet 1</w:t>
      </w:r>
      <w:r>
        <w:rPr>
          <w:position w:val="6"/>
          <w:sz w:val="18"/>
        </w:rPr>
        <w:t>1</w:t>
      </w:r>
      <w:r>
        <w:t>/</w:t>
      </w:r>
      <w:r>
        <w:rPr>
          <w:sz w:val="18"/>
        </w:rPr>
        <w:t>2</w:t>
      </w:r>
      <w:r>
        <w:t xml:space="preserve"> inches for a large section sheet, measured in the direction of the corrugations; or</w:t>
      </w:r>
    </w:p>
    <w:p w:rsidR="00AF2508" w:rsidRDefault="00AF2508">
      <w:pPr>
        <w:pStyle w:val="Apara"/>
        <w:keepNext/>
      </w:pPr>
      <w:r>
        <w:tab/>
        <w:t>(b)</w:t>
      </w:r>
      <w:r>
        <w:tab/>
        <w:t>3 feet for small section sheets, measured as mentioned in paragraph (a); or</w:t>
      </w:r>
    </w:p>
    <w:p w:rsidR="00AF2508" w:rsidRDefault="00AF2508">
      <w:pPr>
        <w:pStyle w:val="Apara"/>
      </w:pPr>
      <w:r>
        <w:tab/>
        <w:t>(c)</w:t>
      </w:r>
      <w:r>
        <w:tab/>
        <w:t>the distance approved in writing by the chief inspector for sheets differing in section from those mentioned in paragraphs (a) and (b).</w:t>
      </w:r>
    </w:p>
    <w:p w:rsidR="00AF2508" w:rsidRDefault="00AF2508">
      <w:pPr>
        <w:pStyle w:val="Amain"/>
      </w:pPr>
      <w:r>
        <w:tab/>
        <w:t>(6)</w:t>
      </w:r>
      <w:r>
        <w:tab/>
        <w:t>No person shall place, lay or fix asbestos cement sheets on any roof structure unless the person is wearing sandshoes or other approved footwear.</w:t>
      </w:r>
    </w:p>
    <w:p w:rsidR="00AF2508" w:rsidRDefault="00AF2508">
      <w:pPr>
        <w:pStyle w:val="Amain"/>
      </w:pPr>
      <w:r>
        <w:tab/>
        <w:t>(7)</w:t>
      </w:r>
      <w:r>
        <w:tab/>
        <w:t>Safety mesh shall be constructed entirely of steel wire the ultimate tensile strength of which is not less than 35 tons per square inch.</w:t>
      </w:r>
    </w:p>
    <w:p w:rsidR="00AF2508" w:rsidRDefault="00AF2508">
      <w:pPr>
        <w:pStyle w:val="Amain"/>
      </w:pPr>
      <w:r>
        <w:tab/>
        <w:t>(8)</w:t>
      </w:r>
      <w:r>
        <w:tab/>
        <w:t>The wire shall be zinc galvanised so that the weight of the zinc coat in ounces per square foot shall not be less than the value, appropriate to the tensile strength of the wire, as provided in British Standard Specification 443, 1939, table 2, for the testing of the zinc coating on galvanised wires, promulgated by the British Standards Institution, London, England, as amended in February, 1945.</w:t>
      </w:r>
    </w:p>
    <w:p w:rsidR="00AF2508" w:rsidRDefault="00AF2508">
      <w:pPr>
        <w:pStyle w:val="Amain"/>
      </w:pPr>
      <w:r>
        <w:tab/>
        <w:t>(9)</w:t>
      </w:r>
      <w:r>
        <w:tab/>
        <w:t>Each mesh shall be rectangular in shape and shall not exceed 12 inches in length and 6 inches in width.</w:t>
      </w:r>
    </w:p>
    <w:p w:rsidR="00AF2508" w:rsidRDefault="00AF2508">
      <w:pPr>
        <w:pStyle w:val="Amain"/>
      </w:pPr>
      <w:r>
        <w:tab/>
        <w:t>(10)</w:t>
      </w:r>
      <w:r>
        <w:tab/>
        <w:t>The wires forming each mesh shall be strongly secured, one to the other, at each corner of the mesh.</w:t>
      </w:r>
    </w:p>
    <w:p w:rsidR="00AF2508" w:rsidRDefault="00AF2508">
      <w:pPr>
        <w:pStyle w:val="Amain"/>
      </w:pPr>
      <w:r>
        <w:tab/>
        <w:t>(11)</w:t>
      </w:r>
      <w:r>
        <w:tab/>
        <w:t>The diameter of the wire with which each type of safety mesh is formed shall be as provided in the table after subsection (13).</w:t>
      </w:r>
    </w:p>
    <w:p w:rsidR="00AF2508" w:rsidRDefault="00AF2508">
      <w:pPr>
        <w:pStyle w:val="Amain"/>
      </w:pPr>
      <w:r>
        <w:tab/>
        <w:t>(12)</w:t>
      </w:r>
      <w:r>
        <w:tab/>
        <w:t xml:space="preserve">Safety mesh shall be fixed to purlins or other anchorages at the spacings set out in the table after subsection (13) in any 1 of the following ways: </w:t>
      </w:r>
    </w:p>
    <w:p w:rsidR="00AF2508" w:rsidRDefault="00AF2508">
      <w:pPr>
        <w:pStyle w:val="Apara"/>
      </w:pPr>
      <w:r>
        <w:tab/>
        <w:t>(a)</w:t>
      </w:r>
      <w:r>
        <w:tab/>
        <w:t>if the purlins or other anchorages are of timber the longitudinal wires shall—</w:t>
      </w:r>
    </w:p>
    <w:p w:rsidR="00AF2508" w:rsidRDefault="00AF2508">
      <w:pPr>
        <w:pStyle w:val="Asubpara"/>
        <w:keepNext/>
      </w:pPr>
      <w:r>
        <w:tab/>
        <w:t>(i)</w:t>
      </w:r>
      <w:r>
        <w:tab/>
        <w:t>be bent down and fixed to the sides of the purlins or other anchorages with galvanised steel staples of the gauges, lengths and spacing as set out in table 158; or</w:t>
      </w:r>
    </w:p>
    <w:p w:rsidR="00AF2508" w:rsidRDefault="00AF2508">
      <w:pPr>
        <w:pStyle w:val="Asubpara"/>
      </w:pPr>
      <w:r>
        <w:tab/>
        <w:t>(ii)</w:t>
      </w:r>
      <w:r>
        <w:tab/>
        <w:t>be fixed to the tops of them with galvanised steel staples of the gauges, lengths and spacing as set out in table 158; or</w:t>
      </w:r>
    </w:p>
    <w:p w:rsidR="00AF2508" w:rsidRDefault="00AF2508">
      <w:pPr>
        <w:pStyle w:val="Apara"/>
      </w:pPr>
      <w:r>
        <w:tab/>
        <w:t>(b)</w:t>
      </w:r>
      <w:r>
        <w:tab/>
        <w:t>the longitudinal wires of the safety mesh shall be passed once completely around the purlin, or other anchorage, the tail of each wire being twisted twice tightly around the main part of the same wire; or</w:t>
      </w:r>
    </w:p>
    <w:p w:rsidR="00AF2508" w:rsidRDefault="00AF2508">
      <w:pPr>
        <w:pStyle w:val="Apara"/>
      </w:pPr>
      <w:r>
        <w:tab/>
        <w:t>(c)</w:t>
      </w:r>
      <w:r>
        <w:tab/>
        <w:t>the longitudinal wires of the safety mesh shall be secured to the purlins or other anchorages with 10 gauge (0.128 of an inch diameter) galvanised steel wire loops by passing the centre of the tying wire around the longitudinal wire at a point of intersection of a transverse wire, so that a transverse wire shall be between that point and the end of the longitudinal wire, passing both ends of the tying wire once completely around the purlin, or other anchorage, the 2 tails of the tying wire being then drawn in opposite directions over the 2 strands of the tying wire and twisted together with at least 3 complete turns.</w:t>
      </w:r>
    </w:p>
    <w:p w:rsidR="00AF2508" w:rsidRDefault="00AF2508">
      <w:pPr>
        <w:pStyle w:val="Amain"/>
      </w:pPr>
      <w:r>
        <w:tab/>
        <w:t>(13)</w:t>
      </w:r>
      <w:r>
        <w:tab/>
        <w:t>All staples shall be driven in such way that a cross wire is between the end of the wire and the staple or the end of the wire is bent back and twisted twice around the same wire, so that individual wires cannot be drawn from the staple.</w:t>
      </w:r>
    </w:p>
    <w:p w:rsidR="00AF2508" w:rsidRDefault="00AF2508">
      <w:pPr>
        <w:pStyle w:val="TableHd"/>
        <w:ind w:hanging="1086"/>
      </w:pPr>
      <w:r>
        <w:t>Table 158</w:t>
      </w:r>
    </w:p>
    <w:tbl>
      <w:tblPr>
        <w:tblW w:w="0" w:type="auto"/>
        <w:tblInd w:w="200" w:type="dxa"/>
        <w:tblLayout w:type="fixed"/>
        <w:tblCellMar>
          <w:left w:w="80" w:type="dxa"/>
          <w:right w:w="80" w:type="dxa"/>
        </w:tblCellMar>
        <w:tblLook w:val="0000" w:firstRow="0" w:lastRow="0" w:firstColumn="0" w:lastColumn="0" w:noHBand="0" w:noVBand="0"/>
      </w:tblPr>
      <w:tblGrid>
        <w:gridCol w:w="1203"/>
        <w:gridCol w:w="1203"/>
        <w:gridCol w:w="1203"/>
        <w:gridCol w:w="1203"/>
        <w:gridCol w:w="1203"/>
        <w:gridCol w:w="1203"/>
      </w:tblGrid>
      <w:tr w:rsidR="00AF2508">
        <w:trPr>
          <w:cantSplit/>
          <w:tblHeader/>
        </w:trPr>
        <w:tc>
          <w:tcPr>
            <w:tcW w:w="1203" w:type="dxa"/>
            <w:vAlign w:val="bottom"/>
          </w:tcPr>
          <w:p w:rsidR="00AF2508" w:rsidRDefault="00AF2508">
            <w:pPr>
              <w:pStyle w:val="TableColHd"/>
            </w:pPr>
            <w:r>
              <w:t>diameter of wire in mesh</w:t>
            </w:r>
          </w:p>
        </w:tc>
        <w:tc>
          <w:tcPr>
            <w:tcW w:w="1203" w:type="dxa"/>
            <w:vAlign w:val="bottom"/>
          </w:tcPr>
          <w:p w:rsidR="00AF2508" w:rsidRDefault="00AF2508">
            <w:pPr>
              <w:pStyle w:val="TableColHd"/>
            </w:pPr>
            <w:r>
              <w:t>mesh dimensions</w:t>
            </w:r>
          </w:p>
        </w:tc>
        <w:tc>
          <w:tcPr>
            <w:tcW w:w="1203" w:type="dxa"/>
            <w:vAlign w:val="bottom"/>
          </w:tcPr>
          <w:p w:rsidR="00AF2508" w:rsidRDefault="00AF2508">
            <w:pPr>
              <w:pStyle w:val="TableColHd"/>
            </w:pPr>
            <w:r>
              <w:t xml:space="preserve">gauge of </w:t>
            </w:r>
            <w:r>
              <w:br/>
              <w:t>staple</w:t>
            </w:r>
          </w:p>
        </w:tc>
        <w:tc>
          <w:tcPr>
            <w:tcW w:w="1203" w:type="dxa"/>
            <w:vAlign w:val="bottom"/>
          </w:tcPr>
          <w:p w:rsidR="00AF2508" w:rsidRDefault="00AF2508">
            <w:pPr>
              <w:pStyle w:val="TableColHd"/>
            </w:pPr>
            <w:r>
              <w:t xml:space="preserve">fastening </w:t>
            </w:r>
            <w:r>
              <w:br/>
              <w:t>to side of purlin:  length of staple</w:t>
            </w:r>
          </w:p>
        </w:tc>
        <w:tc>
          <w:tcPr>
            <w:tcW w:w="1203" w:type="dxa"/>
            <w:vAlign w:val="bottom"/>
          </w:tcPr>
          <w:p w:rsidR="00AF2508" w:rsidRDefault="00AF2508">
            <w:pPr>
              <w:pStyle w:val="TableColHd"/>
            </w:pPr>
            <w:r>
              <w:t xml:space="preserve">fastening </w:t>
            </w:r>
            <w:r>
              <w:br/>
              <w:t>to top of purlin:  length of staple</w:t>
            </w:r>
          </w:p>
        </w:tc>
        <w:tc>
          <w:tcPr>
            <w:tcW w:w="1203" w:type="dxa"/>
            <w:vAlign w:val="bottom"/>
          </w:tcPr>
          <w:p w:rsidR="00AF2508" w:rsidRDefault="00AF2508">
            <w:pPr>
              <w:pStyle w:val="TableColHd"/>
            </w:pPr>
            <w:r>
              <w:t>spacing of staples or other fastenings</w:t>
            </w:r>
          </w:p>
        </w:tc>
      </w:tr>
      <w:tr w:rsidR="00AF2508">
        <w:trPr>
          <w:cantSplit/>
          <w:tblHeader/>
        </w:trPr>
        <w:tc>
          <w:tcPr>
            <w:tcW w:w="1203" w:type="dxa"/>
            <w:tcBorders>
              <w:bottom w:val="single" w:sz="4" w:space="0" w:color="auto"/>
            </w:tcBorders>
            <w:vAlign w:val="bottom"/>
          </w:tcPr>
          <w:p w:rsidR="00AF2508" w:rsidRDefault="00AF2508">
            <w:pPr>
              <w:pStyle w:val="TableColHd"/>
            </w:pPr>
            <w:r>
              <w:t>inch</w:t>
            </w:r>
          </w:p>
        </w:tc>
        <w:tc>
          <w:tcPr>
            <w:tcW w:w="1203" w:type="dxa"/>
            <w:tcBorders>
              <w:bottom w:val="single" w:sz="4" w:space="0" w:color="auto"/>
            </w:tcBorders>
            <w:vAlign w:val="bottom"/>
          </w:tcPr>
          <w:p w:rsidR="00AF2508" w:rsidRDefault="00AF2508">
            <w:pPr>
              <w:pStyle w:val="TableColHd"/>
            </w:pPr>
            <w:r>
              <w:t>inches</w:t>
            </w:r>
          </w:p>
        </w:tc>
        <w:tc>
          <w:tcPr>
            <w:tcW w:w="1203" w:type="dxa"/>
            <w:tcBorders>
              <w:bottom w:val="single" w:sz="4" w:space="0" w:color="auto"/>
            </w:tcBorders>
            <w:vAlign w:val="bottom"/>
          </w:tcPr>
          <w:p w:rsidR="00AF2508" w:rsidRDefault="00AF2508">
            <w:pPr>
              <w:pStyle w:val="TableColHd"/>
            </w:pPr>
            <w:r>
              <w:t>s.w.g.</w:t>
            </w:r>
          </w:p>
        </w:tc>
        <w:tc>
          <w:tcPr>
            <w:tcW w:w="1203" w:type="dxa"/>
            <w:tcBorders>
              <w:bottom w:val="single" w:sz="4" w:space="0" w:color="auto"/>
            </w:tcBorders>
            <w:vAlign w:val="bottom"/>
          </w:tcPr>
          <w:p w:rsidR="00AF2508" w:rsidRDefault="00AF2508">
            <w:pPr>
              <w:pStyle w:val="TableColHd"/>
            </w:pPr>
            <w:r>
              <w:t>inches</w:t>
            </w:r>
          </w:p>
        </w:tc>
        <w:tc>
          <w:tcPr>
            <w:tcW w:w="1203" w:type="dxa"/>
            <w:tcBorders>
              <w:bottom w:val="single" w:sz="4" w:space="0" w:color="auto"/>
            </w:tcBorders>
            <w:vAlign w:val="bottom"/>
          </w:tcPr>
          <w:p w:rsidR="00AF2508" w:rsidRDefault="00AF2508">
            <w:pPr>
              <w:pStyle w:val="TableColHd"/>
            </w:pPr>
            <w:r>
              <w:t>inches</w:t>
            </w:r>
          </w:p>
        </w:tc>
        <w:tc>
          <w:tcPr>
            <w:tcW w:w="1203" w:type="dxa"/>
            <w:tcBorders>
              <w:bottom w:val="single" w:sz="4" w:space="0" w:color="auto"/>
            </w:tcBorders>
            <w:vAlign w:val="bottom"/>
          </w:tcPr>
          <w:p w:rsidR="00AF2508" w:rsidRDefault="00AF2508">
            <w:pPr>
              <w:pStyle w:val="TableColHd"/>
            </w:pPr>
            <w:r>
              <w:t>inches</w:t>
            </w:r>
          </w:p>
        </w:tc>
      </w:tr>
      <w:tr w:rsidR="00AF2508">
        <w:trPr>
          <w:cantSplit/>
        </w:trPr>
        <w:tc>
          <w:tcPr>
            <w:tcW w:w="1203" w:type="dxa"/>
            <w:tcBorders>
              <w:top w:val="single" w:sz="4" w:space="0" w:color="auto"/>
            </w:tcBorders>
          </w:tcPr>
          <w:p w:rsidR="00AF2508" w:rsidRDefault="00AF2508">
            <w:pPr>
              <w:pStyle w:val="TableText"/>
              <w:keepNext/>
            </w:pPr>
            <w:r>
              <w:t>0.128</w:t>
            </w:r>
          </w:p>
        </w:tc>
        <w:tc>
          <w:tcPr>
            <w:tcW w:w="1203" w:type="dxa"/>
            <w:tcBorders>
              <w:top w:val="single" w:sz="4" w:space="0" w:color="auto"/>
            </w:tcBorders>
          </w:tcPr>
          <w:p w:rsidR="00AF2508" w:rsidRDefault="00AF2508">
            <w:pPr>
              <w:pStyle w:val="TableText"/>
              <w:keepNext/>
            </w:pPr>
            <w:r>
              <w:t>12 × 6</w:t>
            </w:r>
          </w:p>
        </w:tc>
        <w:tc>
          <w:tcPr>
            <w:tcW w:w="1203" w:type="dxa"/>
            <w:tcBorders>
              <w:top w:val="single" w:sz="4" w:space="0" w:color="auto"/>
            </w:tcBorders>
          </w:tcPr>
          <w:p w:rsidR="00AF2508" w:rsidRDefault="00AF2508">
            <w:pPr>
              <w:pStyle w:val="TableText"/>
              <w:keepNext/>
            </w:pPr>
            <w:r>
              <w:t>10</w:t>
            </w:r>
          </w:p>
        </w:tc>
        <w:tc>
          <w:tcPr>
            <w:tcW w:w="1203" w:type="dxa"/>
            <w:tcBorders>
              <w:top w:val="single" w:sz="4" w:space="0" w:color="auto"/>
            </w:tcBorders>
          </w:tcPr>
          <w:p w:rsidR="00AF2508" w:rsidRDefault="00AF2508">
            <w:pPr>
              <w:pStyle w:val="TableText"/>
              <w:keepNext/>
            </w:pPr>
            <w:r>
              <w:t>1</w:t>
            </w:r>
            <w:r>
              <w:rPr>
                <w:position w:val="6"/>
                <w:sz w:val="18"/>
              </w:rPr>
              <w:t>1</w:t>
            </w:r>
            <w:r>
              <w:t>/</w:t>
            </w:r>
            <w:r>
              <w:rPr>
                <w:sz w:val="18"/>
              </w:rPr>
              <w:t>4</w:t>
            </w:r>
          </w:p>
        </w:tc>
        <w:tc>
          <w:tcPr>
            <w:tcW w:w="1203" w:type="dxa"/>
            <w:tcBorders>
              <w:top w:val="single" w:sz="4" w:space="0" w:color="auto"/>
            </w:tcBorders>
          </w:tcPr>
          <w:p w:rsidR="00AF2508" w:rsidRDefault="00AF2508">
            <w:pPr>
              <w:pStyle w:val="TableText"/>
              <w:keepNext/>
            </w:pPr>
            <w:r>
              <w:t>1</w:t>
            </w:r>
            <w:r>
              <w:rPr>
                <w:position w:val="6"/>
                <w:sz w:val="18"/>
              </w:rPr>
              <w:t>1</w:t>
            </w:r>
            <w:r>
              <w:t>/</w:t>
            </w:r>
            <w:r>
              <w:rPr>
                <w:sz w:val="18"/>
              </w:rPr>
              <w:t>2</w:t>
            </w:r>
          </w:p>
        </w:tc>
        <w:tc>
          <w:tcPr>
            <w:tcW w:w="1203" w:type="dxa"/>
            <w:tcBorders>
              <w:top w:val="single" w:sz="4" w:space="0" w:color="auto"/>
            </w:tcBorders>
          </w:tcPr>
          <w:p w:rsidR="00AF2508" w:rsidRDefault="00AF2508">
            <w:pPr>
              <w:pStyle w:val="TableText"/>
              <w:keepNext/>
            </w:pPr>
            <w:r>
              <w:t>12</w:t>
            </w:r>
          </w:p>
        </w:tc>
      </w:tr>
      <w:tr w:rsidR="00AF2508">
        <w:trPr>
          <w:cantSplit/>
        </w:trPr>
        <w:tc>
          <w:tcPr>
            <w:tcW w:w="1203" w:type="dxa"/>
          </w:tcPr>
          <w:p w:rsidR="00AF2508" w:rsidRDefault="00AF2508">
            <w:pPr>
              <w:pStyle w:val="TableText"/>
            </w:pPr>
            <w:r>
              <w:t>0.104</w:t>
            </w:r>
          </w:p>
        </w:tc>
        <w:tc>
          <w:tcPr>
            <w:tcW w:w="1203" w:type="dxa"/>
          </w:tcPr>
          <w:p w:rsidR="00AF2508" w:rsidRDefault="00AF2508">
            <w:pPr>
              <w:pStyle w:val="TableText"/>
            </w:pPr>
            <w:r>
              <w:t>6 × 6</w:t>
            </w:r>
          </w:p>
        </w:tc>
        <w:tc>
          <w:tcPr>
            <w:tcW w:w="1203" w:type="dxa"/>
          </w:tcPr>
          <w:p w:rsidR="00AF2508" w:rsidRDefault="00AF2508">
            <w:pPr>
              <w:pStyle w:val="TableText"/>
            </w:pPr>
            <w:r>
              <w:t>11</w:t>
            </w:r>
          </w:p>
        </w:tc>
        <w:tc>
          <w:tcPr>
            <w:tcW w:w="1203" w:type="dxa"/>
          </w:tcPr>
          <w:p w:rsidR="00AF2508" w:rsidRDefault="00AF2508">
            <w:pPr>
              <w:pStyle w:val="TableText"/>
            </w:pPr>
            <w:r>
              <w:t>1</w:t>
            </w:r>
          </w:p>
        </w:tc>
        <w:tc>
          <w:tcPr>
            <w:tcW w:w="1203" w:type="dxa"/>
          </w:tcPr>
          <w:p w:rsidR="00AF2508" w:rsidRDefault="00AF2508">
            <w:pPr>
              <w:pStyle w:val="TableText"/>
            </w:pPr>
            <w:r>
              <w:t>1</w:t>
            </w:r>
            <w:bookmarkStart w:id="325" w:name="OLE_LINK1"/>
            <w:r>
              <w:rPr>
                <w:position w:val="6"/>
                <w:sz w:val="18"/>
              </w:rPr>
              <w:t>1</w:t>
            </w:r>
            <w:r>
              <w:t>/</w:t>
            </w:r>
            <w:r>
              <w:rPr>
                <w:sz w:val="18"/>
              </w:rPr>
              <w:t>4</w:t>
            </w:r>
            <w:bookmarkEnd w:id="325"/>
          </w:p>
        </w:tc>
        <w:tc>
          <w:tcPr>
            <w:tcW w:w="1203" w:type="dxa"/>
          </w:tcPr>
          <w:p w:rsidR="00AF2508" w:rsidRDefault="00AF2508">
            <w:pPr>
              <w:pStyle w:val="TableText"/>
            </w:pPr>
            <w:r>
              <w:t>6</w:t>
            </w:r>
          </w:p>
        </w:tc>
      </w:tr>
      <w:tr w:rsidR="00AF2508">
        <w:trPr>
          <w:cantSplit/>
        </w:trPr>
        <w:tc>
          <w:tcPr>
            <w:tcW w:w="1203" w:type="dxa"/>
          </w:tcPr>
          <w:p w:rsidR="00AF2508" w:rsidRDefault="00AF2508">
            <w:pPr>
              <w:pStyle w:val="TableText"/>
            </w:pPr>
            <w:r>
              <w:t>0.092</w:t>
            </w:r>
          </w:p>
        </w:tc>
        <w:tc>
          <w:tcPr>
            <w:tcW w:w="1203" w:type="dxa"/>
          </w:tcPr>
          <w:p w:rsidR="00AF2508" w:rsidRDefault="00AF2508">
            <w:pPr>
              <w:pStyle w:val="TableText"/>
            </w:pPr>
            <w:r>
              <w:t>4 × 4</w:t>
            </w:r>
          </w:p>
        </w:tc>
        <w:tc>
          <w:tcPr>
            <w:tcW w:w="1203" w:type="dxa"/>
          </w:tcPr>
          <w:p w:rsidR="00AF2508" w:rsidRDefault="00AF2508">
            <w:pPr>
              <w:pStyle w:val="TableText"/>
            </w:pPr>
            <w:r>
              <w:t>11</w:t>
            </w:r>
          </w:p>
        </w:tc>
        <w:tc>
          <w:tcPr>
            <w:tcW w:w="1203" w:type="dxa"/>
          </w:tcPr>
          <w:p w:rsidR="00AF2508" w:rsidRDefault="00AF2508">
            <w:pPr>
              <w:pStyle w:val="TableText"/>
            </w:pPr>
            <w:r>
              <w:t>1</w:t>
            </w:r>
          </w:p>
        </w:tc>
        <w:tc>
          <w:tcPr>
            <w:tcW w:w="1203" w:type="dxa"/>
          </w:tcPr>
          <w:p w:rsidR="00AF2508" w:rsidRDefault="00AF2508">
            <w:pPr>
              <w:pStyle w:val="TableText"/>
            </w:pPr>
            <w:r>
              <w:t>1</w:t>
            </w:r>
            <w:r>
              <w:rPr>
                <w:position w:val="6"/>
                <w:sz w:val="18"/>
              </w:rPr>
              <w:t>1</w:t>
            </w:r>
            <w:r>
              <w:t>/</w:t>
            </w:r>
            <w:r>
              <w:rPr>
                <w:sz w:val="18"/>
              </w:rPr>
              <w:t>4</w:t>
            </w:r>
          </w:p>
        </w:tc>
        <w:tc>
          <w:tcPr>
            <w:tcW w:w="1203" w:type="dxa"/>
          </w:tcPr>
          <w:p w:rsidR="00AF2508" w:rsidRDefault="00AF2508">
            <w:pPr>
              <w:pStyle w:val="TableText"/>
            </w:pPr>
            <w:r>
              <w:t>8, 4*</w:t>
            </w:r>
          </w:p>
        </w:tc>
      </w:tr>
      <w:tr w:rsidR="00AF2508">
        <w:trPr>
          <w:cantSplit/>
        </w:trPr>
        <w:tc>
          <w:tcPr>
            <w:tcW w:w="1203" w:type="dxa"/>
          </w:tcPr>
          <w:p w:rsidR="00AF2508" w:rsidRDefault="00AF2508">
            <w:pPr>
              <w:pStyle w:val="TableText"/>
            </w:pPr>
            <w:r>
              <w:t>0.080</w:t>
            </w:r>
          </w:p>
        </w:tc>
        <w:tc>
          <w:tcPr>
            <w:tcW w:w="1203" w:type="dxa"/>
          </w:tcPr>
          <w:p w:rsidR="00AF2508" w:rsidRDefault="00AF2508">
            <w:pPr>
              <w:pStyle w:val="TableText"/>
            </w:pPr>
            <w:r>
              <w:t>3 × 3</w:t>
            </w:r>
          </w:p>
        </w:tc>
        <w:tc>
          <w:tcPr>
            <w:tcW w:w="1203" w:type="dxa"/>
          </w:tcPr>
          <w:p w:rsidR="00AF2508" w:rsidRDefault="00AF2508">
            <w:pPr>
              <w:pStyle w:val="TableText"/>
            </w:pPr>
            <w:r>
              <w:t>11</w:t>
            </w:r>
          </w:p>
        </w:tc>
        <w:tc>
          <w:tcPr>
            <w:tcW w:w="1203" w:type="dxa"/>
          </w:tcPr>
          <w:p w:rsidR="00AF2508" w:rsidRDefault="00AF2508">
            <w:pPr>
              <w:pStyle w:val="TableText"/>
            </w:pPr>
            <w:r>
              <w:t>1</w:t>
            </w:r>
          </w:p>
        </w:tc>
        <w:tc>
          <w:tcPr>
            <w:tcW w:w="1203" w:type="dxa"/>
          </w:tcPr>
          <w:p w:rsidR="00AF2508" w:rsidRDefault="00AF2508">
            <w:pPr>
              <w:pStyle w:val="TableText"/>
            </w:pPr>
            <w:r>
              <w:t>1</w:t>
            </w:r>
            <w:r>
              <w:rPr>
                <w:position w:val="6"/>
                <w:sz w:val="18"/>
              </w:rPr>
              <w:t>1</w:t>
            </w:r>
            <w:r>
              <w:t>/</w:t>
            </w:r>
            <w:r>
              <w:rPr>
                <w:sz w:val="18"/>
              </w:rPr>
              <w:t>4</w:t>
            </w:r>
          </w:p>
        </w:tc>
        <w:tc>
          <w:tcPr>
            <w:tcW w:w="1203" w:type="dxa"/>
          </w:tcPr>
          <w:p w:rsidR="00AF2508" w:rsidRDefault="00AF2508">
            <w:pPr>
              <w:pStyle w:val="TableText"/>
            </w:pPr>
            <w:r>
              <w:t>6</w:t>
            </w:r>
          </w:p>
        </w:tc>
      </w:tr>
    </w:tbl>
    <w:p w:rsidR="00AF2508" w:rsidRDefault="00AF2508">
      <w:pPr>
        <w:spacing w:before="120"/>
        <w:ind w:left="399" w:hanging="285"/>
        <w:rPr>
          <w:sz w:val="20"/>
        </w:rPr>
      </w:pPr>
      <w:r>
        <w:rPr>
          <w:sz w:val="20"/>
        </w:rPr>
        <w:t>*</w:t>
      </w:r>
      <w:r>
        <w:rPr>
          <w:sz w:val="20"/>
        </w:rPr>
        <w:tab/>
        <w:t xml:space="preserve">Pairs of wires at 12-inch centres, </w:t>
      </w:r>
      <w:r>
        <w:rPr>
          <w:rStyle w:val="charItals"/>
          <w:i w:val="0"/>
          <w:sz w:val="20"/>
        </w:rPr>
        <w:t>ie</w:t>
      </w:r>
      <w:r>
        <w:rPr>
          <w:sz w:val="20"/>
        </w:rPr>
        <w:t xml:space="preserve"> wires alternately at 8-inch and 4-inch centres.</w:t>
      </w:r>
    </w:p>
    <w:p w:rsidR="00AF2508" w:rsidRDefault="00AF2508"/>
    <w:p w:rsidR="00AF2508" w:rsidRDefault="00AF2508">
      <w:pPr>
        <w:pStyle w:val="Amain"/>
      </w:pPr>
      <w:r>
        <w:tab/>
        <w:t>(14)</w:t>
      </w:r>
      <w:r>
        <w:tab/>
        <w:t>Safety mesh shall be deemed not to conform to the requirements of this section unless a complete specification and the samples of mesh, as may be required, have been submitted to the chief inspector and approved by him or her.</w:t>
      </w:r>
    </w:p>
    <w:p w:rsidR="00AF2508" w:rsidRDefault="00AF2508">
      <w:pPr>
        <w:pStyle w:val="Amain"/>
      </w:pPr>
      <w:r>
        <w:tab/>
        <w:t>(15)</w:t>
      </w:r>
      <w:r>
        <w:tab/>
        <w:t>Safety mesh shall be fixed immediately and closely under the roof sheathing, without other intervention, and so that it rests on each of the roof members; it shall be free from perceptible sag.</w:t>
      </w:r>
    </w:p>
    <w:p w:rsidR="00AF2508" w:rsidRDefault="00AF2508">
      <w:pPr>
        <w:pStyle w:val="Amain"/>
      </w:pPr>
      <w:r>
        <w:tab/>
        <w:t>(16)</w:t>
      </w:r>
      <w:r>
        <w:tab/>
        <w:t>The longitudinal wires shall pass above and across all roof members that immediately support the roof sheathing.</w:t>
      </w:r>
    </w:p>
    <w:p w:rsidR="00AF2508" w:rsidRDefault="00AF2508">
      <w:pPr>
        <w:pStyle w:val="Amain"/>
      </w:pPr>
      <w:r>
        <w:tab/>
        <w:t>(17)</w:t>
      </w:r>
      <w:r>
        <w:tab/>
        <w:t>All the transverse wires shall be located above the longitudinal wires.</w:t>
      </w:r>
    </w:p>
    <w:p w:rsidR="00AF2508" w:rsidRDefault="00AF2508">
      <w:pPr>
        <w:pStyle w:val="Amain"/>
      </w:pPr>
      <w:r>
        <w:tab/>
        <w:t>(18)</w:t>
      </w:r>
      <w:r>
        <w:tab/>
        <w:t>If the longer sides of a mesh exceed 6 inches, the safety mesh shall be so disposed that the lesser sides are parallel to the corrugations.</w:t>
      </w:r>
    </w:p>
    <w:p w:rsidR="00AF2508" w:rsidRDefault="00AF2508">
      <w:pPr>
        <w:pStyle w:val="Amain"/>
      </w:pPr>
      <w:r>
        <w:tab/>
        <w:t>(19)</w:t>
      </w:r>
      <w:r>
        <w:tab/>
        <w:t>If a break of continuity in the longitudinal wires occurs, the wires shall be effectively joined to preserve continuity.</w:t>
      </w:r>
    </w:p>
    <w:p w:rsidR="00AF2508" w:rsidRDefault="00AF2508">
      <w:pPr>
        <w:pStyle w:val="Amain"/>
      </w:pPr>
      <w:r>
        <w:tab/>
        <w:t>(20)</w:t>
      </w:r>
      <w:r>
        <w:tab/>
        <w:t>In addition, the longitudinal wires at the adjoining or overlapping edges of adjacent lengths of safety mesh shall be strongly fastened together at intervals not greater than 3 feet.</w:t>
      </w:r>
    </w:p>
    <w:p w:rsidR="00AF2508" w:rsidRDefault="00AF2508">
      <w:pPr>
        <w:pStyle w:val="Amain"/>
      </w:pPr>
      <w:r>
        <w:tab/>
        <w:t>(21)</w:t>
      </w:r>
      <w:r>
        <w:tab/>
        <w:t>Adjacent lengths of safety meshing shall not, when fixed, be more than 1 inch apart.</w:t>
      </w:r>
    </w:p>
    <w:p w:rsidR="00AF2508" w:rsidRDefault="00AF2508">
      <w:pPr>
        <w:pStyle w:val="Amain"/>
        <w:keepLines/>
      </w:pPr>
      <w:r>
        <w:tab/>
        <w:t>(22)</w:t>
      </w:r>
      <w:r>
        <w:tab/>
        <w:t>Without limiting subsections (1) to (21), the apertures resulting from junctions or connections of safety mesh shall not exceed those prescribed for the construction of the mesh, or be otherwise oriented.</w:t>
      </w:r>
    </w:p>
    <w:p w:rsidR="00AF2508" w:rsidRDefault="00AF2508">
      <w:pPr>
        <w:pStyle w:val="Amain"/>
      </w:pPr>
      <w:r>
        <w:tab/>
        <w:t>(23)</w:t>
      </w:r>
      <w:r>
        <w:tab/>
        <w:t>No person shall carry out or cause to be carried out any roof sheathing work unless safety mesh has first been fully fixed as a margin around all positions where the work is to be carried out.</w:t>
      </w:r>
    </w:p>
    <w:p w:rsidR="00AF2508" w:rsidRDefault="00AF2508">
      <w:pPr>
        <w:pStyle w:val="Amain"/>
      </w:pPr>
      <w:r>
        <w:tab/>
        <w:t>(24)</w:t>
      </w:r>
      <w:r>
        <w:tab/>
        <w:t>If not otherwise limited by the boundaries of the roof structure, or boundaries incidental to the application of this section, this margin shall be at least 20 feet in width.</w:t>
      </w:r>
    </w:p>
    <w:p w:rsidR="00AF2508" w:rsidRDefault="00AF2508">
      <w:pPr>
        <w:pStyle w:val="Amain"/>
      </w:pPr>
      <w:r>
        <w:tab/>
        <w:t>(25)</w:t>
      </w:r>
      <w:r>
        <w:tab/>
        <w:t>Safety mesh shall not be used if it is likely to be affected by corrosive agencies but purlins or battens spaced as provided in subsection (3) (b) shall be used in its place.</w:t>
      </w:r>
    </w:p>
    <w:p w:rsidR="00AF2508" w:rsidRDefault="00AF2508">
      <w:pPr>
        <w:pStyle w:val="Amain"/>
      </w:pPr>
      <w:r>
        <w:tab/>
        <w:t>(26)</w:t>
      </w:r>
      <w:r>
        <w:tab/>
        <w:t>Safety mesh or its fastenings or supports that has been reduced in strength by corrosion or other agency to less than 90% of the strength indicated by this section shall on reduction be renewed by the owner of the building, to comply with this section.</w:t>
      </w:r>
    </w:p>
    <w:p w:rsidR="00AF2508" w:rsidRDefault="00AF2508">
      <w:pPr>
        <w:pStyle w:val="Amain"/>
      </w:pPr>
      <w:r>
        <w:tab/>
        <w:t>(27)</w:t>
      </w:r>
      <w:r>
        <w:tab/>
        <w:t>Safety mesh shall not be considered as affording support to the roof sheathing.</w:t>
      </w:r>
    </w:p>
    <w:p w:rsidR="00AF2508" w:rsidRDefault="00AF2508">
      <w:pPr>
        <w:pStyle w:val="Amain"/>
      </w:pPr>
      <w:r>
        <w:tab/>
        <w:t>(28)</w:t>
      </w:r>
      <w:r>
        <w:tab/>
        <w:t>The owner of any building (other than a private dwelling house), or any structure, having any roof sheathing of asbestos cement or other brittle material, shall provide and fix on each individual slope, curve, or flat of roofing of it, the warning or danger notices in the positions, and way prescribed in this section.</w:t>
      </w:r>
    </w:p>
    <w:p w:rsidR="00AF2508" w:rsidRDefault="00AF2508">
      <w:pPr>
        <w:pStyle w:val="Amain"/>
      </w:pPr>
      <w:r>
        <w:tab/>
        <w:t>(29)</w:t>
      </w:r>
      <w:r>
        <w:tab/>
        <w:t>The owner shall preserve and maintain the notices in good condition, and in a clean and legible state.</w:t>
      </w:r>
    </w:p>
    <w:p w:rsidR="00AF2508" w:rsidRDefault="00AF2508">
      <w:pPr>
        <w:pStyle w:val="Amain"/>
        <w:keepNext/>
      </w:pPr>
      <w:r>
        <w:tab/>
        <w:t>(30)</w:t>
      </w:r>
      <w:r>
        <w:tab/>
        <w:t>The warning notices shall bear the words—</w:t>
      </w:r>
    </w:p>
    <w:p w:rsidR="00AF2508" w:rsidRDefault="00AF2508">
      <w:pPr>
        <w:pStyle w:val="Amainreturn"/>
        <w:keepNext/>
        <w:rPr>
          <w:rStyle w:val="charUnderline"/>
        </w:rPr>
      </w:pPr>
      <w:r>
        <w:rPr>
          <w:rStyle w:val="charUnderline"/>
        </w:rPr>
        <w:t>Warning</w:t>
      </w:r>
    </w:p>
    <w:p w:rsidR="00AF2508" w:rsidRDefault="00AF2508">
      <w:pPr>
        <w:pStyle w:val="Amainreturn"/>
        <w:keepNext/>
      </w:pPr>
      <w:r>
        <w:t xml:space="preserve">Stand or walk only on lines of nails or screws in </w:t>
      </w:r>
    </w:p>
    <w:p w:rsidR="00AF2508" w:rsidRDefault="00AF2508">
      <w:pPr>
        <w:pStyle w:val="allsections"/>
        <w:tabs>
          <w:tab w:val="left" w:pos="2240"/>
          <w:tab w:val="left" w:leader="underscore" w:pos="3260"/>
          <w:tab w:val="left" w:leader="underscore" w:pos="4800"/>
        </w:tabs>
        <w:spacing w:before="0"/>
        <w:ind w:firstLine="0"/>
        <w:jc w:val="left"/>
        <w:rPr>
          <w:rFonts w:ascii="Times New Roman" w:hAnsi="Times New Roman"/>
        </w:rPr>
      </w:pPr>
      <w:r>
        <w:rPr>
          <w:rFonts w:ascii="Times New Roman" w:hAnsi="Times New Roman"/>
        </w:rPr>
        <w:tab/>
        <w:t>&lt;</w:t>
      </w:r>
      <w:r>
        <w:rPr>
          <w:rFonts w:ascii="Times New Roman" w:hAnsi="Times New Roman"/>
          <w:position w:val="10"/>
        </w:rPr>
        <w:tab/>
      </w:r>
      <w:r>
        <w:rPr>
          <w:rFonts w:ascii="Times New Roman" w:hAnsi="Times New Roman"/>
        </w:rPr>
        <w:t xml:space="preserve"> </w:t>
      </w:r>
      <w:r>
        <w:rPr>
          <w:rFonts w:ascii="Times New Roman" w:hAnsi="Times New Roman"/>
          <w:caps/>
        </w:rPr>
        <w:t>this</w:t>
      </w:r>
      <w:r>
        <w:rPr>
          <w:rFonts w:ascii="Times New Roman" w:hAnsi="Times New Roman"/>
        </w:rPr>
        <w:t xml:space="preserve"> </w:t>
      </w:r>
      <w:r>
        <w:rPr>
          <w:rFonts w:ascii="Times New Roman" w:hAnsi="Times New Roman"/>
          <w:position w:val="10"/>
        </w:rPr>
        <w:tab/>
      </w:r>
      <w:r>
        <w:rPr>
          <w:rFonts w:ascii="Times New Roman" w:hAnsi="Times New Roman"/>
        </w:rPr>
        <w:t>&gt;</w:t>
      </w:r>
      <w:r>
        <w:rPr>
          <w:rFonts w:ascii="Times New Roman" w:hAnsi="Times New Roman"/>
          <w:color w:val="000000"/>
        </w:rPr>
        <w:t xml:space="preserve"> d</w:t>
      </w:r>
      <w:r>
        <w:rPr>
          <w:rFonts w:ascii="Times New Roman" w:hAnsi="Times New Roman"/>
        </w:rPr>
        <w:t>irection</w:t>
      </w:r>
    </w:p>
    <w:p w:rsidR="00AF2508" w:rsidRDefault="00AF2508">
      <w:pPr>
        <w:pStyle w:val="Amainreturn"/>
      </w:pPr>
      <w:r>
        <w:t>in heavy block lettering in black on a sharply contrasting yellow background.</w:t>
      </w:r>
    </w:p>
    <w:p w:rsidR="00AF2508" w:rsidRDefault="00AF2508">
      <w:pPr>
        <w:pStyle w:val="Amain"/>
      </w:pPr>
      <w:r>
        <w:tab/>
        <w:t>(31)</w:t>
      </w:r>
      <w:r>
        <w:tab/>
        <w:t>The words ‘Warning’ and ‘This’ shall be at least 1</w:t>
      </w:r>
      <w:r>
        <w:rPr>
          <w:position w:val="6"/>
          <w:sz w:val="18"/>
        </w:rPr>
        <w:t>3</w:t>
      </w:r>
      <w:r>
        <w:t>/</w:t>
      </w:r>
      <w:r>
        <w:rPr>
          <w:sz w:val="18"/>
        </w:rPr>
        <w:t>4</w:t>
      </w:r>
      <w:r>
        <w:t xml:space="preserve"> inches in height, and the remainder of the lettering shall be at least 1</w:t>
      </w:r>
      <w:r>
        <w:rPr>
          <w:position w:val="6"/>
          <w:sz w:val="18"/>
        </w:rPr>
        <w:t>1</w:t>
      </w:r>
      <w:r>
        <w:t>/</w:t>
      </w:r>
      <w:r>
        <w:rPr>
          <w:sz w:val="18"/>
        </w:rPr>
        <w:t>8</w:t>
      </w:r>
      <w:r>
        <w:t xml:space="preserve"> inches in height.</w:t>
      </w:r>
    </w:p>
    <w:p w:rsidR="00AF2508" w:rsidRDefault="00AF2508">
      <w:pPr>
        <w:pStyle w:val="Amain"/>
      </w:pPr>
      <w:r>
        <w:tab/>
        <w:t>(32)</w:t>
      </w:r>
      <w:r>
        <w:tab/>
        <w:t>The word ‘This’ shall be placed centrally between 2 heavy straight black arrows as indicated in subsection (30).</w:t>
      </w:r>
    </w:p>
    <w:p w:rsidR="00AF2508" w:rsidRDefault="00AF2508">
      <w:pPr>
        <w:pStyle w:val="Amain"/>
      </w:pPr>
      <w:r>
        <w:tab/>
        <w:t>(33)</w:t>
      </w:r>
      <w:r>
        <w:tab/>
        <w:t>The word ‘Warning’ shall be heavily underlined in black.</w:t>
      </w:r>
    </w:p>
    <w:p w:rsidR="00AF2508" w:rsidRDefault="00AF2508">
      <w:pPr>
        <w:pStyle w:val="Amain"/>
      </w:pPr>
      <w:r>
        <w:tab/>
        <w:t>(34)</w:t>
      </w:r>
      <w:r>
        <w:tab/>
        <w:t>The warning notices shall not be less than 12</w:t>
      </w:r>
      <w:r>
        <w:rPr>
          <w:position w:val="6"/>
          <w:sz w:val="18"/>
        </w:rPr>
        <w:t>1</w:t>
      </w:r>
      <w:r>
        <w:t>/</w:t>
      </w:r>
      <w:r>
        <w:rPr>
          <w:sz w:val="18"/>
        </w:rPr>
        <w:t>2</w:t>
      </w:r>
      <w:r>
        <w:t xml:space="preserve"> inches in width and 14 inches in depth and shall be of steel not less in thickness than 18 English Imperial Legal Standard Gauge (0.048 of an inch).</w:t>
      </w:r>
    </w:p>
    <w:p w:rsidR="00AF2508" w:rsidRDefault="00AF2508">
      <w:pPr>
        <w:pStyle w:val="Amain"/>
      </w:pPr>
      <w:r>
        <w:tab/>
        <w:t>(35)</w:t>
      </w:r>
      <w:r>
        <w:tab/>
        <w:t>All of the wording and its background shall be executed in vitreous (‘porcelain’) enamel and the back and other part of the notice shall, if not otherwise enamelled, have at least a grip coat of vitreous enamel.</w:t>
      </w:r>
    </w:p>
    <w:p w:rsidR="00AF2508" w:rsidRDefault="00AF2508">
      <w:pPr>
        <w:pStyle w:val="Amain"/>
      </w:pPr>
      <w:r>
        <w:tab/>
        <w:t>(36)</w:t>
      </w:r>
      <w:r>
        <w:tab/>
        <w:t>Warning notices shall be strongly fixed in upright positions directly on and not more than 3 inches above the sheathings of the roofs, closely adjacent to all points of access to the roofs.</w:t>
      </w:r>
    </w:p>
    <w:p w:rsidR="00AF2508" w:rsidRDefault="00AF2508">
      <w:pPr>
        <w:pStyle w:val="Amain"/>
      </w:pPr>
      <w:r>
        <w:tab/>
        <w:t>(37)</w:t>
      </w:r>
      <w:r>
        <w:tab/>
        <w:t>In the same way they shall also be fixed closely adjacent to all valleys and other points where persons might reasonably be expected to enter on the roofs.</w:t>
      </w:r>
    </w:p>
    <w:p w:rsidR="00AF2508" w:rsidRDefault="00AF2508">
      <w:pPr>
        <w:pStyle w:val="Amain"/>
      </w:pPr>
      <w:r>
        <w:tab/>
        <w:t>(38)</w:t>
      </w:r>
      <w:r>
        <w:tab/>
        <w:t>They shall be so placed that they constitute plain and clearly visible warning to persons about to enter on the roofs.</w:t>
      </w:r>
    </w:p>
    <w:p w:rsidR="00AF2508" w:rsidRDefault="00AF2508">
      <w:pPr>
        <w:pStyle w:val="Amain"/>
      </w:pPr>
      <w:r>
        <w:tab/>
        <w:t>(39)</w:t>
      </w:r>
      <w:r>
        <w:tab/>
        <w:t>Each notice shall be so placed and so oriented, that the arrows on them are directly above and point along the line of nails, screws, bolts, or other fastenings that secure the roof sheathing to its immediate supports.</w:t>
      </w:r>
    </w:p>
    <w:p w:rsidR="00AF2508" w:rsidRDefault="00AF2508">
      <w:pPr>
        <w:pStyle w:val="Amain"/>
      </w:pPr>
      <w:r>
        <w:tab/>
        <w:t>(40)</w:t>
      </w:r>
      <w:r>
        <w:tab/>
        <w:t>Each notice shall be so placed and so oriented that it clearly indicates those lines that mark the positions and directions of uninterruptedly continuous supporting members of the roof sheathing.</w:t>
      </w:r>
    </w:p>
    <w:p w:rsidR="00AF2508" w:rsidRDefault="00AF2508">
      <w:pPr>
        <w:pStyle w:val="Amain"/>
      </w:pPr>
      <w:r>
        <w:tab/>
        <w:t>(41)</w:t>
      </w:r>
      <w:r>
        <w:tab/>
        <w:t>No person shall fix a warning notice on a roof until the person has first ensured that there is an uninterruptedly continuous supporting member along each line of nails, screws, or other fastenings after which to be indicated by the notice, and if any such member is not uninterruptedly continuous the person shall cause it to be made so before fixing the notice.</w:t>
      </w:r>
    </w:p>
    <w:p w:rsidR="00AF2508" w:rsidRDefault="00AF2508">
      <w:pPr>
        <w:pStyle w:val="Amain"/>
      </w:pPr>
      <w:r>
        <w:tab/>
        <w:t>(42)</w:t>
      </w:r>
      <w:r>
        <w:tab/>
        <w:t>If any supporting member of the sheathing of any roof is incapable of safely supporting a concentrated load of 300 pounds acting vertically downwards and so placed as to be of most adverse effect, no person shall fix a warning notice as previously prescribed.</w:t>
      </w:r>
    </w:p>
    <w:p w:rsidR="00AF2508" w:rsidRDefault="00AF2508">
      <w:pPr>
        <w:pStyle w:val="Amain"/>
      </w:pPr>
      <w:r>
        <w:tab/>
        <w:t>(43)</w:t>
      </w:r>
      <w:r>
        <w:tab/>
        <w:t>Instead, danger notices shall be strongly fixed, as prescribed in this section for warning notices.</w:t>
      </w:r>
    </w:p>
    <w:p w:rsidR="00AF2508" w:rsidRDefault="00AF2508">
      <w:pPr>
        <w:pStyle w:val="Amain"/>
      </w:pPr>
      <w:r>
        <w:tab/>
        <w:t>(44)</w:t>
      </w:r>
      <w:r>
        <w:tab/>
        <w:t>Danger notices shall bear the words—</w:t>
      </w:r>
    </w:p>
    <w:p w:rsidR="00AF2508" w:rsidRDefault="00AF2508">
      <w:pPr>
        <w:pStyle w:val="Amainreturn"/>
        <w:rPr>
          <w:rStyle w:val="charUnderline"/>
        </w:rPr>
      </w:pPr>
      <w:r>
        <w:rPr>
          <w:rStyle w:val="charUnderline"/>
        </w:rPr>
        <w:t>Danger</w:t>
      </w:r>
    </w:p>
    <w:p w:rsidR="00AF2508" w:rsidRDefault="00AF2508">
      <w:pPr>
        <w:pStyle w:val="Amainreturn"/>
      </w:pPr>
      <w:r>
        <w:t>Keep off this roof</w:t>
      </w:r>
    </w:p>
    <w:p w:rsidR="00AF2508" w:rsidRDefault="00AF2508">
      <w:pPr>
        <w:pStyle w:val="Amainreturn"/>
      </w:pPr>
      <w:r>
        <w:t>in heavy block lettering in red on a white background.</w:t>
      </w:r>
    </w:p>
    <w:p w:rsidR="00AF2508" w:rsidRDefault="00AF2508">
      <w:pPr>
        <w:pStyle w:val="Amain"/>
      </w:pPr>
      <w:r>
        <w:tab/>
        <w:t>(45)</w:t>
      </w:r>
      <w:r>
        <w:tab/>
        <w:t>The word ‘Danger’ shall be at least 1</w:t>
      </w:r>
      <w:r>
        <w:rPr>
          <w:position w:val="6"/>
          <w:sz w:val="18"/>
        </w:rPr>
        <w:t>3</w:t>
      </w:r>
      <w:r>
        <w:t>/</w:t>
      </w:r>
      <w:r>
        <w:rPr>
          <w:sz w:val="18"/>
        </w:rPr>
        <w:t>4</w:t>
      </w:r>
      <w:r>
        <w:t xml:space="preserve"> inches in height and shall be heavily underlined in red.</w:t>
      </w:r>
    </w:p>
    <w:p w:rsidR="00AF2508" w:rsidRDefault="00AF2508">
      <w:pPr>
        <w:pStyle w:val="Amain"/>
      </w:pPr>
      <w:r>
        <w:tab/>
        <w:t>(46)</w:t>
      </w:r>
      <w:r>
        <w:tab/>
        <w:t>The remainder of the lettering shall be at least 1</w:t>
      </w:r>
      <w:r>
        <w:rPr>
          <w:position w:val="6"/>
          <w:sz w:val="18"/>
        </w:rPr>
        <w:t>3</w:t>
      </w:r>
      <w:r>
        <w:t>/</w:t>
      </w:r>
      <w:r>
        <w:rPr>
          <w:sz w:val="18"/>
        </w:rPr>
        <w:t>8</w:t>
      </w:r>
      <w:r>
        <w:t xml:space="preserve"> inches in height.</w:t>
      </w:r>
    </w:p>
    <w:p w:rsidR="00AF2508" w:rsidRDefault="00AF2508">
      <w:pPr>
        <w:pStyle w:val="Amain"/>
      </w:pPr>
      <w:r>
        <w:tab/>
        <w:t>(47)</w:t>
      </w:r>
      <w:r>
        <w:tab/>
        <w:t>The danger notices shall not be less than 12 inches square and shall in all other respects conform with the requirements of this regulation for warning notices.</w:t>
      </w:r>
    </w:p>
    <w:p w:rsidR="00AF2508" w:rsidRDefault="00AF2508">
      <w:pPr>
        <w:pStyle w:val="PageBreak"/>
      </w:pPr>
      <w:r>
        <w:br w:type="page"/>
      </w:r>
    </w:p>
    <w:p w:rsidR="00AF2508" w:rsidRDefault="00AF2508">
      <w:pPr>
        <w:pStyle w:val="AH2Part"/>
      </w:pPr>
      <w:bookmarkStart w:id="326" w:name="_Toc161636957"/>
      <w:r>
        <w:rPr>
          <w:rStyle w:val="CharPartNo"/>
        </w:rPr>
        <w:t>Part 16</w:t>
      </w:r>
      <w:r>
        <w:tab/>
      </w:r>
      <w:r>
        <w:rPr>
          <w:rStyle w:val="CharPartText"/>
        </w:rPr>
        <w:t>Miscellaneous and penalties</w:t>
      </w:r>
      <w:bookmarkEnd w:id="326"/>
    </w:p>
    <w:p w:rsidR="00AF2508" w:rsidRDefault="00AF2508">
      <w:pPr>
        <w:pStyle w:val="AH4SubDiv"/>
      </w:pPr>
      <w:bookmarkStart w:id="327" w:name="_Toc161636958"/>
      <w:r>
        <w:t>General penalty</w:t>
      </w:r>
      <w:bookmarkEnd w:id="327"/>
    </w:p>
    <w:p w:rsidR="00AF2508" w:rsidRDefault="00AF2508">
      <w:pPr>
        <w:pStyle w:val="AH5Sec"/>
      </w:pPr>
      <w:bookmarkStart w:id="328" w:name="_Toc161636959"/>
      <w:r>
        <w:rPr>
          <w:rStyle w:val="CharSectNo"/>
        </w:rPr>
        <w:t>164</w:t>
      </w:r>
      <w:bookmarkEnd w:id="328"/>
      <w:r>
        <w:tab/>
        <w:t xml:space="preserve">  </w:t>
      </w:r>
    </w:p>
    <w:p w:rsidR="00AF2508" w:rsidRDefault="00AF2508">
      <w:pPr>
        <w:pStyle w:val="Amain"/>
      </w:pPr>
      <w:r>
        <w:tab/>
        <w:t>(1)</w:t>
      </w:r>
      <w:r>
        <w:tab/>
        <w:t>When any matter or thing is by this regulation required, directed or forbidden to be done, or if any authority is given by this regulation to any person to require, direct or forbid any matter or thing to be done, and the matter or thing so required or directed to be done remains undone, or the matter or thing so forbidden to be done is done, in every such case every person offending against the requirement, direction or prohibition, commits an offence against this regulation.</w:t>
      </w:r>
    </w:p>
    <w:p w:rsidR="00AF2508" w:rsidRDefault="00AF2508">
      <w:pPr>
        <w:pStyle w:val="Amain"/>
      </w:pPr>
      <w:r>
        <w:tab/>
        <w:t>(2)</w:t>
      </w:r>
      <w:r>
        <w:tab/>
        <w:t>Any person guilty of a breach of this regulation shall, if no other penalty is expressly provided in this regulation for the breach, be liable to a penalty not exceeding $100.</w:t>
      </w:r>
    </w:p>
    <w:p w:rsidR="00AF2508" w:rsidRDefault="00AF2508">
      <w:pPr>
        <w:pStyle w:val="02Text"/>
        <w:sectPr w:rsidR="00AF2508">
          <w:headerReference w:type="even" r:id="rId173"/>
          <w:headerReference w:type="default" r:id="rId174"/>
          <w:footerReference w:type="even" r:id="rId175"/>
          <w:footerReference w:type="default" r:id="rId176"/>
          <w:footerReference w:type="first" r:id="rId177"/>
          <w:pgSz w:w="11907" w:h="16839" w:code="9"/>
          <w:pgMar w:top="3000" w:right="1900" w:bottom="2500" w:left="2300" w:header="2480" w:footer="2100" w:gutter="0"/>
          <w:cols w:space="720"/>
          <w:docGrid w:linePitch="254"/>
        </w:sectPr>
      </w:pPr>
    </w:p>
    <w:p w:rsidR="00AF2508" w:rsidRDefault="00AF2508">
      <w:pPr>
        <w:pStyle w:val="PageBreak"/>
      </w:pPr>
      <w:r>
        <w:br w:type="page"/>
      </w:r>
    </w:p>
    <w:p w:rsidR="00AF2508" w:rsidRDefault="00AF2508">
      <w:pPr>
        <w:pStyle w:val="Sched-heading"/>
      </w:pPr>
      <w:bookmarkStart w:id="329" w:name="_Toc161636960"/>
      <w:r>
        <w:rPr>
          <w:rStyle w:val="CharChapNo"/>
        </w:rPr>
        <w:t>Schedule 3</w:t>
      </w:r>
      <w:r>
        <w:rPr>
          <w:rStyle w:val="CharChapNo"/>
        </w:rPr>
        <w:tab/>
      </w:r>
      <w:r>
        <w:rPr>
          <w:rStyle w:val="CharChapText"/>
        </w:rPr>
        <w:t>Method of treatment of silica paint for the purpose of ascertaining the percentage of free silica present</w:t>
      </w:r>
      <w:bookmarkEnd w:id="329"/>
    </w:p>
    <w:p w:rsidR="00AF2508" w:rsidRDefault="00AF2508">
      <w:pPr>
        <w:pStyle w:val="Placeholder"/>
      </w:pPr>
      <w:r>
        <w:rPr>
          <w:rStyle w:val="CharPartNo"/>
        </w:rPr>
        <w:t xml:space="preserve">  </w:t>
      </w:r>
      <w:r>
        <w:rPr>
          <w:rStyle w:val="CharPartText"/>
        </w:rPr>
        <w:t xml:space="preserve">  </w:t>
      </w:r>
    </w:p>
    <w:p w:rsidR="00AF2508" w:rsidRDefault="00AF2508">
      <w:pPr>
        <w:pStyle w:val="Amain"/>
      </w:pPr>
      <w:r>
        <w:tab/>
        <w:t>1</w:t>
      </w:r>
      <w:r>
        <w:tab/>
        <w:t>take 10g of paint and extract with successive portions of a suitable solvent until the residue is free from vehicle</w:t>
      </w:r>
    </w:p>
    <w:p w:rsidR="00AF2508" w:rsidRDefault="00AF2508">
      <w:pPr>
        <w:pStyle w:val="Amain"/>
      </w:pPr>
      <w:r>
        <w:tab/>
        <w:t>2</w:t>
      </w:r>
      <w:r>
        <w:tab/>
        <w:t>take 0.5g of dry residue and boil for 5 minutes with 50mL of 20%, acetic acid containing 5.0g of ammonium acetate, then cool, centrifuge, decant off the supernatant liquid, and wash the residue with 50mL of 20% acetic acid</w:t>
      </w:r>
    </w:p>
    <w:p w:rsidR="00AF2508" w:rsidRDefault="00AF2508">
      <w:pPr>
        <w:pStyle w:val="Amain"/>
      </w:pPr>
      <w:r>
        <w:tab/>
        <w:t>3</w:t>
      </w:r>
      <w:r>
        <w:tab/>
        <w:t>treat the residue with 50mL of 1:2 hydrochloric acid, boil, cool, centrifuge, decant, and wash with 50mL of 1:2 hydrochloric acid</w:t>
      </w:r>
    </w:p>
    <w:p w:rsidR="00AF2508" w:rsidRDefault="00AF2508">
      <w:pPr>
        <w:pStyle w:val="Amain"/>
      </w:pPr>
      <w:r>
        <w:tab/>
        <w:t>4</w:t>
      </w:r>
      <w:r>
        <w:tab/>
        <w:t>treat the residue with 25mL of concentrated sulphuric acid containing 5g of sodium sulphate, then heat to fuming, cool, centrifuge, decant, and wash with 25mL of concentrated sulphuric acid, decant and wash with 25mL of water</w:t>
      </w:r>
    </w:p>
    <w:p w:rsidR="00AF2508" w:rsidRDefault="00AF2508">
      <w:pPr>
        <w:pStyle w:val="Amain"/>
      </w:pPr>
      <w:r>
        <w:tab/>
        <w:t>5</w:t>
      </w:r>
      <w:r>
        <w:tab/>
        <w:t>boil the residue for 5 minutes with 50mL of 10% sodium carbonate, cool, centrifuge, decant, and wash with 50mL of 1:10 hydrochloric acid</w:t>
      </w:r>
    </w:p>
    <w:p w:rsidR="00AF2508" w:rsidRDefault="00AF2508">
      <w:pPr>
        <w:pStyle w:val="Amain"/>
      </w:pPr>
      <w:r>
        <w:tab/>
        <w:t>6</w:t>
      </w:r>
      <w:r>
        <w:tab/>
        <w:t>transfer residue to a platinum dish, evaporate to dryness, ignite, and weigh (residue A)</w:t>
      </w:r>
    </w:p>
    <w:p w:rsidR="00AF2508" w:rsidRDefault="00AF2508">
      <w:pPr>
        <w:pStyle w:val="Amain"/>
      </w:pPr>
      <w:r>
        <w:tab/>
        <w:t>7</w:t>
      </w:r>
      <w:r>
        <w:tab/>
        <w:t>treat the residue with 5mL of hydrofluoric acid, containing 0.5mL of concentrated sulphuric acid, then heat on water bath for 1 hour, evaporate to dryness over flame, ignite and weigh (residue B)</w:t>
      </w:r>
    </w:p>
    <w:p w:rsidR="00AF2508" w:rsidRDefault="00AF2508">
      <w:pPr>
        <w:pStyle w:val="Amain"/>
      </w:pPr>
      <w:r>
        <w:tab/>
        <w:t>8</w:t>
      </w:r>
      <w:r>
        <w:tab/>
        <w:t>free silica equals residue A minus residue B</w:t>
      </w:r>
    </w:p>
    <w:p w:rsidR="00AF2508" w:rsidRDefault="00AF2508">
      <w:pPr>
        <w:pStyle w:val="PageBreak"/>
      </w:pPr>
      <w:r>
        <w:br w:type="page"/>
      </w:r>
    </w:p>
    <w:p w:rsidR="00AF2508" w:rsidRDefault="00AF2508">
      <w:pPr>
        <w:pStyle w:val="Sched-heading"/>
      </w:pPr>
      <w:bookmarkStart w:id="330" w:name="_Toc161636961"/>
      <w:r>
        <w:rPr>
          <w:rStyle w:val="CharChapNo"/>
        </w:rPr>
        <w:t>Schedule 4</w:t>
      </w:r>
      <w:r>
        <w:rPr>
          <w:rStyle w:val="CharChapNo"/>
        </w:rPr>
        <w:tab/>
      </w:r>
      <w:r>
        <w:rPr>
          <w:rStyle w:val="CharChapText"/>
        </w:rPr>
        <w:t>Processes to which s 73 (1) (o) applies</w:t>
      </w:r>
      <w:bookmarkEnd w:id="330"/>
    </w:p>
    <w:p w:rsidR="00AF2508" w:rsidRDefault="00AF2508">
      <w:pPr>
        <w:pStyle w:val="Amain"/>
      </w:pPr>
      <w:r>
        <w:tab/>
        <w:t>1</w:t>
      </w:r>
      <w:r>
        <w:tab/>
        <w:t>dry grinding of surfaces of metal, stone, concrete, or similar materials by means of a wheel or discs driven by mechanical power</w:t>
      </w:r>
    </w:p>
    <w:p w:rsidR="00AF2508" w:rsidRDefault="00AF2508">
      <w:pPr>
        <w:pStyle w:val="Amain"/>
      </w:pPr>
      <w:r>
        <w:tab/>
        <w:t>2</w:t>
      </w:r>
      <w:r>
        <w:tab/>
        <w:t>cutting, dressing, or carving of stone, concrete or similar material by means of a portable tool driven by mechanical power</w:t>
      </w:r>
    </w:p>
    <w:p w:rsidR="00AF2508" w:rsidRDefault="00AF2508">
      <w:pPr>
        <w:pStyle w:val="Amain"/>
      </w:pPr>
      <w:r>
        <w:tab/>
        <w:t>3</w:t>
      </w:r>
      <w:r>
        <w:tab/>
        <w:t>chipping, or scaling of painted or corroded metal surfaces or wire brushing of the surfaces by mechanical power</w:t>
      </w:r>
    </w:p>
    <w:p w:rsidR="00AF2508" w:rsidRDefault="00AF2508">
      <w:pPr>
        <w:pStyle w:val="Amain"/>
      </w:pPr>
      <w:r>
        <w:tab/>
        <w:t>4</w:t>
      </w:r>
      <w:r>
        <w:tab/>
        <w:t>cutting out or cutting off of cold rivets or bolts from any structure or part of a structure</w:t>
      </w:r>
    </w:p>
    <w:p w:rsidR="00AF2508" w:rsidRDefault="00AF2508">
      <w:pPr>
        <w:pStyle w:val="Amain"/>
      </w:pPr>
      <w:r>
        <w:tab/>
        <w:t>5</w:t>
      </w:r>
      <w:r>
        <w:tab/>
        <w:t>welding or cutting of metals by means of an electrical, oxyacetylene or similar process</w:t>
      </w:r>
    </w:p>
    <w:p w:rsidR="00AF2508" w:rsidRDefault="00AF2508">
      <w:pPr>
        <w:pStyle w:val="PageBreak"/>
      </w:pPr>
      <w:r>
        <w:br w:type="page"/>
      </w:r>
    </w:p>
    <w:p w:rsidR="00AF2508" w:rsidRDefault="00AF2508">
      <w:pPr>
        <w:pStyle w:val="Sched-heading"/>
      </w:pPr>
      <w:bookmarkStart w:id="331" w:name="_Toc161636962"/>
      <w:r>
        <w:rPr>
          <w:rStyle w:val="CharChapNo"/>
        </w:rPr>
        <w:t>Schedule 5</w:t>
      </w:r>
      <w:r>
        <w:tab/>
      </w:r>
      <w:r>
        <w:rPr>
          <w:rStyle w:val="CharChapText"/>
        </w:rPr>
        <w:t>Method of treatment of a lead compound for the purpose of determining the percentage of dry compound of lead</w:t>
      </w:r>
      <w:bookmarkEnd w:id="331"/>
    </w:p>
    <w:p w:rsidR="00AF2508" w:rsidRDefault="00AF2508">
      <w:pPr>
        <w:pStyle w:val="Amain"/>
        <w:rPr>
          <w:rStyle w:val="CharChapNo"/>
        </w:rPr>
      </w:pPr>
      <w:r>
        <w:rPr>
          <w:rStyle w:val="CharChapNo"/>
        </w:rPr>
        <w:tab/>
        <w:t>1</w:t>
      </w:r>
      <w:r>
        <w:rPr>
          <w:rStyle w:val="CharChapNo"/>
        </w:rPr>
        <w:tab/>
        <w:t>the material is to be treated with suitable solvents to remove the oil, varnish, and other media, and the residue to be dried at 100° C and thoroughly mixed</w:t>
      </w:r>
    </w:p>
    <w:p w:rsidR="00AF2508" w:rsidRDefault="00AF2508">
      <w:pPr>
        <w:pStyle w:val="Amain"/>
        <w:rPr>
          <w:rStyle w:val="CharChapNo"/>
        </w:rPr>
      </w:pPr>
      <w:r>
        <w:rPr>
          <w:rStyle w:val="CharChapNo"/>
        </w:rPr>
        <w:tab/>
        <w:t>2</w:t>
      </w:r>
      <w:r>
        <w:rPr>
          <w:rStyle w:val="CharChapNo"/>
        </w:rPr>
        <w:tab/>
        <w:t>a weighed quantity of this extracted, dried and mixed material is to be continuously shaken for 1 hour, at the common temperature, with 1 000 times its weight of an aqueous solution of hydrochloric acid containing 0.25% by weight of hydrogen chloride</w:t>
      </w:r>
    </w:p>
    <w:p w:rsidR="00AF2508" w:rsidRDefault="00AF2508">
      <w:pPr>
        <w:pStyle w:val="Amain"/>
        <w:rPr>
          <w:rStyle w:val="CharChapNo"/>
        </w:rPr>
      </w:pPr>
      <w:r>
        <w:rPr>
          <w:rStyle w:val="CharChapNo"/>
        </w:rPr>
        <w:tab/>
        <w:t>3</w:t>
      </w:r>
      <w:r>
        <w:rPr>
          <w:rStyle w:val="CharChapNo"/>
        </w:rPr>
        <w:tab/>
        <w:t>this solution is then to be allowed to stand for 1 hour and then filtered</w:t>
      </w:r>
    </w:p>
    <w:p w:rsidR="00AF2508" w:rsidRDefault="00AF2508">
      <w:pPr>
        <w:pStyle w:val="Amain"/>
        <w:rPr>
          <w:rStyle w:val="CharChapNo"/>
        </w:rPr>
      </w:pPr>
      <w:r>
        <w:rPr>
          <w:rStyle w:val="CharChapNo"/>
        </w:rPr>
        <w:tab/>
        <w:t>4</w:t>
      </w:r>
      <w:r>
        <w:rPr>
          <w:rStyle w:val="CharChapNo"/>
        </w:rPr>
        <w:tab/>
        <w:t>the lead salt contained in the clear filtrate is then to be precipitated as lead sulphide and weighed as lead sulphate</w:t>
      </w:r>
    </w:p>
    <w:p w:rsidR="00AF2508" w:rsidRDefault="00AF2508">
      <w:pPr>
        <w:pStyle w:val="03Schedule"/>
        <w:sectPr w:rsidR="00AF2508">
          <w:headerReference w:type="even" r:id="rId178"/>
          <w:headerReference w:type="default" r:id="rId179"/>
          <w:footerReference w:type="even" r:id="rId180"/>
          <w:footerReference w:type="default" r:id="rId181"/>
          <w:type w:val="continuous"/>
          <w:pgSz w:w="11907" w:h="16839" w:code="9"/>
          <w:pgMar w:top="3000" w:right="1900" w:bottom="2500" w:left="2300" w:header="2480" w:footer="2100" w:gutter="0"/>
          <w:cols w:space="720"/>
        </w:sectPr>
      </w:pPr>
    </w:p>
    <w:p w:rsidR="00AF2508" w:rsidRDefault="00AF2508">
      <w:pPr>
        <w:pStyle w:val="Sched-heading"/>
      </w:pPr>
      <w:bookmarkStart w:id="332" w:name="_Toc161636963"/>
      <w:r>
        <w:rPr>
          <w:rStyle w:val="CharChapNo"/>
        </w:rPr>
        <w:t>Schedule 7</w:t>
      </w:r>
      <w:bookmarkEnd w:id="332"/>
      <w:r>
        <w:rPr>
          <w:rStyle w:val="CharChapNo"/>
        </w:rPr>
        <w:tab/>
      </w:r>
      <w:r>
        <w:rPr>
          <w:rStyle w:val="CharChapText"/>
        </w:rPr>
        <w:t xml:space="preserve">  </w:t>
      </w:r>
    </w:p>
    <w:p w:rsidR="00AF2508" w:rsidRDefault="00AF2508">
      <w:pPr>
        <w:pStyle w:val="TableHd"/>
      </w:pPr>
      <w:r>
        <w:t>Table 7.1</w:t>
      </w:r>
      <w:r>
        <w:tab/>
        <w:t>Decompression—stoppages after exceeding ordinary time limits</w:t>
      </w:r>
    </w:p>
    <w:p w:rsidR="00AF2508" w:rsidRDefault="00AF2508">
      <w:pPr>
        <w:pStyle w:val="ref"/>
      </w:pPr>
      <w:r>
        <w:t>(see s 99 (21) to (23))</w:t>
      </w:r>
    </w:p>
    <w:tbl>
      <w:tblPr>
        <w:tblW w:w="0" w:type="auto"/>
        <w:tblInd w:w="-160" w:type="dxa"/>
        <w:tblLayout w:type="fixed"/>
        <w:tblCellMar>
          <w:left w:w="80" w:type="dxa"/>
          <w:right w:w="80" w:type="dxa"/>
        </w:tblCellMar>
        <w:tblLook w:val="0000" w:firstRow="0" w:lastRow="0" w:firstColumn="0" w:lastColumn="0" w:noHBand="0" w:noVBand="0"/>
      </w:tblPr>
      <w:tblGrid>
        <w:gridCol w:w="660"/>
        <w:gridCol w:w="880"/>
        <w:gridCol w:w="980"/>
        <w:gridCol w:w="3072"/>
        <w:gridCol w:w="628"/>
        <w:gridCol w:w="20"/>
        <w:gridCol w:w="588"/>
        <w:gridCol w:w="12"/>
        <w:gridCol w:w="600"/>
        <w:gridCol w:w="600"/>
        <w:gridCol w:w="588"/>
        <w:gridCol w:w="12"/>
        <w:gridCol w:w="588"/>
        <w:gridCol w:w="12"/>
        <w:gridCol w:w="708"/>
        <w:gridCol w:w="12"/>
        <w:gridCol w:w="600"/>
        <w:gridCol w:w="12"/>
        <w:gridCol w:w="1008"/>
        <w:gridCol w:w="12"/>
        <w:gridCol w:w="25"/>
        <w:gridCol w:w="19"/>
      </w:tblGrid>
      <w:tr w:rsidR="00AF2508">
        <w:trPr>
          <w:cantSplit/>
          <w:tblHeader/>
        </w:trPr>
        <w:tc>
          <w:tcPr>
            <w:tcW w:w="1540" w:type="dxa"/>
            <w:gridSpan w:val="2"/>
            <w:tcBorders>
              <w:top w:val="single" w:sz="6" w:space="0" w:color="auto"/>
              <w:bottom w:val="single" w:sz="6" w:space="0" w:color="auto"/>
            </w:tcBorders>
            <w:vAlign w:val="bottom"/>
          </w:tcPr>
          <w:p w:rsidR="00AF2508" w:rsidRDefault="00AF2508">
            <w:pPr>
              <w:pStyle w:val="TableColHd"/>
              <w:jc w:val="center"/>
            </w:pPr>
            <w:r>
              <w:t>depth</w:t>
            </w:r>
          </w:p>
        </w:tc>
        <w:tc>
          <w:tcPr>
            <w:tcW w:w="980" w:type="dxa"/>
            <w:tcBorders>
              <w:top w:val="single" w:sz="6" w:space="0" w:color="auto"/>
              <w:left w:val="single" w:sz="6" w:space="0" w:color="auto"/>
              <w:bottom w:val="single" w:sz="4" w:space="0" w:color="auto"/>
              <w:right w:val="single" w:sz="6" w:space="0" w:color="auto"/>
            </w:tcBorders>
            <w:vAlign w:val="bottom"/>
          </w:tcPr>
          <w:p w:rsidR="00AF2508" w:rsidRDefault="00AF2508">
            <w:pPr>
              <w:pStyle w:val="TableColHd"/>
              <w:jc w:val="center"/>
            </w:pPr>
            <w:r>
              <w:t>pressure</w:t>
            </w:r>
          </w:p>
        </w:tc>
        <w:tc>
          <w:tcPr>
            <w:tcW w:w="3072" w:type="dxa"/>
            <w:vMerge w:val="restart"/>
            <w:tcBorders>
              <w:top w:val="single" w:sz="6" w:space="0" w:color="auto"/>
              <w:right w:val="single" w:sz="6" w:space="0" w:color="auto"/>
            </w:tcBorders>
            <w:vAlign w:val="bottom"/>
          </w:tcPr>
          <w:p w:rsidR="00AF2508" w:rsidRDefault="00AF2508">
            <w:pPr>
              <w:pStyle w:val="TableColHd"/>
              <w:jc w:val="center"/>
            </w:pPr>
            <w:r>
              <w:t>time from leaving surface to beginning of ascent</w:t>
            </w:r>
          </w:p>
        </w:tc>
        <w:tc>
          <w:tcPr>
            <w:tcW w:w="4968" w:type="dxa"/>
            <w:gridSpan w:val="13"/>
            <w:tcBorders>
              <w:top w:val="single" w:sz="6" w:space="0" w:color="auto"/>
            </w:tcBorders>
            <w:vAlign w:val="bottom"/>
          </w:tcPr>
          <w:p w:rsidR="00AF2508" w:rsidRDefault="00AF2508">
            <w:pPr>
              <w:pStyle w:val="TableColHd"/>
              <w:jc w:val="center"/>
            </w:pPr>
            <w:r>
              <w:t>stoppages at different depths in minutes</w:t>
            </w:r>
          </w:p>
        </w:tc>
        <w:tc>
          <w:tcPr>
            <w:tcW w:w="1076" w:type="dxa"/>
            <w:gridSpan w:val="5"/>
            <w:tcBorders>
              <w:top w:val="single" w:sz="6" w:space="0" w:color="auto"/>
              <w:left w:val="single" w:sz="6" w:space="0" w:color="auto"/>
            </w:tcBorders>
            <w:vAlign w:val="bottom"/>
          </w:tcPr>
          <w:p w:rsidR="00AF2508" w:rsidRDefault="00AF2508">
            <w:pPr>
              <w:pStyle w:val="TableColHd"/>
              <w:jc w:val="center"/>
            </w:pPr>
            <w:r>
              <w:t>total time for ascent</w:t>
            </w:r>
          </w:p>
        </w:tc>
      </w:tr>
      <w:tr w:rsidR="00AF2508">
        <w:trPr>
          <w:gridAfter w:val="1"/>
          <w:wAfter w:w="19" w:type="dxa"/>
          <w:cantSplit/>
          <w:trHeight w:hRule="exact" w:val="460"/>
          <w:tblHeader/>
        </w:trPr>
        <w:tc>
          <w:tcPr>
            <w:tcW w:w="660" w:type="dxa"/>
            <w:tcBorders>
              <w:bottom w:val="single" w:sz="6" w:space="0" w:color="auto"/>
              <w:right w:val="single" w:sz="6" w:space="0" w:color="auto"/>
            </w:tcBorders>
            <w:vAlign w:val="bottom"/>
          </w:tcPr>
          <w:p w:rsidR="00AF2508" w:rsidRDefault="00AF2508">
            <w:pPr>
              <w:pStyle w:val="TableColHd"/>
              <w:jc w:val="center"/>
            </w:pPr>
            <w:r>
              <w:t>ft</w:t>
            </w:r>
          </w:p>
        </w:tc>
        <w:tc>
          <w:tcPr>
            <w:tcW w:w="880" w:type="dxa"/>
            <w:tcBorders>
              <w:bottom w:val="single" w:sz="6" w:space="0" w:color="auto"/>
            </w:tcBorders>
            <w:vAlign w:val="bottom"/>
          </w:tcPr>
          <w:p w:rsidR="00AF2508" w:rsidRDefault="00AF2508">
            <w:pPr>
              <w:pStyle w:val="TableColHd"/>
              <w:jc w:val="center"/>
            </w:pPr>
            <w:r>
              <w:t>fathoms</w:t>
            </w:r>
          </w:p>
        </w:tc>
        <w:tc>
          <w:tcPr>
            <w:tcW w:w="980" w:type="dxa"/>
            <w:tcBorders>
              <w:left w:val="single" w:sz="6" w:space="0" w:color="auto"/>
              <w:bottom w:val="single" w:sz="6" w:space="0" w:color="auto"/>
              <w:right w:val="single" w:sz="6" w:space="0" w:color="auto"/>
            </w:tcBorders>
            <w:vAlign w:val="bottom"/>
          </w:tcPr>
          <w:p w:rsidR="00AF2508" w:rsidRDefault="00AF2508">
            <w:pPr>
              <w:pStyle w:val="TableColHd"/>
              <w:jc w:val="center"/>
            </w:pPr>
            <w:r>
              <w:t>lb/in</w:t>
            </w:r>
            <w:r>
              <w:rPr>
                <w:vertAlign w:val="superscript"/>
              </w:rPr>
              <w:t>2</w:t>
            </w:r>
          </w:p>
        </w:tc>
        <w:tc>
          <w:tcPr>
            <w:tcW w:w="3072" w:type="dxa"/>
            <w:vMerge/>
            <w:tcBorders>
              <w:bottom w:val="single" w:sz="6" w:space="0" w:color="auto"/>
              <w:right w:val="single" w:sz="6" w:space="0" w:color="auto"/>
            </w:tcBorders>
            <w:vAlign w:val="bottom"/>
          </w:tcPr>
          <w:p w:rsidR="00AF2508" w:rsidRDefault="00AF2508">
            <w:pPr>
              <w:pStyle w:val="TableColHd"/>
              <w:jc w:val="center"/>
            </w:pPr>
          </w:p>
        </w:tc>
        <w:tc>
          <w:tcPr>
            <w:tcW w:w="648" w:type="dxa"/>
            <w:gridSpan w:val="2"/>
            <w:tcBorders>
              <w:top w:val="single" w:sz="6" w:space="0" w:color="auto"/>
              <w:bottom w:val="single" w:sz="6" w:space="0" w:color="auto"/>
            </w:tcBorders>
            <w:vAlign w:val="bottom"/>
          </w:tcPr>
          <w:p w:rsidR="00AF2508" w:rsidRDefault="00AF2508">
            <w:pPr>
              <w:pStyle w:val="TableColHd"/>
              <w:jc w:val="center"/>
            </w:pPr>
            <w:r>
              <w:t>80ft</w:t>
            </w:r>
          </w:p>
        </w:tc>
        <w:tc>
          <w:tcPr>
            <w:tcW w:w="600" w:type="dxa"/>
            <w:gridSpan w:val="2"/>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70ft</w:t>
            </w:r>
          </w:p>
        </w:tc>
        <w:tc>
          <w:tcPr>
            <w:tcW w:w="600" w:type="dxa"/>
            <w:tcBorders>
              <w:top w:val="single" w:sz="6" w:space="0" w:color="auto"/>
              <w:bottom w:val="single" w:sz="6" w:space="0" w:color="auto"/>
            </w:tcBorders>
            <w:vAlign w:val="bottom"/>
          </w:tcPr>
          <w:p w:rsidR="00AF2508" w:rsidRDefault="00AF2508">
            <w:pPr>
              <w:pStyle w:val="TableColHd"/>
              <w:jc w:val="center"/>
            </w:pPr>
            <w:r>
              <w:t>60ft</w:t>
            </w:r>
          </w:p>
        </w:tc>
        <w:tc>
          <w:tcPr>
            <w:tcW w:w="600" w:type="dxa"/>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50ft</w:t>
            </w:r>
          </w:p>
        </w:tc>
        <w:tc>
          <w:tcPr>
            <w:tcW w:w="600" w:type="dxa"/>
            <w:gridSpan w:val="2"/>
            <w:tcBorders>
              <w:top w:val="single" w:sz="6" w:space="0" w:color="auto"/>
              <w:bottom w:val="single" w:sz="6" w:space="0" w:color="auto"/>
            </w:tcBorders>
            <w:vAlign w:val="bottom"/>
          </w:tcPr>
          <w:p w:rsidR="00AF2508" w:rsidRDefault="00AF2508">
            <w:pPr>
              <w:pStyle w:val="TableColHd"/>
              <w:jc w:val="center"/>
            </w:pPr>
            <w:r>
              <w:t>40ft</w:t>
            </w:r>
          </w:p>
        </w:tc>
        <w:tc>
          <w:tcPr>
            <w:tcW w:w="600" w:type="dxa"/>
            <w:gridSpan w:val="2"/>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30ft</w:t>
            </w:r>
          </w:p>
        </w:tc>
        <w:tc>
          <w:tcPr>
            <w:tcW w:w="720" w:type="dxa"/>
            <w:gridSpan w:val="2"/>
            <w:tcBorders>
              <w:top w:val="single" w:sz="6" w:space="0" w:color="auto"/>
              <w:bottom w:val="single" w:sz="6" w:space="0" w:color="auto"/>
            </w:tcBorders>
            <w:vAlign w:val="bottom"/>
          </w:tcPr>
          <w:p w:rsidR="00AF2508" w:rsidRDefault="00AF2508">
            <w:pPr>
              <w:pStyle w:val="TableColHd"/>
              <w:jc w:val="center"/>
            </w:pPr>
            <w:r>
              <w:t>20ft</w:t>
            </w:r>
          </w:p>
        </w:tc>
        <w:tc>
          <w:tcPr>
            <w:tcW w:w="600" w:type="dxa"/>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10ft</w:t>
            </w:r>
          </w:p>
        </w:tc>
        <w:tc>
          <w:tcPr>
            <w:tcW w:w="1057" w:type="dxa"/>
            <w:gridSpan w:val="4"/>
            <w:tcBorders>
              <w:top w:val="single" w:sz="6" w:space="0" w:color="auto"/>
              <w:bottom w:val="single" w:sz="6" w:space="0" w:color="auto"/>
            </w:tcBorders>
            <w:vAlign w:val="bottom"/>
          </w:tcPr>
          <w:p w:rsidR="00AF2508" w:rsidRDefault="00AF2508">
            <w:pPr>
              <w:pStyle w:val="TableColHd"/>
              <w:jc w:val="center"/>
            </w:pPr>
            <w:r>
              <w:t>minutes</w:t>
            </w:r>
          </w:p>
        </w:tc>
      </w:tr>
      <w:tr w:rsidR="00AF2508">
        <w:trPr>
          <w:gridAfter w:val="1"/>
          <w:wAfter w:w="19" w:type="dxa"/>
          <w:trHeight w:hRule="exact" w:val="400"/>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66</w:t>
            </w:r>
          </w:p>
        </w:tc>
        <w:tc>
          <w:tcPr>
            <w:tcW w:w="880" w:type="dxa"/>
            <w:tcBorders>
              <w:top w:val="single" w:sz="6" w:space="0" w:color="auto"/>
            </w:tcBorders>
          </w:tcPr>
          <w:p w:rsidR="00AF2508" w:rsidRDefault="00AF2508">
            <w:pPr>
              <w:pStyle w:val="TableText"/>
              <w:rPr>
                <w:sz w:val="20"/>
              </w:rPr>
            </w:pPr>
            <w:r>
              <w:rPr>
                <w:sz w:val="20"/>
              </w:rPr>
              <w:t>11</w:t>
            </w:r>
          </w:p>
        </w:tc>
        <w:tc>
          <w:tcPr>
            <w:tcW w:w="98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29</w:t>
            </w:r>
          </w:p>
        </w:tc>
        <w:tc>
          <w:tcPr>
            <w:tcW w:w="3072" w:type="dxa"/>
            <w:tcBorders>
              <w:top w:val="single" w:sz="6" w:space="0" w:color="auto"/>
              <w:right w:val="single" w:sz="6" w:space="0" w:color="auto"/>
            </w:tcBorders>
          </w:tcPr>
          <w:p w:rsidR="00AF2508" w:rsidRDefault="00AF2508">
            <w:pPr>
              <w:pStyle w:val="TableText"/>
              <w:rPr>
                <w:sz w:val="20"/>
              </w:rPr>
            </w:pPr>
            <w:r>
              <w:rPr>
                <w:sz w:val="20"/>
              </w:rPr>
              <w:t>over 3h</w:t>
            </w:r>
          </w:p>
        </w:tc>
        <w:tc>
          <w:tcPr>
            <w:tcW w:w="648" w:type="dxa"/>
            <w:gridSpan w:val="2"/>
            <w:tcBorders>
              <w:top w:val="single" w:sz="6" w:space="0" w:color="auto"/>
            </w:tcBorders>
          </w:tcPr>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600" w:type="dxa"/>
            <w:tcBorders>
              <w:top w:val="single" w:sz="6" w:space="0" w:color="auto"/>
            </w:tcBorders>
          </w:tcPr>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600" w:type="dxa"/>
            <w:gridSpan w:val="2"/>
            <w:tcBorders>
              <w:top w:val="single" w:sz="6" w:space="0" w:color="auto"/>
            </w:tcBorders>
          </w:tcPr>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720" w:type="dxa"/>
            <w:gridSpan w:val="2"/>
            <w:tcBorders>
              <w:top w:val="single" w:sz="6" w:space="0" w:color="auto"/>
            </w:tcBorders>
          </w:tcPr>
          <w:p w:rsidR="00AF2508" w:rsidRDefault="00AF2508">
            <w:pPr>
              <w:pStyle w:val="TableText"/>
              <w:rPr>
                <w:sz w:val="20"/>
              </w:rPr>
            </w:pPr>
            <w:r>
              <w:rPr>
                <w:sz w:val="20"/>
              </w:rPr>
              <w:t>10</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1057" w:type="dxa"/>
            <w:gridSpan w:val="4"/>
            <w:tcBorders>
              <w:top w:val="single" w:sz="6" w:space="0" w:color="auto"/>
            </w:tcBorders>
          </w:tcPr>
          <w:p w:rsidR="00AF2508" w:rsidRDefault="00AF2508">
            <w:pPr>
              <w:pStyle w:val="TableText"/>
              <w:rPr>
                <w:sz w:val="20"/>
              </w:rPr>
            </w:pPr>
            <w:r>
              <w:rPr>
                <w:sz w:val="20"/>
              </w:rPr>
              <w:t>42</w:t>
            </w:r>
          </w:p>
        </w:tc>
      </w:tr>
      <w:tr w:rsidR="00AF2508">
        <w:trPr>
          <w:gridAfter w:val="1"/>
          <w:wAfter w:w="19" w:type="dxa"/>
          <w:trHeight w:hRule="exact" w:val="660"/>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72</w:t>
            </w:r>
          </w:p>
        </w:tc>
        <w:tc>
          <w:tcPr>
            <w:tcW w:w="880" w:type="dxa"/>
            <w:tcBorders>
              <w:top w:val="single" w:sz="6" w:space="0" w:color="auto"/>
            </w:tcBorders>
          </w:tcPr>
          <w:p w:rsidR="00AF2508" w:rsidRDefault="00AF2508">
            <w:pPr>
              <w:pStyle w:val="TableText"/>
              <w:rPr>
                <w:sz w:val="20"/>
              </w:rPr>
            </w:pPr>
            <w:r>
              <w:rPr>
                <w:sz w:val="20"/>
              </w:rPr>
              <w:t>12</w:t>
            </w:r>
          </w:p>
        </w:tc>
        <w:tc>
          <w:tcPr>
            <w:tcW w:w="98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32</w:t>
            </w:r>
          </w:p>
        </w:tc>
        <w:tc>
          <w:tcPr>
            <w:tcW w:w="3072" w:type="dxa"/>
            <w:tcBorders>
              <w:top w:val="single" w:sz="6" w:space="0" w:color="auto"/>
              <w:right w:val="single" w:sz="6" w:space="0" w:color="auto"/>
            </w:tcBorders>
          </w:tcPr>
          <w:p w:rsidR="00AF2508" w:rsidRDefault="00AF2508">
            <w:pPr>
              <w:pStyle w:val="TableText"/>
              <w:rPr>
                <w:sz w:val="20"/>
              </w:rPr>
            </w:pPr>
            <w:r>
              <w:rPr>
                <w:sz w:val="20"/>
              </w:rPr>
              <w:t>2 to 3h</w:t>
            </w:r>
          </w:p>
          <w:p w:rsidR="00AF2508" w:rsidRDefault="00AF2508">
            <w:pPr>
              <w:pStyle w:val="TableText"/>
              <w:rPr>
                <w:sz w:val="20"/>
              </w:rPr>
            </w:pPr>
            <w:r>
              <w:rPr>
                <w:sz w:val="20"/>
              </w:rPr>
              <w:t>over 3h</w:t>
            </w:r>
          </w:p>
        </w:tc>
        <w:tc>
          <w:tcPr>
            <w:tcW w:w="648" w:type="dxa"/>
            <w:gridSpan w:val="2"/>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720" w:type="dxa"/>
            <w:gridSpan w:val="2"/>
            <w:tcBorders>
              <w:top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20</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p w:rsidR="00AF2508" w:rsidRDefault="00AF2508">
            <w:pPr>
              <w:pStyle w:val="TableText"/>
              <w:rPr>
                <w:sz w:val="20"/>
              </w:rPr>
            </w:pPr>
            <w:r>
              <w:rPr>
                <w:sz w:val="20"/>
              </w:rPr>
              <w:t>30</w:t>
            </w:r>
          </w:p>
        </w:tc>
        <w:tc>
          <w:tcPr>
            <w:tcW w:w="1057" w:type="dxa"/>
            <w:gridSpan w:val="4"/>
            <w:tcBorders>
              <w:top w:val="single" w:sz="6" w:space="0" w:color="auto"/>
            </w:tcBorders>
          </w:tcPr>
          <w:p w:rsidR="00AF2508" w:rsidRDefault="00AF2508">
            <w:pPr>
              <w:pStyle w:val="TableText"/>
              <w:rPr>
                <w:sz w:val="20"/>
              </w:rPr>
            </w:pPr>
            <w:r>
              <w:rPr>
                <w:sz w:val="20"/>
              </w:rPr>
              <w:t>42</w:t>
            </w:r>
          </w:p>
          <w:p w:rsidR="00AF2508" w:rsidRDefault="00AF2508">
            <w:pPr>
              <w:pStyle w:val="TableText"/>
              <w:rPr>
                <w:sz w:val="20"/>
              </w:rPr>
            </w:pPr>
            <w:r>
              <w:rPr>
                <w:sz w:val="20"/>
              </w:rPr>
              <w:t>52</w:t>
            </w:r>
          </w:p>
        </w:tc>
      </w:tr>
      <w:tr w:rsidR="00AF2508">
        <w:trPr>
          <w:gridAfter w:val="1"/>
          <w:wAfter w:w="19" w:type="dxa"/>
          <w:trHeight w:hRule="exact" w:val="760"/>
        </w:trPr>
        <w:tc>
          <w:tcPr>
            <w:tcW w:w="660" w:type="dxa"/>
            <w:tcBorders>
              <w:top w:val="single" w:sz="6" w:space="0" w:color="auto"/>
              <w:right w:val="single" w:sz="6" w:space="0" w:color="auto"/>
            </w:tcBorders>
          </w:tcPr>
          <w:p w:rsidR="00AF2508" w:rsidRDefault="00AF2508">
            <w:pPr>
              <w:pStyle w:val="TableText"/>
              <w:rPr>
                <w:sz w:val="20"/>
              </w:rPr>
            </w:pPr>
            <w:r>
              <w:rPr>
                <w:sz w:val="20"/>
              </w:rPr>
              <w:t>78</w:t>
            </w:r>
          </w:p>
        </w:tc>
        <w:tc>
          <w:tcPr>
            <w:tcW w:w="880" w:type="dxa"/>
            <w:tcBorders>
              <w:top w:val="single" w:sz="6" w:space="0" w:color="auto"/>
            </w:tcBorders>
          </w:tcPr>
          <w:p w:rsidR="00AF2508" w:rsidRDefault="00AF2508">
            <w:pPr>
              <w:pStyle w:val="TableText"/>
              <w:rPr>
                <w:sz w:val="20"/>
              </w:rPr>
            </w:pPr>
            <w:r>
              <w:rPr>
                <w:sz w:val="20"/>
              </w:rPr>
              <w:t>13</w:t>
            </w:r>
          </w:p>
        </w:tc>
        <w:tc>
          <w:tcPr>
            <w:tcW w:w="98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34</w:t>
            </w:r>
            <w:r>
              <w:rPr>
                <w:position w:val="6"/>
                <w:sz w:val="20"/>
              </w:rPr>
              <w:t>1</w:t>
            </w:r>
            <w:r>
              <w:rPr>
                <w:sz w:val="20"/>
              </w:rPr>
              <w:t>/2</w:t>
            </w:r>
          </w:p>
        </w:tc>
        <w:tc>
          <w:tcPr>
            <w:tcW w:w="3072" w:type="dxa"/>
            <w:tcBorders>
              <w:top w:val="single" w:sz="6" w:space="0" w:color="auto"/>
              <w:right w:val="single" w:sz="6" w:space="0" w:color="auto"/>
            </w:tcBorders>
          </w:tcPr>
          <w:p w:rsidR="00AF2508" w:rsidRDefault="00AF2508">
            <w:pPr>
              <w:pStyle w:val="TableText"/>
              <w:rPr>
                <w:sz w:val="20"/>
              </w:rPr>
            </w:pPr>
            <w:r>
              <w:rPr>
                <w:sz w:val="20"/>
              </w:rPr>
              <w:t>1</w:t>
            </w:r>
            <w:r>
              <w:rPr>
                <w:position w:val="6"/>
                <w:sz w:val="20"/>
              </w:rPr>
              <w:t>1</w:t>
            </w:r>
            <w:r>
              <w:rPr>
                <w:sz w:val="20"/>
              </w:rPr>
              <w:t>/2to 2</w:t>
            </w:r>
            <w:r>
              <w:rPr>
                <w:position w:val="6"/>
                <w:sz w:val="20"/>
              </w:rPr>
              <w:t>1</w:t>
            </w:r>
            <w:r>
              <w:rPr>
                <w:sz w:val="20"/>
              </w:rPr>
              <w:t>/2h</w:t>
            </w:r>
          </w:p>
          <w:p w:rsidR="00AF2508" w:rsidRDefault="00AF2508">
            <w:pPr>
              <w:pStyle w:val="TableText"/>
              <w:rPr>
                <w:sz w:val="20"/>
              </w:rPr>
            </w:pPr>
            <w:r>
              <w:rPr>
                <w:sz w:val="20"/>
              </w:rPr>
              <w:t>over 2</w:t>
            </w:r>
            <w:r>
              <w:rPr>
                <w:position w:val="6"/>
                <w:sz w:val="20"/>
              </w:rPr>
              <w:t>1</w:t>
            </w:r>
            <w:r>
              <w:rPr>
                <w:sz w:val="20"/>
              </w:rPr>
              <w:t>/2h</w:t>
            </w:r>
          </w:p>
        </w:tc>
        <w:tc>
          <w:tcPr>
            <w:tcW w:w="648" w:type="dxa"/>
            <w:gridSpan w:val="2"/>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720" w:type="dxa"/>
            <w:gridSpan w:val="2"/>
            <w:tcBorders>
              <w:top w:val="single" w:sz="6" w:space="0" w:color="auto"/>
            </w:tcBorders>
          </w:tcPr>
          <w:p w:rsidR="00AF2508" w:rsidRDefault="00AF2508">
            <w:pPr>
              <w:pStyle w:val="TableText"/>
              <w:rPr>
                <w:sz w:val="20"/>
              </w:rPr>
            </w:pPr>
            <w:r>
              <w:rPr>
                <w:sz w:val="20"/>
              </w:rPr>
              <w:t>20</w:t>
            </w:r>
          </w:p>
          <w:p w:rsidR="00AF2508" w:rsidRDefault="00AF2508">
            <w:pPr>
              <w:pStyle w:val="TableText"/>
              <w:rPr>
                <w:sz w:val="20"/>
              </w:rPr>
            </w:pPr>
            <w:r>
              <w:rPr>
                <w:sz w:val="20"/>
              </w:rPr>
              <w:t>30</w:t>
            </w:r>
          </w:p>
        </w:tc>
        <w:tc>
          <w:tcPr>
            <w:tcW w:w="60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30</w:t>
            </w:r>
          </w:p>
          <w:p w:rsidR="00AF2508" w:rsidRDefault="00AF2508">
            <w:pPr>
              <w:pStyle w:val="TableText"/>
              <w:rPr>
                <w:sz w:val="20"/>
              </w:rPr>
            </w:pPr>
            <w:r>
              <w:rPr>
                <w:sz w:val="20"/>
              </w:rPr>
              <w:t>30</w:t>
            </w:r>
          </w:p>
        </w:tc>
        <w:tc>
          <w:tcPr>
            <w:tcW w:w="1057" w:type="dxa"/>
            <w:gridSpan w:val="4"/>
            <w:tcBorders>
              <w:top w:val="single" w:sz="6" w:space="0" w:color="auto"/>
            </w:tcBorders>
          </w:tcPr>
          <w:p w:rsidR="00AF2508" w:rsidRDefault="00AF2508">
            <w:pPr>
              <w:pStyle w:val="TableText"/>
              <w:rPr>
                <w:sz w:val="20"/>
              </w:rPr>
            </w:pPr>
            <w:r>
              <w:rPr>
                <w:sz w:val="20"/>
              </w:rPr>
              <w:t>52</w:t>
            </w:r>
          </w:p>
          <w:p w:rsidR="00AF2508" w:rsidRDefault="00AF2508">
            <w:pPr>
              <w:pStyle w:val="TableText"/>
              <w:rPr>
                <w:sz w:val="20"/>
              </w:rPr>
            </w:pPr>
            <w:r>
              <w:rPr>
                <w:sz w:val="20"/>
              </w:rPr>
              <w:t>62</w:t>
            </w:r>
          </w:p>
        </w:tc>
      </w:tr>
      <w:tr w:rsidR="00AF2508">
        <w:trPr>
          <w:gridAfter w:val="1"/>
          <w:wAfter w:w="19" w:type="dxa"/>
          <w:trHeight w:val="800"/>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84</w:t>
            </w:r>
          </w:p>
        </w:tc>
        <w:tc>
          <w:tcPr>
            <w:tcW w:w="880" w:type="dxa"/>
            <w:tcBorders>
              <w:top w:val="single" w:sz="6" w:space="0" w:color="auto"/>
              <w:bottom w:val="single" w:sz="6" w:space="0" w:color="auto"/>
            </w:tcBorders>
          </w:tcPr>
          <w:p w:rsidR="00AF2508" w:rsidRDefault="00AF2508">
            <w:pPr>
              <w:pStyle w:val="TableText"/>
              <w:rPr>
                <w:sz w:val="20"/>
              </w:rPr>
            </w:pPr>
            <w:r>
              <w:rPr>
                <w:sz w:val="20"/>
              </w:rPr>
              <w:t>14</w:t>
            </w:r>
          </w:p>
        </w:tc>
        <w:tc>
          <w:tcPr>
            <w:tcW w:w="98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37</w:t>
            </w:r>
          </w:p>
        </w:tc>
        <w:tc>
          <w:tcPr>
            <w:tcW w:w="3072"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w:t>
            </w:r>
            <w:r>
              <w:rPr>
                <w:position w:val="6"/>
                <w:sz w:val="20"/>
              </w:rPr>
              <w:t>1</w:t>
            </w:r>
            <w:r>
              <w:rPr>
                <w:sz w:val="20"/>
              </w:rPr>
              <w:t>/4 to 1</w:t>
            </w:r>
            <w:r>
              <w:rPr>
                <w:position w:val="6"/>
                <w:sz w:val="20"/>
              </w:rPr>
              <w:t>1</w:t>
            </w:r>
            <w:r>
              <w:rPr>
                <w:sz w:val="20"/>
              </w:rPr>
              <w:t>/2h</w:t>
            </w:r>
          </w:p>
          <w:p w:rsidR="00AF2508" w:rsidRDefault="00AF2508">
            <w:pPr>
              <w:pStyle w:val="TableText"/>
              <w:rPr>
                <w:sz w:val="20"/>
              </w:rPr>
            </w:pPr>
            <w:r>
              <w:rPr>
                <w:sz w:val="20"/>
              </w:rPr>
              <w:t>1</w:t>
            </w:r>
            <w:r>
              <w:rPr>
                <w:position w:val="6"/>
                <w:sz w:val="20"/>
              </w:rPr>
              <w:t>1</w:t>
            </w:r>
            <w:r>
              <w:rPr>
                <w:sz w:val="20"/>
              </w:rPr>
              <w:t>/2 to 1</w:t>
            </w:r>
            <w:r>
              <w:rPr>
                <w:position w:val="6"/>
                <w:sz w:val="20"/>
              </w:rPr>
              <w:t>3</w:t>
            </w:r>
            <w:r>
              <w:rPr>
                <w:sz w:val="20"/>
              </w:rPr>
              <w:t>/4h</w:t>
            </w:r>
          </w:p>
          <w:p w:rsidR="00AF2508" w:rsidRDefault="00AF2508">
            <w:pPr>
              <w:pStyle w:val="TableText"/>
              <w:rPr>
                <w:sz w:val="20"/>
              </w:rPr>
            </w:pPr>
            <w:r>
              <w:rPr>
                <w:sz w:val="20"/>
              </w:rPr>
              <w:t>1</w:t>
            </w:r>
            <w:r>
              <w:rPr>
                <w:position w:val="6"/>
                <w:sz w:val="20"/>
              </w:rPr>
              <w:t>3</w:t>
            </w:r>
            <w:r>
              <w:rPr>
                <w:sz w:val="20"/>
              </w:rPr>
              <w:t>/4 to 2h</w:t>
            </w:r>
          </w:p>
          <w:p w:rsidR="00AF2508" w:rsidRDefault="00AF2508">
            <w:pPr>
              <w:pStyle w:val="TableText"/>
              <w:rPr>
                <w:sz w:val="20"/>
              </w:rPr>
            </w:pPr>
            <w:r>
              <w:rPr>
                <w:sz w:val="20"/>
              </w:rPr>
              <w:t>2 to 2</w:t>
            </w:r>
            <w:r>
              <w:rPr>
                <w:position w:val="6"/>
                <w:sz w:val="20"/>
              </w:rPr>
              <w:t>1</w:t>
            </w:r>
            <w:r>
              <w:rPr>
                <w:sz w:val="20"/>
              </w:rPr>
              <w:t>/2h</w:t>
            </w:r>
          </w:p>
          <w:p w:rsidR="00AF2508" w:rsidRDefault="00AF2508">
            <w:pPr>
              <w:pStyle w:val="TableText"/>
              <w:rPr>
                <w:sz w:val="20"/>
              </w:rPr>
            </w:pPr>
            <w:r>
              <w:rPr>
                <w:sz w:val="20"/>
              </w:rPr>
              <w:t>2</w:t>
            </w:r>
            <w:r>
              <w:rPr>
                <w:position w:val="6"/>
                <w:sz w:val="20"/>
              </w:rPr>
              <w:t>1</w:t>
            </w:r>
            <w:r>
              <w:rPr>
                <w:sz w:val="20"/>
              </w:rPr>
              <w:t>/4 to 2</w:t>
            </w:r>
            <w:r>
              <w:rPr>
                <w:position w:val="6"/>
                <w:sz w:val="20"/>
              </w:rPr>
              <w:t>1</w:t>
            </w:r>
            <w:r>
              <w:rPr>
                <w:sz w:val="20"/>
              </w:rPr>
              <w:t>/2h</w:t>
            </w:r>
          </w:p>
          <w:p w:rsidR="00AF2508" w:rsidRDefault="00AF2508">
            <w:pPr>
              <w:pStyle w:val="TableText"/>
              <w:rPr>
                <w:sz w:val="20"/>
              </w:rPr>
            </w:pPr>
            <w:r>
              <w:rPr>
                <w:sz w:val="20"/>
              </w:rPr>
              <w:t>2</w:t>
            </w:r>
            <w:r>
              <w:rPr>
                <w:position w:val="6"/>
                <w:sz w:val="20"/>
              </w:rPr>
              <w:t>1</w:t>
            </w:r>
            <w:r>
              <w:rPr>
                <w:sz w:val="20"/>
              </w:rPr>
              <w:t>/2 to 2</w:t>
            </w:r>
            <w:r>
              <w:rPr>
                <w:position w:val="6"/>
                <w:sz w:val="20"/>
              </w:rPr>
              <w:t>3</w:t>
            </w:r>
            <w:r>
              <w:rPr>
                <w:sz w:val="20"/>
              </w:rPr>
              <w:t>/4h</w:t>
            </w:r>
          </w:p>
          <w:p w:rsidR="00AF2508" w:rsidRDefault="00AF2508">
            <w:pPr>
              <w:pStyle w:val="TableText"/>
              <w:rPr>
                <w:sz w:val="20"/>
              </w:rPr>
            </w:pPr>
            <w:r>
              <w:rPr>
                <w:sz w:val="20"/>
              </w:rPr>
              <w:t>2</w:t>
            </w:r>
            <w:r>
              <w:rPr>
                <w:position w:val="6"/>
                <w:sz w:val="20"/>
              </w:rPr>
              <w:t>3</w:t>
            </w:r>
            <w:r>
              <w:rPr>
                <w:sz w:val="20"/>
              </w:rPr>
              <w:t>/4 to 3h</w:t>
            </w:r>
          </w:p>
          <w:p w:rsidR="00AF2508" w:rsidRDefault="00AF2508">
            <w:pPr>
              <w:pStyle w:val="TableText"/>
              <w:rPr>
                <w:sz w:val="20"/>
              </w:rPr>
            </w:pPr>
            <w:r>
              <w:rPr>
                <w:sz w:val="20"/>
              </w:rPr>
              <w:t>over 3h</w:t>
            </w:r>
          </w:p>
        </w:tc>
        <w:tc>
          <w:tcPr>
            <w:tcW w:w="648"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10</w:t>
            </w:r>
          </w:p>
        </w:tc>
        <w:tc>
          <w:tcPr>
            <w:tcW w:w="720" w:type="dxa"/>
            <w:gridSpan w:val="2"/>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23</w:t>
            </w:r>
          </w:p>
          <w:p w:rsidR="00AF2508" w:rsidRDefault="00AF2508">
            <w:pPr>
              <w:pStyle w:val="TableText"/>
              <w:rPr>
                <w:sz w:val="20"/>
              </w:rPr>
            </w:pPr>
            <w:r>
              <w:rPr>
                <w:sz w:val="20"/>
              </w:rPr>
              <w:t>27</w:t>
            </w:r>
          </w:p>
          <w:p w:rsidR="00AF2508" w:rsidRDefault="00AF2508">
            <w:pPr>
              <w:pStyle w:val="TableText"/>
              <w:rPr>
                <w:sz w:val="20"/>
              </w:rPr>
            </w:pPr>
            <w:r>
              <w:rPr>
                <w:sz w:val="20"/>
              </w:rPr>
              <w:t>30</w:t>
            </w:r>
          </w:p>
          <w:p w:rsidR="00AF2508" w:rsidRDefault="00AF2508">
            <w:pPr>
              <w:pStyle w:val="TableText"/>
              <w:rPr>
                <w:sz w:val="20"/>
              </w:rPr>
            </w:pPr>
            <w:r>
              <w:rPr>
                <w:sz w:val="20"/>
              </w:rPr>
              <w:t>30</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1057" w:type="dxa"/>
            <w:gridSpan w:val="4"/>
            <w:tcBorders>
              <w:top w:val="single" w:sz="6" w:space="0" w:color="auto"/>
              <w:bottom w:val="single" w:sz="6" w:space="0" w:color="auto"/>
            </w:tcBorders>
          </w:tcPr>
          <w:p w:rsidR="00AF2508" w:rsidRDefault="00AF2508">
            <w:pPr>
              <w:pStyle w:val="TableText"/>
              <w:rPr>
                <w:sz w:val="20"/>
              </w:rPr>
            </w:pPr>
            <w:r>
              <w:rPr>
                <w:sz w:val="20"/>
              </w:rPr>
              <w:t>37</w:t>
            </w:r>
          </w:p>
          <w:p w:rsidR="00AF2508" w:rsidRDefault="00AF2508">
            <w:pPr>
              <w:pStyle w:val="TableText"/>
              <w:rPr>
                <w:sz w:val="20"/>
              </w:rPr>
            </w:pPr>
            <w:r>
              <w:rPr>
                <w:sz w:val="20"/>
              </w:rPr>
              <w:t>42</w:t>
            </w:r>
          </w:p>
          <w:p w:rsidR="00AF2508" w:rsidRDefault="00AF2508">
            <w:pPr>
              <w:pStyle w:val="TableText"/>
              <w:rPr>
                <w:sz w:val="20"/>
              </w:rPr>
            </w:pPr>
            <w:r>
              <w:rPr>
                <w:sz w:val="20"/>
              </w:rPr>
              <w:t>47</w:t>
            </w:r>
          </w:p>
          <w:p w:rsidR="00AF2508" w:rsidRDefault="00AF2508">
            <w:pPr>
              <w:pStyle w:val="TableText"/>
              <w:rPr>
                <w:sz w:val="20"/>
              </w:rPr>
            </w:pPr>
            <w:r>
              <w:rPr>
                <w:sz w:val="20"/>
              </w:rPr>
              <w:t>52</w:t>
            </w:r>
          </w:p>
          <w:p w:rsidR="00AF2508" w:rsidRDefault="00AF2508">
            <w:pPr>
              <w:pStyle w:val="TableText"/>
              <w:rPr>
                <w:sz w:val="20"/>
              </w:rPr>
            </w:pPr>
            <w:r>
              <w:rPr>
                <w:sz w:val="20"/>
              </w:rPr>
              <w:t>57</w:t>
            </w:r>
          </w:p>
          <w:p w:rsidR="00AF2508" w:rsidRDefault="00AF2508">
            <w:pPr>
              <w:pStyle w:val="TableText"/>
              <w:rPr>
                <w:sz w:val="20"/>
              </w:rPr>
            </w:pPr>
            <w:r>
              <w:rPr>
                <w:sz w:val="20"/>
              </w:rPr>
              <w:t>62</w:t>
            </w:r>
          </w:p>
          <w:p w:rsidR="00AF2508" w:rsidRDefault="00AF2508">
            <w:pPr>
              <w:pStyle w:val="TableText"/>
              <w:rPr>
                <w:sz w:val="20"/>
              </w:rPr>
            </w:pPr>
            <w:r>
              <w:rPr>
                <w:sz w:val="20"/>
              </w:rPr>
              <w:t>67</w:t>
            </w:r>
          </w:p>
          <w:p w:rsidR="00AF2508" w:rsidRDefault="00AF2508">
            <w:pPr>
              <w:pStyle w:val="TableText"/>
              <w:rPr>
                <w:sz w:val="20"/>
              </w:rPr>
            </w:pPr>
            <w:r>
              <w:rPr>
                <w:sz w:val="20"/>
              </w:rPr>
              <w:t>77</w:t>
            </w:r>
          </w:p>
        </w:tc>
      </w:tr>
      <w:tr w:rsidR="00AF2508">
        <w:trPr>
          <w:gridAfter w:val="1"/>
          <w:wAfter w:w="19" w:type="dxa"/>
        </w:trPr>
        <w:tc>
          <w:tcPr>
            <w:tcW w:w="660" w:type="dxa"/>
            <w:tcBorders>
              <w:bottom w:val="single" w:sz="6" w:space="0" w:color="auto"/>
              <w:right w:val="single" w:sz="6" w:space="0" w:color="auto"/>
            </w:tcBorders>
          </w:tcPr>
          <w:p w:rsidR="00AF2508" w:rsidRDefault="00AF2508">
            <w:pPr>
              <w:pStyle w:val="TableText"/>
              <w:keepNext/>
              <w:rPr>
                <w:sz w:val="20"/>
              </w:rPr>
            </w:pPr>
            <w:r>
              <w:rPr>
                <w:sz w:val="20"/>
              </w:rPr>
              <w:t>90</w:t>
            </w:r>
          </w:p>
        </w:tc>
        <w:tc>
          <w:tcPr>
            <w:tcW w:w="880" w:type="dxa"/>
            <w:tcBorders>
              <w:bottom w:val="single" w:sz="6" w:space="0" w:color="auto"/>
            </w:tcBorders>
          </w:tcPr>
          <w:p w:rsidR="00AF2508" w:rsidRDefault="00AF2508">
            <w:pPr>
              <w:pStyle w:val="TableText"/>
              <w:keepNext/>
              <w:rPr>
                <w:sz w:val="20"/>
              </w:rPr>
            </w:pPr>
            <w:r>
              <w:rPr>
                <w:sz w:val="20"/>
              </w:rPr>
              <w:t>15</w:t>
            </w:r>
          </w:p>
        </w:tc>
        <w:tc>
          <w:tcPr>
            <w:tcW w:w="980" w:type="dxa"/>
            <w:tcBorders>
              <w:left w:val="single" w:sz="6" w:space="0" w:color="auto"/>
              <w:bottom w:val="single" w:sz="6" w:space="0" w:color="auto"/>
              <w:right w:val="single" w:sz="6" w:space="0" w:color="auto"/>
            </w:tcBorders>
          </w:tcPr>
          <w:p w:rsidR="00AF2508" w:rsidRDefault="00AF2508">
            <w:pPr>
              <w:pStyle w:val="TableText"/>
              <w:keepNext/>
              <w:rPr>
                <w:sz w:val="20"/>
              </w:rPr>
            </w:pPr>
            <w:r>
              <w:rPr>
                <w:sz w:val="20"/>
              </w:rPr>
              <w:t>40</w:t>
            </w:r>
          </w:p>
        </w:tc>
        <w:tc>
          <w:tcPr>
            <w:tcW w:w="3072" w:type="dxa"/>
            <w:tcBorders>
              <w:bottom w:val="single" w:sz="6" w:space="0" w:color="auto"/>
              <w:right w:val="single" w:sz="6" w:space="0" w:color="auto"/>
            </w:tcBorders>
          </w:tcPr>
          <w:p w:rsidR="00AF2508" w:rsidRDefault="00AF2508">
            <w:pPr>
              <w:pStyle w:val="TableText"/>
              <w:keepNext/>
              <w:rPr>
                <w:sz w:val="20"/>
              </w:rPr>
            </w:pPr>
            <w:r>
              <w:rPr>
                <w:sz w:val="20"/>
              </w:rPr>
              <w:t>1h to 1h 12min</w:t>
            </w:r>
          </w:p>
          <w:p w:rsidR="00AF2508" w:rsidRDefault="00AF2508">
            <w:pPr>
              <w:pStyle w:val="TableText"/>
              <w:keepNext/>
              <w:rPr>
                <w:sz w:val="20"/>
              </w:rPr>
            </w:pPr>
            <w:r>
              <w:rPr>
                <w:sz w:val="20"/>
              </w:rPr>
              <w:t>1h 12min to 1hr 20min</w:t>
            </w:r>
          </w:p>
          <w:p w:rsidR="00AF2508" w:rsidRDefault="00AF2508">
            <w:pPr>
              <w:pStyle w:val="TableText"/>
              <w:keepNext/>
              <w:rPr>
                <w:sz w:val="20"/>
              </w:rPr>
            </w:pPr>
            <w:r>
              <w:rPr>
                <w:sz w:val="20"/>
              </w:rPr>
              <w:t>1h 20min to 1</w:t>
            </w:r>
            <w:r>
              <w:rPr>
                <w:position w:val="6"/>
                <w:sz w:val="20"/>
              </w:rPr>
              <w:t>1</w:t>
            </w:r>
            <w:r>
              <w:rPr>
                <w:sz w:val="20"/>
              </w:rPr>
              <w:t>/2h</w:t>
            </w:r>
          </w:p>
          <w:p w:rsidR="00AF2508" w:rsidRDefault="00AF2508">
            <w:pPr>
              <w:pStyle w:val="TableText"/>
              <w:keepNext/>
              <w:rPr>
                <w:sz w:val="20"/>
              </w:rPr>
            </w:pPr>
            <w:r>
              <w:rPr>
                <w:sz w:val="20"/>
              </w:rPr>
              <w:t>1</w:t>
            </w:r>
            <w:r>
              <w:rPr>
                <w:position w:val="6"/>
                <w:sz w:val="20"/>
              </w:rPr>
              <w:t>1</w:t>
            </w:r>
            <w:r>
              <w:rPr>
                <w:sz w:val="20"/>
              </w:rPr>
              <w:t>/2h to 1h 44min</w:t>
            </w:r>
          </w:p>
          <w:p w:rsidR="00AF2508" w:rsidRDefault="00AF2508">
            <w:pPr>
              <w:pStyle w:val="TableText"/>
              <w:keepNext/>
              <w:rPr>
                <w:sz w:val="20"/>
              </w:rPr>
            </w:pPr>
            <w:r>
              <w:rPr>
                <w:sz w:val="20"/>
              </w:rPr>
              <w:t>1h 44min to 2h</w:t>
            </w:r>
          </w:p>
          <w:p w:rsidR="00AF2508" w:rsidRDefault="00AF2508">
            <w:pPr>
              <w:pStyle w:val="TableText"/>
              <w:keepNext/>
              <w:rPr>
                <w:sz w:val="20"/>
              </w:rPr>
            </w:pPr>
            <w:r>
              <w:rPr>
                <w:sz w:val="20"/>
              </w:rPr>
              <w:t>2h to 2h 14min</w:t>
            </w:r>
          </w:p>
          <w:p w:rsidR="00AF2508" w:rsidRDefault="00AF2508">
            <w:pPr>
              <w:pStyle w:val="TableText"/>
              <w:keepNext/>
              <w:rPr>
                <w:sz w:val="20"/>
              </w:rPr>
            </w:pPr>
            <w:r>
              <w:rPr>
                <w:sz w:val="20"/>
              </w:rPr>
              <w:t>2h 14min to 2</w:t>
            </w:r>
            <w:r>
              <w:rPr>
                <w:position w:val="6"/>
                <w:sz w:val="20"/>
              </w:rPr>
              <w:t>1</w:t>
            </w:r>
            <w:r>
              <w:rPr>
                <w:sz w:val="20"/>
              </w:rPr>
              <w:t>/2h</w:t>
            </w:r>
          </w:p>
          <w:p w:rsidR="00AF2508" w:rsidRDefault="00AF2508">
            <w:pPr>
              <w:pStyle w:val="TableText"/>
              <w:keepNext/>
              <w:rPr>
                <w:sz w:val="20"/>
              </w:rPr>
            </w:pPr>
            <w:r>
              <w:rPr>
                <w:sz w:val="20"/>
              </w:rPr>
              <w:t>2</w:t>
            </w:r>
            <w:r>
              <w:rPr>
                <w:position w:val="6"/>
                <w:sz w:val="20"/>
              </w:rPr>
              <w:t>1</w:t>
            </w:r>
            <w:r>
              <w:rPr>
                <w:sz w:val="20"/>
              </w:rPr>
              <w:t>/2h to 2h 44min</w:t>
            </w:r>
          </w:p>
          <w:p w:rsidR="00AF2508" w:rsidRDefault="00AF2508">
            <w:pPr>
              <w:pStyle w:val="TableText"/>
              <w:keepNext/>
              <w:rPr>
                <w:sz w:val="20"/>
              </w:rPr>
            </w:pPr>
            <w:r>
              <w:rPr>
                <w:sz w:val="20"/>
              </w:rPr>
              <w:t>2h 44min to 3h 14min</w:t>
            </w:r>
          </w:p>
          <w:p w:rsidR="00AF2508" w:rsidRDefault="00AF2508">
            <w:pPr>
              <w:pStyle w:val="TableText"/>
              <w:keepNext/>
              <w:rPr>
                <w:sz w:val="20"/>
              </w:rPr>
            </w:pPr>
            <w:r>
              <w:rPr>
                <w:sz w:val="20"/>
              </w:rPr>
              <w:t>over 3h 14min</w:t>
            </w:r>
          </w:p>
        </w:tc>
        <w:tc>
          <w:tcPr>
            <w:tcW w:w="648" w:type="dxa"/>
            <w:gridSpan w:val="2"/>
            <w:tcBorders>
              <w:bottom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600" w:type="dxa"/>
            <w:gridSpan w:val="2"/>
            <w:tcBorders>
              <w:left w:val="single" w:sz="6" w:space="0" w:color="auto"/>
              <w:bottom w:val="single" w:sz="6" w:space="0" w:color="auto"/>
              <w:right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600" w:type="dxa"/>
            <w:tcBorders>
              <w:bottom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600" w:type="dxa"/>
            <w:tcBorders>
              <w:left w:val="single" w:sz="6" w:space="0" w:color="auto"/>
              <w:bottom w:val="single" w:sz="6" w:space="0" w:color="auto"/>
              <w:right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600" w:type="dxa"/>
            <w:gridSpan w:val="2"/>
            <w:tcBorders>
              <w:bottom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600" w:type="dxa"/>
            <w:gridSpan w:val="2"/>
            <w:tcBorders>
              <w:left w:val="single" w:sz="6" w:space="0" w:color="auto"/>
              <w:bottom w:val="single" w:sz="6" w:space="0" w:color="auto"/>
              <w:right w:val="single" w:sz="6" w:space="0" w:color="auto"/>
            </w:tcBorders>
          </w:tcPr>
          <w:p w:rsidR="00AF2508" w:rsidRDefault="00AF2508">
            <w:pPr>
              <w:pStyle w:val="TableText"/>
              <w:keepNext/>
              <w:rPr>
                <w:sz w:val="20"/>
              </w:rPr>
            </w:pPr>
            <w:r>
              <w:rPr>
                <w:sz w:val="20"/>
              </w:rPr>
              <w:t>5</w:t>
            </w:r>
          </w:p>
          <w:p w:rsidR="00AF2508" w:rsidRDefault="00AF2508">
            <w:pPr>
              <w:pStyle w:val="TableText"/>
              <w:keepNext/>
              <w:rPr>
                <w:sz w:val="20"/>
              </w:rPr>
            </w:pPr>
            <w:r>
              <w:rPr>
                <w:sz w:val="20"/>
              </w:rPr>
              <w:t>5</w:t>
            </w:r>
          </w:p>
          <w:p w:rsidR="00AF2508" w:rsidRDefault="00AF2508">
            <w:pPr>
              <w:pStyle w:val="TableText"/>
              <w:keepNext/>
              <w:rPr>
                <w:sz w:val="20"/>
              </w:rPr>
            </w:pPr>
            <w:r>
              <w:rPr>
                <w:sz w:val="20"/>
              </w:rPr>
              <w:t>5</w:t>
            </w:r>
          </w:p>
          <w:p w:rsidR="00AF2508" w:rsidRDefault="00AF2508">
            <w:pPr>
              <w:pStyle w:val="TableText"/>
              <w:keepNext/>
              <w:rPr>
                <w:sz w:val="20"/>
              </w:rPr>
            </w:pPr>
            <w:r>
              <w:rPr>
                <w:sz w:val="20"/>
              </w:rPr>
              <w:t>5</w:t>
            </w:r>
          </w:p>
          <w:p w:rsidR="00AF2508" w:rsidRDefault="00AF2508">
            <w:pPr>
              <w:pStyle w:val="TableText"/>
              <w:keepNext/>
              <w:rPr>
                <w:sz w:val="20"/>
              </w:rPr>
            </w:pPr>
            <w:r>
              <w:rPr>
                <w:sz w:val="20"/>
              </w:rPr>
              <w:t>5</w:t>
            </w:r>
          </w:p>
          <w:p w:rsidR="00AF2508" w:rsidRDefault="00AF2508">
            <w:pPr>
              <w:pStyle w:val="TableText"/>
              <w:keepNext/>
              <w:rPr>
                <w:sz w:val="20"/>
              </w:rPr>
            </w:pPr>
            <w:r>
              <w:rPr>
                <w:sz w:val="20"/>
              </w:rPr>
              <w:t>5</w:t>
            </w:r>
          </w:p>
          <w:p w:rsidR="00AF2508" w:rsidRDefault="00AF2508">
            <w:pPr>
              <w:pStyle w:val="TableText"/>
              <w:keepNext/>
              <w:rPr>
                <w:sz w:val="20"/>
              </w:rPr>
            </w:pPr>
            <w:r>
              <w:rPr>
                <w:sz w:val="20"/>
              </w:rPr>
              <w:t>5</w:t>
            </w:r>
          </w:p>
          <w:p w:rsidR="00AF2508" w:rsidRDefault="00AF2508">
            <w:pPr>
              <w:pStyle w:val="TableText"/>
              <w:keepNext/>
              <w:rPr>
                <w:sz w:val="20"/>
              </w:rPr>
            </w:pPr>
            <w:r>
              <w:rPr>
                <w:sz w:val="20"/>
              </w:rPr>
              <w:t>10</w:t>
            </w:r>
          </w:p>
          <w:p w:rsidR="00AF2508" w:rsidRDefault="00AF2508">
            <w:pPr>
              <w:pStyle w:val="TableText"/>
              <w:keepNext/>
              <w:rPr>
                <w:sz w:val="20"/>
              </w:rPr>
            </w:pPr>
            <w:r>
              <w:rPr>
                <w:sz w:val="20"/>
              </w:rPr>
              <w:t>20</w:t>
            </w:r>
          </w:p>
          <w:p w:rsidR="00AF2508" w:rsidRDefault="00AF2508">
            <w:pPr>
              <w:pStyle w:val="TableText"/>
              <w:keepNext/>
              <w:rPr>
                <w:sz w:val="20"/>
              </w:rPr>
            </w:pPr>
            <w:r>
              <w:rPr>
                <w:sz w:val="20"/>
              </w:rPr>
              <w:t>20</w:t>
            </w:r>
          </w:p>
        </w:tc>
        <w:tc>
          <w:tcPr>
            <w:tcW w:w="720" w:type="dxa"/>
            <w:gridSpan w:val="2"/>
            <w:tcBorders>
              <w:bottom w:val="single" w:sz="6" w:space="0" w:color="auto"/>
            </w:tcBorders>
          </w:tcPr>
          <w:p w:rsidR="00AF2508" w:rsidRDefault="00AF2508">
            <w:pPr>
              <w:pStyle w:val="TableText"/>
              <w:keepNext/>
              <w:rPr>
                <w:sz w:val="20"/>
              </w:rPr>
            </w:pPr>
            <w:r>
              <w:rPr>
                <w:sz w:val="20"/>
              </w:rPr>
              <w:t>10</w:t>
            </w:r>
          </w:p>
          <w:p w:rsidR="00AF2508" w:rsidRDefault="00AF2508">
            <w:pPr>
              <w:pStyle w:val="TableText"/>
              <w:keepNext/>
              <w:rPr>
                <w:sz w:val="20"/>
              </w:rPr>
            </w:pPr>
            <w:r>
              <w:rPr>
                <w:sz w:val="20"/>
              </w:rPr>
              <w:t>15</w:t>
            </w:r>
          </w:p>
          <w:p w:rsidR="00AF2508" w:rsidRDefault="00AF2508">
            <w:pPr>
              <w:pStyle w:val="TableText"/>
              <w:keepNext/>
              <w:rPr>
                <w:sz w:val="20"/>
              </w:rPr>
            </w:pPr>
            <w:r>
              <w:rPr>
                <w:sz w:val="20"/>
              </w:rPr>
              <w:t>15</w:t>
            </w:r>
          </w:p>
          <w:p w:rsidR="00AF2508" w:rsidRDefault="00AF2508">
            <w:pPr>
              <w:pStyle w:val="TableText"/>
              <w:keepNext/>
              <w:rPr>
                <w:sz w:val="20"/>
              </w:rPr>
            </w:pPr>
            <w:r>
              <w:rPr>
                <w:sz w:val="20"/>
              </w:rPr>
              <w:t>20</w:t>
            </w:r>
          </w:p>
          <w:p w:rsidR="00AF2508" w:rsidRDefault="00AF2508">
            <w:pPr>
              <w:pStyle w:val="TableText"/>
              <w:keepNext/>
              <w:rPr>
                <w:sz w:val="20"/>
              </w:rPr>
            </w:pPr>
            <w:r>
              <w:rPr>
                <w:sz w:val="20"/>
              </w:rPr>
              <w:t>25</w:t>
            </w:r>
          </w:p>
          <w:p w:rsidR="00AF2508" w:rsidRDefault="00AF2508">
            <w:pPr>
              <w:pStyle w:val="TableText"/>
              <w:keepNext/>
              <w:rPr>
                <w:sz w:val="20"/>
              </w:rPr>
            </w:pPr>
            <w:r>
              <w:rPr>
                <w:sz w:val="20"/>
              </w:rPr>
              <w:t>25</w:t>
            </w:r>
          </w:p>
          <w:p w:rsidR="00AF2508" w:rsidRDefault="00AF2508">
            <w:pPr>
              <w:pStyle w:val="TableText"/>
              <w:keepNext/>
              <w:rPr>
                <w:sz w:val="20"/>
              </w:rPr>
            </w:pPr>
            <w:r>
              <w:rPr>
                <w:sz w:val="20"/>
              </w:rPr>
              <w:t>30</w:t>
            </w:r>
          </w:p>
          <w:p w:rsidR="00AF2508" w:rsidRDefault="00AF2508">
            <w:pPr>
              <w:pStyle w:val="TableText"/>
              <w:keepNext/>
              <w:rPr>
                <w:sz w:val="20"/>
              </w:rPr>
            </w:pPr>
            <w:r>
              <w:rPr>
                <w:sz w:val="20"/>
              </w:rPr>
              <w:t>30</w:t>
            </w:r>
          </w:p>
          <w:p w:rsidR="00AF2508" w:rsidRDefault="00AF2508">
            <w:pPr>
              <w:pStyle w:val="TableText"/>
              <w:keepNext/>
              <w:rPr>
                <w:sz w:val="20"/>
              </w:rPr>
            </w:pPr>
            <w:r>
              <w:rPr>
                <w:sz w:val="20"/>
              </w:rPr>
              <w:t>30</w:t>
            </w:r>
          </w:p>
          <w:p w:rsidR="00AF2508" w:rsidRDefault="00AF2508">
            <w:pPr>
              <w:pStyle w:val="TableText"/>
              <w:keepNext/>
              <w:rPr>
                <w:sz w:val="20"/>
              </w:rPr>
            </w:pPr>
            <w:r>
              <w:rPr>
                <w:sz w:val="20"/>
              </w:rPr>
              <w:t>35</w:t>
            </w:r>
          </w:p>
        </w:tc>
        <w:tc>
          <w:tcPr>
            <w:tcW w:w="600" w:type="dxa"/>
            <w:tcBorders>
              <w:left w:val="single" w:sz="6" w:space="0" w:color="auto"/>
              <w:bottom w:val="single" w:sz="6" w:space="0" w:color="auto"/>
              <w:right w:val="single" w:sz="6" w:space="0" w:color="auto"/>
            </w:tcBorders>
          </w:tcPr>
          <w:p w:rsidR="00AF2508" w:rsidRDefault="00AF2508">
            <w:pPr>
              <w:pStyle w:val="TableText"/>
              <w:keepNext/>
              <w:rPr>
                <w:sz w:val="20"/>
              </w:rPr>
            </w:pPr>
            <w:r>
              <w:rPr>
                <w:sz w:val="20"/>
              </w:rPr>
              <w:t>20</w:t>
            </w:r>
          </w:p>
          <w:p w:rsidR="00AF2508" w:rsidRDefault="00AF2508">
            <w:pPr>
              <w:pStyle w:val="TableText"/>
              <w:keepNext/>
              <w:rPr>
                <w:sz w:val="20"/>
              </w:rPr>
            </w:pPr>
            <w:r>
              <w:rPr>
                <w:sz w:val="20"/>
              </w:rPr>
              <w:t>20</w:t>
            </w:r>
          </w:p>
          <w:p w:rsidR="00AF2508" w:rsidRDefault="00AF2508">
            <w:pPr>
              <w:pStyle w:val="TableText"/>
              <w:keepNext/>
              <w:rPr>
                <w:sz w:val="20"/>
              </w:rPr>
            </w:pPr>
            <w:r>
              <w:rPr>
                <w:sz w:val="20"/>
              </w:rPr>
              <w:t>25</w:t>
            </w:r>
          </w:p>
          <w:p w:rsidR="00AF2508" w:rsidRDefault="00AF2508">
            <w:pPr>
              <w:pStyle w:val="TableText"/>
              <w:keepNext/>
              <w:rPr>
                <w:sz w:val="20"/>
              </w:rPr>
            </w:pPr>
            <w:r>
              <w:rPr>
                <w:sz w:val="20"/>
              </w:rPr>
              <w:t>25</w:t>
            </w:r>
          </w:p>
          <w:p w:rsidR="00AF2508" w:rsidRDefault="00AF2508">
            <w:pPr>
              <w:pStyle w:val="TableText"/>
              <w:keepNext/>
              <w:rPr>
                <w:sz w:val="20"/>
              </w:rPr>
            </w:pPr>
            <w:r>
              <w:rPr>
                <w:sz w:val="20"/>
              </w:rPr>
              <w:t>25</w:t>
            </w:r>
          </w:p>
          <w:p w:rsidR="00AF2508" w:rsidRDefault="00AF2508">
            <w:pPr>
              <w:pStyle w:val="TableText"/>
              <w:keepNext/>
              <w:rPr>
                <w:sz w:val="20"/>
              </w:rPr>
            </w:pPr>
            <w:r>
              <w:rPr>
                <w:sz w:val="20"/>
              </w:rPr>
              <w:t>30</w:t>
            </w:r>
          </w:p>
          <w:p w:rsidR="00AF2508" w:rsidRDefault="00AF2508">
            <w:pPr>
              <w:pStyle w:val="TableText"/>
              <w:keepNext/>
              <w:rPr>
                <w:sz w:val="20"/>
              </w:rPr>
            </w:pPr>
            <w:r>
              <w:rPr>
                <w:sz w:val="20"/>
              </w:rPr>
              <w:t>30</w:t>
            </w:r>
          </w:p>
          <w:p w:rsidR="00AF2508" w:rsidRDefault="00AF2508">
            <w:pPr>
              <w:pStyle w:val="TableText"/>
              <w:keepNext/>
              <w:rPr>
                <w:sz w:val="20"/>
              </w:rPr>
            </w:pPr>
            <w:r>
              <w:rPr>
                <w:sz w:val="20"/>
              </w:rPr>
              <w:t>30</w:t>
            </w:r>
          </w:p>
          <w:p w:rsidR="00AF2508" w:rsidRDefault="00AF2508">
            <w:pPr>
              <w:pStyle w:val="TableText"/>
              <w:keepNext/>
              <w:rPr>
                <w:sz w:val="20"/>
              </w:rPr>
            </w:pPr>
            <w:r>
              <w:rPr>
                <w:sz w:val="20"/>
              </w:rPr>
              <w:t>30</w:t>
            </w:r>
          </w:p>
          <w:p w:rsidR="00AF2508" w:rsidRDefault="00AF2508">
            <w:pPr>
              <w:pStyle w:val="TableText"/>
              <w:keepNext/>
              <w:rPr>
                <w:sz w:val="20"/>
              </w:rPr>
            </w:pPr>
            <w:r>
              <w:rPr>
                <w:sz w:val="20"/>
              </w:rPr>
              <w:t>35</w:t>
            </w:r>
          </w:p>
        </w:tc>
        <w:tc>
          <w:tcPr>
            <w:tcW w:w="1057" w:type="dxa"/>
            <w:gridSpan w:val="4"/>
            <w:tcBorders>
              <w:bottom w:val="single" w:sz="6" w:space="0" w:color="auto"/>
            </w:tcBorders>
          </w:tcPr>
          <w:p w:rsidR="00AF2508" w:rsidRDefault="00AF2508">
            <w:pPr>
              <w:pStyle w:val="TableText"/>
              <w:keepNext/>
              <w:rPr>
                <w:sz w:val="20"/>
              </w:rPr>
            </w:pPr>
            <w:r>
              <w:rPr>
                <w:sz w:val="20"/>
              </w:rPr>
              <w:t>37</w:t>
            </w:r>
          </w:p>
          <w:p w:rsidR="00AF2508" w:rsidRDefault="00AF2508">
            <w:pPr>
              <w:pStyle w:val="TableText"/>
              <w:keepNext/>
              <w:rPr>
                <w:sz w:val="20"/>
              </w:rPr>
            </w:pPr>
            <w:r>
              <w:rPr>
                <w:sz w:val="20"/>
              </w:rPr>
              <w:t>42</w:t>
            </w:r>
          </w:p>
          <w:p w:rsidR="00AF2508" w:rsidRDefault="00AF2508">
            <w:pPr>
              <w:pStyle w:val="TableText"/>
              <w:keepNext/>
              <w:rPr>
                <w:sz w:val="20"/>
              </w:rPr>
            </w:pPr>
            <w:r>
              <w:rPr>
                <w:sz w:val="20"/>
              </w:rPr>
              <w:t>47</w:t>
            </w:r>
          </w:p>
          <w:p w:rsidR="00AF2508" w:rsidRDefault="00AF2508">
            <w:pPr>
              <w:pStyle w:val="TableText"/>
              <w:keepNext/>
              <w:rPr>
                <w:sz w:val="20"/>
              </w:rPr>
            </w:pPr>
            <w:r>
              <w:rPr>
                <w:sz w:val="20"/>
              </w:rPr>
              <w:t>52</w:t>
            </w:r>
          </w:p>
          <w:p w:rsidR="00AF2508" w:rsidRDefault="00AF2508">
            <w:pPr>
              <w:pStyle w:val="TableText"/>
              <w:keepNext/>
              <w:rPr>
                <w:sz w:val="20"/>
              </w:rPr>
            </w:pPr>
            <w:r>
              <w:rPr>
                <w:sz w:val="20"/>
              </w:rPr>
              <w:t>57</w:t>
            </w:r>
          </w:p>
          <w:p w:rsidR="00AF2508" w:rsidRDefault="00AF2508">
            <w:pPr>
              <w:pStyle w:val="TableText"/>
              <w:keepNext/>
              <w:rPr>
                <w:sz w:val="20"/>
              </w:rPr>
            </w:pPr>
            <w:r>
              <w:rPr>
                <w:sz w:val="20"/>
              </w:rPr>
              <w:t>62</w:t>
            </w:r>
          </w:p>
          <w:p w:rsidR="00AF2508" w:rsidRDefault="00AF2508">
            <w:pPr>
              <w:pStyle w:val="TableText"/>
              <w:keepNext/>
              <w:rPr>
                <w:sz w:val="20"/>
              </w:rPr>
            </w:pPr>
            <w:r>
              <w:rPr>
                <w:sz w:val="20"/>
              </w:rPr>
              <w:t>67</w:t>
            </w:r>
          </w:p>
          <w:p w:rsidR="00AF2508" w:rsidRDefault="00AF2508">
            <w:pPr>
              <w:pStyle w:val="TableText"/>
              <w:keepNext/>
              <w:rPr>
                <w:sz w:val="20"/>
              </w:rPr>
            </w:pPr>
            <w:r>
              <w:rPr>
                <w:sz w:val="20"/>
              </w:rPr>
              <w:t>72</w:t>
            </w:r>
          </w:p>
          <w:p w:rsidR="00AF2508" w:rsidRDefault="00AF2508">
            <w:pPr>
              <w:pStyle w:val="TableText"/>
              <w:keepNext/>
              <w:rPr>
                <w:sz w:val="20"/>
              </w:rPr>
            </w:pPr>
            <w:r>
              <w:rPr>
                <w:sz w:val="20"/>
              </w:rPr>
              <w:t>82</w:t>
            </w:r>
          </w:p>
          <w:p w:rsidR="00AF2508" w:rsidRDefault="00AF2508">
            <w:pPr>
              <w:pStyle w:val="TableText"/>
              <w:keepNext/>
              <w:rPr>
                <w:sz w:val="20"/>
              </w:rPr>
            </w:pPr>
            <w:r>
              <w:rPr>
                <w:sz w:val="20"/>
              </w:rPr>
              <w:t>92</w:t>
            </w:r>
          </w:p>
        </w:tc>
      </w:tr>
      <w:tr w:rsidR="00AF2508">
        <w:trPr>
          <w:gridAfter w:val="2"/>
          <w:wAfter w:w="44" w:type="dxa"/>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96</w:t>
            </w:r>
          </w:p>
        </w:tc>
        <w:tc>
          <w:tcPr>
            <w:tcW w:w="880" w:type="dxa"/>
            <w:tcBorders>
              <w:top w:val="single" w:sz="6" w:space="0" w:color="auto"/>
              <w:bottom w:val="single" w:sz="6" w:space="0" w:color="auto"/>
            </w:tcBorders>
          </w:tcPr>
          <w:p w:rsidR="00AF2508" w:rsidRDefault="00AF2508">
            <w:pPr>
              <w:pStyle w:val="TableText"/>
              <w:rPr>
                <w:sz w:val="20"/>
              </w:rPr>
            </w:pPr>
            <w:r>
              <w:rPr>
                <w:sz w:val="20"/>
              </w:rPr>
              <w:t>16</w:t>
            </w:r>
          </w:p>
        </w:tc>
        <w:tc>
          <w:tcPr>
            <w:tcW w:w="98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42</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55min to 1h 12min</w:t>
            </w:r>
          </w:p>
          <w:p w:rsidR="00AF2508" w:rsidRDefault="00AF2508">
            <w:pPr>
              <w:pStyle w:val="TableText"/>
              <w:rPr>
                <w:sz w:val="20"/>
              </w:rPr>
            </w:pPr>
            <w:r>
              <w:rPr>
                <w:sz w:val="20"/>
              </w:rPr>
              <w:t>1h 12min to 1</w:t>
            </w:r>
            <w:r>
              <w:rPr>
                <w:position w:val="6"/>
                <w:sz w:val="20"/>
              </w:rPr>
              <w:t>1</w:t>
            </w:r>
            <w:r>
              <w:rPr>
                <w:sz w:val="20"/>
              </w:rPr>
              <w:t>/2h</w:t>
            </w:r>
          </w:p>
          <w:p w:rsidR="00AF2508" w:rsidRDefault="00AF2508">
            <w:pPr>
              <w:pStyle w:val="TableText"/>
              <w:rPr>
                <w:sz w:val="20"/>
              </w:rPr>
            </w:pPr>
            <w:r>
              <w:rPr>
                <w:sz w:val="20"/>
              </w:rPr>
              <w:t>1</w:t>
            </w:r>
            <w:r>
              <w:rPr>
                <w:position w:val="6"/>
                <w:sz w:val="20"/>
              </w:rPr>
              <w:t>1</w:t>
            </w:r>
            <w:r>
              <w:rPr>
                <w:sz w:val="20"/>
              </w:rPr>
              <w:t>/2h to 1h 54mins</w:t>
            </w:r>
          </w:p>
          <w:p w:rsidR="00AF2508" w:rsidRDefault="00AF2508">
            <w:pPr>
              <w:pStyle w:val="TableText"/>
              <w:rPr>
                <w:sz w:val="20"/>
              </w:rPr>
            </w:pPr>
            <w:r>
              <w:rPr>
                <w:sz w:val="20"/>
              </w:rPr>
              <w:t>1h 54min to 2h 18min</w:t>
            </w:r>
          </w:p>
          <w:p w:rsidR="00AF2508" w:rsidRDefault="00AF2508">
            <w:pPr>
              <w:pStyle w:val="TableText"/>
              <w:rPr>
                <w:sz w:val="20"/>
              </w:rPr>
            </w:pPr>
            <w:r>
              <w:rPr>
                <w:sz w:val="20"/>
              </w:rPr>
              <w:t>2h 18min to 2</w:t>
            </w:r>
            <w:r>
              <w:rPr>
                <w:position w:val="6"/>
                <w:sz w:val="20"/>
              </w:rPr>
              <w:t>1</w:t>
            </w:r>
            <w:r>
              <w:rPr>
                <w:sz w:val="20"/>
              </w:rPr>
              <w:t>/2h</w:t>
            </w:r>
          </w:p>
          <w:p w:rsidR="00AF2508" w:rsidRDefault="00AF2508">
            <w:pPr>
              <w:pStyle w:val="TableText"/>
              <w:rPr>
                <w:sz w:val="20"/>
              </w:rPr>
            </w:pPr>
            <w:r>
              <w:rPr>
                <w:sz w:val="20"/>
              </w:rPr>
              <w:t>2</w:t>
            </w:r>
            <w:r>
              <w:rPr>
                <w:position w:val="6"/>
                <w:sz w:val="20"/>
              </w:rPr>
              <w:t>1</w:t>
            </w:r>
            <w:r>
              <w:rPr>
                <w:sz w:val="20"/>
              </w:rPr>
              <w:t>/2h to 2h 54min</w:t>
            </w:r>
          </w:p>
          <w:p w:rsidR="00AF2508" w:rsidRDefault="00AF2508">
            <w:pPr>
              <w:pStyle w:val="TableText"/>
              <w:rPr>
                <w:sz w:val="20"/>
              </w:rPr>
            </w:pPr>
            <w:r>
              <w:rPr>
                <w:sz w:val="20"/>
              </w:rPr>
              <w:t>over 2h 54min</w:t>
            </w:r>
          </w:p>
        </w:tc>
        <w:tc>
          <w:tcPr>
            <w:tcW w:w="648"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88"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12"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20</w:t>
            </w:r>
          </w:p>
          <w:p w:rsidR="00AF2508" w:rsidRDefault="00AF2508">
            <w:pPr>
              <w:pStyle w:val="TableText"/>
              <w:rPr>
                <w:sz w:val="20"/>
              </w:rPr>
            </w:pPr>
            <w:r>
              <w:rPr>
                <w:sz w:val="20"/>
              </w:rPr>
              <w:t>30</w:t>
            </w:r>
          </w:p>
        </w:tc>
        <w:tc>
          <w:tcPr>
            <w:tcW w:w="708" w:type="dxa"/>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624"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tc>
        <w:tc>
          <w:tcPr>
            <w:tcW w:w="1020" w:type="dxa"/>
            <w:gridSpan w:val="2"/>
            <w:tcBorders>
              <w:top w:val="single" w:sz="6" w:space="0" w:color="auto"/>
              <w:bottom w:val="single" w:sz="6" w:space="0" w:color="auto"/>
            </w:tcBorders>
          </w:tcPr>
          <w:p w:rsidR="00AF2508" w:rsidRDefault="00AF2508">
            <w:pPr>
              <w:pStyle w:val="TableText"/>
              <w:rPr>
                <w:sz w:val="20"/>
              </w:rPr>
            </w:pPr>
            <w:r>
              <w:rPr>
                <w:sz w:val="20"/>
              </w:rPr>
              <w:t>42</w:t>
            </w:r>
          </w:p>
          <w:p w:rsidR="00AF2508" w:rsidRDefault="00AF2508">
            <w:pPr>
              <w:pStyle w:val="TableText"/>
              <w:rPr>
                <w:sz w:val="20"/>
              </w:rPr>
            </w:pPr>
            <w:r>
              <w:rPr>
                <w:sz w:val="20"/>
              </w:rPr>
              <w:t>52</w:t>
            </w:r>
          </w:p>
          <w:p w:rsidR="00AF2508" w:rsidRDefault="00AF2508">
            <w:pPr>
              <w:pStyle w:val="TableText"/>
              <w:rPr>
                <w:sz w:val="20"/>
              </w:rPr>
            </w:pPr>
            <w:r>
              <w:rPr>
                <w:sz w:val="20"/>
              </w:rPr>
              <w:t>62</w:t>
            </w:r>
          </w:p>
          <w:p w:rsidR="00AF2508" w:rsidRDefault="00AF2508">
            <w:pPr>
              <w:pStyle w:val="TableText"/>
              <w:rPr>
                <w:sz w:val="20"/>
              </w:rPr>
            </w:pPr>
            <w:r>
              <w:rPr>
                <w:sz w:val="20"/>
              </w:rPr>
              <w:t>72</w:t>
            </w:r>
          </w:p>
          <w:p w:rsidR="00AF2508" w:rsidRDefault="00AF2508">
            <w:pPr>
              <w:pStyle w:val="TableText"/>
              <w:rPr>
                <w:sz w:val="20"/>
              </w:rPr>
            </w:pPr>
            <w:r>
              <w:rPr>
                <w:sz w:val="20"/>
              </w:rPr>
              <w:t>77</w:t>
            </w:r>
          </w:p>
          <w:p w:rsidR="00AF2508" w:rsidRDefault="00AF2508">
            <w:pPr>
              <w:pStyle w:val="TableText"/>
              <w:rPr>
                <w:sz w:val="20"/>
              </w:rPr>
            </w:pPr>
            <w:r>
              <w:rPr>
                <w:sz w:val="20"/>
              </w:rPr>
              <w:t>87</w:t>
            </w:r>
          </w:p>
          <w:p w:rsidR="00AF2508" w:rsidRDefault="00AF2508">
            <w:pPr>
              <w:pStyle w:val="TableText"/>
              <w:rPr>
                <w:sz w:val="20"/>
              </w:rPr>
            </w:pPr>
            <w:r>
              <w:rPr>
                <w:sz w:val="20"/>
              </w:rPr>
              <w:t>102</w:t>
            </w:r>
          </w:p>
        </w:tc>
      </w:tr>
      <w:tr w:rsidR="00AF2508">
        <w:trPr>
          <w:gridAfter w:val="2"/>
          <w:wAfter w:w="44" w:type="dxa"/>
        </w:trPr>
        <w:tc>
          <w:tcPr>
            <w:tcW w:w="660" w:type="dxa"/>
            <w:tcBorders>
              <w:bottom w:val="single" w:sz="6" w:space="0" w:color="auto"/>
              <w:right w:val="single" w:sz="6" w:space="0" w:color="auto"/>
            </w:tcBorders>
          </w:tcPr>
          <w:p w:rsidR="00AF2508" w:rsidRDefault="00AF2508">
            <w:pPr>
              <w:pStyle w:val="TableText"/>
              <w:rPr>
                <w:sz w:val="20"/>
              </w:rPr>
            </w:pPr>
            <w:r>
              <w:rPr>
                <w:sz w:val="20"/>
              </w:rPr>
              <w:t>108</w:t>
            </w:r>
          </w:p>
        </w:tc>
        <w:tc>
          <w:tcPr>
            <w:tcW w:w="880" w:type="dxa"/>
            <w:tcBorders>
              <w:bottom w:val="single" w:sz="6" w:space="0" w:color="auto"/>
            </w:tcBorders>
          </w:tcPr>
          <w:p w:rsidR="00AF2508" w:rsidRDefault="00AF2508">
            <w:pPr>
              <w:pStyle w:val="TableText"/>
              <w:rPr>
                <w:sz w:val="20"/>
              </w:rPr>
            </w:pPr>
            <w:r>
              <w:rPr>
                <w:sz w:val="20"/>
              </w:rPr>
              <w:t>18</w:t>
            </w:r>
          </w:p>
        </w:tc>
        <w:tc>
          <w:tcPr>
            <w:tcW w:w="98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48</w:t>
            </w:r>
          </w:p>
        </w:tc>
        <w:tc>
          <w:tcPr>
            <w:tcW w:w="3072" w:type="dxa"/>
            <w:tcBorders>
              <w:bottom w:val="single" w:sz="6" w:space="0" w:color="auto"/>
              <w:right w:val="single" w:sz="6" w:space="0" w:color="auto"/>
            </w:tcBorders>
          </w:tcPr>
          <w:p w:rsidR="00AF2508" w:rsidRDefault="00AF2508">
            <w:pPr>
              <w:pStyle w:val="TableText"/>
              <w:rPr>
                <w:sz w:val="20"/>
              </w:rPr>
            </w:pPr>
            <w:r>
              <w:rPr>
                <w:sz w:val="20"/>
              </w:rPr>
              <w:t>40 to 50min</w:t>
            </w:r>
          </w:p>
          <w:p w:rsidR="00AF2508" w:rsidRDefault="00AF2508">
            <w:pPr>
              <w:pStyle w:val="TableText"/>
              <w:rPr>
                <w:sz w:val="20"/>
              </w:rPr>
            </w:pPr>
            <w:r>
              <w:rPr>
                <w:sz w:val="20"/>
              </w:rPr>
              <w:t>50min to 1h</w:t>
            </w:r>
          </w:p>
          <w:p w:rsidR="00AF2508" w:rsidRDefault="00AF2508">
            <w:pPr>
              <w:pStyle w:val="TableText"/>
              <w:rPr>
                <w:sz w:val="20"/>
              </w:rPr>
            </w:pPr>
            <w:r>
              <w:rPr>
                <w:sz w:val="20"/>
              </w:rPr>
              <w:t>1h to 1h 18min</w:t>
            </w:r>
          </w:p>
          <w:p w:rsidR="00AF2508" w:rsidRDefault="00AF2508">
            <w:pPr>
              <w:pStyle w:val="TableText"/>
              <w:rPr>
                <w:sz w:val="20"/>
              </w:rPr>
            </w:pPr>
            <w:r>
              <w:rPr>
                <w:sz w:val="20"/>
              </w:rPr>
              <w:t>1h 18min to 1h 44min</w:t>
            </w:r>
          </w:p>
          <w:p w:rsidR="00AF2508" w:rsidRDefault="00AF2508">
            <w:pPr>
              <w:pStyle w:val="TableText"/>
              <w:rPr>
                <w:sz w:val="20"/>
              </w:rPr>
            </w:pPr>
            <w:r>
              <w:rPr>
                <w:sz w:val="20"/>
              </w:rPr>
              <w:t>1h 44min to 2h</w:t>
            </w:r>
          </w:p>
          <w:p w:rsidR="00AF2508" w:rsidRDefault="00AF2508">
            <w:pPr>
              <w:pStyle w:val="TableText"/>
              <w:rPr>
                <w:sz w:val="20"/>
              </w:rPr>
            </w:pPr>
            <w:r>
              <w:rPr>
                <w:sz w:val="20"/>
              </w:rPr>
              <w:t>2h to 2h 18min</w:t>
            </w:r>
          </w:p>
          <w:p w:rsidR="00AF2508" w:rsidRDefault="00AF2508">
            <w:pPr>
              <w:pStyle w:val="TableText"/>
              <w:rPr>
                <w:sz w:val="20"/>
              </w:rPr>
            </w:pPr>
            <w:r>
              <w:rPr>
                <w:sz w:val="20"/>
              </w:rPr>
              <w:t>2h 18min to 2h 34min</w:t>
            </w:r>
          </w:p>
          <w:p w:rsidR="00AF2508" w:rsidRDefault="00AF2508">
            <w:pPr>
              <w:pStyle w:val="TableText"/>
              <w:rPr>
                <w:sz w:val="20"/>
              </w:rPr>
            </w:pPr>
            <w:r>
              <w:rPr>
                <w:sz w:val="20"/>
              </w:rPr>
              <w:t>2h 34min to 2h 50min</w:t>
            </w:r>
          </w:p>
          <w:p w:rsidR="00AF2508" w:rsidRDefault="00AF2508">
            <w:pPr>
              <w:pStyle w:val="TableText"/>
              <w:rPr>
                <w:sz w:val="20"/>
              </w:rPr>
            </w:pPr>
            <w:r>
              <w:rPr>
                <w:sz w:val="20"/>
              </w:rPr>
              <w:t>over 2h 50min</w:t>
            </w:r>
          </w:p>
        </w:tc>
        <w:tc>
          <w:tcPr>
            <w:tcW w:w="648"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88"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12"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tc>
        <w:tc>
          <w:tcPr>
            <w:tcW w:w="600"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708" w:type="dxa"/>
            <w:tcBorders>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624" w:type="dxa"/>
            <w:gridSpan w:val="3"/>
            <w:tcBorders>
              <w:left w:val="single" w:sz="6" w:space="0" w:color="auto"/>
              <w:bottom w:val="single" w:sz="6" w:space="0" w:color="auto"/>
              <w:right w:val="single" w:sz="6" w:space="0" w:color="auto"/>
            </w:tcBorders>
          </w:tcPr>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bottom w:val="single" w:sz="6" w:space="0" w:color="auto"/>
            </w:tcBorders>
          </w:tcPr>
          <w:p w:rsidR="00AF2508" w:rsidRDefault="00AF2508">
            <w:pPr>
              <w:pStyle w:val="TableText"/>
              <w:rPr>
                <w:sz w:val="20"/>
              </w:rPr>
            </w:pPr>
            <w:r>
              <w:rPr>
                <w:sz w:val="20"/>
              </w:rPr>
              <w:t>41</w:t>
            </w:r>
          </w:p>
          <w:p w:rsidR="00AF2508" w:rsidRDefault="00AF2508">
            <w:pPr>
              <w:pStyle w:val="TableText"/>
              <w:rPr>
                <w:sz w:val="20"/>
              </w:rPr>
            </w:pPr>
            <w:r>
              <w:rPr>
                <w:sz w:val="20"/>
              </w:rPr>
              <w:t>48</w:t>
            </w:r>
          </w:p>
          <w:p w:rsidR="00AF2508" w:rsidRDefault="00AF2508">
            <w:pPr>
              <w:pStyle w:val="TableText"/>
              <w:rPr>
                <w:sz w:val="20"/>
              </w:rPr>
            </w:pPr>
            <w:r>
              <w:rPr>
                <w:sz w:val="20"/>
              </w:rPr>
              <w:t>58</w:t>
            </w:r>
          </w:p>
          <w:p w:rsidR="00AF2508" w:rsidRDefault="00AF2508">
            <w:pPr>
              <w:pStyle w:val="TableText"/>
              <w:rPr>
                <w:sz w:val="20"/>
              </w:rPr>
            </w:pPr>
            <w:r>
              <w:rPr>
                <w:sz w:val="20"/>
              </w:rPr>
              <w:t>73</w:t>
            </w:r>
          </w:p>
          <w:p w:rsidR="00AF2508" w:rsidRDefault="00AF2508">
            <w:pPr>
              <w:pStyle w:val="TableText"/>
              <w:rPr>
                <w:sz w:val="20"/>
              </w:rPr>
            </w:pPr>
            <w:r>
              <w:rPr>
                <w:sz w:val="20"/>
              </w:rPr>
              <w:t>83</w:t>
            </w:r>
          </w:p>
          <w:p w:rsidR="00AF2508" w:rsidRDefault="00AF2508">
            <w:pPr>
              <w:pStyle w:val="TableText"/>
              <w:rPr>
                <w:sz w:val="20"/>
              </w:rPr>
            </w:pPr>
            <w:r>
              <w:rPr>
                <w:sz w:val="20"/>
              </w:rPr>
              <w:t>92</w:t>
            </w:r>
          </w:p>
          <w:p w:rsidR="00AF2508" w:rsidRDefault="00AF2508">
            <w:pPr>
              <w:pStyle w:val="TableText"/>
              <w:rPr>
                <w:sz w:val="20"/>
              </w:rPr>
            </w:pPr>
            <w:r>
              <w:rPr>
                <w:sz w:val="20"/>
              </w:rPr>
              <w:t>102</w:t>
            </w:r>
          </w:p>
          <w:p w:rsidR="00AF2508" w:rsidRDefault="00AF2508">
            <w:pPr>
              <w:pStyle w:val="TableText"/>
              <w:rPr>
                <w:sz w:val="20"/>
              </w:rPr>
            </w:pPr>
            <w:r>
              <w:rPr>
                <w:sz w:val="20"/>
              </w:rPr>
              <w:t>112</w:t>
            </w:r>
          </w:p>
          <w:p w:rsidR="00AF2508" w:rsidRDefault="00AF2508">
            <w:pPr>
              <w:pStyle w:val="TableText"/>
              <w:rPr>
                <w:sz w:val="20"/>
              </w:rPr>
            </w:pPr>
            <w:r>
              <w:rPr>
                <w:sz w:val="20"/>
              </w:rPr>
              <w:t>122</w:t>
            </w:r>
          </w:p>
        </w:tc>
      </w:tr>
      <w:tr w:rsidR="00AF2508">
        <w:trPr>
          <w:gridAfter w:val="2"/>
          <w:wAfter w:w="44" w:type="dxa"/>
        </w:trPr>
        <w:tc>
          <w:tcPr>
            <w:tcW w:w="660" w:type="dxa"/>
            <w:tcBorders>
              <w:bottom w:val="single" w:sz="6" w:space="0" w:color="auto"/>
              <w:right w:val="single" w:sz="6" w:space="0" w:color="auto"/>
            </w:tcBorders>
          </w:tcPr>
          <w:p w:rsidR="00AF2508" w:rsidRDefault="00AF2508">
            <w:pPr>
              <w:pStyle w:val="TableText"/>
              <w:rPr>
                <w:sz w:val="20"/>
              </w:rPr>
            </w:pPr>
            <w:r>
              <w:rPr>
                <w:sz w:val="20"/>
              </w:rPr>
              <w:t>120</w:t>
            </w:r>
          </w:p>
        </w:tc>
        <w:tc>
          <w:tcPr>
            <w:tcW w:w="880" w:type="dxa"/>
            <w:tcBorders>
              <w:bottom w:val="single" w:sz="6" w:space="0" w:color="auto"/>
            </w:tcBorders>
          </w:tcPr>
          <w:p w:rsidR="00AF2508" w:rsidRDefault="00AF2508">
            <w:pPr>
              <w:pStyle w:val="TableText"/>
              <w:rPr>
                <w:sz w:val="20"/>
              </w:rPr>
            </w:pPr>
            <w:r>
              <w:rPr>
                <w:sz w:val="20"/>
              </w:rPr>
              <w:t>20</w:t>
            </w:r>
          </w:p>
        </w:tc>
        <w:tc>
          <w:tcPr>
            <w:tcW w:w="98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53</w:t>
            </w:r>
            <w:r>
              <w:rPr>
                <w:position w:val="4"/>
                <w:sz w:val="16"/>
              </w:rPr>
              <w:t>1</w:t>
            </w:r>
            <w:r>
              <w:rPr>
                <w:sz w:val="20"/>
              </w:rPr>
              <w:t>/</w:t>
            </w:r>
            <w:r>
              <w:rPr>
                <w:sz w:val="16"/>
              </w:rPr>
              <w:t>2</w:t>
            </w:r>
          </w:p>
        </w:tc>
        <w:tc>
          <w:tcPr>
            <w:tcW w:w="3072" w:type="dxa"/>
            <w:tcBorders>
              <w:bottom w:val="single" w:sz="6" w:space="0" w:color="auto"/>
              <w:right w:val="single" w:sz="6" w:space="0" w:color="auto"/>
            </w:tcBorders>
          </w:tcPr>
          <w:p w:rsidR="00AF2508" w:rsidRDefault="00AF2508">
            <w:pPr>
              <w:pStyle w:val="TableText"/>
              <w:rPr>
                <w:sz w:val="20"/>
              </w:rPr>
            </w:pPr>
            <w:r>
              <w:rPr>
                <w:sz w:val="20"/>
              </w:rPr>
              <w:t>35 to 50min</w:t>
            </w:r>
          </w:p>
          <w:p w:rsidR="00AF2508" w:rsidRDefault="00AF2508">
            <w:pPr>
              <w:pStyle w:val="TableText"/>
              <w:rPr>
                <w:sz w:val="20"/>
              </w:rPr>
            </w:pPr>
            <w:r>
              <w:rPr>
                <w:sz w:val="20"/>
              </w:rPr>
              <w:t>50min to 1h</w:t>
            </w:r>
          </w:p>
          <w:p w:rsidR="00AF2508" w:rsidRDefault="00AF2508">
            <w:pPr>
              <w:pStyle w:val="TableText"/>
              <w:rPr>
                <w:sz w:val="20"/>
              </w:rPr>
            </w:pPr>
            <w:r>
              <w:rPr>
                <w:sz w:val="20"/>
              </w:rPr>
              <w:t>1h to 1h 22min</w:t>
            </w:r>
          </w:p>
          <w:p w:rsidR="00AF2508" w:rsidRDefault="00AF2508">
            <w:pPr>
              <w:pStyle w:val="TableText"/>
              <w:rPr>
                <w:sz w:val="20"/>
              </w:rPr>
            </w:pPr>
            <w:r>
              <w:rPr>
                <w:sz w:val="20"/>
              </w:rPr>
              <w:t>1h 22min to 1h 44min</w:t>
            </w:r>
          </w:p>
          <w:p w:rsidR="00AF2508" w:rsidRDefault="00AF2508">
            <w:pPr>
              <w:pStyle w:val="TableText"/>
              <w:rPr>
                <w:sz w:val="20"/>
              </w:rPr>
            </w:pPr>
            <w:r>
              <w:rPr>
                <w:sz w:val="20"/>
              </w:rPr>
              <w:t>1h 44min to 2h</w:t>
            </w:r>
          </w:p>
          <w:p w:rsidR="00AF2508" w:rsidRDefault="00AF2508">
            <w:pPr>
              <w:pStyle w:val="TableText"/>
              <w:rPr>
                <w:sz w:val="20"/>
              </w:rPr>
            </w:pPr>
            <w:r>
              <w:rPr>
                <w:sz w:val="20"/>
              </w:rPr>
              <w:t>2h to 2h 22min</w:t>
            </w:r>
          </w:p>
          <w:p w:rsidR="00AF2508" w:rsidRDefault="00AF2508">
            <w:pPr>
              <w:pStyle w:val="TableText"/>
              <w:rPr>
                <w:sz w:val="20"/>
              </w:rPr>
            </w:pPr>
            <w:r>
              <w:rPr>
                <w:sz w:val="20"/>
              </w:rPr>
              <w:t>2h 22min to 2h 44min</w:t>
            </w:r>
          </w:p>
          <w:p w:rsidR="00AF2508" w:rsidRDefault="00AF2508">
            <w:pPr>
              <w:pStyle w:val="TableText"/>
              <w:rPr>
                <w:sz w:val="20"/>
              </w:rPr>
            </w:pPr>
            <w:r>
              <w:rPr>
                <w:sz w:val="20"/>
              </w:rPr>
              <w:t>over 2h 44min</w:t>
            </w:r>
          </w:p>
        </w:tc>
        <w:tc>
          <w:tcPr>
            <w:tcW w:w="648"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88"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12"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708" w:type="dxa"/>
            <w:tcBorders>
              <w:bottom w:val="single" w:sz="6" w:space="0" w:color="auto"/>
            </w:tcBorders>
          </w:tcPr>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tc>
        <w:tc>
          <w:tcPr>
            <w:tcW w:w="624" w:type="dxa"/>
            <w:gridSpan w:val="3"/>
            <w:tcBorders>
              <w:left w:val="single" w:sz="6" w:space="0" w:color="auto"/>
              <w:bottom w:val="single" w:sz="6" w:space="0" w:color="auto"/>
              <w:right w:val="single" w:sz="6" w:space="0" w:color="auto"/>
            </w:tcBorders>
          </w:tcPr>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bottom w:val="single" w:sz="6" w:space="0" w:color="auto"/>
            </w:tcBorders>
          </w:tcPr>
          <w:p w:rsidR="00AF2508" w:rsidRDefault="00AF2508">
            <w:pPr>
              <w:pStyle w:val="TableText"/>
              <w:rPr>
                <w:sz w:val="20"/>
              </w:rPr>
            </w:pPr>
            <w:r>
              <w:rPr>
                <w:sz w:val="20"/>
              </w:rPr>
              <w:t>47</w:t>
            </w:r>
          </w:p>
          <w:p w:rsidR="00AF2508" w:rsidRDefault="00AF2508">
            <w:pPr>
              <w:pStyle w:val="TableText"/>
              <w:rPr>
                <w:sz w:val="20"/>
              </w:rPr>
            </w:pPr>
            <w:r>
              <w:rPr>
                <w:sz w:val="20"/>
              </w:rPr>
              <w:t>57</w:t>
            </w:r>
          </w:p>
          <w:p w:rsidR="00AF2508" w:rsidRDefault="00AF2508">
            <w:pPr>
              <w:pStyle w:val="TableText"/>
              <w:rPr>
                <w:sz w:val="20"/>
              </w:rPr>
            </w:pPr>
            <w:r>
              <w:rPr>
                <w:sz w:val="20"/>
              </w:rPr>
              <w:t>72</w:t>
            </w:r>
          </w:p>
          <w:p w:rsidR="00AF2508" w:rsidRDefault="00AF2508">
            <w:pPr>
              <w:pStyle w:val="TableText"/>
              <w:rPr>
                <w:sz w:val="20"/>
              </w:rPr>
            </w:pPr>
            <w:r>
              <w:rPr>
                <w:sz w:val="20"/>
              </w:rPr>
              <w:t>87</w:t>
            </w:r>
          </w:p>
          <w:p w:rsidR="00AF2508" w:rsidRDefault="00AF2508">
            <w:pPr>
              <w:pStyle w:val="TableText"/>
              <w:rPr>
                <w:sz w:val="20"/>
              </w:rPr>
            </w:pPr>
            <w:r>
              <w:rPr>
                <w:sz w:val="20"/>
              </w:rPr>
              <w:t>97</w:t>
            </w:r>
          </w:p>
          <w:p w:rsidR="00AF2508" w:rsidRDefault="00AF2508">
            <w:pPr>
              <w:pStyle w:val="TableText"/>
              <w:rPr>
                <w:sz w:val="20"/>
              </w:rPr>
            </w:pPr>
            <w:r>
              <w:rPr>
                <w:sz w:val="20"/>
              </w:rPr>
              <w:t>112</w:t>
            </w:r>
          </w:p>
          <w:p w:rsidR="00AF2508" w:rsidRDefault="00AF2508">
            <w:pPr>
              <w:pStyle w:val="TableText"/>
              <w:rPr>
                <w:sz w:val="20"/>
              </w:rPr>
            </w:pPr>
            <w:r>
              <w:rPr>
                <w:sz w:val="20"/>
              </w:rPr>
              <w:t>127</w:t>
            </w:r>
          </w:p>
          <w:p w:rsidR="00AF2508" w:rsidRDefault="00AF2508">
            <w:pPr>
              <w:pStyle w:val="TableText"/>
              <w:rPr>
                <w:sz w:val="20"/>
              </w:rPr>
            </w:pPr>
            <w:r>
              <w:rPr>
                <w:sz w:val="20"/>
              </w:rPr>
              <w:t>142</w:t>
            </w:r>
          </w:p>
        </w:tc>
      </w:tr>
      <w:tr w:rsidR="00AF2508">
        <w:trPr>
          <w:gridAfter w:val="3"/>
          <w:wAfter w:w="56" w:type="dxa"/>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132</w:t>
            </w:r>
          </w:p>
        </w:tc>
        <w:tc>
          <w:tcPr>
            <w:tcW w:w="880" w:type="dxa"/>
            <w:tcBorders>
              <w:top w:val="single" w:sz="6" w:space="0" w:color="auto"/>
              <w:bottom w:val="single" w:sz="6" w:space="0" w:color="auto"/>
            </w:tcBorders>
          </w:tcPr>
          <w:p w:rsidR="00AF2508" w:rsidRDefault="00AF2508">
            <w:pPr>
              <w:pStyle w:val="TableText"/>
              <w:rPr>
                <w:sz w:val="20"/>
              </w:rPr>
            </w:pPr>
            <w:r>
              <w:rPr>
                <w:sz w:val="20"/>
              </w:rPr>
              <w:t>22</w:t>
            </w:r>
          </w:p>
        </w:tc>
        <w:tc>
          <w:tcPr>
            <w:tcW w:w="98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59</w:t>
            </w:r>
          </w:p>
        </w:tc>
        <w:tc>
          <w:tcPr>
            <w:tcW w:w="3072"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30min to 38min</w:t>
            </w:r>
          </w:p>
          <w:p w:rsidR="00AF2508" w:rsidRDefault="00AF2508">
            <w:pPr>
              <w:pStyle w:val="TableText"/>
              <w:rPr>
                <w:sz w:val="20"/>
              </w:rPr>
            </w:pPr>
            <w:r>
              <w:rPr>
                <w:sz w:val="20"/>
              </w:rPr>
              <w:t xml:space="preserve">38min to </w:t>
            </w:r>
            <w:r>
              <w:rPr>
                <w:position w:val="6"/>
                <w:sz w:val="20"/>
              </w:rPr>
              <w:t>3</w:t>
            </w:r>
            <w:r>
              <w:rPr>
                <w:sz w:val="20"/>
              </w:rPr>
              <w:t>/4h</w:t>
            </w:r>
          </w:p>
          <w:p w:rsidR="00AF2508" w:rsidRDefault="00AF2508">
            <w:pPr>
              <w:pStyle w:val="TableText"/>
              <w:rPr>
                <w:sz w:val="20"/>
              </w:rPr>
            </w:pPr>
            <w:r>
              <w:rPr>
                <w:position w:val="6"/>
                <w:sz w:val="20"/>
              </w:rPr>
              <w:t>3</w:t>
            </w:r>
            <w:r>
              <w:rPr>
                <w:sz w:val="20"/>
              </w:rPr>
              <w:t>/4h to 1h</w:t>
            </w:r>
          </w:p>
          <w:p w:rsidR="00AF2508" w:rsidRDefault="00AF2508">
            <w:pPr>
              <w:pStyle w:val="TableText"/>
              <w:rPr>
                <w:sz w:val="20"/>
              </w:rPr>
            </w:pPr>
            <w:r>
              <w:rPr>
                <w:sz w:val="20"/>
              </w:rPr>
              <w:t>1 to 1</w:t>
            </w:r>
            <w:r>
              <w:rPr>
                <w:position w:val="6"/>
                <w:sz w:val="20"/>
              </w:rPr>
              <w:t>1</w:t>
            </w:r>
            <w:r>
              <w:rPr>
                <w:sz w:val="20"/>
              </w:rPr>
              <w:t>/4h</w:t>
            </w:r>
          </w:p>
          <w:p w:rsidR="00AF2508" w:rsidRDefault="00AF2508">
            <w:pPr>
              <w:pStyle w:val="TableText"/>
              <w:rPr>
                <w:sz w:val="20"/>
              </w:rPr>
            </w:pPr>
            <w:r>
              <w:rPr>
                <w:sz w:val="20"/>
              </w:rPr>
              <w:t>1</w:t>
            </w:r>
            <w:r>
              <w:rPr>
                <w:position w:val="6"/>
                <w:sz w:val="20"/>
              </w:rPr>
              <w:t>1</w:t>
            </w:r>
            <w:r>
              <w:rPr>
                <w:sz w:val="20"/>
              </w:rPr>
              <w:t>/4h to 1</w:t>
            </w:r>
            <w:r>
              <w:rPr>
                <w:position w:val="6"/>
                <w:sz w:val="20"/>
              </w:rPr>
              <w:t>1</w:t>
            </w:r>
            <w:r>
              <w:rPr>
                <w:sz w:val="20"/>
              </w:rPr>
              <w:t>/2h</w:t>
            </w:r>
          </w:p>
          <w:p w:rsidR="00AF2508" w:rsidRDefault="00AF2508">
            <w:pPr>
              <w:pStyle w:val="TableText"/>
              <w:rPr>
                <w:sz w:val="20"/>
              </w:rPr>
            </w:pPr>
            <w:r>
              <w:rPr>
                <w:sz w:val="20"/>
              </w:rPr>
              <w:t>1</w:t>
            </w:r>
            <w:r>
              <w:rPr>
                <w:position w:val="6"/>
                <w:sz w:val="20"/>
              </w:rPr>
              <w:t>1</w:t>
            </w:r>
            <w:r>
              <w:rPr>
                <w:sz w:val="20"/>
              </w:rPr>
              <w:t>/2h to 1</w:t>
            </w:r>
            <w:r>
              <w:rPr>
                <w:position w:val="6"/>
                <w:sz w:val="20"/>
              </w:rPr>
              <w:t>3</w:t>
            </w:r>
            <w:r>
              <w:rPr>
                <w:sz w:val="20"/>
              </w:rPr>
              <w:t>/4h</w:t>
            </w:r>
          </w:p>
          <w:p w:rsidR="00AF2508" w:rsidRDefault="00AF2508">
            <w:pPr>
              <w:pStyle w:val="TableText"/>
              <w:rPr>
                <w:sz w:val="20"/>
              </w:rPr>
            </w:pPr>
            <w:r>
              <w:rPr>
                <w:sz w:val="20"/>
              </w:rPr>
              <w:t>1</w:t>
            </w:r>
            <w:r>
              <w:rPr>
                <w:position w:val="6"/>
                <w:sz w:val="20"/>
              </w:rPr>
              <w:t>3</w:t>
            </w:r>
            <w:r>
              <w:rPr>
                <w:sz w:val="20"/>
              </w:rPr>
              <w:t>/4h to 2h</w:t>
            </w:r>
          </w:p>
          <w:p w:rsidR="00AF2508" w:rsidRDefault="00AF2508">
            <w:pPr>
              <w:pStyle w:val="TableText"/>
              <w:rPr>
                <w:sz w:val="20"/>
              </w:rPr>
            </w:pPr>
            <w:r>
              <w:rPr>
                <w:sz w:val="20"/>
              </w:rPr>
              <w:t>2 to 2</w:t>
            </w:r>
            <w:r>
              <w:rPr>
                <w:position w:val="6"/>
                <w:sz w:val="20"/>
              </w:rPr>
              <w:t>1</w:t>
            </w:r>
            <w:r>
              <w:rPr>
                <w:sz w:val="20"/>
              </w:rPr>
              <w:t>/4h</w:t>
            </w:r>
          </w:p>
          <w:p w:rsidR="00AF2508" w:rsidRDefault="00AF2508">
            <w:pPr>
              <w:pStyle w:val="TableText"/>
              <w:rPr>
                <w:sz w:val="20"/>
              </w:rPr>
            </w:pPr>
            <w:r>
              <w:rPr>
                <w:sz w:val="20"/>
              </w:rPr>
              <w:t>over 2</w:t>
            </w:r>
            <w:r>
              <w:rPr>
                <w:position w:val="6"/>
                <w:sz w:val="20"/>
              </w:rPr>
              <w:t>1</w:t>
            </w:r>
            <w:r>
              <w:rPr>
                <w:sz w:val="20"/>
              </w:rPr>
              <w:t>/4h</w:t>
            </w:r>
          </w:p>
        </w:tc>
        <w:tc>
          <w:tcPr>
            <w:tcW w:w="628"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12"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tc>
        <w:tc>
          <w:tcPr>
            <w:tcW w:w="588"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720" w:type="dxa"/>
            <w:gridSpan w:val="2"/>
            <w:tcBorders>
              <w:top w:val="single" w:sz="6" w:space="0" w:color="auto"/>
              <w:bottom w:val="single" w:sz="6" w:space="0" w:color="auto"/>
            </w:tcBorders>
          </w:tcPr>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tc>
        <w:tc>
          <w:tcPr>
            <w:tcW w:w="1020" w:type="dxa"/>
            <w:gridSpan w:val="2"/>
            <w:tcBorders>
              <w:top w:val="single" w:sz="6" w:space="0" w:color="auto"/>
              <w:bottom w:val="single" w:sz="6" w:space="0" w:color="auto"/>
            </w:tcBorders>
          </w:tcPr>
          <w:p w:rsidR="00AF2508" w:rsidRDefault="00AF2508">
            <w:pPr>
              <w:pStyle w:val="TableText"/>
              <w:rPr>
                <w:sz w:val="20"/>
              </w:rPr>
            </w:pPr>
            <w:r>
              <w:rPr>
                <w:sz w:val="20"/>
              </w:rPr>
              <w:t>43</w:t>
            </w:r>
          </w:p>
          <w:p w:rsidR="00AF2508" w:rsidRDefault="00AF2508">
            <w:pPr>
              <w:pStyle w:val="TableText"/>
              <w:rPr>
                <w:sz w:val="20"/>
              </w:rPr>
            </w:pPr>
            <w:r>
              <w:rPr>
                <w:sz w:val="20"/>
              </w:rPr>
              <w:t>53</w:t>
            </w:r>
          </w:p>
          <w:p w:rsidR="00AF2508" w:rsidRDefault="00AF2508">
            <w:pPr>
              <w:pStyle w:val="TableText"/>
              <w:rPr>
                <w:sz w:val="20"/>
              </w:rPr>
            </w:pPr>
            <w:r>
              <w:rPr>
                <w:sz w:val="20"/>
              </w:rPr>
              <w:t>68</w:t>
            </w:r>
          </w:p>
          <w:p w:rsidR="00AF2508" w:rsidRDefault="00AF2508">
            <w:pPr>
              <w:pStyle w:val="TableText"/>
              <w:rPr>
                <w:sz w:val="20"/>
              </w:rPr>
            </w:pPr>
            <w:r>
              <w:rPr>
                <w:sz w:val="20"/>
              </w:rPr>
              <w:t>83</w:t>
            </w:r>
          </w:p>
          <w:p w:rsidR="00AF2508" w:rsidRDefault="00AF2508">
            <w:pPr>
              <w:pStyle w:val="TableText"/>
              <w:rPr>
                <w:sz w:val="20"/>
              </w:rPr>
            </w:pPr>
            <w:r>
              <w:rPr>
                <w:sz w:val="20"/>
              </w:rPr>
              <w:t>98</w:t>
            </w:r>
          </w:p>
          <w:p w:rsidR="00AF2508" w:rsidRDefault="00AF2508">
            <w:pPr>
              <w:pStyle w:val="TableText"/>
              <w:rPr>
                <w:sz w:val="20"/>
              </w:rPr>
            </w:pPr>
            <w:r>
              <w:rPr>
                <w:sz w:val="20"/>
              </w:rPr>
              <w:t>113</w:t>
            </w:r>
          </w:p>
          <w:p w:rsidR="00AF2508" w:rsidRDefault="00AF2508">
            <w:pPr>
              <w:pStyle w:val="TableText"/>
              <w:rPr>
                <w:sz w:val="20"/>
              </w:rPr>
            </w:pPr>
            <w:r>
              <w:rPr>
                <w:sz w:val="20"/>
              </w:rPr>
              <w:t>128</w:t>
            </w:r>
          </w:p>
          <w:p w:rsidR="00AF2508" w:rsidRDefault="00AF2508">
            <w:pPr>
              <w:pStyle w:val="TableText"/>
              <w:rPr>
                <w:sz w:val="20"/>
              </w:rPr>
            </w:pPr>
            <w:r>
              <w:rPr>
                <w:sz w:val="20"/>
              </w:rPr>
              <w:t>143</w:t>
            </w:r>
          </w:p>
          <w:p w:rsidR="00AF2508" w:rsidRDefault="00AF2508">
            <w:pPr>
              <w:pStyle w:val="TableText"/>
              <w:rPr>
                <w:sz w:val="20"/>
              </w:rPr>
            </w:pPr>
            <w:r>
              <w:rPr>
                <w:sz w:val="20"/>
              </w:rPr>
              <w:t>163</w:t>
            </w:r>
          </w:p>
        </w:tc>
      </w:tr>
      <w:tr w:rsidR="00AF2508">
        <w:trPr>
          <w:gridAfter w:val="3"/>
          <w:wAfter w:w="56" w:type="dxa"/>
        </w:trPr>
        <w:tc>
          <w:tcPr>
            <w:tcW w:w="660" w:type="dxa"/>
            <w:tcBorders>
              <w:bottom w:val="single" w:sz="6" w:space="0" w:color="auto"/>
              <w:right w:val="single" w:sz="6" w:space="0" w:color="auto"/>
            </w:tcBorders>
          </w:tcPr>
          <w:p w:rsidR="00AF2508" w:rsidRDefault="00AF2508">
            <w:pPr>
              <w:pStyle w:val="TableText"/>
              <w:rPr>
                <w:sz w:val="20"/>
              </w:rPr>
            </w:pPr>
            <w:r>
              <w:rPr>
                <w:sz w:val="20"/>
              </w:rPr>
              <w:t>144</w:t>
            </w:r>
          </w:p>
        </w:tc>
        <w:tc>
          <w:tcPr>
            <w:tcW w:w="880" w:type="dxa"/>
            <w:tcBorders>
              <w:bottom w:val="single" w:sz="6" w:space="0" w:color="auto"/>
            </w:tcBorders>
          </w:tcPr>
          <w:p w:rsidR="00AF2508" w:rsidRDefault="00AF2508">
            <w:pPr>
              <w:pStyle w:val="TableText"/>
              <w:rPr>
                <w:sz w:val="20"/>
              </w:rPr>
            </w:pPr>
            <w:r>
              <w:rPr>
                <w:sz w:val="20"/>
              </w:rPr>
              <w:t>24</w:t>
            </w:r>
          </w:p>
        </w:tc>
        <w:tc>
          <w:tcPr>
            <w:tcW w:w="98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64</w:t>
            </w:r>
            <w:r>
              <w:rPr>
                <w:position w:val="4"/>
                <w:sz w:val="16"/>
              </w:rPr>
              <w:t>1</w:t>
            </w:r>
            <w:r>
              <w:rPr>
                <w:sz w:val="20"/>
              </w:rPr>
              <w:t>/</w:t>
            </w:r>
            <w:r>
              <w:rPr>
                <w:sz w:val="16"/>
              </w:rPr>
              <w:t>2</w:t>
            </w:r>
          </w:p>
        </w:tc>
        <w:tc>
          <w:tcPr>
            <w:tcW w:w="3072" w:type="dxa"/>
            <w:tcBorders>
              <w:bottom w:val="single" w:sz="6" w:space="0" w:color="auto"/>
              <w:right w:val="single" w:sz="6" w:space="0" w:color="auto"/>
            </w:tcBorders>
          </w:tcPr>
          <w:p w:rsidR="00AF2508" w:rsidRDefault="00AF2508">
            <w:pPr>
              <w:pStyle w:val="TableText"/>
              <w:spacing w:before="40"/>
              <w:rPr>
                <w:sz w:val="20"/>
              </w:rPr>
            </w:pPr>
            <w:r>
              <w:rPr>
                <w:sz w:val="20"/>
              </w:rPr>
              <w:t>25 to 32min</w:t>
            </w:r>
          </w:p>
          <w:p w:rsidR="00AF2508" w:rsidRDefault="00AF2508">
            <w:pPr>
              <w:pStyle w:val="TableText"/>
              <w:spacing w:before="40"/>
              <w:rPr>
                <w:sz w:val="20"/>
              </w:rPr>
            </w:pPr>
            <w:r>
              <w:rPr>
                <w:sz w:val="20"/>
              </w:rPr>
              <w:t>32min to 39min</w:t>
            </w:r>
          </w:p>
          <w:p w:rsidR="00AF2508" w:rsidRDefault="00AF2508">
            <w:pPr>
              <w:pStyle w:val="TableText"/>
              <w:spacing w:before="40"/>
              <w:rPr>
                <w:sz w:val="20"/>
              </w:rPr>
            </w:pPr>
            <w:r>
              <w:rPr>
                <w:sz w:val="20"/>
              </w:rPr>
              <w:t xml:space="preserve">39min to </w:t>
            </w:r>
            <w:r>
              <w:rPr>
                <w:position w:val="6"/>
                <w:sz w:val="20"/>
              </w:rPr>
              <w:t>3</w:t>
            </w:r>
            <w:r>
              <w:rPr>
                <w:sz w:val="20"/>
              </w:rPr>
              <w:t>/4h</w:t>
            </w:r>
          </w:p>
          <w:p w:rsidR="00AF2508" w:rsidRDefault="00AF2508">
            <w:pPr>
              <w:pStyle w:val="TableText"/>
              <w:spacing w:before="40"/>
              <w:rPr>
                <w:sz w:val="20"/>
              </w:rPr>
            </w:pPr>
            <w:r>
              <w:rPr>
                <w:position w:val="6"/>
                <w:sz w:val="20"/>
              </w:rPr>
              <w:t>3</w:t>
            </w:r>
            <w:r>
              <w:rPr>
                <w:sz w:val="20"/>
              </w:rPr>
              <w:t>/4h to 1h</w:t>
            </w:r>
          </w:p>
          <w:p w:rsidR="00AF2508" w:rsidRDefault="00AF2508">
            <w:pPr>
              <w:pStyle w:val="TableText"/>
              <w:spacing w:before="40"/>
              <w:rPr>
                <w:sz w:val="20"/>
              </w:rPr>
            </w:pPr>
            <w:r>
              <w:rPr>
                <w:sz w:val="20"/>
              </w:rPr>
              <w:t>1h to 1</w:t>
            </w:r>
            <w:r>
              <w:rPr>
                <w:position w:val="6"/>
                <w:sz w:val="20"/>
              </w:rPr>
              <w:t>1</w:t>
            </w:r>
            <w:r>
              <w:rPr>
                <w:sz w:val="20"/>
              </w:rPr>
              <w:t>/4h</w:t>
            </w:r>
          </w:p>
          <w:p w:rsidR="00AF2508" w:rsidRDefault="00AF2508">
            <w:pPr>
              <w:pStyle w:val="TableText"/>
              <w:spacing w:before="40"/>
              <w:rPr>
                <w:sz w:val="20"/>
              </w:rPr>
            </w:pPr>
            <w:r>
              <w:rPr>
                <w:sz w:val="20"/>
              </w:rPr>
              <w:t>1</w:t>
            </w:r>
            <w:r>
              <w:rPr>
                <w:position w:val="6"/>
                <w:sz w:val="20"/>
              </w:rPr>
              <w:t>1</w:t>
            </w:r>
            <w:r>
              <w:rPr>
                <w:sz w:val="20"/>
              </w:rPr>
              <w:t>/4h to 1</w:t>
            </w:r>
            <w:r>
              <w:rPr>
                <w:position w:val="6"/>
                <w:sz w:val="20"/>
              </w:rPr>
              <w:t>1</w:t>
            </w:r>
            <w:r>
              <w:rPr>
                <w:sz w:val="20"/>
              </w:rPr>
              <w:t>/2h</w:t>
            </w:r>
          </w:p>
          <w:p w:rsidR="00AF2508" w:rsidRDefault="00AF2508">
            <w:pPr>
              <w:pStyle w:val="TableText"/>
              <w:spacing w:before="40"/>
              <w:rPr>
                <w:sz w:val="20"/>
              </w:rPr>
            </w:pPr>
            <w:r>
              <w:rPr>
                <w:sz w:val="20"/>
              </w:rPr>
              <w:t>1</w:t>
            </w:r>
            <w:r>
              <w:rPr>
                <w:position w:val="6"/>
                <w:sz w:val="20"/>
              </w:rPr>
              <w:t>1</w:t>
            </w:r>
            <w:r>
              <w:rPr>
                <w:sz w:val="20"/>
              </w:rPr>
              <w:t>/2h to 1</w:t>
            </w:r>
            <w:r>
              <w:rPr>
                <w:position w:val="6"/>
                <w:sz w:val="20"/>
              </w:rPr>
              <w:t>3</w:t>
            </w:r>
            <w:r>
              <w:rPr>
                <w:sz w:val="20"/>
              </w:rPr>
              <w:t>/4h</w:t>
            </w:r>
          </w:p>
          <w:p w:rsidR="00AF2508" w:rsidRDefault="00AF2508">
            <w:pPr>
              <w:pStyle w:val="TableText"/>
              <w:spacing w:before="40"/>
              <w:rPr>
                <w:sz w:val="20"/>
              </w:rPr>
            </w:pPr>
            <w:r>
              <w:rPr>
                <w:sz w:val="20"/>
              </w:rPr>
              <w:t>1</w:t>
            </w:r>
            <w:r>
              <w:rPr>
                <w:position w:val="6"/>
                <w:sz w:val="20"/>
              </w:rPr>
              <w:t>3</w:t>
            </w:r>
            <w:r>
              <w:rPr>
                <w:sz w:val="20"/>
              </w:rPr>
              <w:t>/4h to 2h</w:t>
            </w:r>
          </w:p>
          <w:p w:rsidR="00AF2508" w:rsidRDefault="00AF2508">
            <w:pPr>
              <w:pStyle w:val="TableText"/>
              <w:spacing w:before="40"/>
              <w:rPr>
                <w:sz w:val="20"/>
              </w:rPr>
            </w:pPr>
            <w:r>
              <w:rPr>
                <w:sz w:val="20"/>
              </w:rPr>
              <w:t>2 to 2</w:t>
            </w:r>
            <w:r>
              <w:rPr>
                <w:position w:val="6"/>
                <w:sz w:val="20"/>
              </w:rPr>
              <w:t>1</w:t>
            </w:r>
            <w:r>
              <w:rPr>
                <w:sz w:val="20"/>
              </w:rPr>
              <w:t>/4h</w:t>
            </w:r>
          </w:p>
          <w:p w:rsidR="00AF2508" w:rsidRDefault="00AF2508">
            <w:pPr>
              <w:pStyle w:val="TableText"/>
              <w:spacing w:before="40"/>
              <w:rPr>
                <w:sz w:val="20"/>
              </w:rPr>
            </w:pPr>
            <w:r>
              <w:rPr>
                <w:sz w:val="20"/>
              </w:rPr>
              <w:t>2</w:t>
            </w:r>
            <w:r>
              <w:rPr>
                <w:position w:val="6"/>
                <w:sz w:val="20"/>
              </w:rPr>
              <w:t>1</w:t>
            </w:r>
            <w:r>
              <w:rPr>
                <w:sz w:val="20"/>
              </w:rPr>
              <w:t>/4 to 2</w:t>
            </w:r>
            <w:r>
              <w:rPr>
                <w:position w:val="6"/>
                <w:sz w:val="20"/>
              </w:rPr>
              <w:t>1</w:t>
            </w:r>
            <w:r>
              <w:rPr>
                <w:sz w:val="20"/>
              </w:rPr>
              <w:t>/2h</w:t>
            </w:r>
          </w:p>
          <w:p w:rsidR="00AF2508" w:rsidRDefault="00AF2508">
            <w:pPr>
              <w:pStyle w:val="TableText"/>
              <w:spacing w:before="40"/>
              <w:rPr>
                <w:sz w:val="20"/>
              </w:rPr>
            </w:pPr>
            <w:r>
              <w:rPr>
                <w:sz w:val="20"/>
              </w:rPr>
              <w:t>over 2</w:t>
            </w:r>
            <w:r>
              <w:rPr>
                <w:position w:val="6"/>
                <w:sz w:val="20"/>
              </w:rPr>
              <w:t>1</w:t>
            </w:r>
            <w:r>
              <w:rPr>
                <w:sz w:val="20"/>
              </w:rPr>
              <w:t>/2h</w:t>
            </w:r>
          </w:p>
        </w:tc>
        <w:tc>
          <w:tcPr>
            <w:tcW w:w="628" w:type="dxa"/>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8"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12"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588" w:type="dxa"/>
            <w:tcBorders>
              <w:bottom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9</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tc>
        <w:tc>
          <w:tcPr>
            <w:tcW w:w="720" w:type="dxa"/>
            <w:gridSpan w:val="2"/>
            <w:tcBorders>
              <w:bottom w:val="single" w:sz="6" w:space="0" w:color="auto"/>
            </w:tcBorders>
          </w:tcPr>
          <w:p w:rsidR="00AF2508" w:rsidRDefault="00AF2508">
            <w:pPr>
              <w:pStyle w:val="TableText"/>
              <w:rPr>
                <w:sz w:val="20"/>
              </w:rPr>
            </w:pPr>
            <w:r>
              <w:rPr>
                <w:sz w:val="20"/>
              </w:rPr>
              <w:t>12</w:t>
            </w:r>
          </w:p>
          <w:p w:rsidR="00AF2508" w:rsidRDefault="00AF2508">
            <w:pPr>
              <w:pStyle w:val="TableText"/>
              <w:rPr>
                <w:sz w:val="20"/>
              </w:rPr>
            </w:pPr>
            <w:r>
              <w:rPr>
                <w:sz w:val="20"/>
              </w:rPr>
              <w:t>14</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612"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18</w:t>
            </w:r>
          </w:p>
          <w:p w:rsidR="00AF2508" w:rsidRDefault="00AF2508">
            <w:pPr>
              <w:pStyle w:val="TableText"/>
              <w:rPr>
                <w:sz w:val="20"/>
              </w:rPr>
            </w:pPr>
            <w:r>
              <w:rPr>
                <w:sz w:val="20"/>
              </w:rPr>
              <w:t>22</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bottom w:val="single" w:sz="6" w:space="0" w:color="auto"/>
            </w:tcBorders>
          </w:tcPr>
          <w:p w:rsidR="00AF2508" w:rsidRDefault="00AF2508">
            <w:pPr>
              <w:pStyle w:val="TableText"/>
              <w:rPr>
                <w:sz w:val="20"/>
              </w:rPr>
            </w:pPr>
            <w:r>
              <w:rPr>
                <w:sz w:val="20"/>
              </w:rPr>
              <w:t>43</w:t>
            </w:r>
          </w:p>
          <w:p w:rsidR="00AF2508" w:rsidRDefault="00AF2508">
            <w:pPr>
              <w:pStyle w:val="TableText"/>
              <w:rPr>
                <w:sz w:val="20"/>
              </w:rPr>
            </w:pPr>
            <w:r>
              <w:rPr>
                <w:sz w:val="20"/>
              </w:rPr>
              <w:t>53</w:t>
            </w:r>
          </w:p>
          <w:p w:rsidR="00AF2508" w:rsidRDefault="00AF2508">
            <w:pPr>
              <w:pStyle w:val="TableText"/>
              <w:rPr>
                <w:sz w:val="20"/>
              </w:rPr>
            </w:pPr>
            <w:r>
              <w:rPr>
                <w:sz w:val="20"/>
              </w:rPr>
              <w:t>61</w:t>
            </w:r>
          </w:p>
          <w:p w:rsidR="00AF2508" w:rsidRDefault="00AF2508">
            <w:pPr>
              <w:pStyle w:val="TableText"/>
              <w:rPr>
                <w:sz w:val="20"/>
              </w:rPr>
            </w:pPr>
            <w:r>
              <w:rPr>
                <w:sz w:val="20"/>
              </w:rPr>
              <w:t>78</w:t>
            </w:r>
          </w:p>
          <w:p w:rsidR="00AF2508" w:rsidRDefault="00AF2508">
            <w:pPr>
              <w:pStyle w:val="TableText"/>
              <w:rPr>
                <w:sz w:val="20"/>
              </w:rPr>
            </w:pPr>
            <w:r>
              <w:rPr>
                <w:sz w:val="20"/>
              </w:rPr>
              <w:t>93</w:t>
            </w:r>
          </w:p>
          <w:p w:rsidR="00AF2508" w:rsidRDefault="00AF2508">
            <w:pPr>
              <w:pStyle w:val="TableText"/>
              <w:rPr>
                <w:sz w:val="20"/>
              </w:rPr>
            </w:pPr>
            <w:r>
              <w:rPr>
                <w:sz w:val="20"/>
              </w:rPr>
              <w:t>108</w:t>
            </w:r>
          </w:p>
          <w:p w:rsidR="00AF2508" w:rsidRDefault="00AF2508">
            <w:pPr>
              <w:pStyle w:val="TableText"/>
              <w:rPr>
                <w:sz w:val="20"/>
              </w:rPr>
            </w:pPr>
            <w:r>
              <w:rPr>
                <w:sz w:val="20"/>
              </w:rPr>
              <w:t>123</w:t>
            </w:r>
          </w:p>
          <w:p w:rsidR="00AF2508" w:rsidRDefault="00AF2508">
            <w:pPr>
              <w:pStyle w:val="TableText"/>
              <w:rPr>
                <w:sz w:val="20"/>
              </w:rPr>
            </w:pPr>
            <w:r>
              <w:rPr>
                <w:sz w:val="20"/>
              </w:rPr>
              <w:t>138</w:t>
            </w:r>
          </w:p>
          <w:p w:rsidR="00AF2508" w:rsidRDefault="00AF2508">
            <w:pPr>
              <w:pStyle w:val="TableText"/>
              <w:rPr>
                <w:sz w:val="20"/>
              </w:rPr>
            </w:pPr>
            <w:r>
              <w:rPr>
                <w:sz w:val="20"/>
              </w:rPr>
              <w:t>153</w:t>
            </w:r>
          </w:p>
          <w:p w:rsidR="00AF2508" w:rsidRDefault="00AF2508">
            <w:pPr>
              <w:pStyle w:val="TableText"/>
              <w:rPr>
                <w:sz w:val="20"/>
              </w:rPr>
            </w:pPr>
            <w:r>
              <w:rPr>
                <w:sz w:val="20"/>
              </w:rPr>
              <w:t>168</w:t>
            </w:r>
          </w:p>
          <w:p w:rsidR="00AF2508" w:rsidRDefault="00AF2508">
            <w:pPr>
              <w:pStyle w:val="TableText"/>
              <w:rPr>
                <w:sz w:val="20"/>
              </w:rPr>
            </w:pPr>
            <w:r>
              <w:rPr>
                <w:sz w:val="20"/>
              </w:rPr>
              <w:t>178</w:t>
            </w:r>
          </w:p>
        </w:tc>
      </w:tr>
      <w:tr w:rsidR="00AF2508">
        <w:trPr>
          <w:gridAfter w:val="3"/>
          <w:wAfter w:w="56" w:type="dxa"/>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156</w:t>
            </w:r>
          </w:p>
        </w:tc>
        <w:tc>
          <w:tcPr>
            <w:tcW w:w="880" w:type="dxa"/>
            <w:tcBorders>
              <w:top w:val="single" w:sz="6" w:space="0" w:color="auto"/>
            </w:tcBorders>
          </w:tcPr>
          <w:p w:rsidR="00AF2508" w:rsidRDefault="00AF2508">
            <w:pPr>
              <w:pStyle w:val="TableText"/>
              <w:rPr>
                <w:sz w:val="20"/>
              </w:rPr>
            </w:pPr>
            <w:r>
              <w:rPr>
                <w:sz w:val="20"/>
              </w:rPr>
              <w:t>26</w:t>
            </w:r>
          </w:p>
        </w:tc>
        <w:tc>
          <w:tcPr>
            <w:tcW w:w="98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70</w:t>
            </w:r>
          </w:p>
        </w:tc>
        <w:tc>
          <w:tcPr>
            <w:tcW w:w="3072" w:type="dxa"/>
            <w:tcBorders>
              <w:top w:val="single" w:sz="6" w:space="0" w:color="auto"/>
              <w:right w:val="single" w:sz="6" w:space="0" w:color="auto"/>
            </w:tcBorders>
          </w:tcPr>
          <w:p w:rsidR="00AF2508" w:rsidRDefault="00AF2508">
            <w:pPr>
              <w:pStyle w:val="TableText"/>
              <w:spacing w:before="50" w:after="50"/>
              <w:rPr>
                <w:sz w:val="20"/>
              </w:rPr>
            </w:pPr>
            <w:r>
              <w:rPr>
                <w:sz w:val="20"/>
              </w:rPr>
              <w:t>20 to 24min</w:t>
            </w:r>
          </w:p>
          <w:p w:rsidR="00AF2508" w:rsidRDefault="00AF2508">
            <w:pPr>
              <w:pStyle w:val="TableText"/>
              <w:spacing w:before="50" w:after="50"/>
              <w:rPr>
                <w:sz w:val="20"/>
              </w:rPr>
            </w:pPr>
            <w:r>
              <w:rPr>
                <w:sz w:val="20"/>
              </w:rPr>
              <w:t>24 to 30min</w:t>
            </w:r>
          </w:p>
          <w:p w:rsidR="00AF2508" w:rsidRDefault="00AF2508">
            <w:pPr>
              <w:pStyle w:val="TableText"/>
              <w:spacing w:before="50" w:after="50"/>
              <w:rPr>
                <w:sz w:val="20"/>
              </w:rPr>
            </w:pPr>
            <w:r>
              <w:rPr>
                <w:sz w:val="20"/>
              </w:rPr>
              <w:t>30 to 35min</w:t>
            </w:r>
          </w:p>
          <w:p w:rsidR="00AF2508" w:rsidRDefault="00AF2508">
            <w:pPr>
              <w:pStyle w:val="TableText"/>
              <w:spacing w:before="50" w:after="50"/>
              <w:rPr>
                <w:sz w:val="20"/>
              </w:rPr>
            </w:pPr>
            <w:r>
              <w:rPr>
                <w:sz w:val="20"/>
              </w:rPr>
              <w:t>35 to 45min</w:t>
            </w:r>
          </w:p>
          <w:p w:rsidR="00AF2508" w:rsidRDefault="00AF2508">
            <w:pPr>
              <w:pStyle w:val="TableText"/>
              <w:spacing w:before="50" w:after="50"/>
              <w:rPr>
                <w:sz w:val="20"/>
              </w:rPr>
            </w:pPr>
            <w:r>
              <w:rPr>
                <w:sz w:val="20"/>
              </w:rPr>
              <w:t>45 to 55min</w:t>
            </w:r>
          </w:p>
          <w:p w:rsidR="00AF2508" w:rsidRDefault="00AF2508">
            <w:pPr>
              <w:pStyle w:val="TableText"/>
              <w:spacing w:before="50" w:after="50"/>
              <w:rPr>
                <w:sz w:val="20"/>
              </w:rPr>
            </w:pPr>
            <w:r>
              <w:rPr>
                <w:sz w:val="20"/>
              </w:rPr>
              <w:t>55 to 60min</w:t>
            </w:r>
          </w:p>
          <w:p w:rsidR="00AF2508" w:rsidRDefault="00AF2508">
            <w:pPr>
              <w:pStyle w:val="TableText"/>
              <w:spacing w:before="50" w:after="50"/>
              <w:rPr>
                <w:sz w:val="20"/>
              </w:rPr>
            </w:pPr>
            <w:r>
              <w:rPr>
                <w:sz w:val="20"/>
              </w:rPr>
              <w:t>1h to 1h 9min</w:t>
            </w:r>
          </w:p>
          <w:p w:rsidR="00AF2508" w:rsidRDefault="00AF2508">
            <w:pPr>
              <w:pStyle w:val="TableText"/>
              <w:spacing w:before="50" w:after="50"/>
              <w:rPr>
                <w:sz w:val="20"/>
              </w:rPr>
            </w:pPr>
            <w:r>
              <w:rPr>
                <w:sz w:val="20"/>
              </w:rPr>
              <w:t>1h 9min to 1h 18min</w:t>
            </w:r>
          </w:p>
          <w:p w:rsidR="00AF2508" w:rsidRDefault="00AF2508">
            <w:pPr>
              <w:pStyle w:val="TableText"/>
              <w:spacing w:before="50" w:after="50"/>
              <w:rPr>
                <w:sz w:val="20"/>
              </w:rPr>
            </w:pPr>
            <w:r>
              <w:rPr>
                <w:sz w:val="20"/>
              </w:rPr>
              <w:t>1h 18min to 1h 27min</w:t>
            </w:r>
          </w:p>
          <w:p w:rsidR="00AF2508" w:rsidRDefault="00AF2508">
            <w:pPr>
              <w:pStyle w:val="TableText"/>
              <w:spacing w:before="50" w:after="50"/>
              <w:rPr>
                <w:sz w:val="20"/>
              </w:rPr>
            </w:pPr>
            <w:r>
              <w:rPr>
                <w:sz w:val="20"/>
              </w:rPr>
              <w:t>1h 27min to 1h 37min</w:t>
            </w:r>
          </w:p>
          <w:p w:rsidR="00AF2508" w:rsidRDefault="00AF2508">
            <w:pPr>
              <w:pStyle w:val="TableText"/>
              <w:spacing w:before="50" w:after="50"/>
              <w:rPr>
                <w:sz w:val="20"/>
              </w:rPr>
            </w:pPr>
            <w:r>
              <w:rPr>
                <w:sz w:val="20"/>
              </w:rPr>
              <w:t>1h 37min to 1h 47min</w:t>
            </w:r>
          </w:p>
          <w:p w:rsidR="00AF2508" w:rsidRDefault="00AF2508">
            <w:pPr>
              <w:pStyle w:val="TableText"/>
              <w:spacing w:before="50" w:after="50"/>
              <w:rPr>
                <w:sz w:val="20"/>
              </w:rPr>
            </w:pPr>
            <w:r>
              <w:rPr>
                <w:sz w:val="20"/>
              </w:rPr>
              <w:t>1h 47min to 1h 56min</w:t>
            </w:r>
          </w:p>
          <w:p w:rsidR="00AF2508" w:rsidRDefault="00AF2508">
            <w:pPr>
              <w:pStyle w:val="TableText"/>
              <w:spacing w:before="50" w:after="50"/>
              <w:rPr>
                <w:sz w:val="20"/>
              </w:rPr>
            </w:pPr>
            <w:r>
              <w:rPr>
                <w:sz w:val="20"/>
              </w:rPr>
              <w:t>over 1h 56min</w:t>
            </w:r>
          </w:p>
        </w:tc>
        <w:tc>
          <w:tcPr>
            <w:tcW w:w="628" w:type="dxa"/>
            <w:tcBorders>
              <w:top w:val="single" w:sz="6" w:space="0" w:color="auto"/>
            </w:tcBorders>
          </w:tcPr>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tc>
        <w:tc>
          <w:tcPr>
            <w:tcW w:w="612" w:type="dxa"/>
            <w:gridSpan w:val="2"/>
            <w:tcBorders>
              <w:top w:val="single" w:sz="6" w:space="0" w:color="auto"/>
            </w:tcBorders>
          </w:tcPr>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w:t>
            </w:r>
          </w:p>
          <w:p w:rsidR="00AF2508" w:rsidRDefault="00AF2508">
            <w:pPr>
              <w:pStyle w:val="TableText"/>
              <w:spacing w:before="50" w:after="50"/>
              <w:rPr>
                <w:sz w:val="20"/>
              </w:rPr>
            </w:pPr>
            <w:r>
              <w:rPr>
                <w:sz w:val="20"/>
              </w:rPr>
              <w:t>5</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20</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spacing w:before="50" w:after="50"/>
              <w:rPr>
                <w:sz w:val="20"/>
              </w:rPr>
            </w:pPr>
            <w:r>
              <w:rPr>
                <w:sz w:val="20"/>
              </w:rPr>
              <w:t>2</w:t>
            </w:r>
          </w:p>
          <w:p w:rsidR="00AF2508" w:rsidRDefault="00AF2508">
            <w:pPr>
              <w:pStyle w:val="TableText"/>
              <w:spacing w:before="50" w:after="50"/>
              <w:rPr>
                <w:sz w:val="20"/>
              </w:rPr>
            </w:pPr>
            <w:r>
              <w:rPr>
                <w:sz w:val="20"/>
              </w:rPr>
              <w:t>2</w:t>
            </w:r>
          </w:p>
          <w:p w:rsidR="00AF2508" w:rsidRDefault="00AF2508">
            <w:pPr>
              <w:pStyle w:val="TableText"/>
              <w:spacing w:before="50" w:after="50"/>
              <w:rPr>
                <w:sz w:val="20"/>
              </w:rPr>
            </w:pPr>
            <w:r>
              <w:rPr>
                <w:sz w:val="20"/>
              </w:rPr>
              <w:t>3</w:t>
            </w:r>
          </w:p>
          <w:p w:rsidR="00AF2508" w:rsidRDefault="00AF2508">
            <w:pPr>
              <w:pStyle w:val="TableText"/>
              <w:spacing w:before="50" w:after="50"/>
              <w:rPr>
                <w:sz w:val="20"/>
              </w:rPr>
            </w:pPr>
            <w:r>
              <w:rPr>
                <w:sz w:val="20"/>
              </w:rPr>
              <w:t>5</w:t>
            </w:r>
          </w:p>
          <w:p w:rsidR="00AF2508" w:rsidRDefault="00AF2508">
            <w:pPr>
              <w:pStyle w:val="TableText"/>
              <w:spacing w:before="50" w:after="50"/>
              <w:rPr>
                <w:sz w:val="20"/>
              </w:rPr>
            </w:pPr>
            <w:r>
              <w:rPr>
                <w:sz w:val="20"/>
              </w:rPr>
              <w:t>5</w:t>
            </w:r>
          </w:p>
          <w:p w:rsidR="00AF2508" w:rsidRDefault="00AF2508">
            <w:pPr>
              <w:pStyle w:val="TableText"/>
              <w:spacing w:before="50" w:after="50"/>
              <w:rPr>
                <w:sz w:val="20"/>
              </w:rPr>
            </w:pPr>
            <w:r>
              <w:rPr>
                <w:sz w:val="20"/>
              </w:rPr>
              <w:t>7</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25</w:t>
            </w:r>
          </w:p>
        </w:tc>
        <w:tc>
          <w:tcPr>
            <w:tcW w:w="588" w:type="dxa"/>
            <w:tcBorders>
              <w:top w:val="single" w:sz="6" w:space="0" w:color="auto"/>
            </w:tcBorders>
          </w:tcPr>
          <w:p w:rsidR="00AF2508" w:rsidRDefault="00AF2508">
            <w:pPr>
              <w:pStyle w:val="TableText"/>
              <w:spacing w:before="50" w:after="50"/>
              <w:rPr>
                <w:sz w:val="20"/>
              </w:rPr>
            </w:pPr>
            <w:r>
              <w:rPr>
                <w:sz w:val="20"/>
              </w:rPr>
              <w:t>4</w:t>
            </w:r>
          </w:p>
          <w:p w:rsidR="00AF2508" w:rsidRDefault="00AF2508">
            <w:pPr>
              <w:pStyle w:val="TableText"/>
              <w:spacing w:before="50" w:after="50"/>
              <w:rPr>
                <w:sz w:val="20"/>
              </w:rPr>
            </w:pPr>
            <w:r>
              <w:rPr>
                <w:sz w:val="20"/>
              </w:rPr>
              <w:t>4</w:t>
            </w:r>
          </w:p>
          <w:p w:rsidR="00AF2508" w:rsidRDefault="00AF2508">
            <w:pPr>
              <w:pStyle w:val="TableText"/>
              <w:spacing w:before="50" w:after="50"/>
              <w:rPr>
                <w:sz w:val="20"/>
              </w:rPr>
            </w:pPr>
            <w:r>
              <w:rPr>
                <w:sz w:val="20"/>
              </w:rPr>
              <w:t>5</w:t>
            </w:r>
          </w:p>
          <w:p w:rsidR="00AF2508" w:rsidRDefault="00AF2508">
            <w:pPr>
              <w:pStyle w:val="TableText"/>
              <w:spacing w:before="50" w:after="50"/>
              <w:rPr>
                <w:sz w:val="20"/>
              </w:rPr>
            </w:pPr>
            <w:r>
              <w:rPr>
                <w:sz w:val="20"/>
              </w:rPr>
              <w:t>6</w:t>
            </w:r>
          </w:p>
          <w:p w:rsidR="00AF2508" w:rsidRDefault="00AF2508">
            <w:pPr>
              <w:pStyle w:val="TableText"/>
              <w:spacing w:before="50" w:after="50"/>
              <w:rPr>
                <w:sz w:val="20"/>
              </w:rPr>
            </w:pPr>
            <w:r>
              <w:rPr>
                <w:sz w:val="20"/>
              </w:rPr>
              <w:t>8</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spacing w:before="50" w:after="50"/>
              <w:rPr>
                <w:sz w:val="20"/>
              </w:rPr>
            </w:pPr>
            <w:r>
              <w:rPr>
                <w:sz w:val="20"/>
              </w:rPr>
              <w:t>8</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10</w:t>
            </w:r>
          </w:p>
          <w:p w:rsidR="00AF2508" w:rsidRDefault="00AF2508">
            <w:pPr>
              <w:pStyle w:val="TableText"/>
              <w:spacing w:before="50" w:after="50"/>
              <w:rPr>
                <w:sz w:val="20"/>
              </w:rPr>
            </w:pPr>
            <w:r>
              <w:rPr>
                <w:sz w:val="20"/>
              </w:rPr>
              <w:t>12</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25</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35</w:t>
            </w:r>
          </w:p>
          <w:p w:rsidR="00AF2508" w:rsidRDefault="00AF2508">
            <w:pPr>
              <w:pStyle w:val="TableText"/>
              <w:spacing w:before="50" w:after="50"/>
              <w:rPr>
                <w:sz w:val="20"/>
              </w:rPr>
            </w:pPr>
            <w:r>
              <w:rPr>
                <w:sz w:val="20"/>
              </w:rPr>
              <w:t>35</w:t>
            </w:r>
          </w:p>
          <w:p w:rsidR="00AF2508" w:rsidRDefault="00AF2508">
            <w:pPr>
              <w:pStyle w:val="TableText"/>
              <w:spacing w:before="50" w:after="50"/>
              <w:rPr>
                <w:sz w:val="20"/>
              </w:rPr>
            </w:pPr>
            <w:r>
              <w:rPr>
                <w:sz w:val="20"/>
              </w:rPr>
              <w:t>35</w:t>
            </w:r>
          </w:p>
        </w:tc>
        <w:tc>
          <w:tcPr>
            <w:tcW w:w="720" w:type="dxa"/>
            <w:gridSpan w:val="2"/>
            <w:tcBorders>
              <w:top w:val="single" w:sz="6" w:space="0" w:color="auto"/>
            </w:tcBorders>
          </w:tcPr>
          <w:p w:rsidR="00AF2508" w:rsidRDefault="00AF2508">
            <w:pPr>
              <w:pStyle w:val="TableText"/>
              <w:spacing w:before="50" w:after="50"/>
              <w:rPr>
                <w:sz w:val="20"/>
              </w:rPr>
            </w:pPr>
            <w:r>
              <w:rPr>
                <w:sz w:val="20"/>
              </w:rPr>
              <w:t>9</w:t>
            </w:r>
          </w:p>
          <w:p w:rsidR="00AF2508" w:rsidRDefault="00AF2508">
            <w:pPr>
              <w:pStyle w:val="TableText"/>
              <w:spacing w:before="50" w:after="50"/>
              <w:rPr>
                <w:sz w:val="20"/>
              </w:rPr>
            </w:pPr>
            <w:r>
              <w:rPr>
                <w:sz w:val="20"/>
              </w:rPr>
              <w:t>12</w:t>
            </w:r>
          </w:p>
          <w:p w:rsidR="00AF2508" w:rsidRDefault="00AF2508">
            <w:pPr>
              <w:pStyle w:val="TableText"/>
              <w:spacing w:before="50" w:after="50"/>
              <w:rPr>
                <w:sz w:val="20"/>
              </w:rPr>
            </w:pPr>
            <w:r>
              <w:rPr>
                <w:sz w:val="20"/>
              </w:rPr>
              <w:t>15</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25</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35</w:t>
            </w:r>
          </w:p>
          <w:p w:rsidR="00AF2508" w:rsidRDefault="00AF2508">
            <w:pPr>
              <w:pStyle w:val="TableText"/>
              <w:spacing w:before="50" w:after="50"/>
              <w:rPr>
                <w:sz w:val="20"/>
              </w:rPr>
            </w:pPr>
            <w:r>
              <w:rPr>
                <w:sz w:val="20"/>
              </w:rPr>
              <w:t>35</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spacing w:before="50" w:after="50"/>
              <w:rPr>
                <w:sz w:val="20"/>
              </w:rPr>
            </w:pPr>
            <w:r>
              <w:rPr>
                <w:sz w:val="20"/>
              </w:rPr>
              <w:t>12</w:t>
            </w:r>
          </w:p>
          <w:p w:rsidR="00AF2508" w:rsidRDefault="00AF2508">
            <w:pPr>
              <w:pStyle w:val="TableText"/>
              <w:spacing w:before="50" w:after="50"/>
              <w:rPr>
                <w:sz w:val="20"/>
              </w:rPr>
            </w:pPr>
            <w:r>
              <w:rPr>
                <w:sz w:val="20"/>
              </w:rPr>
              <w:t>17</w:t>
            </w:r>
          </w:p>
          <w:p w:rsidR="00AF2508" w:rsidRDefault="00AF2508">
            <w:pPr>
              <w:pStyle w:val="TableText"/>
              <w:spacing w:before="50" w:after="50"/>
              <w:rPr>
                <w:sz w:val="20"/>
              </w:rPr>
            </w:pPr>
            <w:r>
              <w:rPr>
                <w:sz w:val="20"/>
              </w:rPr>
              <w:t>20</w:t>
            </w:r>
          </w:p>
          <w:p w:rsidR="00AF2508" w:rsidRDefault="00AF2508">
            <w:pPr>
              <w:pStyle w:val="TableText"/>
              <w:spacing w:before="50" w:after="50"/>
              <w:rPr>
                <w:sz w:val="20"/>
              </w:rPr>
            </w:pPr>
            <w:r>
              <w:rPr>
                <w:sz w:val="20"/>
              </w:rPr>
              <w:t>25</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30</w:t>
            </w:r>
          </w:p>
          <w:p w:rsidR="00AF2508" w:rsidRDefault="00AF2508">
            <w:pPr>
              <w:pStyle w:val="TableText"/>
              <w:spacing w:before="50" w:after="50"/>
              <w:rPr>
                <w:sz w:val="20"/>
              </w:rPr>
            </w:pPr>
            <w:r>
              <w:rPr>
                <w:sz w:val="20"/>
              </w:rPr>
              <w:t>35</w:t>
            </w:r>
          </w:p>
          <w:p w:rsidR="00AF2508" w:rsidRDefault="00AF2508">
            <w:pPr>
              <w:pStyle w:val="TableText"/>
              <w:spacing w:before="50" w:after="50"/>
              <w:rPr>
                <w:sz w:val="20"/>
              </w:rPr>
            </w:pPr>
            <w:r>
              <w:rPr>
                <w:sz w:val="20"/>
              </w:rPr>
              <w:t>35</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p w:rsidR="00AF2508" w:rsidRDefault="00AF2508">
            <w:pPr>
              <w:pStyle w:val="TableText"/>
              <w:spacing w:before="50" w:after="50"/>
              <w:rPr>
                <w:sz w:val="20"/>
              </w:rPr>
            </w:pPr>
            <w:r>
              <w:rPr>
                <w:sz w:val="20"/>
              </w:rPr>
              <w:t>40</w:t>
            </w:r>
          </w:p>
        </w:tc>
        <w:tc>
          <w:tcPr>
            <w:tcW w:w="1020" w:type="dxa"/>
            <w:gridSpan w:val="2"/>
            <w:tcBorders>
              <w:top w:val="single" w:sz="6" w:space="0" w:color="auto"/>
            </w:tcBorders>
          </w:tcPr>
          <w:p w:rsidR="00AF2508" w:rsidRDefault="00AF2508">
            <w:pPr>
              <w:pStyle w:val="TableText"/>
              <w:spacing w:before="50" w:after="50"/>
              <w:rPr>
                <w:sz w:val="20"/>
              </w:rPr>
            </w:pPr>
            <w:r>
              <w:rPr>
                <w:sz w:val="20"/>
              </w:rPr>
              <w:t>38</w:t>
            </w:r>
          </w:p>
          <w:p w:rsidR="00AF2508" w:rsidRDefault="00AF2508">
            <w:pPr>
              <w:pStyle w:val="TableText"/>
              <w:spacing w:before="50" w:after="50"/>
              <w:rPr>
                <w:sz w:val="20"/>
              </w:rPr>
            </w:pPr>
            <w:r>
              <w:rPr>
                <w:sz w:val="20"/>
              </w:rPr>
              <w:t>48</w:t>
            </w:r>
          </w:p>
          <w:p w:rsidR="00AF2508" w:rsidRDefault="00AF2508">
            <w:pPr>
              <w:pStyle w:val="TableText"/>
              <w:spacing w:before="50" w:after="50"/>
              <w:rPr>
                <w:sz w:val="20"/>
              </w:rPr>
            </w:pPr>
            <w:r>
              <w:rPr>
                <w:sz w:val="20"/>
              </w:rPr>
              <w:t>56</w:t>
            </w:r>
          </w:p>
          <w:p w:rsidR="00AF2508" w:rsidRDefault="00AF2508">
            <w:pPr>
              <w:pStyle w:val="TableText"/>
              <w:spacing w:before="50" w:after="50"/>
              <w:rPr>
                <w:sz w:val="20"/>
              </w:rPr>
            </w:pPr>
            <w:r>
              <w:rPr>
                <w:sz w:val="20"/>
              </w:rPr>
              <w:t>71</w:t>
            </w:r>
          </w:p>
          <w:p w:rsidR="00AF2508" w:rsidRDefault="00AF2508">
            <w:pPr>
              <w:pStyle w:val="TableText"/>
              <w:spacing w:before="50" w:after="50"/>
              <w:rPr>
                <w:sz w:val="20"/>
              </w:rPr>
            </w:pPr>
            <w:r>
              <w:rPr>
                <w:sz w:val="20"/>
              </w:rPr>
              <w:t>86</w:t>
            </w:r>
          </w:p>
          <w:p w:rsidR="00AF2508" w:rsidRDefault="00AF2508">
            <w:pPr>
              <w:pStyle w:val="TableText"/>
              <w:spacing w:before="50" w:after="50"/>
              <w:rPr>
                <w:sz w:val="20"/>
              </w:rPr>
            </w:pPr>
            <w:r>
              <w:rPr>
                <w:sz w:val="20"/>
              </w:rPr>
              <w:t>95</w:t>
            </w:r>
          </w:p>
          <w:p w:rsidR="00AF2508" w:rsidRDefault="00AF2508">
            <w:pPr>
              <w:pStyle w:val="TableText"/>
              <w:spacing w:before="50" w:after="50"/>
              <w:rPr>
                <w:sz w:val="20"/>
              </w:rPr>
            </w:pPr>
            <w:r>
              <w:rPr>
                <w:sz w:val="20"/>
              </w:rPr>
              <w:t>108</w:t>
            </w:r>
          </w:p>
          <w:p w:rsidR="00AF2508" w:rsidRDefault="00AF2508">
            <w:pPr>
              <w:pStyle w:val="TableText"/>
              <w:spacing w:before="50" w:after="50"/>
              <w:rPr>
                <w:sz w:val="20"/>
              </w:rPr>
            </w:pPr>
            <w:r>
              <w:rPr>
                <w:sz w:val="20"/>
              </w:rPr>
              <w:t>123</w:t>
            </w:r>
          </w:p>
          <w:p w:rsidR="00AF2508" w:rsidRDefault="00AF2508">
            <w:pPr>
              <w:pStyle w:val="TableText"/>
              <w:spacing w:before="50" w:after="50"/>
              <w:rPr>
                <w:sz w:val="20"/>
              </w:rPr>
            </w:pPr>
            <w:r>
              <w:rPr>
                <w:sz w:val="20"/>
              </w:rPr>
              <w:t>138</w:t>
            </w:r>
          </w:p>
          <w:p w:rsidR="00AF2508" w:rsidRDefault="00AF2508">
            <w:pPr>
              <w:pStyle w:val="TableText"/>
              <w:spacing w:before="50" w:after="50"/>
              <w:rPr>
                <w:sz w:val="20"/>
              </w:rPr>
            </w:pPr>
            <w:r>
              <w:rPr>
                <w:sz w:val="20"/>
              </w:rPr>
              <w:t>153</w:t>
            </w:r>
          </w:p>
          <w:p w:rsidR="00AF2508" w:rsidRDefault="00AF2508">
            <w:pPr>
              <w:pStyle w:val="TableText"/>
              <w:spacing w:before="50" w:after="50"/>
              <w:rPr>
                <w:sz w:val="20"/>
              </w:rPr>
            </w:pPr>
            <w:r>
              <w:rPr>
                <w:sz w:val="20"/>
              </w:rPr>
              <w:t>168</w:t>
            </w:r>
          </w:p>
          <w:p w:rsidR="00AF2508" w:rsidRDefault="00AF2508">
            <w:pPr>
              <w:pStyle w:val="TableText"/>
              <w:spacing w:before="50" w:after="50"/>
              <w:rPr>
                <w:sz w:val="20"/>
              </w:rPr>
            </w:pPr>
            <w:r>
              <w:rPr>
                <w:sz w:val="20"/>
              </w:rPr>
              <w:t>183</w:t>
            </w:r>
          </w:p>
          <w:p w:rsidR="00AF2508" w:rsidRDefault="00AF2508">
            <w:pPr>
              <w:pStyle w:val="TableText"/>
              <w:spacing w:before="50" w:after="50"/>
              <w:rPr>
                <w:sz w:val="20"/>
              </w:rPr>
            </w:pPr>
            <w:r>
              <w:rPr>
                <w:sz w:val="20"/>
              </w:rPr>
              <w:t>193</w:t>
            </w:r>
          </w:p>
        </w:tc>
      </w:tr>
      <w:tr w:rsidR="00AF2508">
        <w:trPr>
          <w:gridAfter w:val="3"/>
          <w:wAfter w:w="56" w:type="dxa"/>
        </w:trPr>
        <w:tc>
          <w:tcPr>
            <w:tcW w:w="660" w:type="dxa"/>
            <w:tcBorders>
              <w:top w:val="single" w:sz="6" w:space="0" w:color="auto"/>
              <w:right w:val="single" w:sz="6" w:space="0" w:color="auto"/>
            </w:tcBorders>
          </w:tcPr>
          <w:p w:rsidR="00AF2508" w:rsidRDefault="00AF2508">
            <w:pPr>
              <w:pStyle w:val="TableText"/>
              <w:rPr>
                <w:sz w:val="20"/>
              </w:rPr>
            </w:pPr>
            <w:r>
              <w:rPr>
                <w:sz w:val="20"/>
              </w:rPr>
              <w:t>168</w:t>
            </w:r>
          </w:p>
        </w:tc>
        <w:tc>
          <w:tcPr>
            <w:tcW w:w="880" w:type="dxa"/>
            <w:tcBorders>
              <w:top w:val="single" w:sz="6" w:space="0" w:color="auto"/>
            </w:tcBorders>
          </w:tcPr>
          <w:p w:rsidR="00AF2508" w:rsidRDefault="00AF2508">
            <w:pPr>
              <w:pStyle w:val="TableText"/>
              <w:rPr>
                <w:sz w:val="20"/>
              </w:rPr>
            </w:pPr>
            <w:r>
              <w:rPr>
                <w:sz w:val="20"/>
              </w:rPr>
              <w:t>28</w:t>
            </w:r>
          </w:p>
        </w:tc>
        <w:tc>
          <w:tcPr>
            <w:tcW w:w="98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75</w:t>
            </w:r>
          </w:p>
        </w:tc>
        <w:tc>
          <w:tcPr>
            <w:tcW w:w="3072" w:type="dxa"/>
            <w:tcBorders>
              <w:top w:val="single" w:sz="6" w:space="0" w:color="auto"/>
              <w:right w:val="single" w:sz="6" w:space="0" w:color="auto"/>
            </w:tcBorders>
          </w:tcPr>
          <w:p w:rsidR="00AF2508" w:rsidRDefault="00AF2508">
            <w:pPr>
              <w:pStyle w:val="TableText"/>
              <w:rPr>
                <w:sz w:val="20"/>
              </w:rPr>
            </w:pPr>
            <w:r>
              <w:rPr>
                <w:sz w:val="20"/>
              </w:rPr>
              <w:t>16 to 23min</w:t>
            </w:r>
          </w:p>
          <w:p w:rsidR="00AF2508" w:rsidRDefault="00AF2508">
            <w:pPr>
              <w:pStyle w:val="TableText"/>
              <w:rPr>
                <w:sz w:val="20"/>
              </w:rPr>
            </w:pPr>
            <w:r>
              <w:rPr>
                <w:sz w:val="20"/>
              </w:rPr>
              <w:t>23 to 30min</w:t>
            </w:r>
          </w:p>
          <w:p w:rsidR="00AF2508" w:rsidRDefault="00AF2508">
            <w:pPr>
              <w:pStyle w:val="TableText"/>
              <w:rPr>
                <w:sz w:val="20"/>
              </w:rPr>
            </w:pPr>
            <w:r>
              <w:rPr>
                <w:sz w:val="20"/>
              </w:rPr>
              <w:t>30 to 40min</w:t>
            </w:r>
          </w:p>
          <w:p w:rsidR="00AF2508" w:rsidRDefault="00AF2508">
            <w:pPr>
              <w:pStyle w:val="TableText"/>
              <w:rPr>
                <w:sz w:val="20"/>
              </w:rPr>
            </w:pPr>
            <w:r>
              <w:rPr>
                <w:sz w:val="20"/>
              </w:rPr>
              <w:t>40 to 50min</w:t>
            </w:r>
          </w:p>
          <w:p w:rsidR="00AF2508" w:rsidRDefault="00AF2508">
            <w:pPr>
              <w:pStyle w:val="TableText"/>
              <w:rPr>
                <w:sz w:val="20"/>
              </w:rPr>
            </w:pPr>
            <w:r>
              <w:rPr>
                <w:sz w:val="20"/>
              </w:rPr>
              <w:t>50 to 60min</w:t>
            </w:r>
          </w:p>
          <w:p w:rsidR="00AF2508" w:rsidRDefault="00AF2508">
            <w:pPr>
              <w:pStyle w:val="TableText"/>
              <w:rPr>
                <w:sz w:val="20"/>
              </w:rPr>
            </w:pPr>
            <w:r>
              <w:rPr>
                <w:sz w:val="20"/>
              </w:rPr>
              <w:t>1h to 1</w:t>
            </w:r>
            <w:r>
              <w:rPr>
                <w:position w:val="6"/>
                <w:sz w:val="20"/>
              </w:rPr>
              <w:t>1</w:t>
            </w:r>
            <w:r>
              <w:rPr>
                <w:sz w:val="20"/>
              </w:rPr>
              <w:t>/4h</w:t>
            </w:r>
          </w:p>
          <w:p w:rsidR="00AF2508" w:rsidRDefault="00AF2508">
            <w:pPr>
              <w:pStyle w:val="TableText"/>
              <w:rPr>
                <w:sz w:val="20"/>
              </w:rPr>
            </w:pPr>
            <w:r>
              <w:rPr>
                <w:sz w:val="20"/>
              </w:rPr>
              <w:t>1</w:t>
            </w:r>
            <w:r>
              <w:rPr>
                <w:position w:val="6"/>
                <w:sz w:val="20"/>
              </w:rPr>
              <w:t>1</w:t>
            </w:r>
            <w:r>
              <w:rPr>
                <w:sz w:val="20"/>
              </w:rPr>
              <w:t>/4 to 1</w:t>
            </w:r>
            <w:r>
              <w:rPr>
                <w:position w:val="6"/>
                <w:sz w:val="20"/>
              </w:rPr>
              <w:t>1</w:t>
            </w:r>
            <w:r>
              <w:rPr>
                <w:sz w:val="20"/>
              </w:rPr>
              <w:t>/2h</w:t>
            </w:r>
          </w:p>
          <w:p w:rsidR="00AF2508" w:rsidRDefault="00AF2508">
            <w:pPr>
              <w:pStyle w:val="TableText"/>
              <w:rPr>
                <w:sz w:val="20"/>
              </w:rPr>
            </w:pPr>
            <w:r>
              <w:rPr>
                <w:sz w:val="20"/>
              </w:rPr>
              <w:t>1</w:t>
            </w:r>
            <w:r>
              <w:rPr>
                <w:position w:val="6"/>
                <w:sz w:val="20"/>
              </w:rPr>
              <w:t>1</w:t>
            </w:r>
            <w:r>
              <w:rPr>
                <w:sz w:val="20"/>
              </w:rPr>
              <w:t>/2h to 1h 40min</w:t>
            </w:r>
          </w:p>
          <w:p w:rsidR="00AF2508" w:rsidRDefault="00AF2508">
            <w:pPr>
              <w:pStyle w:val="TableText"/>
              <w:rPr>
                <w:sz w:val="20"/>
              </w:rPr>
            </w:pPr>
            <w:r>
              <w:rPr>
                <w:sz w:val="20"/>
              </w:rPr>
              <w:t>1h 40min to 1h 55min</w:t>
            </w:r>
          </w:p>
          <w:p w:rsidR="00AF2508" w:rsidRDefault="00AF2508">
            <w:pPr>
              <w:pStyle w:val="TableText"/>
              <w:rPr>
                <w:sz w:val="20"/>
              </w:rPr>
            </w:pPr>
            <w:r>
              <w:rPr>
                <w:sz w:val="20"/>
              </w:rPr>
              <w:t>over 1h 55min</w:t>
            </w:r>
          </w:p>
        </w:tc>
        <w:tc>
          <w:tcPr>
            <w:tcW w:w="628" w:type="dxa"/>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8"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tc>
        <w:tc>
          <w:tcPr>
            <w:tcW w:w="612" w:type="dxa"/>
            <w:gridSpan w:val="2"/>
            <w:tcBorders>
              <w:top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13</w:t>
            </w:r>
          </w:p>
          <w:p w:rsidR="00AF2508" w:rsidRDefault="00AF2508">
            <w:pPr>
              <w:pStyle w:val="TableText"/>
              <w:rPr>
                <w:sz w:val="20"/>
              </w:rPr>
            </w:pPr>
            <w:r>
              <w:rPr>
                <w:sz w:val="20"/>
              </w:rPr>
              <w:t>17</w:t>
            </w:r>
          </w:p>
          <w:p w:rsidR="00AF2508" w:rsidRDefault="00AF2508">
            <w:pPr>
              <w:pStyle w:val="TableText"/>
              <w:rPr>
                <w:sz w:val="20"/>
              </w:rPr>
            </w:pPr>
            <w:r>
              <w:rPr>
                <w:sz w:val="20"/>
              </w:rPr>
              <w:t>25</w:t>
            </w:r>
          </w:p>
        </w:tc>
        <w:tc>
          <w:tcPr>
            <w:tcW w:w="60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6</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tc>
        <w:tc>
          <w:tcPr>
            <w:tcW w:w="588" w:type="dxa"/>
            <w:tcBorders>
              <w:top w:val="single" w:sz="6" w:space="0" w:color="auto"/>
            </w:tcBorders>
          </w:tcPr>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600"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12</w:t>
            </w:r>
          </w:p>
          <w:p w:rsidR="00AF2508" w:rsidRDefault="00AF2508">
            <w:pPr>
              <w:pStyle w:val="TableText"/>
              <w:rPr>
                <w:sz w:val="20"/>
              </w:rPr>
            </w:pPr>
            <w:r>
              <w:rPr>
                <w:sz w:val="20"/>
              </w:rPr>
              <w:t>12</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tc>
        <w:tc>
          <w:tcPr>
            <w:tcW w:w="720" w:type="dxa"/>
            <w:gridSpan w:val="2"/>
            <w:tcBorders>
              <w:top w:val="single" w:sz="6" w:space="0" w:color="auto"/>
            </w:tcBorders>
          </w:tcPr>
          <w:p w:rsidR="00AF2508" w:rsidRDefault="00AF2508">
            <w:pPr>
              <w:pStyle w:val="TableText"/>
              <w:rPr>
                <w:sz w:val="20"/>
              </w:rPr>
            </w:pPr>
            <w:r>
              <w:rPr>
                <w:sz w:val="20"/>
              </w:rPr>
              <w:t>11</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612"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top w:val="single" w:sz="6" w:space="0" w:color="auto"/>
            </w:tcBorders>
          </w:tcPr>
          <w:p w:rsidR="00AF2508" w:rsidRDefault="00AF2508">
            <w:pPr>
              <w:pStyle w:val="TableText"/>
              <w:rPr>
                <w:sz w:val="20"/>
              </w:rPr>
            </w:pPr>
            <w:r>
              <w:rPr>
                <w:sz w:val="20"/>
              </w:rPr>
              <w:t>43</w:t>
            </w:r>
          </w:p>
          <w:p w:rsidR="00AF2508" w:rsidRDefault="00AF2508">
            <w:pPr>
              <w:pStyle w:val="TableText"/>
              <w:rPr>
                <w:sz w:val="20"/>
              </w:rPr>
            </w:pPr>
            <w:r>
              <w:rPr>
                <w:sz w:val="20"/>
              </w:rPr>
              <w:t>56</w:t>
            </w:r>
          </w:p>
          <w:p w:rsidR="00AF2508" w:rsidRDefault="00AF2508">
            <w:pPr>
              <w:pStyle w:val="TableText"/>
              <w:rPr>
                <w:sz w:val="20"/>
              </w:rPr>
            </w:pPr>
            <w:r>
              <w:rPr>
                <w:sz w:val="20"/>
              </w:rPr>
              <w:t>71</w:t>
            </w:r>
          </w:p>
          <w:p w:rsidR="00AF2508" w:rsidRDefault="00AF2508">
            <w:pPr>
              <w:pStyle w:val="TableText"/>
              <w:rPr>
                <w:sz w:val="20"/>
              </w:rPr>
            </w:pPr>
            <w:r>
              <w:rPr>
                <w:sz w:val="20"/>
              </w:rPr>
              <w:t>86</w:t>
            </w:r>
          </w:p>
          <w:p w:rsidR="00AF2508" w:rsidRDefault="00AF2508">
            <w:pPr>
              <w:pStyle w:val="TableText"/>
              <w:rPr>
                <w:sz w:val="20"/>
              </w:rPr>
            </w:pPr>
            <w:r>
              <w:rPr>
                <w:sz w:val="20"/>
              </w:rPr>
              <w:t>101</w:t>
            </w:r>
          </w:p>
          <w:p w:rsidR="00AF2508" w:rsidRDefault="00AF2508">
            <w:pPr>
              <w:pStyle w:val="TableText"/>
              <w:rPr>
                <w:sz w:val="20"/>
              </w:rPr>
            </w:pPr>
            <w:r>
              <w:rPr>
                <w:sz w:val="20"/>
              </w:rPr>
              <w:t>123</w:t>
            </w:r>
          </w:p>
          <w:p w:rsidR="00AF2508" w:rsidRDefault="00AF2508">
            <w:pPr>
              <w:pStyle w:val="TableText"/>
              <w:rPr>
                <w:sz w:val="20"/>
              </w:rPr>
            </w:pPr>
            <w:r>
              <w:rPr>
                <w:sz w:val="20"/>
              </w:rPr>
              <w:t>143</w:t>
            </w:r>
          </w:p>
          <w:p w:rsidR="00AF2508" w:rsidRDefault="00AF2508">
            <w:pPr>
              <w:pStyle w:val="TableText"/>
              <w:rPr>
                <w:sz w:val="20"/>
              </w:rPr>
            </w:pPr>
            <w:r>
              <w:rPr>
                <w:sz w:val="20"/>
              </w:rPr>
              <w:t>163</w:t>
            </w:r>
          </w:p>
          <w:p w:rsidR="00AF2508" w:rsidRDefault="00AF2508">
            <w:pPr>
              <w:pStyle w:val="TableText"/>
              <w:rPr>
                <w:sz w:val="20"/>
              </w:rPr>
            </w:pPr>
            <w:r>
              <w:rPr>
                <w:sz w:val="20"/>
              </w:rPr>
              <w:t>183</w:t>
            </w:r>
          </w:p>
          <w:p w:rsidR="00AF2508" w:rsidRDefault="00AF2508">
            <w:pPr>
              <w:pStyle w:val="TableText"/>
              <w:rPr>
                <w:sz w:val="20"/>
              </w:rPr>
            </w:pPr>
            <w:r>
              <w:rPr>
                <w:sz w:val="20"/>
              </w:rPr>
              <w:t>203</w:t>
            </w:r>
          </w:p>
        </w:tc>
      </w:tr>
      <w:tr w:rsidR="00AF2508">
        <w:trPr>
          <w:gridAfter w:val="3"/>
          <w:wAfter w:w="56" w:type="dxa"/>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180*</w:t>
            </w:r>
          </w:p>
        </w:tc>
        <w:tc>
          <w:tcPr>
            <w:tcW w:w="880" w:type="dxa"/>
            <w:tcBorders>
              <w:top w:val="single" w:sz="6" w:space="0" w:color="auto"/>
              <w:bottom w:val="single" w:sz="6" w:space="0" w:color="auto"/>
            </w:tcBorders>
          </w:tcPr>
          <w:p w:rsidR="00AF2508" w:rsidRDefault="00AF2508">
            <w:pPr>
              <w:pStyle w:val="TableText"/>
              <w:rPr>
                <w:sz w:val="20"/>
              </w:rPr>
            </w:pPr>
            <w:r>
              <w:rPr>
                <w:sz w:val="20"/>
              </w:rPr>
              <w:t>30</w:t>
            </w:r>
          </w:p>
        </w:tc>
        <w:tc>
          <w:tcPr>
            <w:tcW w:w="98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80</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14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40min</w:t>
            </w:r>
          </w:p>
          <w:p w:rsidR="00AF2508" w:rsidRDefault="00AF2508">
            <w:pPr>
              <w:pStyle w:val="TableText"/>
              <w:rPr>
                <w:sz w:val="20"/>
              </w:rPr>
            </w:pPr>
            <w:r>
              <w:rPr>
                <w:sz w:val="20"/>
              </w:rPr>
              <w:t>40 to 50min</w:t>
            </w:r>
          </w:p>
          <w:p w:rsidR="00AF2508" w:rsidRDefault="00AF2508">
            <w:pPr>
              <w:pStyle w:val="TableText"/>
              <w:rPr>
                <w:sz w:val="20"/>
              </w:rPr>
            </w:pPr>
            <w:r>
              <w:rPr>
                <w:sz w:val="20"/>
              </w:rPr>
              <w:t>50 to 60min</w:t>
            </w:r>
          </w:p>
          <w:p w:rsidR="00AF2508" w:rsidRDefault="00AF2508">
            <w:pPr>
              <w:pStyle w:val="TableText"/>
              <w:rPr>
                <w:sz w:val="20"/>
              </w:rPr>
            </w:pPr>
            <w:r>
              <w:rPr>
                <w:sz w:val="20"/>
              </w:rPr>
              <w:t>1h to 1h 11min</w:t>
            </w:r>
          </w:p>
          <w:p w:rsidR="00AF2508" w:rsidRDefault="00AF2508">
            <w:pPr>
              <w:pStyle w:val="TableText"/>
              <w:rPr>
                <w:sz w:val="20"/>
              </w:rPr>
            </w:pPr>
            <w:r>
              <w:rPr>
                <w:sz w:val="20"/>
              </w:rPr>
              <w:t>1h 11min to 1h 23min</w:t>
            </w:r>
          </w:p>
          <w:p w:rsidR="00AF2508" w:rsidRDefault="00AF2508">
            <w:pPr>
              <w:pStyle w:val="TableText"/>
              <w:rPr>
                <w:sz w:val="20"/>
              </w:rPr>
            </w:pPr>
            <w:r>
              <w:rPr>
                <w:sz w:val="20"/>
              </w:rPr>
              <w:t>1h 23min to 1h 34min</w:t>
            </w:r>
          </w:p>
          <w:p w:rsidR="00AF2508" w:rsidRDefault="00AF2508">
            <w:pPr>
              <w:pStyle w:val="TableText"/>
              <w:rPr>
                <w:sz w:val="20"/>
              </w:rPr>
            </w:pPr>
            <w:r>
              <w:rPr>
                <w:sz w:val="20"/>
              </w:rPr>
              <w:t>1h 34min to 1h 46min</w:t>
            </w:r>
          </w:p>
          <w:p w:rsidR="00AF2508" w:rsidRDefault="00AF2508">
            <w:pPr>
              <w:pStyle w:val="TableText"/>
              <w:rPr>
                <w:sz w:val="20"/>
              </w:rPr>
            </w:pPr>
            <w:r>
              <w:rPr>
                <w:sz w:val="20"/>
              </w:rPr>
              <w:t>over 1h 46min</w:t>
            </w:r>
          </w:p>
        </w:tc>
        <w:tc>
          <w:tcPr>
            <w:tcW w:w="628"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8</w:t>
            </w:r>
          </w:p>
          <w:p w:rsidR="00AF2508" w:rsidRDefault="00AF2508">
            <w:pPr>
              <w:pStyle w:val="TableText"/>
              <w:rPr>
                <w:sz w:val="20"/>
              </w:rPr>
            </w:pPr>
            <w:r>
              <w:rPr>
                <w:sz w:val="20"/>
              </w:rPr>
              <w:t>8</w:t>
            </w:r>
          </w:p>
          <w:p w:rsidR="00AF2508" w:rsidRDefault="00AF2508">
            <w:pPr>
              <w:pStyle w:val="TableText"/>
              <w:rPr>
                <w:sz w:val="20"/>
              </w:rPr>
            </w:pPr>
            <w:r>
              <w:rPr>
                <w:sz w:val="20"/>
              </w:rPr>
              <w:t>15</w:t>
            </w:r>
          </w:p>
        </w:tc>
        <w:tc>
          <w:tcPr>
            <w:tcW w:w="612" w:type="dxa"/>
            <w:gridSpan w:val="2"/>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2</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20</w:t>
            </w:r>
          </w:p>
          <w:p w:rsidR="00AF2508" w:rsidRDefault="00AF2508">
            <w:pPr>
              <w:pStyle w:val="TableText"/>
              <w:rPr>
                <w:sz w:val="20"/>
              </w:rPr>
            </w:pPr>
            <w:r>
              <w:rPr>
                <w:sz w:val="20"/>
              </w:rPr>
              <w:t>25</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6</w:t>
            </w:r>
          </w:p>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588" w:type="dxa"/>
            <w:tcBorders>
              <w:top w:val="single" w:sz="6" w:space="0" w:color="auto"/>
              <w:bottom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6</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14</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720" w:type="dxa"/>
            <w:gridSpan w:val="2"/>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top w:val="single" w:sz="6" w:space="0" w:color="auto"/>
              <w:bottom w:val="single" w:sz="6" w:space="0" w:color="auto"/>
            </w:tcBorders>
          </w:tcPr>
          <w:p w:rsidR="00AF2508" w:rsidRDefault="00AF2508">
            <w:pPr>
              <w:pStyle w:val="TableText"/>
              <w:rPr>
                <w:sz w:val="20"/>
              </w:rPr>
            </w:pPr>
            <w:r>
              <w:rPr>
                <w:sz w:val="20"/>
              </w:rPr>
              <w:t>41</w:t>
            </w:r>
          </w:p>
          <w:p w:rsidR="00AF2508" w:rsidRDefault="00AF2508">
            <w:pPr>
              <w:pStyle w:val="TableText"/>
              <w:rPr>
                <w:sz w:val="20"/>
              </w:rPr>
            </w:pPr>
            <w:r>
              <w:rPr>
                <w:sz w:val="20"/>
              </w:rPr>
              <w:t>60</w:t>
            </w:r>
          </w:p>
          <w:p w:rsidR="00AF2508" w:rsidRDefault="00AF2508">
            <w:pPr>
              <w:pStyle w:val="TableText"/>
              <w:rPr>
                <w:sz w:val="20"/>
              </w:rPr>
            </w:pPr>
            <w:r>
              <w:rPr>
                <w:sz w:val="20"/>
              </w:rPr>
              <w:t>77</w:t>
            </w:r>
          </w:p>
          <w:p w:rsidR="00AF2508" w:rsidRDefault="00AF2508">
            <w:pPr>
              <w:pStyle w:val="TableText"/>
              <w:rPr>
                <w:sz w:val="20"/>
              </w:rPr>
            </w:pPr>
            <w:r>
              <w:rPr>
                <w:sz w:val="20"/>
              </w:rPr>
              <w:t>94</w:t>
            </w:r>
          </w:p>
          <w:p w:rsidR="00AF2508" w:rsidRDefault="00AF2508">
            <w:pPr>
              <w:pStyle w:val="TableText"/>
              <w:rPr>
                <w:sz w:val="20"/>
              </w:rPr>
            </w:pPr>
            <w:r>
              <w:rPr>
                <w:sz w:val="20"/>
              </w:rPr>
              <w:t>111</w:t>
            </w:r>
          </w:p>
          <w:p w:rsidR="00AF2508" w:rsidRDefault="00AF2508">
            <w:pPr>
              <w:pStyle w:val="TableText"/>
              <w:rPr>
                <w:sz w:val="20"/>
              </w:rPr>
            </w:pPr>
            <w:r>
              <w:rPr>
                <w:sz w:val="20"/>
              </w:rPr>
              <w:t>131</w:t>
            </w:r>
          </w:p>
          <w:p w:rsidR="00AF2508" w:rsidRDefault="00AF2508">
            <w:pPr>
              <w:pStyle w:val="TableText"/>
              <w:rPr>
                <w:sz w:val="20"/>
              </w:rPr>
            </w:pPr>
            <w:r>
              <w:rPr>
                <w:sz w:val="20"/>
              </w:rPr>
              <w:t>151</w:t>
            </w:r>
          </w:p>
          <w:p w:rsidR="00AF2508" w:rsidRDefault="00AF2508">
            <w:pPr>
              <w:pStyle w:val="TableText"/>
              <w:rPr>
                <w:sz w:val="20"/>
              </w:rPr>
            </w:pPr>
            <w:r>
              <w:rPr>
                <w:sz w:val="20"/>
              </w:rPr>
              <w:t>171</w:t>
            </w:r>
          </w:p>
          <w:p w:rsidR="00AF2508" w:rsidRDefault="00AF2508">
            <w:pPr>
              <w:pStyle w:val="TableText"/>
              <w:rPr>
                <w:sz w:val="20"/>
              </w:rPr>
            </w:pPr>
            <w:r>
              <w:rPr>
                <w:sz w:val="20"/>
              </w:rPr>
              <w:t>191</w:t>
            </w:r>
          </w:p>
          <w:p w:rsidR="00AF2508" w:rsidRDefault="00AF2508">
            <w:pPr>
              <w:pStyle w:val="TableText"/>
              <w:rPr>
                <w:sz w:val="20"/>
              </w:rPr>
            </w:pPr>
            <w:r>
              <w:rPr>
                <w:sz w:val="20"/>
              </w:rPr>
              <w:t>218</w:t>
            </w:r>
          </w:p>
        </w:tc>
      </w:tr>
      <w:tr w:rsidR="00AF2508">
        <w:trPr>
          <w:gridAfter w:val="3"/>
          <w:wAfter w:w="56" w:type="dxa"/>
        </w:trPr>
        <w:tc>
          <w:tcPr>
            <w:tcW w:w="660" w:type="dxa"/>
            <w:tcBorders>
              <w:bottom w:val="single" w:sz="6" w:space="0" w:color="auto"/>
              <w:right w:val="single" w:sz="6" w:space="0" w:color="auto"/>
            </w:tcBorders>
          </w:tcPr>
          <w:p w:rsidR="00AF2508" w:rsidRDefault="00AF2508">
            <w:pPr>
              <w:pStyle w:val="TableText"/>
              <w:rPr>
                <w:sz w:val="20"/>
              </w:rPr>
            </w:pPr>
            <w:r>
              <w:rPr>
                <w:sz w:val="20"/>
              </w:rPr>
              <w:t>192*</w:t>
            </w:r>
          </w:p>
        </w:tc>
        <w:tc>
          <w:tcPr>
            <w:tcW w:w="880" w:type="dxa"/>
            <w:tcBorders>
              <w:bottom w:val="single" w:sz="6" w:space="0" w:color="auto"/>
            </w:tcBorders>
          </w:tcPr>
          <w:p w:rsidR="00AF2508" w:rsidRDefault="00AF2508">
            <w:pPr>
              <w:pStyle w:val="TableText"/>
              <w:rPr>
                <w:sz w:val="20"/>
              </w:rPr>
            </w:pPr>
            <w:r>
              <w:rPr>
                <w:sz w:val="20"/>
              </w:rPr>
              <w:t>32</w:t>
            </w:r>
          </w:p>
        </w:tc>
        <w:tc>
          <w:tcPr>
            <w:tcW w:w="98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86</w:t>
            </w:r>
          </w:p>
        </w:tc>
        <w:tc>
          <w:tcPr>
            <w:tcW w:w="3072" w:type="dxa"/>
            <w:tcBorders>
              <w:bottom w:val="single" w:sz="6" w:space="0" w:color="auto"/>
              <w:right w:val="single" w:sz="6" w:space="0" w:color="auto"/>
            </w:tcBorders>
          </w:tcPr>
          <w:p w:rsidR="00AF2508" w:rsidRDefault="00AF2508">
            <w:pPr>
              <w:pStyle w:val="TableText"/>
              <w:rPr>
                <w:sz w:val="20"/>
              </w:rPr>
            </w:pPr>
            <w:r>
              <w:rPr>
                <w:sz w:val="20"/>
              </w:rPr>
              <w:t>13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40min</w:t>
            </w:r>
          </w:p>
          <w:p w:rsidR="00AF2508" w:rsidRDefault="00AF2508">
            <w:pPr>
              <w:pStyle w:val="TableText"/>
              <w:rPr>
                <w:sz w:val="20"/>
              </w:rPr>
            </w:pPr>
            <w:r>
              <w:rPr>
                <w:sz w:val="20"/>
              </w:rPr>
              <w:t>40 to 50min</w:t>
            </w:r>
          </w:p>
          <w:p w:rsidR="00AF2508" w:rsidRDefault="00AF2508">
            <w:pPr>
              <w:pStyle w:val="TableText"/>
              <w:rPr>
                <w:sz w:val="20"/>
              </w:rPr>
            </w:pPr>
            <w:r>
              <w:rPr>
                <w:sz w:val="20"/>
              </w:rPr>
              <w:t>50 to 60min</w:t>
            </w:r>
          </w:p>
          <w:p w:rsidR="00AF2508" w:rsidRDefault="00AF2508">
            <w:pPr>
              <w:pStyle w:val="TableText"/>
              <w:rPr>
                <w:sz w:val="20"/>
              </w:rPr>
            </w:pPr>
            <w:r>
              <w:rPr>
                <w:sz w:val="20"/>
              </w:rPr>
              <w:t>1h to 1</w:t>
            </w:r>
            <w:r>
              <w:rPr>
                <w:position w:val="6"/>
                <w:sz w:val="20"/>
              </w:rPr>
              <w:t>1</w:t>
            </w:r>
            <w:r>
              <w:rPr>
                <w:sz w:val="20"/>
              </w:rPr>
              <w:t>/4h</w:t>
            </w:r>
          </w:p>
          <w:p w:rsidR="00AF2508" w:rsidRDefault="00AF2508">
            <w:pPr>
              <w:pStyle w:val="TableText"/>
              <w:rPr>
                <w:sz w:val="20"/>
              </w:rPr>
            </w:pPr>
            <w:r>
              <w:rPr>
                <w:sz w:val="20"/>
              </w:rPr>
              <w:t>1</w:t>
            </w:r>
            <w:r>
              <w:rPr>
                <w:position w:val="6"/>
                <w:sz w:val="20"/>
              </w:rPr>
              <w:t>1</w:t>
            </w:r>
            <w:r>
              <w:rPr>
                <w:sz w:val="20"/>
              </w:rPr>
              <w:t>/4h to 1h 26min</w:t>
            </w:r>
          </w:p>
          <w:p w:rsidR="00AF2508" w:rsidRDefault="00AF2508">
            <w:pPr>
              <w:pStyle w:val="TableText"/>
              <w:rPr>
                <w:sz w:val="20"/>
              </w:rPr>
            </w:pPr>
            <w:r>
              <w:rPr>
                <w:sz w:val="20"/>
              </w:rPr>
              <w:t>1h 26min to 1h 37min</w:t>
            </w:r>
          </w:p>
          <w:p w:rsidR="00AF2508" w:rsidRDefault="00AF2508">
            <w:pPr>
              <w:pStyle w:val="TableText"/>
              <w:rPr>
                <w:sz w:val="20"/>
              </w:rPr>
            </w:pPr>
            <w:r>
              <w:rPr>
                <w:sz w:val="20"/>
              </w:rPr>
              <w:t>1h 37min to 1h 48min</w:t>
            </w:r>
          </w:p>
          <w:p w:rsidR="00AF2508" w:rsidRDefault="00AF2508">
            <w:pPr>
              <w:pStyle w:val="TableText"/>
              <w:rPr>
                <w:sz w:val="20"/>
              </w:rPr>
            </w:pPr>
            <w:r>
              <w:rPr>
                <w:sz w:val="20"/>
              </w:rPr>
              <w:t>over 1h 48min</w:t>
            </w:r>
          </w:p>
        </w:tc>
        <w:tc>
          <w:tcPr>
            <w:tcW w:w="628" w:type="dxa"/>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5</w:t>
            </w:r>
          </w:p>
        </w:tc>
        <w:tc>
          <w:tcPr>
            <w:tcW w:w="608"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tc>
        <w:tc>
          <w:tcPr>
            <w:tcW w:w="612" w:type="dxa"/>
            <w:gridSpan w:val="2"/>
            <w:tcBorders>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tc>
        <w:tc>
          <w:tcPr>
            <w:tcW w:w="600" w:type="dxa"/>
            <w:tcBorders>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6</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588" w:type="dxa"/>
            <w:tcBorders>
              <w:bottom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9</w:t>
            </w:r>
          </w:p>
          <w:p w:rsidR="00AF2508" w:rsidRDefault="00AF2508">
            <w:pPr>
              <w:pStyle w:val="TableText"/>
              <w:rPr>
                <w:sz w:val="20"/>
              </w:rPr>
            </w:pPr>
            <w:r>
              <w:rPr>
                <w:sz w:val="20"/>
              </w:rPr>
              <w:t>12</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35</w:t>
            </w:r>
          </w:p>
        </w:tc>
        <w:tc>
          <w:tcPr>
            <w:tcW w:w="720" w:type="dxa"/>
            <w:gridSpan w:val="2"/>
            <w:tcBorders>
              <w:bottom w:val="single" w:sz="6" w:space="0" w:color="auto"/>
            </w:tcBorders>
          </w:tcPr>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612" w:type="dxa"/>
            <w:gridSpan w:val="2"/>
            <w:tcBorders>
              <w:left w:val="single" w:sz="6" w:space="0" w:color="auto"/>
              <w:bottom w:val="single" w:sz="6" w:space="0" w:color="auto"/>
              <w:right w:val="single" w:sz="6" w:space="0" w:color="auto"/>
            </w:tcBorders>
          </w:tcPr>
          <w:p w:rsidR="00AF2508" w:rsidRDefault="00AF2508">
            <w:pPr>
              <w:pStyle w:val="TableText"/>
              <w:rPr>
                <w:sz w:val="20"/>
              </w:rPr>
            </w:pPr>
            <w:r>
              <w:rPr>
                <w:sz w:val="20"/>
              </w:rPr>
              <w:t>15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bottom w:val="single" w:sz="6" w:space="0" w:color="auto"/>
            </w:tcBorders>
          </w:tcPr>
          <w:p w:rsidR="00AF2508" w:rsidRDefault="00AF2508">
            <w:pPr>
              <w:pStyle w:val="TableText"/>
              <w:rPr>
                <w:sz w:val="20"/>
              </w:rPr>
            </w:pPr>
            <w:r>
              <w:rPr>
                <w:sz w:val="20"/>
              </w:rPr>
              <w:t>46</w:t>
            </w:r>
          </w:p>
          <w:p w:rsidR="00AF2508" w:rsidRDefault="00AF2508">
            <w:pPr>
              <w:pStyle w:val="TableText"/>
              <w:rPr>
                <w:sz w:val="20"/>
              </w:rPr>
            </w:pPr>
            <w:r>
              <w:rPr>
                <w:sz w:val="20"/>
              </w:rPr>
              <w:t>64</w:t>
            </w:r>
          </w:p>
          <w:p w:rsidR="00AF2508" w:rsidRDefault="00AF2508">
            <w:pPr>
              <w:pStyle w:val="TableText"/>
              <w:rPr>
                <w:sz w:val="20"/>
              </w:rPr>
            </w:pPr>
            <w:r>
              <w:rPr>
                <w:sz w:val="20"/>
              </w:rPr>
              <w:t>82</w:t>
            </w:r>
          </w:p>
          <w:p w:rsidR="00AF2508" w:rsidRDefault="00AF2508">
            <w:pPr>
              <w:pStyle w:val="TableText"/>
              <w:rPr>
                <w:sz w:val="20"/>
              </w:rPr>
            </w:pPr>
            <w:r>
              <w:rPr>
                <w:sz w:val="20"/>
              </w:rPr>
              <w:t>100</w:t>
            </w:r>
          </w:p>
          <w:p w:rsidR="00AF2508" w:rsidRDefault="00AF2508">
            <w:pPr>
              <w:pStyle w:val="TableText"/>
              <w:rPr>
                <w:sz w:val="20"/>
              </w:rPr>
            </w:pPr>
            <w:r>
              <w:rPr>
                <w:sz w:val="20"/>
              </w:rPr>
              <w:t>118</w:t>
            </w:r>
          </w:p>
          <w:p w:rsidR="00AF2508" w:rsidRDefault="00AF2508">
            <w:pPr>
              <w:pStyle w:val="TableText"/>
              <w:rPr>
                <w:sz w:val="20"/>
              </w:rPr>
            </w:pPr>
            <w:r>
              <w:rPr>
                <w:sz w:val="20"/>
              </w:rPr>
              <w:t>143</w:t>
            </w:r>
          </w:p>
          <w:p w:rsidR="00AF2508" w:rsidRDefault="00AF2508">
            <w:pPr>
              <w:pStyle w:val="TableText"/>
              <w:rPr>
                <w:sz w:val="20"/>
              </w:rPr>
            </w:pPr>
            <w:r>
              <w:rPr>
                <w:sz w:val="20"/>
              </w:rPr>
              <w:t>163</w:t>
            </w:r>
          </w:p>
          <w:p w:rsidR="00AF2508" w:rsidRDefault="00AF2508">
            <w:pPr>
              <w:pStyle w:val="TableText"/>
              <w:rPr>
                <w:sz w:val="20"/>
              </w:rPr>
            </w:pPr>
            <w:r>
              <w:rPr>
                <w:sz w:val="20"/>
              </w:rPr>
              <w:t>183</w:t>
            </w:r>
          </w:p>
          <w:p w:rsidR="00AF2508" w:rsidRDefault="00AF2508">
            <w:pPr>
              <w:pStyle w:val="TableText"/>
              <w:rPr>
                <w:sz w:val="20"/>
              </w:rPr>
            </w:pPr>
            <w:r>
              <w:rPr>
                <w:sz w:val="20"/>
              </w:rPr>
              <w:t>203</w:t>
            </w:r>
          </w:p>
          <w:p w:rsidR="00AF2508" w:rsidRDefault="00AF2508">
            <w:pPr>
              <w:pStyle w:val="TableText"/>
              <w:rPr>
                <w:sz w:val="20"/>
              </w:rPr>
            </w:pPr>
            <w:r>
              <w:rPr>
                <w:sz w:val="20"/>
              </w:rPr>
              <w:t>228</w:t>
            </w:r>
          </w:p>
        </w:tc>
      </w:tr>
      <w:tr w:rsidR="00AF2508">
        <w:trPr>
          <w:gridAfter w:val="3"/>
          <w:wAfter w:w="56" w:type="dxa"/>
        </w:trPr>
        <w:tc>
          <w:tcPr>
            <w:tcW w:w="6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204*</w:t>
            </w:r>
          </w:p>
        </w:tc>
        <w:tc>
          <w:tcPr>
            <w:tcW w:w="880" w:type="dxa"/>
            <w:tcBorders>
              <w:top w:val="single" w:sz="6" w:space="0" w:color="auto"/>
              <w:bottom w:val="single" w:sz="6" w:space="0" w:color="auto"/>
            </w:tcBorders>
          </w:tcPr>
          <w:p w:rsidR="00AF2508" w:rsidRDefault="00AF2508">
            <w:pPr>
              <w:pStyle w:val="TableText"/>
              <w:rPr>
                <w:sz w:val="20"/>
              </w:rPr>
            </w:pPr>
            <w:r>
              <w:rPr>
                <w:sz w:val="20"/>
              </w:rPr>
              <w:t>34</w:t>
            </w:r>
          </w:p>
        </w:tc>
        <w:tc>
          <w:tcPr>
            <w:tcW w:w="98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91</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12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40min</w:t>
            </w:r>
          </w:p>
          <w:p w:rsidR="00AF2508" w:rsidRDefault="00AF2508">
            <w:pPr>
              <w:pStyle w:val="TableText"/>
              <w:rPr>
                <w:sz w:val="20"/>
              </w:rPr>
            </w:pPr>
            <w:r>
              <w:rPr>
                <w:sz w:val="20"/>
              </w:rPr>
              <w:t>40 to 50min</w:t>
            </w:r>
          </w:p>
          <w:p w:rsidR="00AF2508" w:rsidRDefault="00AF2508">
            <w:pPr>
              <w:pStyle w:val="TableText"/>
              <w:rPr>
                <w:sz w:val="20"/>
              </w:rPr>
            </w:pPr>
            <w:r>
              <w:rPr>
                <w:sz w:val="20"/>
              </w:rPr>
              <w:t>50 to 60min</w:t>
            </w:r>
          </w:p>
          <w:p w:rsidR="00AF2508" w:rsidRDefault="00AF2508">
            <w:pPr>
              <w:pStyle w:val="TableText"/>
              <w:rPr>
                <w:sz w:val="20"/>
              </w:rPr>
            </w:pPr>
            <w:r>
              <w:rPr>
                <w:sz w:val="20"/>
              </w:rPr>
              <w:t>1h to 1h 10min</w:t>
            </w:r>
          </w:p>
          <w:p w:rsidR="00AF2508" w:rsidRDefault="00AF2508">
            <w:pPr>
              <w:pStyle w:val="TableText"/>
              <w:rPr>
                <w:sz w:val="20"/>
              </w:rPr>
            </w:pPr>
            <w:r>
              <w:rPr>
                <w:sz w:val="20"/>
              </w:rPr>
              <w:t>1h 10min to 1h 20min</w:t>
            </w:r>
          </w:p>
          <w:p w:rsidR="00AF2508" w:rsidRDefault="00AF2508">
            <w:pPr>
              <w:pStyle w:val="TableText"/>
              <w:rPr>
                <w:sz w:val="20"/>
              </w:rPr>
            </w:pPr>
            <w:r>
              <w:rPr>
                <w:sz w:val="20"/>
              </w:rPr>
              <w:t>1h 20min to 1</w:t>
            </w:r>
            <w:r>
              <w:rPr>
                <w:position w:val="6"/>
                <w:sz w:val="20"/>
              </w:rPr>
              <w:t>1</w:t>
            </w:r>
            <w:r>
              <w:rPr>
                <w:sz w:val="20"/>
              </w:rPr>
              <w:t>/2h</w:t>
            </w:r>
          </w:p>
          <w:p w:rsidR="00AF2508" w:rsidRDefault="00AF2508">
            <w:pPr>
              <w:pStyle w:val="TableText"/>
              <w:rPr>
                <w:sz w:val="20"/>
              </w:rPr>
            </w:pPr>
            <w:r>
              <w:rPr>
                <w:sz w:val="20"/>
              </w:rPr>
              <w:t>1</w:t>
            </w:r>
            <w:r>
              <w:rPr>
                <w:position w:val="6"/>
                <w:sz w:val="20"/>
              </w:rPr>
              <w:t>1</w:t>
            </w:r>
            <w:r>
              <w:rPr>
                <w:sz w:val="20"/>
              </w:rPr>
              <w:t>/2h to 1h 40min</w:t>
            </w:r>
          </w:p>
          <w:p w:rsidR="00AF2508" w:rsidRDefault="00AF2508">
            <w:pPr>
              <w:pStyle w:val="TableText"/>
              <w:rPr>
                <w:sz w:val="20"/>
              </w:rPr>
            </w:pPr>
            <w:r>
              <w:rPr>
                <w:sz w:val="20"/>
              </w:rPr>
              <w:t>1h 40min to 1h 50min</w:t>
            </w:r>
          </w:p>
          <w:p w:rsidR="00AF2508" w:rsidRDefault="00AF2508">
            <w:pPr>
              <w:pStyle w:val="TableText"/>
              <w:rPr>
                <w:sz w:val="20"/>
              </w:rPr>
            </w:pPr>
            <w:r>
              <w:rPr>
                <w:sz w:val="20"/>
              </w:rPr>
              <w:t>over 1h 50min</w:t>
            </w:r>
          </w:p>
        </w:tc>
        <w:tc>
          <w:tcPr>
            <w:tcW w:w="628"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tc>
        <w:tc>
          <w:tcPr>
            <w:tcW w:w="608"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tc>
        <w:tc>
          <w:tcPr>
            <w:tcW w:w="612" w:type="dxa"/>
            <w:gridSpan w:val="2"/>
            <w:tcBorders>
              <w:top w:val="single" w:sz="6" w:space="0" w:color="auto"/>
              <w:bottom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12</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tc>
        <w:tc>
          <w:tcPr>
            <w:tcW w:w="588" w:type="dxa"/>
            <w:tcBorders>
              <w:top w:val="single" w:sz="6" w:space="0" w:color="auto"/>
              <w:bottom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30</w:t>
            </w:r>
          </w:p>
          <w:p w:rsidR="00AF2508" w:rsidRDefault="00AF2508">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35</w:t>
            </w:r>
          </w:p>
        </w:tc>
        <w:tc>
          <w:tcPr>
            <w:tcW w:w="720" w:type="dxa"/>
            <w:gridSpan w:val="2"/>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20</w:t>
            </w:r>
          </w:p>
          <w:p w:rsidR="00AF2508" w:rsidRDefault="00AF2508">
            <w:pPr>
              <w:pStyle w:val="TableText"/>
              <w:rPr>
                <w:sz w:val="20"/>
              </w:rPr>
            </w:pPr>
            <w:r>
              <w:rPr>
                <w:sz w:val="20"/>
              </w:rPr>
              <w:t>20</w:t>
            </w:r>
          </w:p>
          <w:p w:rsidR="00AF2508" w:rsidRDefault="00AF2508">
            <w:pPr>
              <w:pStyle w:val="TableText"/>
              <w:rPr>
                <w:sz w:val="20"/>
              </w:rPr>
            </w:pPr>
            <w:r>
              <w:rPr>
                <w:sz w:val="20"/>
              </w:rPr>
              <w:t>25</w:t>
            </w:r>
          </w:p>
          <w:p w:rsidR="00AF2508" w:rsidRDefault="00AF2508">
            <w:pPr>
              <w:pStyle w:val="TableText"/>
              <w:rPr>
                <w:sz w:val="20"/>
              </w:rPr>
            </w:pPr>
            <w:r>
              <w:rPr>
                <w:sz w:val="20"/>
              </w:rPr>
              <w:t>30</w:t>
            </w:r>
          </w:p>
          <w:p w:rsidR="00AF2508" w:rsidRDefault="00AF2508">
            <w:pPr>
              <w:pStyle w:val="TableText"/>
              <w:rPr>
                <w:sz w:val="20"/>
              </w:rPr>
            </w:pPr>
            <w:r>
              <w:rPr>
                <w:sz w:val="20"/>
              </w:rPr>
              <w:t>35</w:t>
            </w:r>
          </w:p>
          <w:p w:rsidR="00AF2508" w:rsidRDefault="00AF2508">
            <w:pPr>
              <w:pStyle w:val="TableText"/>
              <w:rPr>
                <w:sz w:val="20"/>
              </w:rPr>
            </w:pPr>
            <w:r>
              <w:rPr>
                <w:sz w:val="20"/>
              </w:rPr>
              <w:t>35</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p w:rsidR="00AF2508" w:rsidRDefault="00AF2508">
            <w:pPr>
              <w:pStyle w:val="TableText"/>
              <w:rPr>
                <w:sz w:val="20"/>
              </w:rPr>
            </w:pPr>
            <w:r>
              <w:rPr>
                <w:sz w:val="20"/>
              </w:rPr>
              <w:t>40</w:t>
            </w:r>
          </w:p>
        </w:tc>
        <w:tc>
          <w:tcPr>
            <w:tcW w:w="1020" w:type="dxa"/>
            <w:gridSpan w:val="2"/>
            <w:tcBorders>
              <w:top w:val="single" w:sz="6" w:space="0" w:color="auto"/>
              <w:bottom w:val="single" w:sz="6" w:space="0" w:color="auto"/>
            </w:tcBorders>
          </w:tcPr>
          <w:p w:rsidR="00AF2508" w:rsidRDefault="00AF2508">
            <w:pPr>
              <w:pStyle w:val="TableText"/>
              <w:rPr>
                <w:sz w:val="20"/>
              </w:rPr>
            </w:pPr>
            <w:r>
              <w:rPr>
                <w:sz w:val="20"/>
              </w:rPr>
              <w:t>51</w:t>
            </w:r>
          </w:p>
          <w:p w:rsidR="00AF2508" w:rsidRDefault="00AF2508">
            <w:pPr>
              <w:pStyle w:val="TableText"/>
              <w:rPr>
                <w:sz w:val="20"/>
              </w:rPr>
            </w:pPr>
            <w:r>
              <w:rPr>
                <w:sz w:val="20"/>
              </w:rPr>
              <w:t>67</w:t>
            </w:r>
          </w:p>
          <w:p w:rsidR="00AF2508" w:rsidRDefault="00AF2508">
            <w:pPr>
              <w:pStyle w:val="TableText"/>
              <w:rPr>
                <w:sz w:val="20"/>
              </w:rPr>
            </w:pPr>
            <w:r>
              <w:rPr>
                <w:sz w:val="20"/>
              </w:rPr>
              <w:t>86</w:t>
            </w:r>
          </w:p>
          <w:p w:rsidR="00AF2508" w:rsidRDefault="00AF2508">
            <w:pPr>
              <w:pStyle w:val="TableText"/>
              <w:rPr>
                <w:sz w:val="20"/>
              </w:rPr>
            </w:pPr>
            <w:r>
              <w:rPr>
                <w:sz w:val="20"/>
              </w:rPr>
              <w:t>105</w:t>
            </w:r>
          </w:p>
          <w:p w:rsidR="00AF2508" w:rsidRDefault="00AF2508">
            <w:pPr>
              <w:pStyle w:val="TableText"/>
              <w:rPr>
                <w:sz w:val="20"/>
              </w:rPr>
            </w:pPr>
            <w:r>
              <w:rPr>
                <w:sz w:val="20"/>
              </w:rPr>
              <w:t>124</w:t>
            </w:r>
          </w:p>
          <w:p w:rsidR="00AF2508" w:rsidRDefault="00AF2508">
            <w:pPr>
              <w:pStyle w:val="TableText"/>
              <w:rPr>
                <w:sz w:val="20"/>
              </w:rPr>
            </w:pPr>
            <w:r>
              <w:rPr>
                <w:sz w:val="20"/>
              </w:rPr>
              <w:t>143</w:t>
            </w:r>
          </w:p>
          <w:p w:rsidR="00AF2508" w:rsidRDefault="00AF2508">
            <w:pPr>
              <w:pStyle w:val="TableText"/>
              <w:rPr>
                <w:sz w:val="20"/>
              </w:rPr>
            </w:pPr>
            <w:r>
              <w:rPr>
                <w:sz w:val="20"/>
              </w:rPr>
              <w:t>163</w:t>
            </w:r>
          </w:p>
          <w:p w:rsidR="00AF2508" w:rsidRDefault="00AF2508">
            <w:pPr>
              <w:pStyle w:val="TableText"/>
              <w:rPr>
                <w:sz w:val="20"/>
              </w:rPr>
            </w:pPr>
            <w:r>
              <w:rPr>
                <w:sz w:val="20"/>
              </w:rPr>
              <w:t>183</w:t>
            </w:r>
          </w:p>
          <w:p w:rsidR="00AF2508" w:rsidRDefault="00AF2508">
            <w:pPr>
              <w:pStyle w:val="TableText"/>
              <w:rPr>
                <w:sz w:val="20"/>
              </w:rPr>
            </w:pPr>
            <w:r>
              <w:rPr>
                <w:sz w:val="20"/>
              </w:rPr>
              <w:t>203</w:t>
            </w:r>
          </w:p>
          <w:p w:rsidR="00AF2508" w:rsidRDefault="00AF2508">
            <w:pPr>
              <w:pStyle w:val="TableText"/>
              <w:rPr>
                <w:sz w:val="20"/>
              </w:rPr>
            </w:pPr>
            <w:r>
              <w:rPr>
                <w:sz w:val="20"/>
              </w:rPr>
              <w:t>223</w:t>
            </w:r>
          </w:p>
          <w:p w:rsidR="00AF2508" w:rsidRDefault="00AF2508">
            <w:pPr>
              <w:pStyle w:val="TableText"/>
              <w:rPr>
                <w:sz w:val="20"/>
              </w:rPr>
            </w:pPr>
            <w:r>
              <w:rPr>
                <w:sz w:val="20"/>
              </w:rPr>
              <w:t>238</w:t>
            </w:r>
          </w:p>
        </w:tc>
      </w:tr>
    </w:tbl>
    <w:p w:rsidR="00AF2508" w:rsidRDefault="00AF2508">
      <w:pPr>
        <w:spacing w:before="120"/>
        <w:ind w:left="342" w:hanging="342"/>
        <w:rPr>
          <w:color w:val="000000"/>
          <w:sz w:val="20"/>
        </w:rPr>
      </w:pPr>
      <w:r>
        <w:rPr>
          <w:color w:val="000000"/>
          <w:sz w:val="20"/>
        </w:rPr>
        <w:t>*</w:t>
      </w:r>
      <w:r>
        <w:rPr>
          <w:color w:val="000000"/>
          <w:sz w:val="20"/>
        </w:rPr>
        <w:tab/>
        <w:t>Handworked pumps are unsuitable at this depth.</w:t>
      </w:r>
    </w:p>
    <w:p w:rsidR="00AF2508" w:rsidRDefault="00AF2508"/>
    <w:p w:rsidR="00AF2508" w:rsidRDefault="00AF2508">
      <w:pPr>
        <w:pStyle w:val="TableHd"/>
        <w:rPr>
          <w:rStyle w:val="charItals"/>
          <w:i w:val="0"/>
        </w:rPr>
      </w:pPr>
      <w:r>
        <w:rPr>
          <w:color w:val="000000"/>
        </w:rPr>
        <w:t>Table 7.2</w:t>
      </w:r>
      <w:r>
        <w:rPr>
          <w:color w:val="000000"/>
        </w:rPr>
        <w:tab/>
      </w:r>
      <w:r>
        <w:rPr>
          <w:rStyle w:val="charItals"/>
          <w:i w:val="0"/>
        </w:rPr>
        <w:t>Decompression—ordinary time limits, stoppages and air supply</w:t>
      </w:r>
    </w:p>
    <w:p w:rsidR="00AF2508" w:rsidRDefault="00AF2508">
      <w:pPr>
        <w:pStyle w:val="ref"/>
        <w:rPr>
          <w:rStyle w:val="charItals"/>
          <w:i w:val="0"/>
        </w:rPr>
      </w:pPr>
      <w:r>
        <w:rPr>
          <w:rStyle w:val="charItals"/>
          <w:i w:val="0"/>
        </w:rPr>
        <w:t>(see s 99 (23) to (26))</w:t>
      </w:r>
    </w:p>
    <w:tbl>
      <w:tblPr>
        <w:tblW w:w="11868" w:type="dxa"/>
        <w:tblInd w:w="-160" w:type="dxa"/>
        <w:tblLayout w:type="fixed"/>
        <w:tblCellMar>
          <w:left w:w="80" w:type="dxa"/>
          <w:right w:w="80" w:type="dxa"/>
        </w:tblCellMar>
        <w:tblLook w:val="0000" w:firstRow="0" w:lastRow="0" w:firstColumn="0" w:lastColumn="0" w:noHBand="0" w:noVBand="0"/>
      </w:tblPr>
      <w:tblGrid>
        <w:gridCol w:w="960"/>
        <w:gridCol w:w="933"/>
        <w:gridCol w:w="969"/>
        <w:gridCol w:w="1338"/>
        <w:gridCol w:w="600"/>
        <w:gridCol w:w="600"/>
        <w:gridCol w:w="576"/>
        <w:gridCol w:w="540"/>
        <w:gridCol w:w="540"/>
        <w:gridCol w:w="540"/>
        <w:gridCol w:w="1044"/>
        <w:gridCol w:w="960"/>
        <w:gridCol w:w="1185"/>
        <w:gridCol w:w="1083"/>
      </w:tblGrid>
      <w:tr w:rsidR="00AF2508">
        <w:trPr>
          <w:cantSplit/>
          <w:trHeight w:hRule="exact" w:val="600"/>
          <w:tblHeader/>
        </w:trPr>
        <w:tc>
          <w:tcPr>
            <w:tcW w:w="1893" w:type="dxa"/>
            <w:gridSpan w:val="2"/>
            <w:tcBorders>
              <w:top w:val="single" w:sz="6" w:space="0" w:color="auto"/>
              <w:bottom w:val="single" w:sz="6" w:space="0" w:color="auto"/>
            </w:tcBorders>
            <w:vAlign w:val="bottom"/>
          </w:tcPr>
          <w:p w:rsidR="00AF2508" w:rsidRDefault="00AF2508">
            <w:pPr>
              <w:pStyle w:val="TableColHd"/>
              <w:jc w:val="center"/>
            </w:pPr>
            <w:r>
              <w:t>depth</w:t>
            </w:r>
          </w:p>
        </w:tc>
        <w:tc>
          <w:tcPr>
            <w:tcW w:w="969" w:type="dxa"/>
            <w:tcBorders>
              <w:top w:val="single" w:sz="6" w:space="0" w:color="auto"/>
              <w:left w:val="single" w:sz="6" w:space="0" w:color="auto"/>
              <w:bottom w:val="single" w:sz="4" w:space="0" w:color="auto"/>
              <w:right w:val="single" w:sz="6" w:space="0" w:color="auto"/>
            </w:tcBorders>
            <w:vAlign w:val="bottom"/>
          </w:tcPr>
          <w:p w:rsidR="00AF2508" w:rsidRDefault="00AF2508">
            <w:pPr>
              <w:pStyle w:val="TableColHd"/>
              <w:jc w:val="center"/>
            </w:pPr>
            <w:r>
              <w:t>pressure</w:t>
            </w:r>
          </w:p>
        </w:tc>
        <w:tc>
          <w:tcPr>
            <w:tcW w:w="1338" w:type="dxa"/>
            <w:vMerge w:val="restart"/>
            <w:tcBorders>
              <w:top w:val="single" w:sz="6" w:space="0" w:color="auto"/>
              <w:right w:val="single" w:sz="6" w:space="0" w:color="auto"/>
            </w:tcBorders>
            <w:vAlign w:val="center"/>
          </w:tcPr>
          <w:p w:rsidR="00AF2508" w:rsidRDefault="00AF2508">
            <w:pPr>
              <w:pStyle w:val="TableColHd"/>
              <w:jc w:val="center"/>
            </w:pPr>
            <w:r>
              <w:t>time from leaving surface to beginning of ascent</w:t>
            </w:r>
          </w:p>
        </w:tc>
        <w:tc>
          <w:tcPr>
            <w:tcW w:w="3396" w:type="dxa"/>
            <w:gridSpan w:val="6"/>
            <w:tcBorders>
              <w:top w:val="single" w:sz="6" w:space="0" w:color="auto"/>
            </w:tcBorders>
            <w:vAlign w:val="bottom"/>
          </w:tcPr>
          <w:p w:rsidR="00AF2508" w:rsidRDefault="00AF2508">
            <w:pPr>
              <w:pStyle w:val="TableColHd"/>
              <w:jc w:val="center"/>
            </w:pPr>
            <w:r>
              <w:t>stoppages in minutes at different depths</w:t>
            </w:r>
          </w:p>
        </w:tc>
        <w:tc>
          <w:tcPr>
            <w:tcW w:w="1044" w:type="dxa"/>
            <w:tcBorders>
              <w:top w:val="single" w:sz="6" w:space="0" w:color="auto"/>
              <w:left w:val="single" w:sz="6" w:space="0" w:color="auto"/>
              <w:bottom w:val="single" w:sz="4" w:space="0" w:color="auto"/>
            </w:tcBorders>
            <w:vAlign w:val="bottom"/>
          </w:tcPr>
          <w:p w:rsidR="00AF2508" w:rsidRDefault="00AF2508">
            <w:pPr>
              <w:pStyle w:val="TableColHd"/>
              <w:jc w:val="center"/>
            </w:pPr>
            <w:r>
              <w:t xml:space="preserve">total time for ascent </w:t>
            </w:r>
          </w:p>
        </w:tc>
        <w:tc>
          <w:tcPr>
            <w:tcW w:w="960" w:type="dxa"/>
            <w:vMerge w:val="restart"/>
            <w:tcBorders>
              <w:top w:val="single" w:sz="6" w:space="0" w:color="auto"/>
              <w:left w:val="single" w:sz="6" w:space="0" w:color="auto"/>
              <w:right w:val="single" w:sz="6" w:space="0" w:color="auto"/>
            </w:tcBorders>
            <w:vAlign w:val="center"/>
          </w:tcPr>
          <w:p w:rsidR="00AF2508" w:rsidRDefault="00AF2508">
            <w:pPr>
              <w:pStyle w:val="TableColHd"/>
              <w:jc w:val="center"/>
            </w:pPr>
            <w:r>
              <w:t>number of cylinders needed*</w:t>
            </w:r>
          </w:p>
        </w:tc>
        <w:tc>
          <w:tcPr>
            <w:tcW w:w="1185" w:type="dxa"/>
            <w:tcBorders>
              <w:top w:val="single" w:sz="6" w:space="0" w:color="auto"/>
              <w:left w:val="single" w:sz="6" w:space="0" w:color="auto"/>
              <w:bottom w:val="single" w:sz="4" w:space="0" w:color="auto"/>
              <w:right w:val="single" w:sz="6" w:space="0" w:color="auto"/>
            </w:tcBorders>
            <w:vAlign w:val="bottom"/>
          </w:tcPr>
          <w:p w:rsidR="00AF2508" w:rsidRDefault="00AF2508">
            <w:pPr>
              <w:pStyle w:val="TableColHd"/>
              <w:jc w:val="center"/>
            </w:pPr>
            <w:r>
              <w:t>revolutions of pump</w:t>
            </w:r>
          </w:p>
        </w:tc>
        <w:tc>
          <w:tcPr>
            <w:tcW w:w="1083" w:type="dxa"/>
            <w:vMerge w:val="restart"/>
            <w:tcBorders>
              <w:top w:val="single" w:sz="6" w:space="0" w:color="auto"/>
            </w:tcBorders>
            <w:vAlign w:val="center"/>
          </w:tcPr>
          <w:p w:rsidR="00AF2508" w:rsidRDefault="00AF2508">
            <w:pPr>
              <w:pStyle w:val="TableColHd"/>
              <w:jc w:val="center"/>
              <w:rPr>
                <w:rFonts w:ascii="Arial (W1)" w:hAnsi="Arial (W1)"/>
                <w:spacing w:val="-2"/>
              </w:rPr>
            </w:pPr>
            <w:r>
              <w:rPr>
                <w:rFonts w:ascii="Arial (W1)" w:hAnsi="Arial (W1)"/>
                <w:spacing w:val="-2"/>
              </w:rPr>
              <w:t>number of workers per shift on pumps</w:t>
            </w:r>
          </w:p>
        </w:tc>
      </w:tr>
      <w:tr w:rsidR="00AF2508">
        <w:trPr>
          <w:cantSplit/>
          <w:trHeight w:val="1000"/>
          <w:tblHeader/>
        </w:trPr>
        <w:tc>
          <w:tcPr>
            <w:tcW w:w="960" w:type="dxa"/>
            <w:tcBorders>
              <w:bottom w:val="single" w:sz="6" w:space="0" w:color="auto"/>
              <w:right w:val="single" w:sz="6" w:space="0" w:color="auto"/>
            </w:tcBorders>
            <w:vAlign w:val="bottom"/>
          </w:tcPr>
          <w:p w:rsidR="00AF2508" w:rsidRDefault="00AF2508">
            <w:pPr>
              <w:pStyle w:val="TableColHd"/>
              <w:jc w:val="center"/>
            </w:pPr>
            <w:r>
              <w:t>ft</w:t>
            </w:r>
          </w:p>
        </w:tc>
        <w:tc>
          <w:tcPr>
            <w:tcW w:w="933" w:type="dxa"/>
            <w:tcBorders>
              <w:bottom w:val="single" w:sz="6" w:space="0" w:color="auto"/>
            </w:tcBorders>
            <w:vAlign w:val="bottom"/>
          </w:tcPr>
          <w:p w:rsidR="00AF2508" w:rsidRDefault="00AF2508">
            <w:pPr>
              <w:pStyle w:val="TableColHd"/>
              <w:jc w:val="center"/>
              <w:rPr>
                <w:rFonts w:ascii="Arial (W1)" w:hAnsi="Arial (W1)"/>
                <w:spacing w:val="-4"/>
              </w:rPr>
            </w:pPr>
            <w:r>
              <w:rPr>
                <w:rFonts w:ascii="Arial (W1)" w:hAnsi="Arial (W1)"/>
                <w:spacing w:val="-4"/>
              </w:rPr>
              <w:t>fathoms</w:t>
            </w:r>
          </w:p>
        </w:tc>
        <w:tc>
          <w:tcPr>
            <w:tcW w:w="969" w:type="dxa"/>
            <w:tcBorders>
              <w:left w:val="single" w:sz="6" w:space="0" w:color="auto"/>
              <w:bottom w:val="single" w:sz="6" w:space="0" w:color="auto"/>
              <w:right w:val="single" w:sz="6" w:space="0" w:color="auto"/>
            </w:tcBorders>
            <w:vAlign w:val="bottom"/>
          </w:tcPr>
          <w:p w:rsidR="00AF2508" w:rsidRDefault="00AF2508">
            <w:pPr>
              <w:pStyle w:val="TableColHd"/>
              <w:jc w:val="center"/>
            </w:pPr>
            <w:r>
              <w:t>lb/in</w:t>
            </w:r>
            <w:r>
              <w:rPr>
                <w:vertAlign w:val="superscript"/>
              </w:rPr>
              <w:t>2</w:t>
            </w:r>
          </w:p>
        </w:tc>
        <w:tc>
          <w:tcPr>
            <w:tcW w:w="1338" w:type="dxa"/>
            <w:vMerge/>
            <w:tcBorders>
              <w:bottom w:val="single" w:sz="6" w:space="0" w:color="auto"/>
              <w:right w:val="single" w:sz="6" w:space="0" w:color="auto"/>
            </w:tcBorders>
            <w:vAlign w:val="bottom"/>
          </w:tcPr>
          <w:p w:rsidR="00AF2508" w:rsidRDefault="00AF2508">
            <w:pPr>
              <w:pStyle w:val="TableColHd"/>
              <w:jc w:val="center"/>
            </w:pPr>
          </w:p>
        </w:tc>
        <w:tc>
          <w:tcPr>
            <w:tcW w:w="600" w:type="dxa"/>
            <w:tcBorders>
              <w:top w:val="single" w:sz="6" w:space="0" w:color="auto"/>
              <w:bottom w:val="single" w:sz="6" w:space="0" w:color="auto"/>
            </w:tcBorders>
            <w:vAlign w:val="bottom"/>
          </w:tcPr>
          <w:p w:rsidR="00AF2508" w:rsidRDefault="00AF2508">
            <w:pPr>
              <w:pStyle w:val="TableColHd"/>
              <w:jc w:val="center"/>
            </w:pPr>
            <w:r>
              <w:t>60ft</w:t>
            </w:r>
          </w:p>
        </w:tc>
        <w:tc>
          <w:tcPr>
            <w:tcW w:w="600" w:type="dxa"/>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50ft</w:t>
            </w:r>
          </w:p>
        </w:tc>
        <w:tc>
          <w:tcPr>
            <w:tcW w:w="576" w:type="dxa"/>
            <w:tcBorders>
              <w:top w:val="single" w:sz="6" w:space="0" w:color="auto"/>
              <w:bottom w:val="single" w:sz="6" w:space="0" w:color="auto"/>
            </w:tcBorders>
            <w:vAlign w:val="bottom"/>
          </w:tcPr>
          <w:p w:rsidR="00AF2508" w:rsidRDefault="00AF2508">
            <w:pPr>
              <w:pStyle w:val="TableColHd"/>
              <w:jc w:val="center"/>
            </w:pPr>
            <w:r>
              <w:t>40ft</w:t>
            </w:r>
          </w:p>
        </w:tc>
        <w:tc>
          <w:tcPr>
            <w:tcW w:w="540" w:type="dxa"/>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30ft</w:t>
            </w:r>
          </w:p>
        </w:tc>
        <w:tc>
          <w:tcPr>
            <w:tcW w:w="540" w:type="dxa"/>
            <w:tcBorders>
              <w:top w:val="single" w:sz="6" w:space="0" w:color="auto"/>
              <w:bottom w:val="single" w:sz="6" w:space="0" w:color="auto"/>
            </w:tcBorders>
            <w:vAlign w:val="bottom"/>
          </w:tcPr>
          <w:p w:rsidR="00AF2508" w:rsidRDefault="00AF2508">
            <w:pPr>
              <w:pStyle w:val="TableColHd"/>
              <w:jc w:val="center"/>
            </w:pPr>
            <w:r>
              <w:t>20ft</w:t>
            </w:r>
          </w:p>
        </w:tc>
        <w:tc>
          <w:tcPr>
            <w:tcW w:w="540" w:type="dxa"/>
            <w:tcBorders>
              <w:top w:val="single" w:sz="6" w:space="0" w:color="auto"/>
              <w:left w:val="single" w:sz="6" w:space="0" w:color="auto"/>
              <w:bottom w:val="single" w:sz="6" w:space="0" w:color="auto"/>
              <w:right w:val="single" w:sz="6" w:space="0" w:color="auto"/>
            </w:tcBorders>
            <w:vAlign w:val="bottom"/>
          </w:tcPr>
          <w:p w:rsidR="00AF2508" w:rsidRDefault="00AF2508">
            <w:pPr>
              <w:pStyle w:val="TableColHd"/>
              <w:jc w:val="center"/>
            </w:pPr>
            <w:r>
              <w:t>10ft</w:t>
            </w:r>
          </w:p>
        </w:tc>
        <w:tc>
          <w:tcPr>
            <w:tcW w:w="1044" w:type="dxa"/>
            <w:tcBorders>
              <w:left w:val="single" w:sz="6" w:space="0" w:color="auto"/>
              <w:bottom w:val="single" w:sz="6" w:space="0" w:color="auto"/>
            </w:tcBorders>
            <w:vAlign w:val="bottom"/>
          </w:tcPr>
          <w:p w:rsidR="00AF2508" w:rsidRDefault="00AF2508">
            <w:pPr>
              <w:pStyle w:val="TableColHd"/>
              <w:jc w:val="center"/>
            </w:pPr>
            <w:r>
              <w:t>minutes</w:t>
            </w:r>
          </w:p>
        </w:tc>
        <w:tc>
          <w:tcPr>
            <w:tcW w:w="960" w:type="dxa"/>
            <w:vMerge/>
            <w:tcBorders>
              <w:left w:val="single" w:sz="6" w:space="0" w:color="auto"/>
              <w:bottom w:val="single" w:sz="6" w:space="0" w:color="auto"/>
              <w:right w:val="single" w:sz="6" w:space="0" w:color="auto"/>
            </w:tcBorders>
            <w:vAlign w:val="bottom"/>
          </w:tcPr>
          <w:p w:rsidR="00AF2508" w:rsidRDefault="00AF2508">
            <w:pPr>
              <w:pStyle w:val="TableColHd"/>
              <w:jc w:val="center"/>
            </w:pPr>
          </w:p>
        </w:tc>
        <w:tc>
          <w:tcPr>
            <w:tcW w:w="1185" w:type="dxa"/>
            <w:tcBorders>
              <w:left w:val="single" w:sz="6" w:space="0" w:color="auto"/>
              <w:bottom w:val="single" w:sz="6" w:space="0" w:color="auto"/>
              <w:right w:val="single" w:sz="6" w:space="0" w:color="auto"/>
            </w:tcBorders>
            <w:vAlign w:val="bottom"/>
          </w:tcPr>
          <w:p w:rsidR="00AF2508" w:rsidRDefault="00AF2508">
            <w:pPr>
              <w:pStyle w:val="TableColHd"/>
              <w:jc w:val="center"/>
            </w:pPr>
            <w:r>
              <w:t>per minute*</w:t>
            </w:r>
          </w:p>
        </w:tc>
        <w:tc>
          <w:tcPr>
            <w:tcW w:w="1083" w:type="dxa"/>
            <w:vMerge/>
            <w:tcBorders>
              <w:bottom w:val="single" w:sz="6" w:space="0" w:color="auto"/>
            </w:tcBorders>
            <w:vAlign w:val="bottom"/>
          </w:tcPr>
          <w:p w:rsidR="00AF2508" w:rsidRDefault="00AF2508">
            <w:pPr>
              <w:pStyle w:val="TableColHd"/>
              <w:jc w:val="center"/>
            </w:pP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0-33</w:t>
            </w:r>
          </w:p>
        </w:tc>
        <w:tc>
          <w:tcPr>
            <w:tcW w:w="933" w:type="dxa"/>
            <w:tcBorders>
              <w:top w:val="single" w:sz="6" w:space="0" w:color="auto"/>
              <w:bottom w:val="single" w:sz="6" w:space="0" w:color="auto"/>
            </w:tcBorders>
          </w:tcPr>
          <w:p w:rsidR="00AF2508" w:rsidRDefault="00AF2508">
            <w:pPr>
              <w:pStyle w:val="TableText"/>
              <w:rPr>
                <w:sz w:val="20"/>
              </w:rPr>
            </w:pPr>
            <w:r>
              <w:rPr>
                <w:sz w:val="20"/>
              </w:rPr>
              <w:t>0-5</w:t>
            </w:r>
            <w:r>
              <w:rPr>
                <w:position w:val="4"/>
                <w:sz w:val="16"/>
              </w:rPr>
              <w:t>1</w:t>
            </w:r>
            <w:r>
              <w:rPr>
                <w:sz w:val="20"/>
              </w:rPr>
              <w:t>/</w:t>
            </w:r>
            <w:r>
              <w:rPr>
                <w:sz w:val="16"/>
              </w:rPr>
              <w:t>2</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0-15</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 xml:space="preserve">no limit </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1044" w:type="dxa"/>
            <w:tcBorders>
              <w:top w:val="single" w:sz="6" w:space="0" w:color="auto"/>
              <w:bottom w:val="single" w:sz="6" w:space="0" w:color="auto"/>
            </w:tcBorders>
          </w:tcPr>
          <w:p w:rsidR="00AF2508" w:rsidRDefault="00AF2508">
            <w:pPr>
              <w:pStyle w:val="TableText"/>
              <w:rPr>
                <w:sz w:val="20"/>
              </w:rPr>
            </w:pPr>
            <w:r>
              <w:rPr>
                <w:sz w:val="20"/>
              </w:rPr>
              <w:t>0 to 1</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15 to 30†</w:t>
            </w:r>
          </w:p>
        </w:tc>
        <w:tc>
          <w:tcPr>
            <w:tcW w:w="1083" w:type="dxa"/>
            <w:tcBorders>
              <w:top w:val="single" w:sz="6" w:space="0" w:color="auto"/>
              <w:bottom w:val="single" w:sz="6" w:space="0" w:color="auto"/>
            </w:tcBorders>
          </w:tcPr>
          <w:p w:rsidR="00AF2508" w:rsidRDefault="00AF2508">
            <w:pPr>
              <w:pStyle w:val="TableText"/>
              <w:rPr>
                <w:sz w:val="20"/>
              </w:rPr>
            </w:pPr>
            <w:r>
              <w:rPr>
                <w:sz w:val="20"/>
              </w:rPr>
              <w:t>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33-42</w:t>
            </w:r>
          </w:p>
        </w:tc>
        <w:tc>
          <w:tcPr>
            <w:tcW w:w="933" w:type="dxa"/>
            <w:tcBorders>
              <w:top w:val="single" w:sz="6" w:space="0" w:color="auto"/>
              <w:bottom w:val="single" w:sz="6" w:space="0" w:color="auto"/>
            </w:tcBorders>
          </w:tcPr>
          <w:p w:rsidR="00AF2508" w:rsidRDefault="00AF2508">
            <w:pPr>
              <w:pStyle w:val="TableText"/>
              <w:rPr>
                <w:sz w:val="20"/>
              </w:rPr>
            </w:pPr>
            <w:r>
              <w:rPr>
                <w:sz w:val="20"/>
              </w:rPr>
              <w:t>5</w:t>
            </w:r>
            <w:r>
              <w:rPr>
                <w:position w:val="4"/>
                <w:sz w:val="16"/>
              </w:rPr>
              <w:t>1</w:t>
            </w:r>
            <w:r>
              <w:rPr>
                <w:sz w:val="20"/>
              </w:rPr>
              <w:t>/</w:t>
            </w:r>
            <w:r>
              <w:rPr>
                <w:sz w:val="16"/>
              </w:rPr>
              <w:t>2</w:t>
            </w:r>
            <w:r>
              <w:rPr>
                <w:sz w:val="20"/>
              </w:rPr>
              <w:t>-7</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15-18</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3hr</w:t>
            </w:r>
          </w:p>
          <w:p w:rsidR="00AF2508" w:rsidRDefault="00AF2508">
            <w:pPr>
              <w:pStyle w:val="TableText"/>
              <w:rPr>
                <w:sz w:val="20"/>
              </w:rPr>
            </w:pPr>
            <w:r>
              <w:rPr>
                <w:sz w:val="20"/>
              </w:rPr>
              <w:t>over 3h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tc>
        <w:tc>
          <w:tcPr>
            <w:tcW w:w="1044" w:type="dxa"/>
            <w:tcBorders>
              <w:top w:val="single" w:sz="6" w:space="0" w:color="auto"/>
              <w:bottom w:val="single" w:sz="6" w:space="0" w:color="auto"/>
            </w:tcBorders>
          </w:tcPr>
          <w:p w:rsidR="00AF2508" w:rsidRDefault="00AF2508">
            <w:pPr>
              <w:pStyle w:val="TableText"/>
              <w:rPr>
                <w:sz w:val="20"/>
              </w:rPr>
            </w:pPr>
            <w:r>
              <w:rPr>
                <w:sz w:val="20"/>
              </w:rPr>
              <w:t>1 to 1</w:t>
            </w:r>
            <w:r>
              <w:rPr>
                <w:position w:val="4"/>
                <w:sz w:val="16"/>
              </w:rPr>
              <w:t>1</w:t>
            </w:r>
            <w:r>
              <w:rPr>
                <w:sz w:val="20"/>
              </w:rPr>
              <w:t>/</w:t>
            </w:r>
            <w:r>
              <w:rPr>
                <w:sz w:val="16"/>
              </w:rPr>
              <w:t>2</w:t>
            </w:r>
          </w:p>
          <w:p w:rsidR="00AF2508" w:rsidRDefault="00AF2508">
            <w:pPr>
              <w:pStyle w:val="TableText"/>
              <w:rPr>
                <w:sz w:val="20"/>
              </w:rPr>
            </w:pPr>
            <w:r>
              <w:rPr>
                <w:sz w:val="20"/>
              </w:rPr>
              <w:t>6</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15 to 20</w:t>
            </w:r>
          </w:p>
        </w:tc>
        <w:tc>
          <w:tcPr>
            <w:tcW w:w="1083" w:type="dxa"/>
            <w:tcBorders>
              <w:top w:val="single" w:sz="6" w:space="0" w:color="auto"/>
              <w:bottom w:val="single" w:sz="6" w:space="0" w:color="auto"/>
            </w:tcBorders>
          </w:tcPr>
          <w:p w:rsidR="00AF2508" w:rsidRDefault="00AF2508">
            <w:pPr>
              <w:pStyle w:val="TableText"/>
              <w:rPr>
                <w:sz w:val="20"/>
              </w:rPr>
            </w:pPr>
            <w:r>
              <w:rPr>
                <w:sz w:val="20"/>
              </w:rPr>
              <w:t>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42-48</w:t>
            </w:r>
          </w:p>
        </w:tc>
        <w:tc>
          <w:tcPr>
            <w:tcW w:w="933" w:type="dxa"/>
            <w:tcBorders>
              <w:top w:val="single" w:sz="6" w:space="0" w:color="auto"/>
              <w:bottom w:val="single" w:sz="6" w:space="0" w:color="auto"/>
            </w:tcBorders>
          </w:tcPr>
          <w:p w:rsidR="00AF2508" w:rsidRDefault="00AF2508">
            <w:pPr>
              <w:pStyle w:val="TableText"/>
              <w:rPr>
                <w:sz w:val="20"/>
              </w:rPr>
            </w:pPr>
            <w:r>
              <w:rPr>
                <w:sz w:val="20"/>
              </w:rPr>
              <w:t>7-8</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18</w:t>
            </w:r>
            <w:r>
              <w:rPr>
                <w:position w:val="4"/>
                <w:sz w:val="16"/>
              </w:rPr>
              <w:t>1</w:t>
            </w:r>
            <w:r>
              <w:rPr>
                <w:sz w:val="20"/>
              </w:rPr>
              <w:t>/</w:t>
            </w:r>
            <w:r>
              <w:rPr>
                <w:sz w:val="16"/>
              </w:rPr>
              <w:t>2</w:t>
            </w:r>
            <w:r>
              <w:rPr>
                <w:sz w:val="20"/>
              </w:rPr>
              <w:t>-21</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1h</w:t>
            </w:r>
          </w:p>
          <w:p w:rsidR="00AF2508" w:rsidRDefault="00AF2508">
            <w:pPr>
              <w:pStyle w:val="TableText"/>
              <w:rPr>
                <w:sz w:val="20"/>
              </w:rPr>
            </w:pPr>
            <w:r>
              <w:rPr>
                <w:sz w:val="20"/>
              </w:rPr>
              <w:t>1 to 3h</w:t>
            </w:r>
          </w:p>
          <w:p w:rsidR="00AF2508" w:rsidRDefault="00AF2508">
            <w:pPr>
              <w:pStyle w:val="TableText"/>
              <w:rPr>
                <w:sz w:val="20"/>
              </w:rPr>
            </w:pPr>
            <w:r>
              <w:rPr>
                <w:sz w:val="20"/>
              </w:rPr>
              <w:t>over 3h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10</w:t>
            </w:r>
          </w:p>
        </w:tc>
        <w:tc>
          <w:tcPr>
            <w:tcW w:w="1044" w:type="dxa"/>
            <w:tcBorders>
              <w:top w:val="single" w:sz="6" w:space="0" w:color="auto"/>
              <w:bottom w:val="single" w:sz="6" w:space="0" w:color="auto"/>
            </w:tcBorders>
          </w:tcPr>
          <w:p w:rsidR="00AF2508" w:rsidRDefault="00AF2508">
            <w:pPr>
              <w:pStyle w:val="TableText"/>
              <w:rPr>
                <w:sz w:val="20"/>
              </w:rPr>
            </w:pPr>
            <w:r>
              <w:rPr>
                <w:sz w:val="20"/>
              </w:rPr>
              <w:t>1</w:t>
            </w:r>
            <w:r>
              <w:rPr>
                <w:position w:val="4"/>
                <w:sz w:val="16"/>
              </w:rPr>
              <w:t>1</w:t>
            </w:r>
            <w:r>
              <w:rPr>
                <w:sz w:val="20"/>
              </w:rPr>
              <w:t>/</w:t>
            </w:r>
            <w:r>
              <w:rPr>
                <w:sz w:val="16"/>
              </w:rPr>
              <w:t>2</w:t>
            </w:r>
          </w:p>
          <w:p w:rsidR="00AF2508" w:rsidRDefault="00AF2508">
            <w:pPr>
              <w:pStyle w:val="TableText"/>
              <w:rPr>
                <w:sz w:val="20"/>
              </w:rPr>
            </w:pPr>
            <w:r>
              <w:rPr>
                <w:sz w:val="20"/>
              </w:rPr>
              <w:t>6</w:t>
            </w:r>
            <w:r>
              <w:rPr>
                <w:position w:val="4"/>
                <w:sz w:val="16"/>
              </w:rPr>
              <w:t>1</w:t>
            </w:r>
            <w:r>
              <w:rPr>
                <w:sz w:val="20"/>
              </w:rPr>
              <w:t>/</w:t>
            </w:r>
            <w:r>
              <w:rPr>
                <w:sz w:val="16"/>
              </w:rPr>
              <w:t>2</w:t>
            </w:r>
          </w:p>
          <w:p w:rsidR="00AF2508" w:rsidRDefault="00AF2508">
            <w:pPr>
              <w:pStyle w:val="TableText"/>
              <w:rPr>
                <w:sz w:val="20"/>
              </w:rPr>
            </w:pPr>
            <w:r>
              <w:rPr>
                <w:sz w:val="20"/>
              </w:rPr>
              <w:t>11</w:t>
            </w:r>
            <w:r>
              <w:rPr>
                <w:position w:val="4"/>
                <w:sz w:val="16"/>
              </w:rPr>
              <w:t>1</w:t>
            </w:r>
            <w:r>
              <w:rPr>
                <w:sz w:val="20"/>
              </w:rPr>
              <w:t>/</w:t>
            </w:r>
            <w:r>
              <w:rPr>
                <w:sz w:val="16"/>
              </w:rPr>
              <w:t>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20</w:t>
            </w:r>
          </w:p>
        </w:tc>
        <w:tc>
          <w:tcPr>
            <w:tcW w:w="1083" w:type="dxa"/>
            <w:tcBorders>
              <w:top w:val="single" w:sz="6" w:space="0" w:color="auto"/>
              <w:bottom w:val="single" w:sz="6" w:space="0" w:color="auto"/>
            </w:tcBorders>
          </w:tcPr>
          <w:p w:rsidR="00AF2508" w:rsidRDefault="00AF2508">
            <w:pPr>
              <w:pStyle w:val="TableText"/>
              <w:rPr>
                <w:sz w:val="20"/>
              </w:rPr>
            </w:pPr>
            <w:r>
              <w:rPr>
                <w:sz w:val="20"/>
              </w:rPr>
              <w:t>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48-54</w:t>
            </w:r>
          </w:p>
        </w:tc>
        <w:tc>
          <w:tcPr>
            <w:tcW w:w="933" w:type="dxa"/>
            <w:tcBorders>
              <w:top w:val="single" w:sz="6" w:space="0" w:color="auto"/>
              <w:bottom w:val="single" w:sz="6" w:space="0" w:color="auto"/>
            </w:tcBorders>
          </w:tcPr>
          <w:p w:rsidR="00AF2508" w:rsidRDefault="00AF2508">
            <w:pPr>
              <w:pStyle w:val="TableText"/>
              <w:rPr>
                <w:sz w:val="20"/>
              </w:rPr>
            </w:pPr>
            <w:r>
              <w:rPr>
                <w:sz w:val="20"/>
              </w:rPr>
              <w:t>8-9</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21-24</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 xml:space="preserve">up to </w:t>
            </w:r>
            <w:r>
              <w:rPr>
                <w:position w:val="4"/>
                <w:sz w:val="16"/>
              </w:rPr>
              <w:t>1</w:t>
            </w:r>
            <w:r>
              <w:rPr>
                <w:sz w:val="20"/>
              </w:rPr>
              <w:t>/</w:t>
            </w:r>
            <w:r>
              <w:rPr>
                <w:sz w:val="16"/>
              </w:rPr>
              <w:t>2</w:t>
            </w:r>
            <w:r>
              <w:rPr>
                <w:sz w:val="20"/>
              </w:rPr>
              <w:t>h</w:t>
            </w:r>
          </w:p>
          <w:p w:rsidR="00AF2508" w:rsidRDefault="00AF2508">
            <w:pPr>
              <w:pStyle w:val="TableText"/>
              <w:rPr>
                <w:sz w:val="20"/>
              </w:rPr>
            </w:pPr>
            <w:r>
              <w:rPr>
                <w:position w:val="4"/>
                <w:sz w:val="16"/>
              </w:rPr>
              <w:t>1</w:t>
            </w:r>
            <w:r>
              <w:rPr>
                <w:sz w:val="20"/>
              </w:rPr>
              <w:t>/</w:t>
            </w:r>
            <w:r>
              <w:rPr>
                <w:sz w:val="16"/>
              </w:rPr>
              <w:t xml:space="preserve">2 </w:t>
            </w:r>
            <w:r>
              <w:rPr>
                <w:sz w:val="20"/>
              </w:rPr>
              <w:t>to 1</w:t>
            </w:r>
            <w:r>
              <w:rPr>
                <w:position w:val="4"/>
                <w:sz w:val="16"/>
              </w:rPr>
              <w:t>1</w:t>
            </w:r>
            <w:r>
              <w:rPr>
                <w:sz w:val="20"/>
              </w:rPr>
              <w:t>/</w:t>
            </w:r>
            <w:r>
              <w:rPr>
                <w:sz w:val="16"/>
              </w:rPr>
              <w:t>2</w:t>
            </w:r>
            <w:r>
              <w:rPr>
                <w:sz w:val="20"/>
              </w:rPr>
              <w:t>h</w:t>
            </w:r>
          </w:p>
          <w:p w:rsidR="00AF2508" w:rsidRDefault="00AF2508">
            <w:pPr>
              <w:pStyle w:val="TableText"/>
              <w:rPr>
                <w:sz w:val="20"/>
              </w:rPr>
            </w:pPr>
            <w:r>
              <w:rPr>
                <w:sz w:val="20"/>
              </w:rPr>
              <w:t>1</w:t>
            </w:r>
            <w:r>
              <w:rPr>
                <w:position w:val="4"/>
                <w:sz w:val="16"/>
              </w:rPr>
              <w:t>1</w:t>
            </w:r>
            <w:r>
              <w:rPr>
                <w:sz w:val="20"/>
              </w:rPr>
              <w:t>/</w:t>
            </w:r>
            <w:r>
              <w:rPr>
                <w:sz w:val="16"/>
              </w:rPr>
              <w:t xml:space="preserve">2 </w:t>
            </w:r>
            <w:r>
              <w:rPr>
                <w:sz w:val="20"/>
              </w:rPr>
              <w:t>to 3h</w:t>
            </w:r>
          </w:p>
          <w:p w:rsidR="00AF2508" w:rsidRDefault="00AF2508">
            <w:pPr>
              <w:pStyle w:val="TableText"/>
              <w:rPr>
                <w:sz w:val="20"/>
              </w:rPr>
            </w:pPr>
            <w:r>
              <w:rPr>
                <w:sz w:val="20"/>
              </w:rPr>
              <w:t>over 3h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20</w:t>
            </w:r>
          </w:p>
        </w:tc>
        <w:tc>
          <w:tcPr>
            <w:tcW w:w="1044" w:type="dxa"/>
            <w:tcBorders>
              <w:top w:val="single" w:sz="6" w:space="0" w:color="auto"/>
              <w:bottom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7</w:t>
            </w:r>
          </w:p>
          <w:p w:rsidR="00AF2508" w:rsidRDefault="00AF2508">
            <w:pPr>
              <w:pStyle w:val="TableText"/>
              <w:rPr>
                <w:sz w:val="20"/>
              </w:rPr>
            </w:pPr>
            <w:r>
              <w:rPr>
                <w:sz w:val="20"/>
              </w:rPr>
              <w:t>12</w:t>
            </w:r>
          </w:p>
          <w:p w:rsidR="00AF2508" w:rsidRDefault="00AF2508">
            <w:pPr>
              <w:pStyle w:val="TableText"/>
              <w:rPr>
                <w:sz w:val="20"/>
              </w:rPr>
            </w:pPr>
            <w:r>
              <w:rPr>
                <w:sz w:val="20"/>
              </w:rPr>
              <w:t>22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20</w:t>
            </w:r>
          </w:p>
        </w:tc>
        <w:tc>
          <w:tcPr>
            <w:tcW w:w="1083" w:type="dxa"/>
            <w:tcBorders>
              <w:top w:val="single" w:sz="6" w:space="0" w:color="auto"/>
              <w:bottom w:val="single" w:sz="6" w:space="0" w:color="auto"/>
            </w:tcBorders>
          </w:tcPr>
          <w:p w:rsidR="00AF2508" w:rsidRDefault="00AF2508">
            <w:pPr>
              <w:pStyle w:val="TableText"/>
              <w:rPr>
                <w:sz w:val="20"/>
              </w:rPr>
            </w:pPr>
            <w:r>
              <w:rPr>
                <w:sz w:val="20"/>
              </w:rPr>
              <w:t>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54-60</w:t>
            </w:r>
          </w:p>
        </w:tc>
        <w:tc>
          <w:tcPr>
            <w:tcW w:w="933" w:type="dxa"/>
            <w:tcBorders>
              <w:top w:val="single" w:sz="6" w:space="0" w:color="auto"/>
              <w:bottom w:val="single" w:sz="6" w:space="0" w:color="auto"/>
            </w:tcBorders>
          </w:tcPr>
          <w:p w:rsidR="00AF2508" w:rsidRDefault="00AF2508">
            <w:pPr>
              <w:pStyle w:val="TableText"/>
              <w:rPr>
                <w:sz w:val="20"/>
              </w:rPr>
            </w:pPr>
            <w:r>
              <w:rPr>
                <w:sz w:val="20"/>
              </w:rPr>
              <w:t>9-10</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24-26</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20min</w:t>
            </w:r>
          </w:p>
          <w:p w:rsidR="00AF2508" w:rsidRDefault="00AF2508">
            <w:pPr>
              <w:pStyle w:val="TableText"/>
              <w:rPr>
                <w:sz w:val="20"/>
              </w:rPr>
            </w:pPr>
            <w:r>
              <w:rPr>
                <w:sz w:val="20"/>
              </w:rPr>
              <w:t>20 to 45min</w:t>
            </w:r>
          </w:p>
          <w:p w:rsidR="00AF2508" w:rsidRDefault="00AF2508">
            <w:pPr>
              <w:pStyle w:val="TableText"/>
              <w:rPr>
                <w:sz w:val="20"/>
              </w:rPr>
            </w:pPr>
            <w:r>
              <w:rPr>
                <w:position w:val="4"/>
                <w:sz w:val="16"/>
              </w:rPr>
              <w:t>3</w:t>
            </w:r>
            <w:r>
              <w:rPr>
                <w:sz w:val="20"/>
              </w:rPr>
              <w:t>/</w:t>
            </w:r>
            <w:r>
              <w:rPr>
                <w:sz w:val="16"/>
              </w:rPr>
              <w:t>4</w:t>
            </w:r>
            <w:r>
              <w:rPr>
                <w:sz w:val="20"/>
              </w:rPr>
              <w:t xml:space="preserve"> to 1</w:t>
            </w:r>
            <w:r>
              <w:rPr>
                <w:position w:val="4"/>
                <w:sz w:val="16"/>
              </w:rPr>
              <w:t>1</w:t>
            </w:r>
            <w:r>
              <w:rPr>
                <w:sz w:val="20"/>
              </w:rPr>
              <w:t>/</w:t>
            </w:r>
            <w:r>
              <w:rPr>
                <w:sz w:val="16"/>
              </w:rPr>
              <w:t>2</w:t>
            </w:r>
            <w:r>
              <w:rPr>
                <w:sz w:val="20"/>
              </w:rPr>
              <w:t>h</w:t>
            </w:r>
          </w:p>
          <w:p w:rsidR="00AF2508" w:rsidRDefault="00AF2508">
            <w:pPr>
              <w:pStyle w:val="TableText"/>
              <w:rPr>
                <w:sz w:val="20"/>
              </w:rPr>
            </w:pPr>
            <w:r>
              <w:rPr>
                <w:sz w:val="20"/>
              </w:rPr>
              <w:t>1</w:t>
            </w:r>
            <w:r>
              <w:rPr>
                <w:position w:val="4"/>
                <w:sz w:val="16"/>
              </w:rPr>
              <w:t>1</w:t>
            </w:r>
            <w:r>
              <w:rPr>
                <w:sz w:val="20"/>
              </w:rPr>
              <w:t>/</w:t>
            </w:r>
            <w:r>
              <w:rPr>
                <w:sz w:val="16"/>
              </w:rPr>
              <w:t xml:space="preserve">2 </w:t>
            </w:r>
            <w:r>
              <w:rPr>
                <w:sz w:val="20"/>
              </w:rPr>
              <w:t>to 2h</w:t>
            </w:r>
          </w:p>
          <w:p w:rsidR="00AF2508" w:rsidRDefault="00AF2508">
            <w:pPr>
              <w:pStyle w:val="TableText"/>
              <w:rPr>
                <w:sz w:val="20"/>
              </w:rPr>
            </w:pPr>
            <w:r>
              <w:rPr>
                <w:sz w:val="20"/>
              </w:rPr>
              <w:t>2 to 3h</w:t>
            </w:r>
          </w:p>
          <w:p w:rsidR="00AF2508" w:rsidRDefault="00AF2508">
            <w:pPr>
              <w:pStyle w:val="TableText"/>
              <w:rPr>
                <w:sz w:val="20"/>
              </w:rPr>
            </w:pPr>
            <w:r>
              <w:rPr>
                <w:sz w:val="20"/>
              </w:rPr>
              <w:t>over 3h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tc>
        <w:tc>
          <w:tcPr>
            <w:tcW w:w="1044" w:type="dxa"/>
            <w:tcBorders>
              <w:top w:val="single" w:sz="6" w:space="0" w:color="auto"/>
              <w:bottom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7</w:t>
            </w:r>
          </w:p>
          <w:p w:rsidR="00AF2508" w:rsidRDefault="00AF2508">
            <w:pPr>
              <w:pStyle w:val="TableText"/>
              <w:rPr>
                <w:sz w:val="20"/>
              </w:rPr>
            </w:pPr>
            <w:r>
              <w:rPr>
                <w:sz w:val="20"/>
              </w:rPr>
              <w:t>12</w:t>
            </w:r>
          </w:p>
          <w:p w:rsidR="00AF2508" w:rsidRDefault="00AF2508">
            <w:pPr>
              <w:pStyle w:val="TableText"/>
              <w:rPr>
                <w:sz w:val="20"/>
              </w:rPr>
            </w:pPr>
            <w:r>
              <w:rPr>
                <w:sz w:val="20"/>
              </w:rPr>
              <w:t>16</w:t>
            </w:r>
          </w:p>
          <w:p w:rsidR="00AF2508" w:rsidRDefault="00AF2508">
            <w:pPr>
              <w:pStyle w:val="TableText"/>
              <w:rPr>
                <w:sz w:val="20"/>
              </w:rPr>
            </w:pPr>
            <w:r>
              <w:rPr>
                <w:sz w:val="20"/>
              </w:rPr>
              <w:t>22</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4</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60-66</w:t>
            </w:r>
          </w:p>
        </w:tc>
        <w:tc>
          <w:tcPr>
            <w:tcW w:w="933" w:type="dxa"/>
            <w:tcBorders>
              <w:top w:val="single" w:sz="6" w:space="0" w:color="auto"/>
              <w:bottom w:val="single" w:sz="6" w:space="0" w:color="auto"/>
            </w:tcBorders>
          </w:tcPr>
          <w:p w:rsidR="00AF2508" w:rsidRDefault="00AF2508">
            <w:pPr>
              <w:pStyle w:val="TableText"/>
              <w:rPr>
                <w:sz w:val="20"/>
              </w:rPr>
            </w:pPr>
            <w:r>
              <w:rPr>
                <w:sz w:val="20"/>
              </w:rPr>
              <w:t>10-11</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26</w:t>
            </w:r>
            <w:r>
              <w:rPr>
                <w:position w:val="4"/>
                <w:sz w:val="16"/>
              </w:rPr>
              <w:t>1</w:t>
            </w:r>
            <w:r>
              <w:rPr>
                <w:sz w:val="20"/>
              </w:rPr>
              <w:t>/</w:t>
            </w:r>
            <w:r>
              <w:rPr>
                <w:sz w:val="16"/>
              </w:rPr>
              <w:t>2</w:t>
            </w:r>
            <w:r>
              <w:rPr>
                <w:sz w:val="20"/>
              </w:rPr>
              <w:t>-29</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15min</w:t>
            </w:r>
          </w:p>
          <w:p w:rsidR="00AF2508" w:rsidRDefault="00AF2508">
            <w:pPr>
              <w:pStyle w:val="TableText"/>
              <w:rPr>
                <w:sz w:val="20"/>
              </w:rPr>
            </w:pPr>
            <w:r>
              <w:rPr>
                <w:sz w:val="20"/>
              </w:rPr>
              <w:t>15 to 30min</w:t>
            </w:r>
          </w:p>
          <w:p w:rsidR="00AF2508" w:rsidRDefault="00AF2508">
            <w:pPr>
              <w:pStyle w:val="TableText"/>
              <w:rPr>
                <w:sz w:val="20"/>
              </w:rPr>
            </w:pPr>
            <w:r>
              <w:rPr>
                <w:sz w:val="20"/>
              </w:rPr>
              <w:t>30 to 48min</w:t>
            </w:r>
          </w:p>
          <w:p w:rsidR="00AF2508" w:rsidRDefault="00AF2508">
            <w:pPr>
              <w:pStyle w:val="TableText"/>
              <w:rPr>
                <w:sz w:val="20"/>
              </w:rPr>
            </w:pPr>
            <w:r>
              <w:rPr>
                <w:sz w:val="20"/>
              </w:rPr>
              <w:t>48 to 60min</w:t>
            </w:r>
          </w:p>
          <w:p w:rsidR="00AF2508" w:rsidRDefault="00AF2508">
            <w:pPr>
              <w:pStyle w:val="TableText"/>
              <w:rPr>
                <w:sz w:val="20"/>
              </w:rPr>
            </w:pPr>
            <w:r>
              <w:rPr>
                <w:sz w:val="20"/>
              </w:rPr>
              <w:t>1 to 1</w:t>
            </w:r>
            <w:r>
              <w:rPr>
                <w:position w:val="4"/>
                <w:sz w:val="16"/>
              </w:rPr>
              <w:t>1</w:t>
            </w:r>
            <w:r>
              <w:rPr>
                <w:sz w:val="20"/>
              </w:rPr>
              <w:t>/</w:t>
            </w:r>
            <w:r>
              <w:rPr>
                <w:sz w:val="16"/>
              </w:rPr>
              <w:t>2</w:t>
            </w:r>
            <w:r>
              <w:rPr>
                <w:sz w:val="20"/>
              </w:rPr>
              <w:t>h</w:t>
            </w:r>
          </w:p>
          <w:p w:rsidR="00AF2508" w:rsidRDefault="00AF2508">
            <w:pPr>
              <w:pStyle w:val="TableText"/>
              <w:rPr>
                <w:sz w:val="20"/>
              </w:rPr>
            </w:pPr>
            <w:r>
              <w:rPr>
                <w:sz w:val="20"/>
              </w:rPr>
              <w:t>1</w:t>
            </w:r>
            <w:r>
              <w:rPr>
                <w:position w:val="4"/>
                <w:sz w:val="16"/>
              </w:rPr>
              <w:t>1</w:t>
            </w:r>
            <w:r>
              <w:rPr>
                <w:sz w:val="20"/>
              </w:rPr>
              <w:t>/</w:t>
            </w:r>
            <w:r>
              <w:rPr>
                <w:sz w:val="16"/>
              </w:rPr>
              <w:t xml:space="preserve">2 </w:t>
            </w:r>
            <w:r>
              <w:rPr>
                <w:sz w:val="20"/>
              </w:rPr>
              <w:t>to 2h</w:t>
            </w:r>
          </w:p>
          <w:p w:rsidR="00AF2508" w:rsidRDefault="00AF2508">
            <w:pPr>
              <w:pStyle w:val="TableText"/>
              <w:rPr>
                <w:sz w:val="20"/>
              </w:rPr>
            </w:pPr>
            <w:r>
              <w:rPr>
                <w:sz w:val="20"/>
              </w:rPr>
              <w:t>2 to 2</w:t>
            </w:r>
            <w:r>
              <w:rPr>
                <w:position w:val="4"/>
                <w:sz w:val="16"/>
              </w:rPr>
              <w:t>1</w:t>
            </w:r>
            <w:r>
              <w:rPr>
                <w:sz w:val="20"/>
              </w:rPr>
              <w:t>/</w:t>
            </w:r>
            <w:r>
              <w:rPr>
                <w:sz w:val="16"/>
              </w:rPr>
              <w:t>2</w:t>
            </w:r>
            <w:r>
              <w:rPr>
                <w:sz w:val="20"/>
              </w:rPr>
              <w:t>h</w:t>
            </w:r>
          </w:p>
          <w:p w:rsidR="00AF2508" w:rsidRDefault="00AF2508">
            <w:pPr>
              <w:pStyle w:val="TableText"/>
              <w:rPr>
                <w:sz w:val="20"/>
              </w:rPr>
            </w:pPr>
            <w:r>
              <w:rPr>
                <w:sz w:val="20"/>
              </w:rPr>
              <w:t>2</w:t>
            </w:r>
            <w:r>
              <w:rPr>
                <w:position w:val="4"/>
                <w:sz w:val="16"/>
              </w:rPr>
              <w:t>1</w:t>
            </w:r>
            <w:r>
              <w:rPr>
                <w:sz w:val="20"/>
              </w:rPr>
              <w:t>/</w:t>
            </w:r>
            <w:r>
              <w:rPr>
                <w:sz w:val="16"/>
              </w:rPr>
              <w:t xml:space="preserve">2 </w:t>
            </w:r>
            <w:r>
              <w:rPr>
                <w:sz w:val="20"/>
              </w:rPr>
              <w:t>to 3h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13</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20</w:t>
            </w:r>
          </w:p>
        </w:tc>
        <w:tc>
          <w:tcPr>
            <w:tcW w:w="1044" w:type="dxa"/>
            <w:tcBorders>
              <w:top w:val="single" w:sz="6" w:space="0" w:color="auto"/>
              <w:bottom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7</w:t>
            </w:r>
          </w:p>
          <w:p w:rsidR="00AF2508" w:rsidRDefault="00AF2508">
            <w:pPr>
              <w:pStyle w:val="TableText"/>
              <w:rPr>
                <w:sz w:val="20"/>
              </w:rPr>
            </w:pPr>
            <w:r>
              <w:rPr>
                <w:sz w:val="20"/>
              </w:rPr>
              <w:t>12</w:t>
            </w:r>
          </w:p>
          <w:p w:rsidR="00AF2508" w:rsidRDefault="00AF2508">
            <w:pPr>
              <w:pStyle w:val="TableText"/>
              <w:rPr>
                <w:sz w:val="20"/>
              </w:rPr>
            </w:pPr>
            <w:r>
              <w:rPr>
                <w:sz w:val="20"/>
              </w:rPr>
              <w:t>15</w:t>
            </w:r>
          </w:p>
          <w:p w:rsidR="00AF2508" w:rsidRDefault="00AF2508">
            <w:pPr>
              <w:pStyle w:val="TableText"/>
              <w:rPr>
                <w:sz w:val="20"/>
              </w:rPr>
            </w:pPr>
            <w:r>
              <w:rPr>
                <w:sz w:val="20"/>
              </w:rPr>
              <w:t>19</w:t>
            </w:r>
          </w:p>
          <w:p w:rsidR="00AF2508" w:rsidRDefault="00AF2508">
            <w:pPr>
              <w:pStyle w:val="TableText"/>
              <w:rPr>
                <w:sz w:val="20"/>
              </w:rPr>
            </w:pPr>
            <w:r>
              <w:rPr>
                <w:sz w:val="20"/>
              </w:rPr>
              <w:t>22</w:t>
            </w:r>
          </w:p>
          <w:p w:rsidR="00AF2508" w:rsidRDefault="00AF2508">
            <w:pPr>
              <w:pStyle w:val="TableText"/>
              <w:rPr>
                <w:sz w:val="20"/>
              </w:rPr>
            </w:pPr>
            <w:r>
              <w:rPr>
                <w:sz w:val="20"/>
              </w:rPr>
              <w:t>27</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4</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66-72</w:t>
            </w:r>
          </w:p>
        </w:tc>
        <w:tc>
          <w:tcPr>
            <w:tcW w:w="933" w:type="dxa"/>
            <w:tcBorders>
              <w:top w:val="single" w:sz="6" w:space="0" w:color="auto"/>
              <w:bottom w:val="single" w:sz="6" w:space="0" w:color="auto"/>
            </w:tcBorders>
          </w:tcPr>
          <w:p w:rsidR="00AF2508" w:rsidRDefault="00AF2508">
            <w:pPr>
              <w:pStyle w:val="TableText"/>
              <w:rPr>
                <w:sz w:val="20"/>
              </w:rPr>
            </w:pPr>
            <w:r>
              <w:rPr>
                <w:sz w:val="20"/>
              </w:rPr>
              <w:t>11-12</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29</w:t>
            </w:r>
            <w:r>
              <w:rPr>
                <w:position w:val="4"/>
                <w:sz w:val="16"/>
              </w:rPr>
              <w:t>1</w:t>
            </w:r>
            <w:r>
              <w:rPr>
                <w:sz w:val="20"/>
              </w:rPr>
              <w:t>/</w:t>
            </w:r>
            <w:r>
              <w:rPr>
                <w:sz w:val="16"/>
              </w:rPr>
              <w:t>2</w:t>
            </w:r>
            <w:r>
              <w:rPr>
                <w:sz w:val="20"/>
              </w:rPr>
              <w:t>-32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15min</w:t>
            </w:r>
          </w:p>
          <w:p w:rsidR="00AF2508" w:rsidRDefault="00AF2508">
            <w:pPr>
              <w:pStyle w:val="TableText"/>
              <w:rPr>
                <w:sz w:val="20"/>
              </w:rPr>
            </w:pPr>
            <w:r>
              <w:rPr>
                <w:sz w:val="20"/>
              </w:rPr>
              <w:t>15 to 25min</w:t>
            </w:r>
          </w:p>
          <w:p w:rsidR="00AF2508" w:rsidRDefault="00AF2508">
            <w:pPr>
              <w:pStyle w:val="TableText"/>
              <w:rPr>
                <w:sz w:val="20"/>
              </w:rPr>
            </w:pPr>
            <w:r>
              <w:rPr>
                <w:sz w:val="20"/>
              </w:rPr>
              <w:t>25 to 30min</w:t>
            </w:r>
          </w:p>
          <w:p w:rsidR="00AF2508" w:rsidRDefault="00AF2508">
            <w:pPr>
              <w:pStyle w:val="TableText"/>
              <w:rPr>
                <w:sz w:val="20"/>
              </w:rPr>
            </w:pPr>
            <w:r>
              <w:rPr>
                <w:sz w:val="20"/>
              </w:rPr>
              <w:t>30 to 45min</w:t>
            </w:r>
          </w:p>
          <w:p w:rsidR="00AF2508" w:rsidRDefault="00AF2508">
            <w:pPr>
              <w:pStyle w:val="TableText"/>
              <w:rPr>
                <w:sz w:val="20"/>
              </w:rPr>
            </w:pPr>
            <w:r>
              <w:rPr>
                <w:position w:val="4"/>
                <w:sz w:val="16"/>
              </w:rPr>
              <w:t>3</w:t>
            </w:r>
            <w:r>
              <w:rPr>
                <w:sz w:val="20"/>
              </w:rPr>
              <w:t>/</w:t>
            </w:r>
            <w:r>
              <w:rPr>
                <w:sz w:val="16"/>
              </w:rPr>
              <w:t>4</w:t>
            </w:r>
            <w:r>
              <w:rPr>
                <w:sz w:val="20"/>
              </w:rPr>
              <w:t>h to 1h</w:t>
            </w:r>
          </w:p>
          <w:p w:rsidR="00AF2508" w:rsidRDefault="00AF2508">
            <w:pPr>
              <w:pStyle w:val="TableText"/>
              <w:rPr>
                <w:sz w:val="20"/>
              </w:rPr>
            </w:pPr>
            <w:r>
              <w:rPr>
                <w:sz w:val="20"/>
              </w:rPr>
              <w:t>1 to 1</w:t>
            </w:r>
            <w:r>
              <w:rPr>
                <w:position w:val="4"/>
                <w:sz w:val="16"/>
              </w:rPr>
              <w:t>1</w:t>
            </w:r>
            <w:r>
              <w:rPr>
                <w:sz w:val="20"/>
              </w:rPr>
              <w:t>/</w:t>
            </w:r>
            <w:r>
              <w:rPr>
                <w:sz w:val="16"/>
              </w:rPr>
              <w:t>2</w:t>
            </w:r>
            <w:r>
              <w:rPr>
                <w:sz w:val="20"/>
              </w:rPr>
              <w:t>h</w:t>
            </w:r>
          </w:p>
          <w:p w:rsidR="00AF2508" w:rsidRDefault="00AF2508">
            <w:pPr>
              <w:pStyle w:val="TableText"/>
              <w:rPr>
                <w:sz w:val="20"/>
              </w:rPr>
            </w:pPr>
            <w:r>
              <w:rPr>
                <w:sz w:val="20"/>
              </w:rPr>
              <w:t>1</w:t>
            </w:r>
            <w:r>
              <w:rPr>
                <w:position w:val="4"/>
                <w:sz w:val="16"/>
              </w:rPr>
              <w:t>1</w:t>
            </w:r>
            <w:r>
              <w:rPr>
                <w:sz w:val="20"/>
              </w:rPr>
              <w:t>/</w:t>
            </w:r>
            <w:r>
              <w:rPr>
                <w:sz w:val="16"/>
              </w:rPr>
              <w:t xml:space="preserve">2 </w:t>
            </w:r>
            <w:r>
              <w:rPr>
                <w:sz w:val="20"/>
              </w:rPr>
              <w:t>to 2h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9</w:t>
            </w:r>
          </w:p>
          <w:p w:rsidR="00AF2508" w:rsidRDefault="00AF2508">
            <w:pPr>
              <w:pStyle w:val="TableText"/>
              <w:rPr>
                <w:sz w:val="20"/>
              </w:rPr>
            </w:pPr>
            <w:r>
              <w:rPr>
                <w:sz w:val="20"/>
              </w:rPr>
              <w:t>12</w:t>
            </w:r>
          </w:p>
          <w:p w:rsidR="00AF2508" w:rsidRDefault="00AF2508">
            <w:pPr>
              <w:pStyle w:val="TableText"/>
              <w:rPr>
                <w:sz w:val="20"/>
              </w:rPr>
            </w:pPr>
            <w:r>
              <w:rPr>
                <w:sz w:val="20"/>
              </w:rPr>
              <w:t>16</w:t>
            </w:r>
          </w:p>
          <w:p w:rsidR="00AF2508" w:rsidRDefault="00AF2508">
            <w:pPr>
              <w:pStyle w:val="TableText"/>
              <w:rPr>
                <w:sz w:val="20"/>
              </w:rPr>
            </w:pPr>
            <w:r>
              <w:rPr>
                <w:sz w:val="20"/>
              </w:rPr>
              <w:t>20</w:t>
            </w:r>
          </w:p>
        </w:tc>
        <w:tc>
          <w:tcPr>
            <w:tcW w:w="1044" w:type="dxa"/>
            <w:tcBorders>
              <w:top w:val="single" w:sz="6" w:space="0" w:color="auto"/>
              <w:bottom w:val="single" w:sz="6" w:space="0" w:color="auto"/>
            </w:tcBorders>
          </w:tcPr>
          <w:p w:rsidR="00AF2508" w:rsidRDefault="00AF2508">
            <w:pPr>
              <w:pStyle w:val="TableText"/>
              <w:rPr>
                <w:sz w:val="20"/>
              </w:rPr>
            </w:pPr>
            <w:r>
              <w:rPr>
                <w:sz w:val="20"/>
              </w:rPr>
              <w:t>4</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19</w:t>
            </w:r>
          </w:p>
          <w:p w:rsidR="00AF2508" w:rsidRDefault="00AF2508">
            <w:pPr>
              <w:pStyle w:val="TableText"/>
              <w:rPr>
                <w:sz w:val="20"/>
              </w:rPr>
            </w:pPr>
            <w:r>
              <w:rPr>
                <w:sz w:val="20"/>
              </w:rPr>
              <w:t>26</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4</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72-78</w:t>
            </w:r>
          </w:p>
        </w:tc>
        <w:tc>
          <w:tcPr>
            <w:tcW w:w="933" w:type="dxa"/>
            <w:tcBorders>
              <w:top w:val="single" w:sz="6" w:space="0" w:color="auto"/>
              <w:bottom w:val="single" w:sz="6" w:space="0" w:color="auto"/>
            </w:tcBorders>
          </w:tcPr>
          <w:p w:rsidR="00AF2508" w:rsidRDefault="00AF2508">
            <w:pPr>
              <w:pStyle w:val="TableText"/>
              <w:rPr>
                <w:sz w:val="20"/>
              </w:rPr>
            </w:pPr>
            <w:r>
              <w:rPr>
                <w:sz w:val="20"/>
              </w:rPr>
              <w:t>12-13</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32-34</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10min</w:t>
            </w:r>
          </w:p>
          <w:p w:rsidR="00AF2508" w:rsidRDefault="00AF2508">
            <w:pPr>
              <w:pStyle w:val="TableText"/>
              <w:rPr>
                <w:sz w:val="20"/>
              </w:rPr>
            </w:pPr>
            <w:r>
              <w:rPr>
                <w:sz w:val="20"/>
              </w:rPr>
              <w:t>10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38min</w:t>
            </w:r>
          </w:p>
          <w:p w:rsidR="00AF2508" w:rsidRDefault="00AF2508">
            <w:pPr>
              <w:pStyle w:val="TableText"/>
              <w:rPr>
                <w:sz w:val="20"/>
              </w:rPr>
            </w:pPr>
            <w:r>
              <w:rPr>
                <w:sz w:val="20"/>
              </w:rPr>
              <w:t>38 to 45min</w:t>
            </w:r>
          </w:p>
          <w:p w:rsidR="00AF2508" w:rsidRDefault="00AF2508">
            <w:pPr>
              <w:pStyle w:val="TableText"/>
              <w:rPr>
                <w:sz w:val="20"/>
              </w:rPr>
            </w:pPr>
            <w:r>
              <w:rPr>
                <w:position w:val="4"/>
                <w:sz w:val="16"/>
              </w:rPr>
              <w:t>3</w:t>
            </w:r>
            <w:r>
              <w:rPr>
                <w:sz w:val="20"/>
              </w:rPr>
              <w:t>/</w:t>
            </w:r>
            <w:r>
              <w:rPr>
                <w:sz w:val="16"/>
              </w:rPr>
              <w:t>4</w:t>
            </w:r>
            <w:r>
              <w:rPr>
                <w:sz w:val="20"/>
              </w:rPr>
              <w:t xml:space="preserve"> to 1h</w:t>
            </w:r>
          </w:p>
          <w:p w:rsidR="00AF2508" w:rsidRDefault="00AF2508">
            <w:pPr>
              <w:pStyle w:val="TableText"/>
              <w:rPr>
                <w:sz w:val="20"/>
              </w:rPr>
            </w:pPr>
            <w:r>
              <w:rPr>
                <w:sz w:val="20"/>
              </w:rPr>
              <w:t>1 to 1</w:t>
            </w:r>
            <w:r>
              <w:rPr>
                <w:position w:val="4"/>
                <w:sz w:val="16"/>
              </w:rPr>
              <w:t>1</w:t>
            </w:r>
            <w:r>
              <w:rPr>
                <w:sz w:val="20"/>
              </w:rPr>
              <w:t>/</w:t>
            </w:r>
            <w:r>
              <w:rPr>
                <w:sz w:val="16"/>
              </w:rPr>
              <w:t>4</w:t>
            </w:r>
            <w:r>
              <w:rPr>
                <w:sz w:val="20"/>
              </w:rPr>
              <w:t>h</w:t>
            </w:r>
          </w:p>
          <w:p w:rsidR="00AF2508" w:rsidRDefault="00AF2508">
            <w:pPr>
              <w:pStyle w:val="TableText"/>
              <w:rPr>
                <w:sz w:val="20"/>
              </w:rPr>
            </w:pPr>
            <w:r>
              <w:rPr>
                <w:sz w:val="20"/>
              </w:rPr>
              <w:t>1</w:t>
            </w:r>
            <w:r>
              <w:rPr>
                <w:position w:val="4"/>
                <w:sz w:val="16"/>
              </w:rPr>
              <w:t>1</w:t>
            </w:r>
            <w:r>
              <w:rPr>
                <w:sz w:val="20"/>
              </w:rPr>
              <w:t>/</w:t>
            </w:r>
            <w:r>
              <w:rPr>
                <w:sz w:val="16"/>
              </w:rPr>
              <w:t>4</w:t>
            </w:r>
            <w:r>
              <w:rPr>
                <w:sz w:val="20"/>
              </w:rPr>
              <w:t xml:space="preserve"> to 1</w:t>
            </w:r>
            <w:r>
              <w:rPr>
                <w:position w:val="4"/>
                <w:sz w:val="16"/>
              </w:rPr>
              <w:t>1</w:t>
            </w:r>
            <w:r>
              <w:rPr>
                <w:sz w:val="20"/>
              </w:rPr>
              <w:t>/</w:t>
            </w:r>
            <w:r>
              <w:rPr>
                <w:sz w:val="16"/>
              </w:rPr>
              <w:t>2</w:t>
            </w:r>
            <w:r>
              <w:rPr>
                <w:sz w:val="20"/>
              </w:rPr>
              <w:t>h</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9</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12</w:t>
            </w:r>
          </w:p>
          <w:p w:rsidR="00AF2508" w:rsidRDefault="00AF2508">
            <w:pPr>
              <w:pStyle w:val="TableText"/>
              <w:rPr>
                <w:sz w:val="20"/>
              </w:rPr>
            </w:pPr>
            <w:r>
              <w:rPr>
                <w:sz w:val="20"/>
              </w:rPr>
              <w:t>15</w:t>
            </w:r>
          </w:p>
          <w:p w:rsidR="00AF2508" w:rsidRDefault="00AF2508">
            <w:pPr>
              <w:pStyle w:val="TableText"/>
              <w:rPr>
                <w:sz w:val="20"/>
              </w:rPr>
            </w:pPr>
            <w:r>
              <w:rPr>
                <w:sz w:val="20"/>
              </w:rPr>
              <w:t>16</w:t>
            </w:r>
          </w:p>
          <w:p w:rsidR="00AF2508" w:rsidRDefault="00AF2508">
            <w:pPr>
              <w:pStyle w:val="TableText"/>
              <w:rPr>
                <w:sz w:val="20"/>
              </w:rPr>
            </w:pPr>
            <w:r>
              <w:rPr>
                <w:sz w:val="20"/>
              </w:rPr>
              <w:t>18</w:t>
            </w:r>
          </w:p>
          <w:p w:rsidR="00AF2508" w:rsidRDefault="00AF2508">
            <w:pPr>
              <w:pStyle w:val="TableText"/>
              <w:rPr>
                <w:sz w:val="20"/>
              </w:rPr>
            </w:pPr>
            <w:r>
              <w:rPr>
                <w:sz w:val="20"/>
              </w:rPr>
              <w:t>20</w:t>
            </w:r>
          </w:p>
        </w:tc>
        <w:tc>
          <w:tcPr>
            <w:tcW w:w="1044" w:type="dxa"/>
            <w:tcBorders>
              <w:top w:val="single" w:sz="6" w:space="0" w:color="auto"/>
              <w:bottom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13</w:t>
            </w:r>
          </w:p>
          <w:p w:rsidR="00AF2508" w:rsidRDefault="00AF2508">
            <w:pPr>
              <w:pStyle w:val="TableText"/>
              <w:rPr>
                <w:sz w:val="20"/>
              </w:rPr>
            </w:pPr>
            <w:r>
              <w:rPr>
                <w:sz w:val="20"/>
              </w:rPr>
              <w:t>18</w:t>
            </w:r>
          </w:p>
          <w:p w:rsidR="00AF2508" w:rsidRDefault="00AF2508">
            <w:pPr>
              <w:pStyle w:val="TableText"/>
              <w:rPr>
                <w:sz w:val="20"/>
              </w:rPr>
            </w:pPr>
            <w:r>
              <w:rPr>
                <w:sz w:val="20"/>
              </w:rPr>
              <w:t>22</w:t>
            </w:r>
          </w:p>
          <w:p w:rsidR="00AF2508" w:rsidRDefault="00AF2508">
            <w:pPr>
              <w:pStyle w:val="TableText"/>
              <w:rPr>
                <w:sz w:val="20"/>
              </w:rPr>
            </w:pPr>
            <w:r>
              <w:rPr>
                <w:sz w:val="20"/>
              </w:rPr>
              <w:t>26</w:t>
            </w:r>
          </w:p>
          <w:p w:rsidR="00AF2508" w:rsidRDefault="00AF2508">
            <w:pPr>
              <w:pStyle w:val="TableText"/>
              <w:rPr>
                <w:sz w:val="20"/>
              </w:rPr>
            </w:pPr>
            <w:r>
              <w:rPr>
                <w:sz w:val="20"/>
              </w:rPr>
              <w:t>29</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4</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78-84</w:t>
            </w:r>
          </w:p>
        </w:tc>
        <w:tc>
          <w:tcPr>
            <w:tcW w:w="933" w:type="dxa"/>
            <w:tcBorders>
              <w:top w:val="single" w:sz="6" w:space="0" w:color="auto"/>
              <w:bottom w:val="single" w:sz="6" w:space="0" w:color="auto"/>
            </w:tcBorders>
          </w:tcPr>
          <w:p w:rsidR="00AF2508" w:rsidRDefault="00AF2508">
            <w:pPr>
              <w:pStyle w:val="TableText"/>
              <w:rPr>
                <w:sz w:val="20"/>
              </w:rPr>
            </w:pPr>
            <w:r>
              <w:rPr>
                <w:sz w:val="20"/>
              </w:rPr>
              <w:t>13-14</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34</w:t>
            </w:r>
            <w:r>
              <w:rPr>
                <w:position w:val="4"/>
                <w:sz w:val="16"/>
              </w:rPr>
              <w:t>1</w:t>
            </w:r>
            <w:r>
              <w:rPr>
                <w:sz w:val="20"/>
              </w:rPr>
              <w:t>/</w:t>
            </w:r>
            <w:r>
              <w:rPr>
                <w:sz w:val="16"/>
              </w:rPr>
              <w:t>2</w:t>
            </w:r>
            <w:r>
              <w:rPr>
                <w:sz w:val="20"/>
              </w:rPr>
              <w:t>-37</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10min</w:t>
            </w:r>
          </w:p>
          <w:p w:rsidR="00AF2508" w:rsidRDefault="00AF2508">
            <w:pPr>
              <w:pStyle w:val="TableText"/>
              <w:rPr>
                <w:sz w:val="20"/>
              </w:rPr>
            </w:pPr>
            <w:r>
              <w:rPr>
                <w:sz w:val="20"/>
              </w:rPr>
              <w:t>10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40min</w:t>
            </w:r>
          </w:p>
          <w:p w:rsidR="00AF2508" w:rsidRDefault="00AF2508">
            <w:pPr>
              <w:pStyle w:val="TableText"/>
              <w:rPr>
                <w:sz w:val="20"/>
              </w:rPr>
            </w:pPr>
            <w:r>
              <w:rPr>
                <w:sz w:val="20"/>
              </w:rPr>
              <w:t>40 to 45min</w:t>
            </w:r>
          </w:p>
          <w:p w:rsidR="00AF2508" w:rsidRDefault="00AF2508">
            <w:pPr>
              <w:pStyle w:val="TableText"/>
              <w:rPr>
                <w:sz w:val="20"/>
              </w:rPr>
            </w:pPr>
            <w:r>
              <w:rPr>
                <w:sz w:val="20"/>
              </w:rPr>
              <w:t>45 to 55min</w:t>
            </w:r>
          </w:p>
          <w:p w:rsidR="00AF2508" w:rsidRDefault="00AF2508">
            <w:pPr>
              <w:pStyle w:val="TableText"/>
              <w:rPr>
                <w:sz w:val="20"/>
              </w:rPr>
            </w:pPr>
            <w:r>
              <w:rPr>
                <w:sz w:val="20"/>
              </w:rPr>
              <w:t>55 to 65min</w:t>
            </w:r>
          </w:p>
          <w:p w:rsidR="00AF2508" w:rsidRDefault="00AF2508">
            <w:pPr>
              <w:pStyle w:val="TableText"/>
              <w:rPr>
                <w:sz w:val="20"/>
              </w:rPr>
            </w:pPr>
            <w:r>
              <w:rPr>
                <w:sz w:val="20"/>
              </w:rPr>
              <w:t>65 to 75min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9</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13</w:t>
            </w:r>
          </w:p>
          <w:p w:rsidR="00AF2508" w:rsidRDefault="00AF2508">
            <w:pPr>
              <w:pStyle w:val="TableText"/>
              <w:rPr>
                <w:sz w:val="20"/>
              </w:rPr>
            </w:pPr>
            <w:r>
              <w:rPr>
                <w:sz w:val="20"/>
              </w:rPr>
              <w:t>15</w:t>
            </w:r>
          </w:p>
          <w:p w:rsidR="00AF2508" w:rsidRDefault="00AF2508">
            <w:pPr>
              <w:pStyle w:val="TableText"/>
              <w:rPr>
                <w:sz w:val="20"/>
              </w:rPr>
            </w:pPr>
            <w:r>
              <w:rPr>
                <w:sz w:val="20"/>
              </w:rPr>
              <w:t>16</w:t>
            </w:r>
          </w:p>
          <w:p w:rsidR="00AF2508" w:rsidRDefault="00AF2508">
            <w:pPr>
              <w:pStyle w:val="TableText"/>
              <w:rPr>
                <w:sz w:val="20"/>
              </w:rPr>
            </w:pPr>
            <w:r>
              <w:rPr>
                <w:sz w:val="20"/>
              </w:rPr>
              <w:t>18</w:t>
            </w:r>
          </w:p>
          <w:p w:rsidR="00AF2508" w:rsidRDefault="00AF2508">
            <w:pPr>
              <w:pStyle w:val="TableText"/>
              <w:rPr>
                <w:sz w:val="20"/>
              </w:rPr>
            </w:pPr>
            <w:r>
              <w:rPr>
                <w:sz w:val="20"/>
              </w:rPr>
              <w:t>20</w:t>
            </w:r>
          </w:p>
        </w:tc>
        <w:tc>
          <w:tcPr>
            <w:tcW w:w="1044" w:type="dxa"/>
            <w:tcBorders>
              <w:top w:val="single" w:sz="6" w:space="0" w:color="auto"/>
              <w:bottom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13</w:t>
            </w:r>
          </w:p>
          <w:p w:rsidR="00AF2508" w:rsidRDefault="00AF2508">
            <w:pPr>
              <w:pStyle w:val="TableText"/>
              <w:rPr>
                <w:sz w:val="20"/>
              </w:rPr>
            </w:pPr>
            <w:r>
              <w:rPr>
                <w:sz w:val="20"/>
              </w:rPr>
              <w:t>19</w:t>
            </w:r>
          </w:p>
          <w:p w:rsidR="00AF2508" w:rsidRDefault="00AF2508">
            <w:pPr>
              <w:pStyle w:val="TableText"/>
              <w:rPr>
                <w:sz w:val="20"/>
              </w:rPr>
            </w:pPr>
            <w:r>
              <w:rPr>
                <w:sz w:val="20"/>
              </w:rPr>
              <w:t>22</w:t>
            </w:r>
          </w:p>
          <w:p w:rsidR="00AF2508" w:rsidRDefault="00AF2508">
            <w:pPr>
              <w:pStyle w:val="TableText"/>
              <w:rPr>
                <w:sz w:val="20"/>
              </w:rPr>
            </w:pPr>
            <w:r>
              <w:rPr>
                <w:sz w:val="20"/>
              </w:rPr>
              <w:t>26</w:t>
            </w:r>
          </w:p>
          <w:p w:rsidR="00AF2508" w:rsidRDefault="00AF2508">
            <w:pPr>
              <w:pStyle w:val="TableText"/>
              <w:rPr>
                <w:sz w:val="20"/>
              </w:rPr>
            </w:pPr>
            <w:r>
              <w:rPr>
                <w:sz w:val="20"/>
              </w:rPr>
              <w:t>29</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1083" w:type="dxa"/>
            <w:tcBorders>
              <w:top w:val="single" w:sz="6" w:space="0" w:color="auto"/>
              <w:bottom w:val="single" w:sz="6" w:space="0" w:color="auto"/>
            </w:tcBorders>
          </w:tcPr>
          <w:p w:rsidR="00AF2508" w:rsidRDefault="00AF2508">
            <w:pPr>
              <w:pStyle w:val="TableText"/>
              <w:rPr>
                <w:sz w:val="20"/>
              </w:rPr>
            </w:pPr>
            <w:r>
              <w:rPr>
                <w:sz w:val="20"/>
              </w:rPr>
              <w:t>6</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84-90</w:t>
            </w:r>
          </w:p>
        </w:tc>
        <w:tc>
          <w:tcPr>
            <w:tcW w:w="933" w:type="dxa"/>
            <w:tcBorders>
              <w:top w:val="single" w:sz="6" w:space="0" w:color="auto"/>
              <w:bottom w:val="single" w:sz="6" w:space="0" w:color="auto"/>
            </w:tcBorders>
          </w:tcPr>
          <w:p w:rsidR="00AF2508" w:rsidRDefault="00AF2508">
            <w:pPr>
              <w:pStyle w:val="TableText"/>
              <w:rPr>
                <w:sz w:val="20"/>
              </w:rPr>
            </w:pPr>
            <w:r>
              <w:rPr>
                <w:sz w:val="20"/>
              </w:rPr>
              <w:t>14-15</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37-40</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10min</w:t>
            </w:r>
          </w:p>
          <w:p w:rsidR="00AF2508" w:rsidRDefault="00AF2508">
            <w:pPr>
              <w:pStyle w:val="TableText"/>
              <w:rPr>
                <w:sz w:val="20"/>
              </w:rPr>
            </w:pPr>
            <w:r>
              <w:rPr>
                <w:sz w:val="20"/>
              </w:rPr>
              <w:t>10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40min</w:t>
            </w:r>
          </w:p>
          <w:p w:rsidR="00AF2508" w:rsidRDefault="00AF2508">
            <w:pPr>
              <w:pStyle w:val="TableText"/>
              <w:rPr>
                <w:sz w:val="20"/>
              </w:rPr>
            </w:pPr>
            <w:r>
              <w:rPr>
                <w:sz w:val="20"/>
              </w:rPr>
              <w:t>40 to 50min</w:t>
            </w:r>
          </w:p>
          <w:p w:rsidR="00AF2508" w:rsidRDefault="00AF2508">
            <w:pPr>
              <w:pStyle w:val="TableText"/>
              <w:rPr>
                <w:sz w:val="20"/>
              </w:rPr>
            </w:pPr>
            <w:r>
              <w:rPr>
                <w:sz w:val="20"/>
              </w:rPr>
              <w:t>50 to 60min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tc>
        <w:tc>
          <w:tcPr>
            <w:tcW w:w="540" w:type="dxa"/>
            <w:tcBorders>
              <w:top w:val="single" w:sz="6" w:space="0" w:color="auto"/>
              <w:bottom w:val="single" w:sz="6" w:space="0" w:color="auto"/>
            </w:tcBorders>
          </w:tcPr>
          <w:p w:rsidR="00AF2508" w:rsidRDefault="00AF2508">
            <w:pPr>
              <w:pStyle w:val="TableText"/>
              <w:rPr>
                <w:sz w:val="20"/>
              </w:rPr>
            </w:pPr>
            <w:r>
              <w:rPr>
                <w:sz w:val="20"/>
              </w:rPr>
              <w:t>1</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15</w:t>
            </w:r>
          </w:p>
        </w:tc>
        <w:tc>
          <w:tcPr>
            <w:tcW w:w="1044" w:type="dxa"/>
            <w:tcBorders>
              <w:top w:val="single" w:sz="6" w:space="0" w:color="auto"/>
              <w:bottom w:val="single" w:sz="6" w:space="0" w:color="auto"/>
            </w:tcBorders>
          </w:tcPr>
          <w:p w:rsidR="00AF2508" w:rsidRDefault="00AF2508">
            <w:pPr>
              <w:pStyle w:val="TableText"/>
              <w:rPr>
                <w:sz w:val="20"/>
              </w:rPr>
            </w:pPr>
            <w:r>
              <w:rPr>
                <w:sz w:val="20"/>
              </w:rPr>
              <w:t>6</w:t>
            </w:r>
          </w:p>
          <w:p w:rsidR="00AF2508" w:rsidRDefault="00AF2508">
            <w:pPr>
              <w:pStyle w:val="TableText"/>
              <w:rPr>
                <w:sz w:val="20"/>
              </w:rPr>
            </w:pPr>
            <w:r>
              <w:rPr>
                <w:sz w:val="20"/>
              </w:rPr>
              <w:t>10</w:t>
            </w:r>
          </w:p>
          <w:p w:rsidR="00AF2508" w:rsidRDefault="00AF2508">
            <w:pPr>
              <w:pStyle w:val="TableText"/>
              <w:rPr>
                <w:sz w:val="20"/>
              </w:rPr>
            </w:pPr>
            <w:r>
              <w:rPr>
                <w:sz w:val="20"/>
              </w:rPr>
              <w:t>16</w:t>
            </w:r>
          </w:p>
          <w:p w:rsidR="00AF2508" w:rsidRDefault="00AF2508">
            <w:pPr>
              <w:pStyle w:val="TableText"/>
              <w:rPr>
                <w:sz w:val="20"/>
              </w:rPr>
            </w:pPr>
            <w:r>
              <w:rPr>
                <w:sz w:val="20"/>
              </w:rPr>
              <w:t>22</w:t>
            </w:r>
          </w:p>
          <w:p w:rsidR="00AF2508" w:rsidRDefault="00AF2508">
            <w:pPr>
              <w:pStyle w:val="TableText"/>
              <w:rPr>
                <w:sz w:val="20"/>
              </w:rPr>
            </w:pPr>
            <w:r>
              <w:rPr>
                <w:sz w:val="20"/>
              </w:rPr>
              <w:t>26</w:t>
            </w:r>
          </w:p>
          <w:p w:rsidR="00AF2508" w:rsidRDefault="00AF2508">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1083" w:type="dxa"/>
            <w:tcBorders>
              <w:top w:val="single" w:sz="6" w:space="0" w:color="auto"/>
              <w:bottom w:val="single" w:sz="6" w:space="0" w:color="auto"/>
            </w:tcBorders>
          </w:tcPr>
          <w:p w:rsidR="00AF2508" w:rsidRDefault="00AF2508">
            <w:pPr>
              <w:pStyle w:val="TableText"/>
              <w:rPr>
                <w:sz w:val="20"/>
              </w:rPr>
            </w:pP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90-96</w:t>
            </w:r>
          </w:p>
        </w:tc>
        <w:tc>
          <w:tcPr>
            <w:tcW w:w="933" w:type="dxa"/>
            <w:tcBorders>
              <w:top w:val="single" w:sz="6" w:space="0" w:color="auto"/>
              <w:bottom w:val="single" w:sz="6" w:space="0" w:color="auto"/>
            </w:tcBorders>
          </w:tcPr>
          <w:p w:rsidR="00AF2508" w:rsidRDefault="00AF2508">
            <w:pPr>
              <w:pStyle w:val="TableText"/>
              <w:rPr>
                <w:sz w:val="20"/>
              </w:rPr>
            </w:pPr>
            <w:r>
              <w:rPr>
                <w:sz w:val="20"/>
              </w:rPr>
              <w:t>15-16</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40-42</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10min</w:t>
            </w:r>
          </w:p>
          <w:p w:rsidR="00AF2508" w:rsidRDefault="00AF2508">
            <w:pPr>
              <w:pStyle w:val="TableText"/>
              <w:rPr>
                <w:sz w:val="20"/>
              </w:rPr>
            </w:pPr>
            <w:r>
              <w:rPr>
                <w:sz w:val="20"/>
              </w:rPr>
              <w:t>10 to 20min</w:t>
            </w:r>
          </w:p>
          <w:p w:rsidR="00AF2508" w:rsidRDefault="00AF2508">
            <w:pPr>
              <w:pStyle w:val="TableText"/>
              <w:rPr>
                <w:sz w:val="20"/>
              </w:rPr>
            </w:pPr>
            <w:r>
              <w:rPr>
                <w:sz w:val="20"/>
              </w:rPr>
              <w:t>20 to 30min</w:t>
            </w:r>
          </w:p>
          <w:p w:rsidR="00AF2508" w:rsidRDefault="00AF2508">
            <w:pPr>
              <w:pStyle w:val="TableText"/>
              <w:rPr>
                <w:sz w:val="20"/>
              </w:rPr>
            </w:pPr>
            <w:r>
              <w:rPr>
                <w:sz w:val="20"/>
              </w:rPr>
              <w:t>30 to 35min</w:t>
            </w:r>
          </w:p>
          <w:p w:rsidR="00AF2508" w:rsidRDefault="00AF2508">
            <w:pPr>
              <w:pStyle w:val="TableText"/>
              <w:rPr>
                <w:sz w:val="20"/>
              </w:rPr>
            </w:pPr>
            <w:r>
              <w:rPr>
                <w:sz w:val="20"/>
              </w:rPr>
              <w:t>35 to 45min</w:t>
            </w:r>
          </w:p>
          <w:p w:rsidR="00AF2508" w:rsidRDefault="00AF2508">
            <w:pPr>
              <w:pStyle w:val="TableText"/>
              <w:rPr>
                <w:sz w:val="20"/>
              </w:rPr>
            </w:pPr>
            <w:r>
              <w:rPr>
                <w:sz w:val="20"/>
              </w:rPr>
              <w:t>45 to 55min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1</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11</w:t>
            </w:r>
          </w:p>
          <w:p w:rsidR="00AF2508" w:rsidRDefault="00AF2508">
            <w:pPr>
              <w:pStyle w:val="TableText"/>
              <w:rPr>
                <w:sz w:val="20"/>
              </w:rPr>
            </w:pPr>
            <w:r>
              <w:rPr>
                <w:sz w:val="20"/>
              </w:rPr>
              <w:t>15</w:t>
            </w:r>
          </w:p>
          <w:p w:rsidR="00AF2508" w:rsidRDefault="00AF2508">
            <w:pPr>
              <w:pStyle w:val="TableText"/>
              <w:rPr>
                <w:sz w:val="20"/>
              </w:rPr>
            </w:pPr>
            <w:r>
              <w:rPr>
                <w:sz w:val="20"/>
              </w:rPr>
              <w:t>15</w:t>
            </w:r>
          </w:p>
          <w:p w:rsidR="00AF2508" w:rsidRDefault="00AF2508">
            <w:pPr>
              <w:pStyle w:val="TableText"/>
              <w:rPr>
                <w:sz w:val="20"/>
              </w:rPr>
            </w:pPr>
            <w:r>
              <w:rPr>
                <w:sz w:val="20"/>
              </w:rPr>
              <w:t>15</w:t>
            </w:r>
          </w:p>
        </w:tc>
        <w:tc>
          <w:tcPr>
            <w:tcW w:w="1044" w:type="dxa"/>
            <w:tcBorders>
              <w:top w:val="single" w:sz="6" w:space="0" w:color="auto"/>
              <w:bottom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11</w:t>
            </w:r>
          </w:p>
          <w:p w:rsidR="00AF2508" w:rsidRDefault="00AF2508">
            <w:pPr>
              <w:pStyle w:val="TableText"/>
              <w:rPr>
                <w:sz w:val="20"/>
              </w:rPr>
            </w:pPr>
            <w:r>
              <w:rPr>
                <w:sz w:val="20"/>
              </w:rPr>
              <w:t>18</w:t>
            </w:r>
          </w:p>
          <w:p w:rsidR="00AF2508" w:rsidRDefault="00AF2508">
            <w:pPr>
              <w:pStyle w:val="TableText"/>
              <w:rPr>
                <w:sz w:val="20"/>
              </w:rPr>
            </w:pPr>
            <w:r>
              <w:rPr>
                <w:sz w:val="20"/>
              </w:rPr>
              <w:t>22</w:t>
            </w:r>
          </w:p>
          <w:p w:rsidR="00AF2508" w:rsidRDefault="00AF2508">
            <w:pPr>
              <w:pStyle w:val="TableText"/>
              <w:rPr>
                <w:sz w:val="20"/>
              </w:rPr>
            </w:pPr>
            <w:r>
              <w:rPr>
                <w:sz w:val="20"/>
              </w:rPr>
              <w:t>27</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1083" w:type="dxa"/>
            <w:tcBorders>
              <w:top w:val="single" w:sz="6" w:space="0" w:color="auto"/>
              <w:bottom w:val="single" w:sz="6" w:space="0" w:color="auto"/>
            </w:tcBorders>
          </w:tcPr>
          <w:p w:rsidR="00AF2508" w:rsidRDefault="00AF2508">
            <w:pPr>
              <w:pStyle w:val="TableText"/>
              <w:rPr>
                <w:sz w:val="20"/>
              </w:rPr>
            </w:pPr>
            <w:r>
              <w:rPr>
                <w:sz w:val="20"/>
              </w:rPr>
              <w:t>6</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98-108</w:t>
            </w:r>
          </w:p>
        </w:tc>
        <w:tc>
          <w:tcPr>
            <w:tcW w:w="933" w:type="dxa"/>
            <w:tcBorders>
              <w:top w:val="single" w:sz="6" w:space="0" w:color="auto"/>
              <w:bottom w:val="single" w:sz="6" w:space="0" w:color="auto"/>
            </w:tcBorders>
          </w:tcPr>
          <w:p w:rsidR="00AF2508" w:rsidRDefault="00AF2508">
            <w:pPr>
              <w:pStyle w:val="TableText"/>
              <w:rPr>
                <w:sz w:val="20"/>
              </w:rPr>
            </w:pPr>
            <w:r>
              <w:rPr>
                <w:sz w:val="20"/>
              </w:rPr>
              <w:t>16-18</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42</w:t>
            </w:r>
            <w:r>
              <w:rPr>
                <w:position w:val="4"/>
                <w:sz w:val="16"/>
              </w:rPr>
              <w:t>1</w:t>
            </w:r>
            <w:r>
              <w:rPr>
                <w:sz w:val="20"/>
              </w:rPr>
              <w:t>/</w:t>
            </w:r>
            <w:r>
              <w:rPr>
                <w:sz w:val="16"/>
              </w:rPr>
              <w:t>2</w:t>
            </w:r>
            <w:r>
              <w:rPr>
                <w:sz w:val="20"/>
              </w:rPr>
              <w:t>-48</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10min</w:t>
            </w:r>
          </w:p>
          <w:p w:rsidR="00AF2508" w:rsidRDefault="00AF2508">
            <w:pPr>
              <w:pStyle w:val="TableText"/>
              <w:rPr>
                <w:sz w:val="20"/>
              </w:rPr>
            </w:pPr>
            <w:r>
              <w:rPr>
                <w:sz w:val="20"/>
              </w:rPr>
              <w:t>10 to 15min</w:t>
            </w:r>
          </w:p>
          <w:p w:rsidR="00AF2508" w:rsidRDefault="00AF2508">
            <w:pPr>
              <w:pStyle w:val="TableText"/>
              <w:rPr>
                <w:sz w:val="20"/>
              </w:rPr>
            </w:pPr>
            <w:r>
              <w:rPr>
                <w:sz w:val="20"/>
              </w:rPr>
              <w:t>15 to 20min</w:t>
            </w:r>
          </w:p>
          <w:p w:rsidR="00AF2508" w:rsidRDefault="00AF2508">
            <w:pPr>
              <w:pStyle w:val="TableText"/>
              <w:rPr>
                <w:sz w:val="20"/>
              </w:rPr>
            </w:pPr>
            <w:r>
              <w:rPr>
                <w:sz w:val="20"/>
              </w:rPr>
              <w:t>20 to 25min</w:t>
            </w:r>
          </w:p>
          <w:p w:rsidR="00AF2508" w:rsidRDefault="00AF2508">
            <w:pPr>
              <w:pStyle w:val="TableText"/>
              <w:rPr>
                <w:sz w:val="20"/>
              </w:rPr>
            </w:pPr>
            <w:r>
              <w:rPr>
                <w:sz w:val="20"/>
              </w:rPr>
              <w:t>25 to 30min</w:t>
            </w:r>
          </w:p>
          <w:p w:rsidR="00AF2508" w:rsidRDefault="00AF2508">
            <w:pPr>
              <w:pStyle w:val="TableText"/>
              <w:rPr>
                <w:sz w:val="20"/>
              </w:rPr>
            </w:pPr>
            <w:r>
              <w:rPr>
                <w:sz w:val="20"/>
              </w:rPr>
              <w:t>30 to 35min</w:t>
            </w:r>
          </w:p>
          <w:p w:rsidR="00AF2508" w:rsidRDefault="00AF2508">
            <w:pPr>
              <w:pStyle w:val="TableText"/>
              <w:rPr>
                <w:sz w:val="20"/>
              </w:rPr>
            </w:pPr>
            <w:r>
              <w:rPr>
                <w:sz w:val="20"/>
              </w:rPr>
              <w:t>35 to 40min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1</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15</w:t>
            </w:r>
          </w:p>
        </w:tc>
        <w:tc>
          <w:tcPr>
            <w:tcW w:w="1044" w:type="dxa"/>
            <w:tcBorders>
              <w:top w:val="single" w:sz="6" w:space="0" w:color="auto"/>
              <w:bottom w:val="single" w:sz="6" w:space="0" w:color="auto"/>
            </w:tcBorders>
          </w:tcPr>
          <w:p w:rsidR="00AF2508" w:rsidRDefault="00AF2508">
            <w:pPr>
              <w:pStyle w:val="TableText"/>
              <w:rPr>
                <w:sz w:val="20"/>
              </w:rPr>
            </w:pPr>
            <w:r>
              <w:rPr>
                <w:sz w:val="20"/>
              </w:rPr>
              <w:t>6</w:t>
            </w:r>
          </w:p>
          <w:p w:rsidR="00AF2508" w:rsidRDefault="00AF2508">
            <w:pPr>
              <w:pStyle w:val="TableText"/>
              <w:rPr>
                <w:sz w:val="20"/>
              </w:rPr>
            </w:pPr>
            <w:r>
              <w:rPr>
                <w:sz w:val="20"/>
              </w:rPr>
              <w:t>8</w:t>
            </w:r>
          </w:p>
          <w:p w:rsidR="00AF2508" w:rsidRDefault="00AF2508">
            <w:pPr>
              <w:pStyle w:val="TableText"/>
              <w:rPr>
                <w:sz w:val="20"/>
              </w:rPr>
            </w:pPr>
            <w:r>
              <w:rPr>
                <w:sz w:val="20"/>
              </w:rPr>
              <w:t>11</w:t>
            </w:r>
          </w:p>
          <w:p w:rsidR="00AF2508" w:rsidRDefault="00AF2508">
            <w:pPr>
              <w:pStyle w:val="TableText"/>
              <w:rPr>
                <w:sz w:val="20"/>
              </w:rPr>
            </w:pPr>
            <w:r>
              <w:rPr>
                <w:sz w:val="20"/>
              </w:rPr>
              <w:t>15</w:t>
            </w:r>
          </w:p>
          <w:p w:rsidR="00AF2508" w:rsidRDefault="00AF2508">
            <w:pPr>
              <w:pStyle w:val="TableText"/>
              <w:rPr>
                <w:sz w:val="20"/>
              </w:rPr>
            </w:pPr>
            <w:r>
              <w:rPr>
                <w:sz w:val="20"/>
              </w:rPr>
              <w:t>19</w:t>
            </w:r>
          </w:p>
          <w:p w:rsidR="00AF2508" w:rsidRDefault="00AF2508">
            <w:pPr>
              <w:pStyle w:val="TableText"/>
              <w:rPr>
                <w:sz w:val="20"/>
              </w:rPr>
            </w:pPr>
            <w:r>
              <w:rPr>
                <w:sz w:val="20"/>
              </w:rPr>
              <w:t>23</w:t>
            </w:r>
          </w:p>
          <w:p w:rsidR="00AF2508" w:rsidRDefault="00AF2508">
            <w:pPr>
              <w:pStyle w:val="TableText"/>
              <w:rPr>
                <w:sz w:val="20"/>
              </w:rPr>
            </w:pPr>
            <w:r>
              <w:rPr>
                <w:sz w:val="20"/>
              </w:rPr>
              <w:t>28</w:t>
            </w:r>
          </w:p>
          <w:p w:rsidR="00AF2508" w:rsidRDefault="00AF2508">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20</w:t>
            </w:r>
          </w:p>
        </w:tc>
        <w:tc>
          <w:tcPr>
            <w:tcW w:w="1083" w:type="dxa"/>
            <w:tcBorders>
              <w:top w:val="single" w:sz="6" w:space="0" w:color="auto"/>
              <w:bottom w:val="single" w:sz="6" w:space="0" w:color="auto"/>
            </w:tcBorders>
          </w:tcPr>
          <w:p w:rsidR="00AF2508" w:rsidRDefault="00AF2508">
            <w:pPr>
              <w:pStyle w:val="TableText"/>
              <w:rPr>
                <w:sz w:val="20"/>
              </w:rPr>
            </w:pPr>
            <w:r>
              <w:rPr>
                <w:sz w:val="20"/>
              </w:rPr>
              <w:t>1</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108-120</w:t>
            </w:r>
          </w:p>
        </w:tc>
        <w:tc>
          <w:tcPr>
            <w:tcW w:w="933" w:type="dxa"/>
            <w:tcBorders>
              <w:top w:val="single" w:sz="6" w:space="0" w:color="auto"/>
              <w:bottom w:val="single" w:sz="6" w:space="0" w:color="auto"/>
            </w:tcBorders>
          </w:tcPr>
          <w:p w:rsidR="00AF2508" w:rsidRDefault="00AF2508">
            <w:pPr>
              <w:pStyle w:val="TableText"/>
              <w:rPr>
                <w:sz w:val="20"/>
              </w:rPr>
            </w:pPr>
            <w:r>
              <w:rPr>
                <w:sz w:val="20"/>
              </w:rPr>
              <w:t>18-20</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48-53</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10min</w:t>
            </w:r>
          </w:p>
          <w:p w:rsidR="00AF2508" w:rsidRDefault="00AF2508">
            <w:pPr>
              <w:pStyle w:val="TableText"/>
              <w:rPr>
                <w:sz w:val="20"/>
              </w:rPr>
            </w:pPr>
            <w:r>
              <w:rPr>
                <w:sz w:val="20"/>
              </w:rPr>
              <w:t>10 to 15min</w:t>
            </w:r>
          </w:p>
          <w:p w:rsidR="00AF2508" w:rsidRDefault="00AF2508">
            <w:pPr>
              <w:pStyle w:val="TableText"/>
              <w:rPr>
                <w:sz w:val="20"/>
              </w:rPr>
            </w:pPr>
            <w:r>
              <w:rPr>
                <w:sz w:val="20"/>
              </w:rPr>
              <w:t>15 to 20min</w:t>
            </w:r>
          </w:p>
          <w:p w:rsidR="00AF2508" w:rsidRDefault="00AF2508">
            <w:pPr>
              <w:pStyle w:val="TableText"/>
              <w:rPr>
                <w:sz w:val="20"/>
              </w:rPr>
            </w:pPr>
            <w:r>
              <w:rPr>
                <w:sz w:val="20"/>
              </w:rPr>
              <w:t>20 to 25min</w:t>
            </w:r>
          </w:p>
          <w:p w:rsidR="00AF2508" w:rsidRDefault="00AF2508">
            <w:pPr>
              <w:pStyle w:val="TableText"/>
              <w:rPr>
                <w:sz w:val="20"/>
              </w:rPr>
            </w:pPr>
            <w:r>
              <w:rPr>
                <w:sz w:val="20"/>
              </w:rPr>
              <w:t>25 to 30min</w:t>
            </w:r>
          </w:p>
          <w:p w:rsidR="00AF2508" w:rsidRDefault="00AF2508">
            <w:pPr>
              <w:pStyle w:val="TableText"/>
              <w:rPr>
                <w:sz w:val="20"/>
              </w:rPr>
            </w:pPr>
            <w:r>
              <w:rPr>
                <w:sz w:val="20"/>
              </w:rPr>
              <w:t>30 to 35min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p w:rsidR="00AF2508" w:rsidRDefault="00AF2508">
            <w:pPr>
              <w:pStyle w:val="TableText"/>
              <w:rPr>
                <w:sz w:val="20"/>
              </w:rPr>
            </w:pPr>
            <w:r>
              <w:rPr>
                <w:sz w:val="20"/>
              </w:rPr>
              <w:t>6</w:t>
            </w:r>
          </w:p>
          <w:p w:rsidR="00AF2508" w:rsidRDefault="00AF2508">
            <w:pPr>
              <w:pStyle w:val="TableText"/>
              <w:rPr>
                <w:sz w:val="20"/>
              </w:rPr>
            </w:pPr>
            <w:r>
              <w:rPr>
                <w:sz w:val="20"/>
              </w:rPr>
              <w:t>7</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12</w:t>
            </w:r>
          </w:p>
          <w:p w:rsidR="00AF2508" w:rsidRDefault="00AF2508">
            <w:pPr>
              <w:pStyle w:val="TableText"/>
              <w:rPr>
                <w:sz w:val="20"/>
              </w:rPr>
            </w:pPr>
            <w:r>
              <w:rPr>
                <w:sz w:val="20"/>
              </w:rPr>
              <w:t>15</w:t>
            </w:r>
          </w:p>
        </w:tc>
        <w:tc>
          <w:tcPr>
            <w:tcW w:w="1044" w:type="dxa"/>
            <w:tcBorders>
              <w:top w:val="single" w:sz="6" w:space="0" w:color="auto"/>
              <w:bottom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11</w:t>
            </w:r>
          </w:p>
          <w:p w:rsidR="00AF2508" w:rsidRDefault="00AF2508">
            <w:pPr>
              <w:pStyle w:val="TableText"/>
              <w:rPr>
                <w:sz w:val="20"/>
              </w:rPr>
            </w:pPr>
            <w:r>
              <w:rPr>
                <w:sz w:val="20"/>
              </w:rPr>
              <w:t>15</w:t>
            </w:r>
          </w:p>
          <w:p w:rsidR="00AF2508" w:rsidRDefault="00AF2508">
            <w:pPr>
              <w:pStyle w:val="TableText"/>
              <w:rPr>
                <w:sz w:val="20"/>
              </w:rPr>
            </w:pPr>
            <w:r>
              <w:rPr>
                <w:sz w:val="20"/>
              </w:rPr>
              <w:t>19</w:t>
            </w:r>
          </w:p>
          <w:p w:rsidR="00AF2508" w:rsidRDefault="00AF2508">
            <w:pPr>
              <w:pStyle w:val="TableText"/>
              <w:rPr>
                <w:sz w:val="20"/>
              </w:rPr>
            </w:pPr>
            <w:r>
              <w:rPr>
                <w:sz w:val="20"/>
              </w:rPr>
              <w:t>23</w:t>
            </w:r>
          </w:p>
          <w:p w:rsidR="00AF2508" w:rsidRDefault="00AF2508">
            <w:pPr>
              <w:pStyle w:val="TableText"/>
              <w:rPr>
                <w:sz w:val="20"/>
              </w:rPr>
            </w:pPr>
            <w:r>
              <w:rPr>
                <w:sz w:val="20"/>
              </w:rPr>
              <w:t>28</w:t>
            </w:r>
          </w:p>
          <w:p w:rsidR="00AF2508" w:rsidRDefault="00AF2508">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20</w:t>
            </w:r>
          </w:p>
        </w:tc>
        <w:tc>
          <w:tcPr>
            <w:tcW w:w="1083" w:type="dxa"/>
            <w:tcBorders>
              <w:top w:val="single" w:sz="6" w:space="0" w:color="auto"/>
              <w:bottom w:val="single" w:sz="6" w:space="0" w:color="auto"/>
            </w:tcBorders>
          </w:tcPr>
          <w:p w:rsidR="00AF2508" w:rsidRDefault="00AF2508">
            <w:pPr>
              <w:pStyle w:val="TableText"/>
              <w:rPr>
                <w:sz w:val="20"/>
              </w:rPr>
            </w:pPr>
            <w:r>
              <w:rPr>
                <w:sz w:val="20"/>
              </w:rPr>
              <w:t>12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120-132</w:t>
            </w:r>
          </w:p>
        </w:tc>
        <w:tc>
          <w:tcPr>
            <w:tcW w:w="933" w:type="dxa"/>
            <w:tcBorders>
              <w:top w:val="single" w:sz="6" w:space="0" w:color="auto"/>
              <w:bottom w:val="single" w:sz="6" w:space="0" w:color="auto"/>
            </w:tcBorders>
          </w:tcPr>
          <w:p w:rsidR="00AF2508" w:rsidRDefault="00AF2508">
            <w:pPr>
              <w:pStyle w:val="TableText"/>
              <w:rPr>
                <w:sz w:val="20"/>
              </w:rPr>
            </w:pPr>
            <w:r>
              <w:rPr>
                <w:sz w:val="20"/>
              </w:rPr>
              <w:t>20-22</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53</w:t>
            </w:r>
            <w:r>
              <w:rPr>
                <w:position w:val="4"/>
                <w:sz w:val="16"/>
              </w:rPr>
              <w:t>1</w:t>
            </w:r>
            <w:r>
              <w:rPr>
                <w:sz w:val="20"/>
              </w:rPr>
              <w:t>/</w:t>
            </w:r>
            <w:r>
              <w:rPr>
                <w:sz w:val="16"/>
              </w:rPr>
              <w:t>2</w:t>
            </w:r>
            <w:r>
              <w:rPr>
                <w:sz w:val="20"/>
              </w:rPr>
              <w:t>59</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10min</w:t>
            </w:r>
          </w:p>
          <w:p w:rsidR="00AF2508" w:rsidRDefault="00AF2508">
            <w:pPr>
              <w:pStyle w:val="TableText"/>
              <w:rPr>
                <w:sz w:val="20"/>
              </w:rPr>
            </w:pPr>
            <w:r>
              <w:rPr>
                <w:sz w:val="20"/>
              </w:rPr>
              <w:t>10 to 15min</w:t>
            </w:r>
          </w:p>
          <w:p w:rsidR="00AF2508" w:rsidRDefault="00AF2508">
            <w:pPr>
              <w:pStyle w:val="TableText"/>
              <w:rPr>
                <w:sz w:val="20"/>
              </w:rPr>
            </w:pPr>
            <w:r>
              <w:rPr>
                <w:sz w:val="20"/>
              </w:rPr>
              <w:t>15 to 20min</w:t>
            </w:r>
          </w:p>
          <w:p w:rsidR="00AF2508" w:rsidRDefault="00AF2508">
            <w:pPr>
              <w:pStyle w:val="TableText"/>
              <w:rPr>
                <w:sz w:val="20"/>
              </w:rPr>
            </w:pPr>
            <w:r>
              <w:rPr>
                <w:sz w:val="20"/>
              </w:rPr>
              <w:t>20 to 25min</w:t>
            </w:r>
          </w:p>
          <w:p w:rsidR="00AF2508" w:rsidRDefault="00AF2508">
            <w:pPr>
              <w:pStyle w:val="TableText"/>
              <w:rPr>
                <w:sz w:val="20"/>
              </w:rPr>
            </w:pPr>
            <w:r>
              <w:rPr>
                <w:sz w:val="20"/>
              </w:rPr>
              <w:t>25 to 30min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13</w:t>
            </w:r>
          </w:p>
          <w:p w:rsidR="00AF2508" w:rsidRDefault="00AF2508">
            <w:pPr>
              <w:pStyle w:val="TableText"/>
              <w:rPr>
                <w:sz w:val="20"/>
              </w:rPr>
            </w:pPr>
            <w:r>
              <w:rPr>
                <w:sz w:val="20"/>
              </w:rPr>
              <w:t>15</w:t>
            </w:r>
          </w:p>
        </w:tc>
        <w:tc>
          <w:tcPr>
            <w:tcW w:w="1044" w:type="dxa"/>
            <w:tcBorders>
              <w:top w:val="single" w:sz="6" w:space="0" w:color="auto"/>
              <w:bottom w:val="single" w:sz="6" w:space="0" w:color="auto"/>
            </w:tcBorders>
          </w:tcPr>
          <w:p w:rsidR="00AF2508" w:rsidRDefault="00AF2508">
            <w:pPr>
              <w:pStyle w:val="TableText"/>
              <w:rPr>
                <w:sz w:val="20"/>
              </w:rPr>
            </w:pPr>
            <w:r>
              <w:rPr>
                <w:sz w:val="20"/>
              </w:rPr>
              <w:t>8</w:t>
            </w:r>
          </w:p>
          <w:p w:rsidR="00AF2508" w:rsidRDefault="00AF2508">
            <w:pPr>
              <w:pStyle w:val="TableText"/>
              <w:rPr>
                <w:sz w:val="20"/>
              </w:rPr>
            </w:pPr>
            <w:r>
              <w:rPr>
                <w:sz w:val="20"/>
              </w:rPr>
              <w:t>13</w:t>
            </w:r>
          </w:p>
          <w:p w:rsidR="00AF2508" w:rsidRDefault="00AF2508">
            <w:pPr>
              <w:pStyle w:val="TableText"/>
              <w:rPr>
                <w:sz w:val="20"/>
              </w:rPr>
            </w:pPr>
            <w:r>
              <w:rPr>
                <w:sz w:val="20"/>
              </w:rPr>
              <w:t>17</w:t>
            </w:r>
          </w:p>
          <w:p w:rsidR="00AF2508" w:rsidRDefault="00AF2508">
            <w:pPr>
              <w:pStyle w:val="TableText"/>
              <w:rPr>
                <w:sz w:val="20"/>
              </w:rPr>
            </w:pPr>
            <w:r>
              <w:rPr>
                <w:sz w:val="20"/>
              </w:rPr>
              <w:t>23</w:t>
            </w:r>
          </w:p>
          <w:p w:rsidR="00AF2508" w:rsidRDefault="00AF2508">
            <w:pPr>
              <w:pStyle w:val="TableText"/>
              <w:rPr>
                <w:sz w:val="20"/>
              </w:rPr>
            </w:pPr>
            <w:r>
              <w:rPr>
                <w:sz w:val="20"/>
              </w:rPr>
              <w:t>28</w:t>
            </w:r>
          </w:p>
          <w:p w:rsidR="00AF2508" w:rsidRDefault="00AF2508">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12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132-144</w:t>
            </w:r>
          </w:p>
        </w:tc>
        <w:tc>
          <w:tcPr>
            <w:tcW w:w="933" w:type="dxa"/>
            <w:tcBorders>
              <w:top w:val="single" w:sz="6" w:space="0" w:color="auto"/>
              <w:bottom w:val="single" w:sz="6" w:space="0" w:color="auto"/>
            </w:tcBorders>
          </w:tcPr>
          <w:p w:rsidR="00AF2508" w:rsidRDefault="00AF2508">
            <w:pPr>
              <w:pStyle w:val="TableText"/>
              <w:rPr>
                <w:sz w:val="20"/>
              </w:rPr>
            </w:pPr>
            <w:r>
              <w:rPr>
                <w:sz w:val="20"/>
              </w:rPr>
              <w:t>22-24</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59-64</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6min</w:t>
            </w:r>
          </w:p>
          <w:p w:rsidR="00AF2508" w:rsidRDefault="00AF2508">
            <w:pPr>
              <w:pStyle w:val="TableText"/>
              <w:rPr>
                <w:sz w:val="20"/>
              </w:rPr>
            </w:pPr>
            <w:r>
              <w:rPr>
                <w:sz w:val="20"/>
              </w:rPr>
              <w:t>6 to 12min</w:t>
            </w:r>
          </w:p>
          <w:p w:rsidR="00AF2508" w:rsidRDefault="00AF2508">
            <w:pPr>
              <w:pStyle w:val="TableText"/>
              <w:rPr>
                <w:sz w:val="20"/>
              </w:rPr>
            </w:pPr>
            <w:r>
              <w:rPr>
                <w:sz w:val="20"/>
              </w:rPr>
              <w:t>12 to 16min</w:t>
            </w:r>
          </w:p>
          <w:p w:rsidR="00AF2508" w:rsidRDefault="00AF2508">
            <w:pPr>
              <w:pStyle w:val="TableText"/>
              <w:rPr>
                <w:sz w:val="20"/>
              </w:rPr>
            </w:pPr>
            <w:r>
              <w:rPr>
                <w:sz w:val="20"/>
              </w:rPr>
              <w:t>16 to 20min</w:t>
            </w:r>
          </w:p>
          <w:p w:rsidR="00AF2508" w:rsidRDefault="00AF2508">
            <w:pPr>
              <w:pStyle w:val="TableText"/>
              <w:rPr>
                <w:sz w:val="20"/>
              </w:rPr>
            </w:pPr>
            <w:r>
              <w:rPr>
                <w:sz w:val="20"/>
              </w:rPr>
              <w:t>20 to 25min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1</w:t>
            </w:r>
          </w:p>
          <w:p w:rsidR="00AF2508" w:rsidRDefault="00AF2508">
            <w:pPr>
              <w:pStyle w:val="TableText"/>
              <w:rPr>
                <w:sz w:val="20"/>
              </w:rPr>
            </w:pPr>
            <w:r>
              <w:rPr>
                <w:sz w:val="20"/>
              </w:rPr>
              <w:t>2</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4</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12</w:t>
            </w:r>
          </w:p>
        </w:tc>
        <w:tc>
          <w:tcPr>
            <w:tcW w:w="1044" w:type="dxa"/>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16</w:t>
            </w:r>
          </w:p>
          <w:p w:rsidR="00AF2508" w:rsidRDefault="00AF2508">
            <w:pPr>
              <w:pStyle w:val="TableText"/>
              <w:rPr>
                <w:sz w:val="20"/>
              </w:rPr>
            </w:pPr>
            <w:r>
              <w:rPr>
                <w:sz w:val="20"/>
              </w:rPr>
              <w:t>21</w:t>
            </w:r>
          </w:p>
          <w:p w:rsidR="00AF2508" w:rsidRDefault="00AF2508">
            <w:pPr>
              <w:pStyle w:val="TableText"/>
              <w:rPr>
                <w:sz w:val="20"/>
              </w:rPr>
            </w:pPr>
            <w:r>
              <w:rPr>
                <w:sz w:val="20"/>
              </w:rPr>
              <w:t>26</w:t>
            </w:r>
          </w:p>
          <w:p w:rsidR="00AF2508" w:rsidRDefault="00AF2508">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12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144-156</w:t>
            </w:r>
          </w:p>
        </w:tc>
        <w:tc>
          <w:tcPr>
            <w:tcW w:w="933" w:type="dxa"/>
            <w:tcBorders>
              <w:top w:val="single" w:sz="6" w:space="0" w:color="auto"/>
              <w:bottom w:val="single" w:sz="6" w:space="0" w:color="auto"/>
            </w:tcBorders>
          </w:tcPr>
          <w:p w:rsidR="00AF2508" w:rsidRDefault="00AF2508">
            <w:pPr>
              <w:pStyle w:val="TableText"/>
              <w:rPr>
                <w:sz w:val="20"/>
              </w:rPr>
            </w:pPr>
            <w:r>
              <w:rPr>
                <w:sz w:val="20"/>
              </w:rPr>
              <w:t>24-26</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64</w:t>
            </w:r>
            <w:r>
              <w:rPr>
                <w:position w:val="4"/>
                <w:sz w:val="16"/>
              </w:rPr>
              <w:t>1</w:t>
            </w:r>
            <w:r>
              <w:rPr>
                <w:sz w:val="20"/>
              </w:rPr>
              <w:t>/</w:t>
            </w:r>
            <w:r>
              <w:rPr>
                <w:sz w:val="16"/>
              </w:rPr>
              <w:t>2</w:t>
            </w:r>
            <w:r>
              <w:rPr>
                <w:sz w:val="20"/>
              </w:rPr>
              <w:t>-70</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10min</w:t>
            </w:r>
          </w:p>
          <w:p w:rsidR="00AF2508" w:rsidRDefault="00AF2508">
            <w:pPr>
              <w:pStyle w:val="TableText"/>
              <w:rPr>
                <w:sz w:val="20"/>
              </w:rPr>
            </w:pPr>
            <w:r>
              <w:rPr>
                <w:sz w:val="20"/>
              </w:rPr>
              <w:t>10 to 15min</w:t>
            </w:r>
          </w:p>
          <w:p w:rsidR="00AF2508" w:rsidRDefault="00AF2508">
            <w:pPr>
              <w:pStyle w:val="TableText"/>
              <w:rPr>
                <w:sz w:val="20"/>
              </w:rPr>
            </w:pPr>
            <w:r>
              <w:rPr>
                <w:sz w:val="20"/>
              </w:rPr>
              <w:t>15 to 20min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1</w:t>
            </w:r>
          </w:p>
          <w:p w:rsidR="00AF2508" w:rsidRDefault="00AF2508">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5</w:t>
            </w:r>
          </w:p>
          <w:p w:rsidR="00AF2508" w:rsidRDefault="00AF2508">
            <w:pPr>
              <w:pStyle w:val="TableText"/>
              <w:rPr>
                <w:sz w:val="20"/>
              </w:rPr>
            </w:pPr>
            <w:r>
              <w:rPr>
                <w:sz w:val="20"/>
              </w:rPr>
              <w:t>7</w:t>
            </w:r>
          </w:p>
          <w:p w:rsidR="00AF2508" w:rsidRDefault="00AF2508">
            <w:pPr>
              <w:pStyle w:val="TableText"/>
              <w:rPr>
                <w:sz w:val="20"/>
              </w:rPr>
            </w:pPr>
            <w:r>
              <w:rPr>
                <w:sz w:val="20"/>
              </w:rPr>
              <w:t>8</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1044" w:type="dxa"/>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16</w:t>
            </w:r>
          </w:p>
          <w:p w:rsidR="00AF2508" w:rsidRDefault="00AF2508">
            <w:pPr>
              <w:pStyle w:val="TableText"/>
              <w:rPr>
                <w:sz w:val="20"/>
              </w:rPr>
            </w:pPr>
            <w:r>
              <w:rPr>
                <w:sz w:val="20"/>
              </w:rPr>
              <w:t>23</w:t>
            </w:r>
          </w:p>
          <w:p w:rsidR="00AF2508" w:rsidRDefault="00AF2508">
            <w:pPr>
              <w:pStyle w:val="TableText"/>
              <w:rPr>
                <w:sz w:val="20"/>
              </w:rPr>
            </w:pPr>
            <w:r>
              <w:rPr>
                <w:sz w:val="20"/>
              </w:rPr>
              <w:t>31</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25</w:t>
            </w:r>
          </w:p>
        </w:tc>
        <w:tc>
          <w:tcPr>
            <w:tcW w:w="1083" w:type="dxa"/>
            <w:tcBorders>
              <w:top w:val="single" w:sz="6" w:space="0" w:color="auto"/>
              <w:bottom w:val="single" w:sz="6" w:space="0" w:color="auto"/>
            </w:tcBorders>
          </w:tcPr>
          <w:p w:rsidR="00AF2508" w:rsidRDefault="00AF2508">
            <w:pPr>
              <w:pStyle w:val="TableText"/>
              <w:rPr>
                <w:sz w:val="20"/>
              </w:rPr>
            </w:pPr>
            <w:r>
              <w:rPr>
                <w:sz w:val="20"/>
              </w:rPr>
              <w:t>12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156-168</w:t>
            </w:r>
          </w:p>
        </w:tc>
        <w:tc>
          <w:tcPr>
            <w:tcW w:w="933" w:type="dxa"/>
            <w:tcBorders>
              <w:top w:val="single" w:sz="6" w:space="0" w:color="auto"/>
              <w:bottom w:val="single" w:sz="6" w:space="0" w:color="auto"/>
            </w:tcBorders>
          </w:tcPr>
          <w:p w:rsidR="00AF2508" w:rsidRDefault="00AF2508">
            <w:pPr>
              <w:pStyle w:val="TableText"/>
              <w:rPr>
                <w:sz w:val="20"/>
              </w:rPr>
            </w:pPr>
            <w:r>
              <w:rPr>
                <w:sz w:val="20"/>
              </w:rPr>
              <w:t>26-28</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70-75</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10min</w:t>
            </w:r>
          </w:p>
          <w:p w:rsidR="00AF2508" w:rsidRDefault="00AF2508">
            <w:pPr>
              <w:pStyle w:val="TableText"/>
              <w:rPr>
                <w:sz w:val="20"/>
              </w:rPr>
            </w:pPr>
            <w:r>
              <w:rPr>
                <w:sz w:val="20"/>
              </w:rPr>
              <w:t>10 to 13min</w:t>
            </w:r>
          </w:p>
          <w:p w:rsidR="00AF2508" w:rsidRDefault="00AF2508">
            <w:pPr>
              <w:pStyle w:val="TableText"/>
              <w:rPr>
                <w:sz w:val="20"/>
              </w:rPr>
            </w:pPr>
            <w:r>
              <w:rPr>
                <w:sz w:val="20"/>
              </w:rPr>
              <w:t>13 to 16min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1</w:t>
            </w:r>
          </w:p>
          <w:p w:rsidR="00AF2508" w:rsidRDefault="00AF2508">
            <w:pPr>
              <w:pStyle w:val="TableText"/>
              <w:rPr>
                <w:sz w:val="20"/>
              </w:rPr>
            </w:pPr>
            <w:r>
              <w:rPr>
                <w:sz w:val="20"/>
              </w:rPr>
              <w:t>2</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2</w:t>
            </w:r>
          </w:p>
          <w:p w:rsidR="00AF2508" w:rsidRDefault="00AF2508">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5</w:t>
            </w:r>
          </w:p>
          <w:p w:rsidR="00AF2508" w:rsidRDefault="00AF2508">
            <w:pPr>
              <w:pStyle w:val="TableText"/>
              <w:rPr>
                <w:sz w:val="20"/>
              </w:rPr>
            </w:pPr>
            <w:r>
              <w:rPr>
                <w:sz w:val="20"/>
              </w:rPr>
              <w:t>6</w:t>
            </w:r>
          </w:p>
          <w:p w:rsidR="00AF2508" w:rsidRDefault="00AF2508">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1044" w:type="dxa"/>
            <w:tcBorders>
              <w:top w:val="single" w:sz="6" w:space="0" w:color="auto"/>
              <w:bottom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18</w:t>
            </w:r>
          </w:p>
          <w:p w:rsidR="00AF2508" w:rsidRDefault="00AF2508">
            <w:pPr>
              <w:pStyle w:val="TableText"/>
              <w:rPr>
                <w:sz w:val="20"/>
              </w:rPr>
            </w:pPr>
            <w:r>
              <w:rPr>
                <w:sz w:val="20"/>
              </w:rPr>
              <w:t>24</w:t>
            </w:r>
          </w:p>
          <w:p w:rsidR="00AF2508" w:rsidRDefault="00AF2508">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1083" w:type="dxa"/>
            <w:tcBorders>
              <w:top w:val="single" w:sz="6" w:space="0" w:color="auto"/>
              <w:bottom w:val="single" w:sz="6" w:space="0" w:color="auto"/>
            </w:tcBorders>
          </w:tcPr>
          <w:p w:rsidR="00AF2508" w:rsidRDefault="00AF2508">
            <w:pPr>
              <w:pStyle w:val="TableText"/>
              <w:rPr>
                <w:sz w:val="20"/>
              </w:rPr>
            </w:pPr>
            <w:r>
              <w:rPr>
                <w:sz w:val="20"/>
              </w:rPr>
              <w:t>12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168-180</w:t>
            </w:r>
          </w:p>
        </w:tc>
        <w:tc>
          <w:tcPr>
            <w:tcW w:w="933" w:type="dxa"/>
            <w:tcBorders>
              <w:top w:val="single" w:sz="6" w:space="0" w:color="auto"/>
              <w:bottom w:val="single" w:sz="6" w:space="0" w:color="auto"/>
            </w:tcBorders>
          </w:tcPr>
          <w:p w:rsidR="00AF2508" w:rsidRDefault="00AF2508">
            <w:pPr>
              <w:pStyle w:val="TableText"/>
              <w:rPr>
                <w:sz w:val="20"/>
              </w:rPr>
            </w:pPr>
            <w:r>
              <w:rPr>
                <w:sz w:val="20"/>
              </w:rPr>
              <w:t>28-30</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75-80</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9min</w:t>
            </w:r>
          </w:p>
          <w:p w:rsidR="00AF2508" w:rsidRDefault="00AF2508">
            <w:pPr>
              <w:pStyle w:val="TableText"/>
              <w:rPr>
                <w:sz w:val="20"/>
              </w:rPr>
            </w:pPr>
            <w:r>
              <w:rPr>
                <w:sz w:val="20"/>
              </w:rPr>
              <w:t>9 to 12min</w:t>
            </w:r>
          </w:p>
          <w:p w:rsidR="00AF2508" w:rsidRDefault="00AF2508">
            <w:pPr>
              <w:pStyle w:val="TableText"/>
              <w:rPr>
                <w:sz w:val="20"/>
              </w:rPr>
            </w:pPr>
            <w:r>
              <w:rPr>
                <w:sz w:val="20"/>
              </w:rPr>
              <w:t>12 to 14min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2</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6</w:t>
            </w:r>
          </w:p>
          <w:p w:rsidR="00AF2508" w:rsidRDefault="00AF2508">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1044" w:type="dxa"/>
            <w:tcBorders>
              <w:top w:val="single" w:sz="6" w:space="0" w:color="auto"/>
              <w:bottom w:val="single" w:sz="6" w:space="0" w:color="auto"/>
            </w:tcBorders>
          </w:tcPr>
          <w:p w:rsidR="00AF2508" w:rsidRDefault="00AF2508">
            <w:pPr>
              <w:pStyle w:val="TableText"/>
              <w:rPr>
                <w:sz w:val="20"/>
              </w:rPr>
            </w:pPr>
            <w:r>
              <w:rPr>
                <w:sz w:val="20"/>
              </w:rPr>
              <w:t>11</w:t>
            </w:r>
          </w:p>
          <w:p w:rsidR="00AF2508" w:rsidRDefault="00AF2508">
            <w:pPr>
              <w:pStyle w:val="TableText"/>
              <w:rPr>
                <w:sz w:val="20"/>
              </w:rPr>
            </w:pPr>
            <w:r>
              <w:rPr>
                <w:sz w:val="20"/>
              </w:rPr>
              <w:t>18</w:t>
            </w:r>
          </w:p>
          <w:p w:rsidR="00AF2508" w:rsidRDefault="00AF2508">
            <w:pPr>
              <w:pStyle w:val="TableText"/>
              <w:rPr>
                <w:sz w:val="20"/>
              </w:rPr>
            </w:pPr>
            <w:r>
              <w:rPr>
                <w:sz w:val="20"/>
              </w:rPr>
              <w:t>24</w:t>
            </w:r>
          </w:p>
          <w:p w:rsidR="00AF2508" w:rsidRDefault="00AF2508">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1083" w:type="dxa"/>
            <w:tcBorders>
              <w:top w:val="single" w:sz="6" w:space="0" w:color="auto"/>
              <w:bottom w:val="single" w:sz="6" w:space="0" w:color="auto"/>
            </w:tcBorders>
          </w:tcPr>
          <w:p w:rsidR="00AF2508" w:rsidRDefault="00AF2508">
            <w:pPr>
              <w:pStyle w:val="TableText"/>
              <w:rPr>
                <w:sz w:val="20"/>
              </w:rPr>
            </w:pPr>
            <w:r>
              <w:rPr>
                <w:sz w:val="20"/>
              </w:rPr>
              <w:t>12</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180-192‡</w:t>
            </w:r>
          </w:p>
        </w:tc>
        <w:tc>
          <w:tcPr>
            <w:tcW w:w="933" w:type="dxa"/>
            <w:tcBorders>
              <w:top w:val="single" w:sz="6" w:space="0" w:color="auto"/>
              <w:bottom w:val="single" w:sz="6" w:space="0" w:color="auto"/>
            </w:tcBorders>
          </w:tcPr>
          <w:p w:rsidR="00AF2508" w:rsidRDefault="00AF2508">
            <w:pPr>
              <w:pStyle w:val="TableText"/>
              <w:rPr>
                <w:sz w:val="20"/>
              </w:rPr>
            </w:pPr>
            <w:r>
              <w:rPr>
                <w:sz w:val="20"/>
              </w:rPr>
              <w:t>30-32</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80</w:t>
            </w:r>
            <w:r>
              <w:rPr>
                <w:position w:val="4"/>
                <w:sz w:val="16"/>
              </w:rPr>
              <w:t>1</w:t>
            </w:r>
            <w:r>
              <w:rPr>
                <w:sz w:val="20"/>
              </w:rPr>
              <w:t>/</w:t>
            </w:r>
            <w:r>
              <w:rPr>
                <w:sz w:val="16"/>
              </w:rPr>
              <w:t>2</w:t>
            </w:r>
            <w:r>
              <w:rPr>
                <w:sz w:val="20"/>
              </w:rPr>
              <w:t>-86</w:t>
            </w:r>
          </w:p>
        </w:tc>
        <w:tc>
          <w:tcPr>
            <w:tcW w:w="1338"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up to 5min</w:t>
            </w:r>
          </w:p>
          <w:p w:rsidR="00AF2508" w:rsidRDefault="00AF2508">
            <w:pPr>
              <w:pStyle w:val="TableText"/>
              <w:rPr>
                <w:sz w:val="20"/>
              </w:rPr>
            </w:pPr>
            <w:r>
              <w:rPr>
                <w:sz w:val="20"/>
              </w:rPr>
              <w:t>5 to 10min</w:t>
            </w:r>
          </w:p>
          <w:p w:rsidR="00AF2508" w:rsidRDefault="00AF2508">
            <w:pPr>
              <w:pStyle w:val="TableText"/>
              <w:rPr>
                <w:sz w:val="20"/>
              </w:rPr>
            </w:pPr>
            <w:r>
              <w:rPr>
                <w:sz w:val="20"/>
              </w:rPr>
              <w:t>10 to 13min</w:t>
            </w:r>
          </w:p>
        </w:tc>
        <w:tc>
          <w:tcPr>
            <w:tcW w:w="600"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1</w:t>
            </w:r>
          </w:p>
          <w:p w:rsidR="00AF2508" w:rsidRDefault="00AF2508">
            <w:pPr>
              <w:pStyle w:val="TableText"/>
              <w:rPr>
                <w:sz w:val="20"/>
              </w:rPr>
            </w:pPr>
            <w:r>
              <w:rPr>
                <w:sz w:val="20"/>
              </w:rPr>
              <w:t>2</w:t>
            </w:r>
          </w:p>
        </w:tc>
        <w:tc>
          <w:tcPr>
            <w:tcW w:w="576" w:type="dxa"/>
            <w:tcBorders>
              <w:top w:val="single" w:sz="6" w:space="0" w:color="auto"/>
              <w:bottom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2</w:t>
            </w:r>
          </w:p>
          <w:p w:rsidR="00AF2508" w:rsidRDefault="00AF2508">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w:t>
            </w:r>
          </w:p>
          <w:p w:rsidR="00AF2508" w:rsidRDefault="00AF2508">
            <w:pPr>
              <w:pStyle w:val="TableText"/>
              <w:rPr>
                <w:sz w:val="20"/>
              </w:rPr>
            </w:pPr>
            <w:r>
              <w:rPr>
                <w:sz w:val="20"/>
              </w:rPr>
              <w:t>3</w:t>
            </w:r>
          </w:p>
          <w:p w:rsidR="00AF2508" w:rsidRDefault="00AF2508">
            <w:pPr>
              <w:pStyle w:val="TableText"/>
              <w:rPr>
                <w:sz w:val="20"/>
              </w:rPr>
            </w:pPr>
            <w:r>
              <w:rPr>
                <w:sz w:val="20"/>
              </w:rPr>
              <w:t>5</w:t>
            </w:r>
          </w:p>
        </w:tc>
        <w:tc>
          <w:tcPr>
            <w:tcW w:w="540" w:type="dxa"/>
            <w:tcBorders>
              <w:top w:val="single" w:sz="6" w:space="0" w:color="auto"/>
              <w:bottom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6</w:t>
            </w:r>
          </w:p>
          <w:p w:rsidR="00AF2508" w:rsidRDefault="00AF2508">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10</w:t>
            </w:r>
          </w:p>
        </w:tc>
        <w:tc>
          <w:tcPr>
            <w:tcW w:w="1044" w:type="dxa"/>
            <w:tcBorders>
              <w:top w:val="single" w:sz="6" w:space="0" w:color="auto"/>
              <w:bottom w:val="single" w:sz="6" w:space="0" w:color="auto"/>
            </w:tcBorders>
          </w:tcPr>
          <w:p w:rsidR="00AF2508" w:rsidRDefault="00AF2508">
            <w:pPr>
              <w:pStyle w:val="TableText"/>
              <w:rPr>
                <w:sz w:val="20"/>
              </w:rPr>
            </w:pPr>
            <w:r>
              <w:rPr>
                <w:sz w:val="20"/>
              </w:rPr>
              <w:t>12</w:t>
            </w:r>
          </w:p>
          <w:p w:rsidR="00AF2508" w:rsidRDefault="00AF2508">
            <w:pPr>
              <w:pStyle w:val="TableText"/>
              <w:rPr>
                <w:sz w:val="20"/>
              </w:rPr>
            </w:pPr>
            <w:r>
              <w:rPr>
                <w:sz w:val="20"/>
              </w:rPr>
              <w:t>23</w:t>
            </w:r>
          </w:p>
          <w:p w:rsidR="00AF2508" w:rsidRDefault="00AF2508">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1083" w:type="dxa"/>
            <w:tcBorders>
              <w:top w:val="single" w:sz="6" w:space="0" w:color="auto"/>
              <w:bottom w:val="single" w:sz="6" w:space="0" w:color="auto"/>
            </w:tcBorders>
          </w:tcPr>
          <w:p w:rsidR="00AF2508" w:rsidRDefault="00AF2508">
            <w:pPr>
              <w:pStyle w:val="TableText"/>
              <w:rPr>
                <w:sz w:val="20"/>
              </w:rPr>
            </w:pPr>
            <w:r>
              <w:rPr>
                <w:sz w:val="20"/>
              </w:rPr>
              <w:t>...</w:t>
            </w:r>
          </w:p>
        </w:tc>
      </w:tr>
      <w:tr w:rsidR="00AF2508">
        <w:tc>
          <w:tcPr>
            <w:tcW w:w="960" w:type="dxa"/>
            <w:tcBorders>
              <w:top w:val="single" w:sz="6" w:space="0" w:color="auto"/>
              <w:bottom w:val="single" w:sz="6" w:space="0" w:color="auto"/>
              <w:right w:val="single" w:sz="6" w:space="0" w:color="auto"/>
            </w:tcBorders>
          </w:tcPr>
          <w:p w:rsidR="00AF2508" w:rsidRDefault="00AF2508">
            <w:pPr>
              <w:pStyle w:val="TableText"/>
              <w:keepNext/>
              <w:rPr>
                <w:sz w:val="20"/>
              </w:rPr>
            </w:pPr>
            <w:r>
              <w:rPr>
                <w:sz w:val="20"/>
              </w:rPr>
              <w:t>192-204‡</w:t>
            </w:r>
          </w:p>
        </w:tc>
        <w:tc>
          <w:tcPr>
            <w:tcW w:w="933" w:type="dxa"/>
            <w:tcBorders>
              <w:top w:val="single" w:sz="6" w:space="0" w:color="auto"/>
              <w:bottom w:val="single" w:sz="6" w:space="0" w:color="auto"/>
            </w:tcBorders>
          </w:tcPr>
          <w:p w:rsidR="00AF2508" w:rsidRDefault="00AF2508">
            <w:pPr>
              <w:pStyle w:val="TableText"/>
              <w:keepNext/>
              <w:rPr>
                <w:sz w:val="20"/>
              </w:rPr>
            </w:pPr>
            <w:r>
              <w:rPr>
                <w:sz w:val="20"/>
              </w:rPr>
              <w:t>32-34</w:t>
            </w:r>
          </w:p>
        </w:tc>
        <w:tc>
          <w:tcPr>
            <w:tcW w:w="969" w:type="dxa"/>
            <w:tcBorders>
              <w:top w:val="single" w:sz="6" w:space="0" w:color="auto"/>
              <w:left w:val="single" w:sz="6" w:space="0" w:color="auto"/>
              <w:bottom w:val="single" w:sz="6" w:space="0" w:color="auto"/>
              <w:right w:val="single" w:sz="6" w:space="0" w:color="auto"/>
            </w:tcBorders>
          </w:tcPr>
          <w:p w:rsidR="00AF2508" w:rsidRDefault="00AF2508">
            <w:pPr>
              <w:pStyle w:val="TableText"/>
              <w:keepNext/>
              <w:rPr>
                <w:sz w:val="20"/>
              </w:rPr>
            </w:pPr>
            <w:r>
              <w:rPr>
                <w:sz w:val="20"/>
              </w:rPr>
              <w:t>86-91</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AF2508" w:rsidRDefault="00AF2508">
            <w:pPr>
              <w:pStyle w:val="TableText"/>
              <w:keepNext/>
              <w:rPr>
                <w:sz w:val="20"/>
              </w:rPr>
            </w:pPr>
            <w:r>
              <w:rPr>
                <w:sz w:val="20"/>
              </w:rPr>
              <w:t>up to 7min</w:t>
            </w:r>
          </w:p>
          <w:p w:rsidR="00AF2508" w:rsidRDefault="00AF2508">
            <w:pPr>
              <w:pStyle w:val="TableText"/>
              <w:keepNext/>
              <w:rPr>
                <w:sz w:val="20"/>
              </w:rPr>
            </w:pPr>
            <w:r>
              <w:rPr>
                <w:sz w:val="20"/>
              </w:rPr>
              <w:t>7 to 12min</w:t>
            </w:r>
          </w:p>
        </w:tc>
        <w:tc>
          <w:tcPr>
            <w:tcW w:w="600" w:type="dxa"/>
            <w:tcBorders>
              <w:top w:val="single" w:sz="6" w:space="0" w:color="auto"/>
              <w:bottom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2</w:t>
            </w:r>
          </w:p>
        </w:tc>
        <w:tc>
          <w:tcPr>
            <w:tcW w:w="600" w:type="dxa"/>
            <w:tcBorders>
              <w:top w:val="single" w:sz="6" w:space="0" w:color="auto"/>
              <w:left w:val="single" w:sz="6" w:space="0" w:color="auto"/>
              <w:bottom w:val="single" w:sz="6" w:space="0" w:color="auto"/>
              <w:right w:val="single" w:sz="6" w:space="0" w:color="auto"/>
            </w:tcBorders>
          </w:tcPr>
          <w:p w:rsidR="00AF2508" w:rsidRDefault="00AF2508">
            <w:pPr>
              <w:pStyle w:val="TableText"/>
              <w:keepNext/>
              <w:rPr>
                <w:sz w:val="20"/>
              </w:rPr>
            </w:pPr>
            <w:r>
              <w:rPr>
                <w:sz w:val="20"/>
              </w:rPr>
              <w:t>2</w:t>
            </w:r>
          </w:p>
          <w:p w:rsidR="00AF2508" w:rsidRDefault="00AF2508">
            <w:pPr>
              <w:pStyle w:val="TableText"/>
              <w:keepNext/>
              <w:rPr>
                <w:sz w:val="20"/>
              </w:rPr>
            </w:pPr>
            <w:r>
              <w:rPr>
                <w:sz w:val="20"/>
              </w:rPr>
              <w:t>2</w:t>
            </w:r>
          </w:p>
        </w:tc>
        <w:tc>
          <w:tcPr>
            <w:tcW w:w="576" w:type="dxa"/>
            <w:tcBorders>
              <w:top w:val="single" w:sz="6" w:space="0" w:color="auto"/>
              <w:bottom w:val="single" w:sz="6" w:space="0" w:color="auto"/>
            </w:tcBorders>
          </w:tcPr>
          <w:p w:rsidR="00AF2508" w:rsidRDefault="00AF2508">
            <w:pPr>
              <w:pStyle w:val="TableText"/>
              <w:keepNext/>
              <w:rPr>
                <w:sz w:val="20"/>
              </w:rPr>
            </w:pPr>
            <w:r>
              <w:rPr>
                <w:sz w:val="20"/>
              </w:rPr>
              <w:t>2</w:t>
            </w:r>
          </w:p>
          <w:p w:rsidR="00AF2508" w:rsidRDefault="00AF2508">
            <w:pPr>
              <w:pStyle w:val="TableText"/>
              <w:keepN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keepNext/>
              <w:rPr>
                <w:sz w:val="20"/>
              </w:rPr>
            </w:pPr>
            <w:r>
              <w:rPr>
                <w:sz w:val="20"/>
              </w:rPr>
              <w:t>3</w:t>
            </w:r>
          </w:p>
          <w:p w:rsidR="00AF2508" w:rsidRDefault="00AF2508">
            <w:pPr>
              <w:pStyle w:val="TableText"/>
              <w:keepNext/>
              <w:rPr>
                <w:sz w:val="20"/>
              </w:rPr>
            </w:pPr>
            <w:r>
              <w:rPr>
                <w:sz w:val="20"/>
              </w:rPr>
              <w:t>5</w:t>
            </w:r>
          </w:p>
        </w:tc>
        <w:tc>
          <w:tcPr>
            <w:tcW w:w="540" w:type="dxa"/>
            <w:tcBorders>
              <w:top w:val="single" w:sz="6" w:space="0" w:color="auto"/>
              <w:bottom w:val="single" w:sz="6" w:space="0" w:color="auto"/>
            </w:tcBorders>
          </w:tcPr>
          <w:p w:rsidR="00AF2508" w:rsidRDefault="00AF2508">
            <w:pPr>
              <w:pStyle w:val="TableText"/>
              <w:keepNext/>
              <w:rPr>
                <w:sz w:val="20"/>
              </w:rPr>
            </w:pPr>
            <w:r>
              <w:rPr>
                <w:sz w:val="20"/>
              </w:rPr>
              <w:t>5</w:t>
            </w:r>
          </w:p>
          <w:p w:rsidR="00AF2508" w:rsidRDefault="00AF2508">
            <w:pPr>
              <w:pStyle w:val="TableText"/>
              <w:keepN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AF2508" w:rsidRDefault="00AF2508">
            <w:pPr>
              <w:pStyle w:val="TableText"/>
              <w:keepNext/>
              <w:rPr>
                <w:sz w:val="20"/>
              </w:rPr>
            </w:pPr>
            <w:r>
              <w:rPr>
                <w:sz w:val="20"/>
              </w:rPr>
              <w:t>5</w:t>
            </w:r>
          </w:p>
          <w:p w:rsidR="00AF2508" w:rsidRDefault="00AF2508">
            <w:pPr>
              <w:pStyle w:val="TableText"/>
              <w:keepNext/>
              <w:rPr>
                <w:sz w:val="20"/>
              </w:rPr>
            </w:pPr>
            <w:r>
              <w:rPr>
                <w:sz w:val="20"/>
              </w:rPr>
              <w:t>10</w:t>
            </w:r>
          </w:p>
        </w:tc>
        <w:tc>
          <w:tcPr>
            <w:tcW w:w="1044" w:type="dxa"/>
            <w:tcBorders>
              <w:top w:val="single" w:sz="6" w:space="0" w:color="auto"/>
              <w:bottom w:val="single" w:sz="6" w:space="0" w:color="auto"/>
            </w:tcBorders>
          </w:tcPr>
          <w:p w:rsidR="00AF2508" w:rsidRDefault="00AF2508">
            <w:pPr>
              <w:pStyle w:val="TableText"/>
              <w:keepNext/>
              <w:rPr>
                <w:sz w:val="20"/>
              </w:rPr>
            </w:pPr>
            <w:r>
              <w:rPr>
                <w:sz w:val="20"/>
              </w:rPr>
              <w:t>20</w:t>
            </w:r>
          </w:p>
          <w:p w:rsidR="00AF2508" w:rsidRDefault="00AF2508">
            <w:pPr>
              <w:pStyle w:val="TableText"/>
              <w:keepN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1185" w:type="dxa"/>
            <w:tcBorders>
              <w:top w:val="single" w:sz="6" w:space="0" w:color="auto"/>
              <w:left w:val="single" w:sz="6" w:space="0" w:color="auto"/>
              <w:bottom w:val="single" w:sz="6" w:space="0" w:color="auto"/>
              <w:right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1083" w:type="dxa"/>
            <w:tcBorders>
              <w:top w:val="single" w:sz="6" w:space="0" w:color="auto"/>
              <w:bottom w:val="single" w:sz="6" w:space="0" w:color="auto"/>
            </w:tcBorders>
          </w:tcPr>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r>
    </w:tbl>
    <w:p w:rsidR="00AF2508" w:rsidRDefault="00AF2508">
      <w:pPr>
        <w:spacing w:before="120"/>
        <w:ind w:left="342" w:hanging="342"/>
        <w:rPr>
          <w:color w:val="000000"/>
          <w:sz w:val="20"/>
        </w:rPr>
      </w:pPr>
      <w:r>
        <w:rPr>
          <w:color w:val="000000"/>
          <w:sz w:val="20"/>
        </w:rPr>
        <w:t>*</w:t>
      </w:r>
      <w:r>
        <w:rPr>
          <w:color w:val="000000"/>
          <w:sz w:val="20"/>
        </w:rPr>
        <w:tab/>
        <w:t>These figures are based on a double-acting pump with cylinder diameter 4 inches, stroke 7</w:t>
      </w:r>
      <w:r>
        <w:rPr>
          <w:position w:val="4"/>
          <w:sz w:val="20"/>
        </w:rPr>
        <w:t>1</w:t>
      </w:r>
      <w:r>
        <w:rPr>
          <w:sz w:val="20"/>
        </w:rPr>
        <w:t>/2</w:t>
      </w:r>
      <w:r>
        <w:rPr>
          <w:color w:val="000000"/>
          <w:sz w:val="20"/>
        </w:rPr>
        <w:t>inches, working at 80% efficiency.</w:t>
      </w:r>
    </w:p>
    <w:p w:rsidR="00AF2508" w:rsidRDefault="00AF2508">
      <w:pPr>
        <w:spacing w:before="60"/>
        <w:ind w:left="342" w:hanging="342"/>
        <w:rPr>
          <w:color w:val="000000"/>
          <w:sz w:val="20"/>
        </w:rPr>
      </w:pPr>
      <w:r>
        <w:rPr>
          <w:color w:val="000000"/>
          <w:sz w:val="20"/>
        </w:rPr>
        <w:t>†</w:t>
      </w:r>
      <w:r>
        <w:rPr>
          <w:color w:val="000000"/>
          <w:sz w:val="20"/>
        </w:rPr>
        <w:tab/>
        <w:t>If 30 revolutions per minute cannot be maintained, another cylinder may be used instead.</w:t>
      </w:r>
    </w:p>
    <w:p w:rsidR="00AF2508" w:rsidRDefault="00AF2508">
      <w:pPr>
        <w:spacing w:before="60"/>
        <w:ind w:left="342" w:hanging="342"/>
        <w:rPr>
          <w:color w:val="000000"/>
          <w:sz w:val="20"/>
        </w:rPr>
      </w:pPr>
      <w:r>
        <w:rPr>
          <w:color w:val="000000"/>
          <w:sz w:val="20"/>
        </w:rPr>
        <w:t>‡</w:t>
      </w:r>
      <w:r>
        <w:rPr>
          <w:color w:val="000000"/>
          <w:sz w:val="20"/>
        </w:rPr>
        <w:tab/>
        <w:t>Handworked pumps are unsuitable at this depth.</w:t>
      </w:r>
    </w:p>
    <w:p w:rsidR="00AF2508" w:rsidRDefault="00AF2508"/>
    <w:p w:rsidR="00AF2508" w:rsidRDefault="00AF2508">
      <w:pPr>
        <w:pStyle w:val="TableHd"/>
      </w:pPr>
      <w:r>
        <w:t>Table 7.3</w:t>
      </w:r>
      <w:r>
        <w:tab/>
        <w:t xml:space="preserve">Decompression times for different periods of exposure to working pressure </w:t>
      </w:r>
    </w:p>
    <w:p w:rsidR="00AF2508" w:rsidRDefault="00AF2508">
      <w:pPr>
        <w:pStyle w:val="ref"/>
        <w:keepNext/>
      </w:pPr>
      <w:r>
        <w:t>(see s 100 (31) and s 101 (31))</w:t>
      </w:r>
    </w:p>
    <w:tbl>
      <w:tblPr>
        <w:tblW w:w="0" w:type="auto"/>
        <w:tblInd w:w="48" w:type="dxa"/>
        <w:tblLayout w:type="fixed"/>
        <w:tblCellMar>
          <w:left w:w="20" w:type="dxa"/>
          <w:right w:w="20" w:type="dxa"/>
        </w:tblCellMar>
        <w:tblLook w:val="0000" w:firstRow="0" w:lastRow="0" w:firstColumn="0" w:lastColumn="0" w:noHBand="0" w:noVBand="0"/>
      </w:tblPr>
      <w:tblGrid>
        <w:gridCol w:w="8"/>
        <w:gridCol w:w="780"/>
        <w:gridCol w:w="4"/>
        <w:gridCol w:w="600"/>
        <w:gridCol w:w="8"/>
        <w:gridCol w:w="504"/>
        <w:gridCol w:w="16"/>
        <w:gridCol w:w="420"/>
        <w:gridCol w:w="20"/>
        <w:gridCol w:w="4"/>
        <w:gridCol w:w="428"/>
        <w:gridCol w:w="16"/>
        <w:gridCol w:w="182"/>
        <w:gridCol w:w="262"/>
        <w:gridCol w:w="8"/>
        <w:gridCol w:w="468"/>
        <w:gridCol w:w="16"/>
        <w:gridCol w:w="106"/>
        <w:gridCol w:w="274"/>
        <w:gridCol w:w="16"/>
        <w:gridCol w:w="12"/>
        <w:gridCol w:w="488"/>
        <w:gridCol w:w="12"/>
        <w:gridCol w:w="16"/>
        <w:gridCol w:w="42"/>
        <w:gridCol w:w="362"/>
        <w:gridCol w:w="12"/>
        <w:gridCol w:w="4"/>
        <w:gridCol w:w="440"/>
        <w:gridCol w:w="12"/>
        <w:gridCol w:w="16"/>
        <w:gridCol w:w="14"/>
        <w:gridCol w:w="342"/>
        <w:gridCol w:w="16"/>
        <w:gridCol w:w="476"/>
        <w:gridCol w:w="28"/>
        <w:gridCol w:w="392"/>
        <w:gridCol w:w="4"/>
        <w:gridCol w:w="358"/>
        <w:gridCol w:w="118"/>
        <w:gridCol w:w="28"/>
        <w:gridCol w:w="12"/>
        <w:gridCol w:w="356"/>
        <w:gridCol w:w="16"/>
        <w:gridCol w:w="12"/>
        <w:gridCol w:w="452"/>
        <w:gridCol w:w="16"/>
        <w:gridCol w:w="16"/>
        <w:gridCol w:w="372"/>
        <w:gridCol w:w="4"/>
        <w:gridCol w:w="426"/>
        <w:gridCol w:w="6"/>
        <w:gridCol w:w="16"/>
        <w:gridCol w:w="16"/>
        <w:gridCol w:w="12"/>
        <w:gridCol w:w="364"/>
        <w:gridCol w:w="8"/>
        <w:gridCol w:w="12"/>
        <w:gridCol w:w="426"/>
        <w:gridCol w:w="34"/>
        <w:gridCol w:w="12"/>
        <w:gridCol w:w="360"/>
        <w:gridCol w:w="8"/>
        <w:gridCol w:w="446"/>
        <w:gridCol w:w="26"/>
        <w:gridCol w:w="8"/>
        <w:gridCol w:w="340"/>
        <w:gridCol w:w="32"/>
        <w:gridCol w:w="424"/>
        <w:gridCol w:w="56"/>
        <w:gridCol w:w="22"/>
      </w:tblGrid>
      <w:tr w:rsidR="00AF2508">
        <w:trPr>
          <w:cantSplit/>
          <w:tblHeader/>
        </w:trPr>
        <w:tc>
          <w:tcPr>
            <w:tcW w:w="792" w:type="dxa"/>
            <w:gridSpan w:val="3"/>
            <w:vMerge w:val="restart"/>
            <w:tcBorders>
              <w:top w:val="single" w:sz="6" w:space="0" w:color="auto"/>
              <w:right w:val="single" w:sz="6" w:space="0" w:color="auto"/>
            </w:tcBorders>
            <w:vAlign w:val="bottom"/>
          </w:tcPr>
          <w:p w:rsidR="00AF2508" w:rsidRDefault="00AF2508">
            <w:pPr>
              <w:pStyle w:val="TableColHd"/>
              <w:jc w:val="center"/>
              <w:rPr>
                <w:sz w:val="16"/>
              </w:rPr>
            </w:pPr>
            <w:r>
              <w:rPr>
                <w:sz w:val="16"/>
              </w:rPr>
              <w:t>gauge in the working chamber lb/in</w:t>
            </w:r>
            <w:r>
              <w:rPr>
                <w:sz w:val="16"/>
                <w:vertAlign w:val="superscript"/>
              </w:rPr>
              <w:t>2</w:t>
            </w:r>
          </w:p>
        </w:tc>
        <w:tc>
          <w:tcPr>
            <w:tcW w:w="1128" w:type="dxa"/>
            <w:gridSpan w:val="4"/>
            <w:tcBorders>
              <w:top w:val="single" w:sz="6" w:space="0" w:color="auto"/>
              <w:bottom w:val="single" w:sz="6" w:space="0" w:color="auto"/>
            </w:tcBorders>
            <w:vAlign w:val="bottom"/>
          </w:tcPr>
          <w:p w:rsidR="00AF2508" w:rsidRDefault="00AF2508">
            <w:pPr>
              <w:pStyle w:val="TableColHd"/>
              <w:jc w:val="center"/>
              <w:rPr>
                <w:sz w:val="16"/>
              </w:rPr>
            </w:pPr>
            <w:r>
              <w:rPr>
                <w:sz w:val="16"/>
              </w:rPr>
              <w:t>reduced at rate of 5 lb/in</w:t>
            </w:r>
            <w:r>
              <w:rPr>
                <w:sz w:val="16"/>
                <w:vertAlign w:val="superscript"/>
              </w:rPr>
              <w:t>2</w:t>
            </w:r>
            <w:r>
              <w:rPr>
                <w:sz w:val="16"/>
              </w:rPr>
              <w:t>/min</w:t>
            </w:r>
          </w:p>
        </w:tc>
        <w:tc>
          <w:tcPr>
            <w:tcW w:w="9692" w:type="dxa"/>
            <w:gridSpan w:val="64"/>
            <w:tcBorders>
              <w:top w:val="single" w:sz="6" w:space="0" w:color="auto"/>
              <w:bottom w:val="single" w:sz="6" w:space="0" w:color="auto"/>
            </w:tcBorders>
            <w:vAlign w:val="bottom"/>
          </w:tcPr>
          <w:p w:rsidR="00AF2508" w:rsidRDefault="00AF2508">
            <w:pPr>
              <w:pStyle w:val="TableColHd"/>
              <w:jc w:val="center"/>
              <w:rPr>
                <w:sz w:val="16"/>
              </w:rPr>
            </w:pPr>
            <w:r>
              <w:rPr>
                <w:sz w:val="16"/>
              </w:rPr>
              <w:t>further uniform reduction to zero (gauge pressure)</w:t>
            </w:r>
          </w:p>
        </w:tc>
      </w:tr>
      <w:tr w:rsidR="00AF2508">
        <w:trPr>
          <w:gridAfter w:val="1"/>
          <w:wAfter w:w="22" w:type="dxa"/>
          <w:cantSplit/>
          <w:tblHeader/>
        </w:trPr>
        <w:tc>
          <w:tcPr>
            <w:tcW w:w="792" w:type="dxa"/>
            <w:gridSpan w:val="3"/>
            <w:vMerge/>
            <w:tcBorders>
              <w:right w:val="single" w:sz="6" w:space="0" w:color="auto"/>
            </w:tcBorders>
            <w:vAlign w:val="bottom"/>
          </w:tcPr>
          <w:p w:rsidR="00AF2508" w:rsidRDefault="00AF2508">
            <w:pPr>
              <w:pStyle w:val="TableColHd"/>
            </w:pPr>
          </w:p>
        </w:tc>
        <w:tc>
          <w:tcPr>
            <w:tcW w:w="600" w:type="dxa"/>
            <w:vMerge w:val="restart"/>
            <w:vAlign w:val="bottom"/>
          </w:tcPr>
          <w:p w:rsidR="00AF2508" w:rsidRDefault="00AF2508">
            <w:pPr>
              <w:pStyle w:val="TableColHd"/>
              <w:jc w:val="center"/>
              <w:rPr>
                <w:sz w:val="14"/>
              </w:rPr>
            </w:pPr>
            <w:r>
              <w:rPr>
                <w:sz w:val="14"/>
              </w:rPr>
              <w:t>to gauge pres-sure of lb/in</w:t>
            </w:r>
            <w:r>
              <w:rPr>
                <w:sz w:val="14"/>
                <w:vertAlign w:val="superscript"/>
              </w:rPr>
              <w:t>2</w:t>
            </w:r>
          </w:p>
        </w:tc>
        <w:tc>
          <w:tcPr>
            <w:tcW w:w="528" w:type="dxa"/>
            <w:gridSpan w:val="3"/>
            <w:vMerge w:val="restart"/>
            <w:tcBorders>
              <w:left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1070" w:type="dxa"/>
            <w:gridSpan w:val="6"/>
            <w:tcBorders>
              <w:bottom w:val="single" w:sz="6" w:space="0" w:color="auto"/>
            </w:tcBorders>
            <w:vAlign w:val="bottom"/>
          </w:tcPr>
          <w:p w:rsidR="00AF2508" w:rsidRDefault="00AF2508">
            <w:pPr>
              <w:pStyle w:val="TableColHd"/>
              <w:jc w:val="center"/>
              <w:rPr>
                <w:sz w:val="16"/>
              </w:rPr>
            </w:pPr>
            <w:r>
              <w:rPr>
                <w:sz w:val="16"/>
              </w:rPr>
              <w:t>for periods of 6h or more</w:t>
            </w:r>
          </w:p>
        </w:tc>
        <w:tc>
          <w:tcPr>
            <w:tcW w:w="860" w:type="dxa"/>
            <w:gridSpan w:val="5"/>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4h</w:t>
            </w:r>
          </w:p>
        </w:tc>
        <w:tc>
          <w:tcPr>
            <w:tcW w:w="860" w:type="dxa"/>
            <w:gridSpan w:val="7"/>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3h</w:t>
            </w:r>
          </w:p>
        </w:tc>
        <w:tc>
          <w:tcPr>
            <w:tcW w:w="860" w:type="dxa"/>
            <w:gridSpan w:val="7"/>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2</w:t>
            </w:r>
            <w:r>
              <w:rPr>
                <w:position w:val="4"/>
                <w:sz w:val="16"/>
              </w:rPr>
              <w:t>1</w:t>
            </w:r>
            <w:r>
              <w:rPr>
                <w:sz w:val="16"/>
              </w:rPr>
              <w:t>/4h</w:t>
            </w:r>
          </w:p>
        </w:tc>
        <w:tc>
          <w:tcPr>
            <w:tcW w:w="860" w:type="dxa"/>
            <w:gridSpan w:val="4"/>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2h</w:t>
            </w:r>
          </w:p>
        </w:tc>
        <w:tc>
          <w:tcPr>
            <w:tcW w:w="754"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1</w:t>
            </w:r>
            <w:r>
              <w:rPr>
                <w:position w:val="4"/>
                <w:sz w:val="16"/>
              </w:rPr>
              <w:t>3</w:t>
            </w:r>
            <w:r>
              <w:rPr>
                <w:sz w:val="16"/>
              </w:rPr>
              <w:t>/4h</w:t>
            </w:r>
          </w:p>
        </w:tc>
        <w:tc>
          <w:tcPr>
            <w:tcW w:w="1024" w:type="dxa"/>
            <w:gridSpan w:val="9"/>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1</w:t>
            </w:r>
            <w:r>
              <w:rPr>
                <w:position w:val="4"/>
                <w:sz w:val="16"/>
              </w:rPr>
              <w:t>1</w:t>
            </w:r>
            <w:r>
              <w:rPr>
                <w:sz w:val="16"/>
              </w:rPr>
              <w:t>/2h</w:t>
            </w:r>
          </w:p>
        </w:tc>
        <w:tc>
          <w:tcPr>
            <w:tcW w:w="802"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1</w:t>
            </w:r>
            <w:r>
              <w:rPr>
                <w:position w:val="4"/>
                <w:sz w:val="16"/>
              </w:rPr>
              <w:t>1</w:t>
            </w:r>
            <w:r>
              <w:rPr>
                <w:sz w:val="16"/>
              </w:rPr>
              <w:t>/4h</w:t>
            </w:r>
          </w:p>
        </w:tc>
        <w:tc>
          <w:tcPr>
            <w:tcW w:w="860" w:type="dxa"/>
            <w:gridSpan w:val="8"/>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for periods of 1h</w:t>
            </w:r>
          </w:p>
        </w:tc>
        <w:tc>
          <w:tcPr>
            <w:tcW w:w="860" w:type="dxa"/>
            <w:gridSpan w:val="5"/>
            <w:tcBorders>
              <w:left w:val="single" w:sz="6" w:space="0" w:color="auto"/>
              <w:bottom w:val="single" w:sz="6" w:space="0" w:color="auto"/>
              <w:right w:val="single" w:sz="6" w:space="0" w:color="auto"/>
            </w:tcBorders>
            <w:vAlign w:val="bottom"/>
          </w:tcPr>
          <w:p w:rsidR="00AF2508" w:rsidRDefault="00AF2508">
            <w:pPr>
              <w:pStyle w:val="TableColHd"/>
              <w:jc w:val="center"/>
              <w:rPr>
                <w:sz w:val="16"/>
              </w:rPr>
            </w:pPr>
            <w:r>
              <w:rPr>
                <w:sz w:val="16"/>
              </w:rPr>
              <w:t xml:space="preserve">for periods of </w:t>
            </w:r>
            <w:r>
              <w:rPr>
                <w:position w:val="4"/>
                <w:sz w:val="16"/>
              </w:rPr>
              <w:t>3</w:t>
            </w:r>
            <w:r>
              <w:rPr>
                <w:sz w:val="16"/>
              </w:rPr>
              <w:t>/4h</w:t>
            </w:r>
          </w:p>
        </w:tc>
        <w:tc>
          <w:tcPr>
            <w:tcW w:w="860" w:type="dxa"/>
            <w:gridSpan w:val="6"/>
            <w:tcBorders>
              <w:bottom w:val="single" w:sz="6" w:space="0" w:color="auto"/>
            </w:tcBorders>
            <w:vAlign w:val="bottom"/>
          </w:tcPr>
          <w:p w:rsidR="00AF2508" w:rsidRDefault="00AF2508">
            <w:pPr>
              <w:pStyle w:val="TableColHd"/>
              <w:jc w:val="center"/>
              <w:rPr>
                <w:sz w:val="16"/>
              </w:rPr>
            </w:pPr>
            <w:r>
              <w:rPr>
                <w:sz w:val="16"/>
              </w:rPr>
              <w:t xml:space="preserve">for periods of </w:t>
            </w:r>
            <w:r>
              <w:rPr>
                <w:position w:val="4"/>
                <w:sz w:val="16"/>
              </w:rPr>
              <w:t>1</w:t>
            </w:r>
            <w:r>
              <w:rPr>
                <w:sz w:val="16"/>
              </w:rPr>
              <w:t>/2h</w:t>
            </w:r>
          </w:p>
        </w:tc>
      </w:tr>
      <w:tr w:rsidR="00AF2508">
        <w:trPr>
          <w:gridAfter w:val="1"/>
          <w:wAfter w:w="20" w:type="dxa"/>
          <w:cantSplit/>
          <w:tblHeader/>
        </w:trPr>
        <w:tc>
          <w:tcPr>
            <w:tcW w:w="792" w:type="dxa"/>
            <w:gridSpan w:val="3"/>
            <w:vMerge/>
            <w:tcBorders>
              <w:bottom w:val="single" w:sz="6" w:space="0" w:color="auto"/>
              <w:right w:val="single" w:sz="6" w:space="0" w:color="auto"/>
            </w:tcBorders>
            <w:vAlign w:val="bottom"/>
          </w:tcPr>
          <w:p w:rsidR="00AF2508" w:rsidRDefault="00AF2508">
            <w:pPr>
              <w:pStyle w:val="TableColHd"/>
            </w:pPr>
          </w:p>
        </w:tc>
        <w:tc>
          <w:tcPr>
            <w:tcW w:w="600" w:type="dxa"/>
            <w:vMerge/>
            <w:tcBorders>
              <w:bottom w:val="single" w:sz="6" w:space="0" w:color="auto"/>
            </w:tcBorders>
            <w:vAlign w:val="bottom"/>
          </w:tcPr>
          <w:p w:rsidR="00AF2508" w:rsidRDefault="00AF2508">
            <w:pPr>
              <w:pStyle w:val="TableColHd"/>
            </w:pPr>
          </w:p>
        </w:tc>
        <w:tc>
          <w:tcPr>
            <w:tcW w:w="528" w:type="dxa"/>
            <w:gridSpan w:val="3"/>
            <w:vMerge/>
            <w:tcBorders>
              <w:left w:val="single" w:sz="6" w:space="0" w:color="auto"/>
              <w:bottom w:val="single" w:sz="6" w:space="0" w:color="auto"/>
              <w:right w:val="single" w:sz="6" w:space="0" w:color="auto"/>
            </w:tcBorders>
            <w:vAlign w:val="bottom"/>
          </w:tcPr>
          <w:p w:rsidR="00AF2508" w:rsidRDefault="00AF2508">
            <w:pPr>
              <w:pStyle w:val="TableColHd"/>
            </w:pPr>
          </w:p>
        </w:tc>
        <w:tc>
          <w:tcPr>
            <w:tcW w:w="420" w:type="dxa"/>
            <w:tcBorders>
              <w:bottom w:val="single" w:sz="6" w:space="0" w:color="auto"/>
            </w:tcBorders>
            <w:vAlign w:val="bottom"/>
          </w:tcPr>
          <w:p w:rsidR="00AF2508" w:rsidRDefault="00AF2508">
            <w:pPr>
              <w:pStyle w:val="TableColHd"/>
              <w:jc w:val="center"/>
              <w:rPr>
                <w:sz w:val="14"/>
              </w:rPr>
            </w:pPr>
            <w:r>
              <w:rPr>
                <w:sz w:val="14"/>
              </w:rPr>
              <w:t>time in min</w:t>
            </w:r>
          </w:p>
        </w:tc>
        <w:tc>
          <w:tcPr>
            <w:tcW w:w="468" w:type="dxa"/>
            <w:gridSpan w:val="4"/>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444" w:type="dxa"/>
            <w:gridSpan w:val="2"/>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92"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408" w:type="dxa"/>
            <w:gridSpan w:val="4"/>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516"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420" w:type="dxa"/>
            <w:gridSpan w:val="4"/>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68"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72"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504" w:type="dxa"/>
            <w:gridSpan w:val="2"/>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96" w:type="dxa"/>
            <w:gridSpan w:val="2"/>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516" w:type="dxa"/>
            <w:gridSpan w:val="4"/>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84"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80"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72" w:type="dxa"/>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80" w:type="dxa"/>
            <w:gridSpan w:val="6"/>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72" w:type="dxa"/>
            <w:gridSpan w:val="2"/>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80" w:type="dxa"/>
            <w:gridSpan w:val="4"/>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60" w:type="dxa"/>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80"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min/lb</w:t>
            </w:r>
          </w:p>
        </w:tc>
        <w:tc>
          <w:tcPr>
            <w:tcW w:w="380" w:type="dxa"/>
            <w:gridSpan w:val="3"/>
            <w:tcBorders>
              <w:left w:val="single" w:sz="6" w:space="0" w:color="auto"/>
              <w:bottom w:val="single" w:sz="6" w:space="0" w:color="auto"/>
              <w:right w:val="single" w:sz="6" w:space="0" w:color="auto"/>
            </w:tcBorders>
            <w:vAlign w:val="bottom"/>
          </w:tcPr>
          <w:p w:rsidR="00AF2508" w:rsidRDefault="00AF2508">
            <w:pPr>
              <w:pStyle w:val="TableColHd"/>
              <w:jc w:val="center"/>
              <w:rPr>
                <w:sz w:val="14"/>
              </w:rPr>
            </w:pPr>
            <w:r>
              <w:rPr>
                <w:sz w:val="14"/>
              </w:rPr>
              <w:t>time in min</w:t>
            </w:r>
          </w:p>
        </w:tc>
        <w:tc>
          <w:tcPr>
            <w:tcW w:w="460" w:type="dxa"/>
            <w:gridSpan w:val="2"/>
            <w:tcBorders>
              <w:bottom w:val="single" w:sz="6" w:space="0" w:color="auto"/>
            </w:tcBorders>
            <w:vAlign w:val="bottom"/>
          </w:tcPr>
          <w:p w:rsidR="00AF2508" w:rsidRDefault="00AF2508">
            <w:pPr>
              <w:pStyle w:val="TableColHd"/>
              <w:jc w:val="center"/>
              <w:rPr>
                <w:sz w:val="14"/>
              </w:rPr>
            </w:pPr>
            <w:r>
              <w:rPr>
                <w:sz w:val="14"/>
              </w:rPr>
              <w:t>min/lb</w:t>
            </w:r>
          </w:p>
        </w:tc>
      </w:tr>
      <w:tr w:rsidR="00AF2508">
        <w:trPr>
          <w:gridAfter w:val="1"/>
          <w:wAfter w:w="20" w:type="dxa"/>
        </w:trPr>
        <w:tc>
          <w:tcPr>
            <w:tcW w:w="792" w:type="dxa"/>
            <w:gridSpan w:val="3"/>
            <w:tcBorders>
              <w:top w:val="single" w:sz="6" w:space="0" w:color="auto"/>
              <w:right w:val="single" w:sz="6" w:space="0" w:color="auto"/>
            </w:tcBorders>
          </w:tcPr>
          <w:p w:rsidR="00AF2508" w:rsidRDefault="00AF2508">
            <w:pPr>
              <w:pStyle w:val="TableText"/>
              <w:rPr>
                <w:sz w:val="20"/>
              </w:rPr>
            </w:pPr>
            <w:r>
              <w:rPr>
                <w:sz w:val="20"/>
              </w:rPr>
              <w:t>18 or 19</w:t>
            </w:r>
            <w:r>
              <w:rPr>
                <w:sz w:val="20"/>
              </w:rPr>
              <w:tab/>
            </w:r>
          </w:p>
        </w:tc>
        <w:tc>
          <w:tcPr>
            <w:tcW w:w="600" w:type="dxa"/>
            <w:tcBorders>
              <w:top w:val="single" w:sz="6" w:space="0" w:color="auto"/>
            </w:tcBorders>
          </w:tcPr>
          <w:p w:rsidR="00AF2508" w:rsidRDefault="00AF2508">
            <w:pPr>
              <w:pStyle w:val="TableText"/>
              <w:rPr>
                <w:sz w:val="20"/>
              </w:rPr>
            </w:pPr>
            <w:r>
              <w:rPr>
                <w:sz w:val="20"/>
              </w:rPr>
              <w:t>2</w:t>
            </w:r>
          </w:p>
        </w:tc>
        <w:tc>
          <w:tcPr>
            <w:tcW w:w="528"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3</w:t>
            </w:r>
          </w:p>
        </w:tc>
        <w:tc>
          <w:tcPr>
            <w:tcW w:w="42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4</w:t>
            </w:r>
          </w:p>
        </w:tc>
        <w:tc>
          <w:tcPr>
            <w:tcW w:w="46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2.0</w:t>
            </w:r>
          </w:p>
        </w:tc>
        <w:tc>
          <w:tcPr>
            <w:tcW w:w="44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3</w:t>
            </w:r>
          </w:p>
        </w:tc>
        <w:tc>
          <w:tcPr>
            <w:tcW w:w="492"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1.5</w:t>
            </w:r>
          </w:p>
        </w:tc>
        <w:tc>
          <w:tcPr>
            <w:tcW w:w="40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3</w:t>
            </w:r>
          </w:p>
        </w:tc>
        <w:tc>
          <w:tcPr>
            <w:tcW w:w="516"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1.5</w:t>
            </w:r>
          </w:p>
        </w:tc>
        <w:tc>
          <w:tcPr>
            <w:tcW w:w="420"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2</w:t>
            </w:r>
          </w:p>
        </w:tc>
        <w:tc>
          <w:tcPr>
            <w:tcW w:w="468"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1.0</w:t>
            </w:r>
          </w:p>
        </w:tc>
        <w:tc>
          <w:tcPr>
            <w:tcW w:w="372"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2</w:t>
            </w:r>
          </w:p>
        </w:tc>
        <w:tc>
          <w:tcPr>
            <w:tcW w:w="50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1.0</w:t>
            </w:r>
          </w:p>
        </w:tc>
        <w:tc>
          <w:tcPr>
            <w:tcW w:w="396"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2</w:t>
            </w:r>
          </w:p>
        </w:tc>
        <w:tc>
          <w:tcPr>
            <w:tcW w:w="516"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1.0</w:t>
            </w:r>
          </w:p>
        </w:tc>
        <w:tc>
          <w:tcPr>
            <w:tcW w:w="38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tc>
        <w:tc>
          <w:tcPr>
            <w:tcW w:w="48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0.5</w:t>
            </w:r>
          </w:p>
        </w:tc>
        <w:tc>
          <w:tcPr>
            <w:tcW w:w="368"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tc>
        <w:tc>
          <w:tcPr>
            <w:tcW w:w="468" w:type="dxa"/>
            <w:gridSpan w:val="5"/>
            <w:tcBorders>
              <w:top w:val="single" w:sz="6" w:space="0" w:color="auto"/>
              <w:left w:val="single" w:sz="6" w:space="0" w:color="auto"/>
              <w:right w:val="single" w:sz="6" w:space="0" w:color="auto"/>
            </w:tcBorders>
          </w:tcPr>
          <w:p w:rsidR="00AF2508" w:rsidRDefault="00AF2508">
            <w:pPr>
              <w:pStyle w:val="TableText"/>
              <w:rPr>
                <w:sz w:val="20"/>
              </w:rPr>
            </w:pPr>
            <w:r>
              <w:rPr>
                <w:sz w:val="20"/>
              </w:rPr>
              <w:t>0.5</w:t>
            </w:r>
          </w:p>
        </w:tc>
        <w:tc>
          <w:tcPr>
            <w:tcW w:w="396"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tc>
        <w:tc>
          <w:tcPr>
            <w:tcW w:w="468"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0.5</w:t>
            </w:r>
          </w:p>
        </w:tc>
        <w:tc>
          <w:tcPr>
            <w:tcW w:w="360"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0.5</w:t>
            </w:r>
          </w:p>
        </w:tc>
        <w:tc>
          <w:tcPr>
            <w:tcW w:w="3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tc>
        <w:tc>
          <w:tcPr>
            <w:tcW w:w="460" w:type="dxa"/>
            <w:gridSpan w:val="2"/>
            <w:tcBorders>
              <w:top w:val="single" w:sz="6" w:space="0" w:color="auto"/>
            </w:tcBorders>
          </w:tcPr>
          <w:p w:rsidR="00AF2508" w:rsidRDefault="00AF2508">
            <w:pPr>
              <w:pStyle w:val="TableText"/>
              <w:rPr>
                <w:sz w:val="20"/>
              </w:rPr>
            </w:pPr>
            <w:r>
              <w:rPr>
                <w:sz w:val="20"/>
              </w:rPr>
              <w:t>0.5</w:t>
            </w:r>
          </w:p>
        </w:tc>
      </w:tr>
      <w:tr w:rsidR="00AF2508">
        <w:trPr>
          <w:gridAfter w:val="1"/>
          <w:wAfter w:w="12" w:type="dxa"/>
        </w:trPr>
        <w:tc>
          <w:tcPr>
            <w:tcW w:w="792" w:type="dxa"/>
            <w:gridSpan w:val="3"/>
            <w:tcBorders>
              <w:top w:val="single" w:sz="6" w:space="0" w:color="auto"/>
              <w:right w:val="single" w:sz="6" w:space="0" w:color="auto"/>
            </w:tcBorders>
          </w:tcPr>
          <w:p w:rsidR="00AF2508" w:rsidRDefault="00AF2508">
            <w:pPr>
              <w:pStyle w:val="TableText"/>
              <w:rPr>
                <w:sz w:val="20"/>
              </w:rPr>
            </w:pPr>
            <w:r>
              <w:rPr>
                <w:sz w:val="20"/>
              </w:rPr>
              <w:t>20 or 21</w:t>
            </w:r>
          </w:p>
          <w:p w:rsidR="00AF2508" w:rsidRDefault="00AF2508">
            <w:pPr>
              <w:pStyle w:val="TableText"/>
              <w:rPr>
                <w:sz w:val="20"/>
              </w:rPr>
            </w:pPr>
            <w:r>
              <w:rPr>
                <w:sz w:val="20"/>
              </w:rPr>
              <w:t>22 or 23</w:t>
            </w:r>
          </w:p>
          <w:p w:rsidR="00AF2508" w:rsidRDefault="00AF2508">
            <w:pPr>
              <w:pStyle w:val="TableText"/>
              <w:rPr>
                <w:sz w:val="20"/>
              </w:rPr>
            </w:pPr>
            <w:r>
              <w:rPr>
                <w:sz w:val="20"/>
              </w:rPr>
              <w:t>24 or 25</w:t>
            </w:r>
          </w:p>
          <w:p w:rsidR="00AF2508" w:rsidRDefault="00AF2508">
            <w:pPr>
              <w:pStyle w:val="TableText"/>
              <w:rPr>
                <w:sz w:val="20"/>
              </w:rPr>
            </w:pPr>
            <w:r>
              <w:rPr>
                <w:sz w:val="20"/>
              </w:rPr>
              <w:t>26 or 27</w:t>
            </w:r>
          </w:p>
          <w:p w:rsidR="00AF2508" w:rsidRDefault="00AF2508">
            <w:pPr>
              <w:pStyle w:val="TableText"/>
              <w:rPr>
                <w:sz w:val="20"/>
              </w:rPr>
            </w:pPr>
            <w:r>
              <w:rPr>
                <w:sz w:val="20"/>
              </w:rPr>
              <w:t>28 or 29</w:t>
            </w:r>
          </w:p>
        </w:tc>
        <w:tc>
          <w:tcPr>
            <w:tcW w:w="600" w:type="dxa"/>
            <w:tcBorders>
              <w:top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4</w:t>
            </w:r>
          </w:p>
          <w:p w:rsidR="00AF2508" w:rsidRDefault="00AF2508">
            <w:pPr>
              <w:pStyle w:val="TableText"/>
              <w:rPr>
                <w:sz w:val="20"/>
              </w:rPr>
            </w:pPr>
            <w:r>
              <w:rPr>
                <w:sz w:val="20"/>
              </w:rPr>
              <w:t>5</w:t>
            </w:r>
          </w:p>
          <w:p w:rsidR="00AF2508" w:rsidRDefault="00AF2508">
            <w:pPr>
              <w:pStyle w:val="TableText"/>
              <w:rPr>
                <w:sz w:val="20"/>
              </w:rPr>
            </w:pPr>
            <w:r>
              <w:rPr>
                <w:sz w:val="20"/>
              </w:rPr>
              <w:t>6</w:t>
            </w:r>
          </w:p>
          <w:p w:rsidR="00AF2508" w:rsidRDefault="00AF2508">
            <w:pPr>
              <w:pStyle w:val="TableText"/>
              <w:rPr>
                <w:sz w:val="20"/>
              </w:rPr>
            </w:pPr>
            <w:r>
              <w:rPr>
                <w:sz w:val="20"/>
              </w:rPr>
              <w:t>7</w:t>
            </w:r>
          </w:p>
        </w:tc>
        <w:tc>
          <w:tcPr>
            <w:tcW w:w="528"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4</w:t>
            </w:r>
          </w:p>
          <w:p w:rsidR="00AF2508" w:rsidRDefault="00AF2508">
            <w:pPr>
              <w:pStyle w:val="TableText"/>
              <w:rPr>
                <w:sz w:val="20"/>
              </w:rPr>
            </w:pPr>
            <w:r>
              <w:rPr>
                <w:sz w:val="20"/>
              </w:rPr>
              <w:t>4</w:t>
            </w:r>
          </w:p>
          <w:p w:rsidR="00AF2508" w:rsidRDefault="00AF2508">
            <w:pPr>
              <w:pStyle w:val="TableText"/>
              <w:rPr>
                <w:sz w:val="20"/>
              </w:rPr>
            </w:pPr>
            <w:r>
              <w:rPr>
                <w:sz w:val="20"/>
              </w:rPr>
              <w:t>4</w:t>
            </w:r>
          </w:p>
          <w:p w:rsidR="00AF2508" w:rsidRDefault="00AF2508">
            <w:pPr>
              <w:pStyle w:val="TableText"/>
              <w:rPr>
                <w:sz w:val="20"/>
              </w:rPr>
            </w:pPr>
            <w:r>
              <w:rPr>
                <w:sz w:val="20"/>
              </w:rPr>
              <w:t>4</w:t>
            </w:r>
          </w:p>
          <w:p w:rsidR="00AF2508" w:rsidRDefault="00AF2508">
            <w:pPr>
              <w:pStyle w:val="TableText"/>
              <w:rPr>
                <w:sz w:val="20"/>
              </w:rPr>
            </w:pPr>
            <w:r>
              <w:rPr>
                <w:sz w:val="20"/>
              </w:rPr>
              <w:t>4</w:t>
            </w:r>
          </w:p>
        </w:tc>
        <w:tc>
          <w:tcPr>
            <w:tcW w:w="44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12</w:t>
            </w:r>
          </w:p>
          <w:p w:rsidR="00AF2508" w:rsidRDefault="00AF2508">
            <w:pPr>
              <w:pStyle w:val="TableText"/>
              <w:rPr>
                <w:sz w:val="20"/>
              </w:rPr>
            </w:pPr>
            <w:r>
              <w:rPr>
                <w:sz w:val="20"/>
              </w:rPr>
              <w:t>23</w:t>
            </w:r>
          </w:p>
          <w:p w:rsidR="00AF2508" w:rsidRDefault="00AF2508">
            <w:pPr>
              <w:pStyle w:val="TableText"/>
              <w:rPr>
                <w:sz w:val="20"/>
              </w:rPr>
            </w:pPr>
            <w:r>
              <w:rPr>
                <w:sz w:val="20"/>
              </w:rPr>
              <w:t>34</w:t>
            </w:r>
          </w:p>
          <w:p w:rsidR="00AF2508" w:rsidRDefault="00AF2508">
            <w:pPr>
              <w:pStyle w:val="TableText"/>
              <w:rPr>
                <w:sz w:val="20"/>
              </w:rPr>
            </w:pPr>
            <w:r>
              <w:rPr>
                <w:sz w:val="20"/>
              </w:rPr>
              <w:t>45</w:t>
            </w:r>
          </w:p>
          <w:p w:rsidR="00AF2508" w:rsidRDefault="00AF2508">
            <w:pPr>
              <w:pStyle w:val="TableText"/>
              <w:rPr>
                <w:sz w:val="20"/>
              </w:rPr>
            </w:pPr>
            <w:r>
              <w:rPr>
                <w:sz w:val="20"/>
              </w:rPr>
              <w:t>55</w:t>
            </w:r>
          </w:p>
        </w:tc>
        <w:tc>
          <w:tcPr>
            <w:tcW w:w="44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4.0</w:t>
            </w:r>
          </w:p>
          <w:p w:rsidR="00AF2508" w:rsidRDefault="00AF2508">
            <w:pPr>
              <w:pStyle w:val="TableText"/>
              <w:rPr>
                <w:sz w:val="20"/>
              </w:rPr>
            </w:pPr>
            <w:r>
              <w:rPr>
                <w:sz w:val="20"/>
              </w:rPr>
              <w:t>5.7</w:t>
            </w:r>
          </w:p>
          <w:p w:rsidR="00AF2508" w:rsidRDefault="00AF2508">
            <w:pPr>
              <w:pStyle w:val="TableText"/>
              <w:rPr>
                <w:sz w:val="20"/>
              </w:rPr>
            </w:pPr>
            <w:r>
              <w:rPr>
                <w:sz w:val="20"/>
              </w:rPr>
              <w:t>6.8</w:t>
            </w:r>
          </w:p>
          <w:p w:rsidR="00AF2508" w:rsidRDefault="00AF2508">
            <w:pPr>
              <w:pStyle w:val="TableText"/>
              <w:rPr>
                <w:sz w:val="20"/>
              </w:rPr>
            </w:pPr>
            <w:r>
              <w:rPr>
                <w:sz w:val="20"/>
              </w:rPr>
              <w:t>7.5</w:t>
            </w:r>
          </w:p>
          <w:p w:rsidR="00AF2508" w:rsidRDefault="00AF2508">
            <w:pPr>
              <w:pStyle w:val="TableText"/>
              <w:rPr>
                <w:sz w:val="20"/>
              </w:rPr>
            </w:pPr>
            <w:r>
              <w:rPr>
                <w:sz w:val="20"/>
              </w:rPr>
              <w:t>7.9</w:t>
            </w:r>
          </w:p>
        </w:tc>
        <w:tc>
          <w:tcPr>
            <w:tcW w:w="44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15</w:t>
            </w:r>
          </w:p>
          <w:p w:rsidR="00AF2508" w:rsidRDefault="00AF2508">
            <w:pPr>
              <w:pStyle w:val="TableText"/>
              <w:rPr>
                <w:sz w:val="20"/>
              </w:rPr>
            </w:pPr>
            <w:r>
              <w:rPr>
                <w:sz w:val="20"/>
              </w:rPr>
              <w:t>25</w:t>
            </w:r>
          </w:p>
          <w:p w:rsidR="00AF2508" w:rsidRDefault="00AF2508">
            <w:pPr>
              <w:pStyle w:val="TableText"/>
              <w:rPr>
                <w:sz w:val="20"/>
              </w:rPr>
            </w:pPr>
            <w:r>
              <w:rPr>
                <w:sz w:val="20"/>
              </w:rPr>
              <w:t>36</w:t>
            </w:r>
          </w:p>
          <w:p w:rsidR="00AF2508" w:rsidRDefault="00AF2508">
            <w:pPr>
              <w:pStyle w:val="TableText"/>
              <w:rPr>
                <w:sz w:val="20"/>
              </w:rPr>
            </w:pPr>
            <w:r>
              <w:rPr>
                <w:sz w:val="20"/>
              </w:rPr>
              <w:t>46</w:t>
            </w:r>
          </w:p>
        </w:tc>
        <w:tc>
          <w:tcPr>
            <w:tcW w:w="476"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2.3</w:t>
            </w:r>
          </w:p>
          <w:p w:rsidR="00AF2508" w:rsidRDefault="00AF2508">
            <w:pPr>
              <w:pStyle w:val="TableText"/>
              <w:rPr>
                <w:sz w:val="20"/>
              </w:rPr>
            </w:pPr>
            <w:r>
              <w:rPr>
                <w:sz w:val="20"/>
              </w:rPr>
              <w:t>3.7</w:t>
            </w:r>
          </w:p>
          <w:p w:rsidR="00AF2508" w:rsidRDefault="00AF2508">
            <w:pPr>
              <w:pStyle w:val="TableText"/>
              <w:rPr>
                <w:sz w:val="20"/>
              </w:rPr>
            </w:pPr>
            <w:r>
              <w:rPr>
                <w:sz w:val="20"/>
              </w:rPr>
              <w:t>5.0</w:t>
            </w:r>
          </w:p>
          <w:p w:rsidR="00AF2508" w:rsidRDefault="00AF2508">
            <w:pPr>
              <w:pStyle w:val="TableText"/>
              <w:rPr>
                <w:sz w:val="20"/>
              </w:rPr>
            </w:pPr>
            <w:r>
              <w:rPr>
                <w:sz w:val="20"/>
              </w:rPr>
              <w:t>6.0</w:t>
            </w:r>
          </w:p>
          <w:p w:rsidR="00AF2508" w:rsidRDefault="00AF2508">
            <w:pPr>
              <w:pStyle w:val="TableText"/>
              <w:rPr>
                <w:sz w:val="20"/>
              </w:rPr>
            </w:pPr>
            <w:r>
              <w:rPr>
                <w:sz w:val="20"/>
              </w:rPr>
              <w:t>6.6</w:t>
            </w:r>
          </w:p>
        </w:tc>
        <w:tc>
          <w:tcPr>
            <w:tcW w:w="412"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6</w:t>
            </w:r>
          </w:p>
          <w:p w:rsidR="00AF2508" w:rsidRDefault="00AF2508">
            <w:pPr>
              <w:pStyle w:val="TableText"/>
              <w:rPr>
                <w:sz w:val="20"/>
              </w:rPr>
            </w:pPr>
            <w:r>
              <w:rPr>
                <w:sz w:val="20"/>
              </w:rPr>
              <w:t>12</w:t>
            </w:r>
          </w:p>
          <w:p w:rsidR="00AF2508" w:rsidRDefault="00AF2508">
            <w:pPr>
              <w:pStyle w:val="TableText"/>
              <w:rPr>
                <w:sz w:val="20"/>
              </w:rPr>
            </w:pPr>
            <w:r>
              <w:rPr>
                <w:sz w:val="20"/>
              </w:rPr>
              <w:t>19</w:t>
            </w:r>
          </w:p>
          <w:p w:rsidR="00AF2508" w:rsidRDefault="00AF2508">
            <w:pPr>
              <w:pStyle w:val="TableText"/>
              <w:rPr>
                <w:sz w:val="20"/>
              </w:rPr>
            </w:pPr>
            <w:r>
              <w:rPr>
                <w:sz w:val="20"/>
              </w:rPr>
              <w:t>27</w:t>
            </w:r>
          </w:p>
          <w:p w:rsidR="00AF2508" w:rsidRDefault="00AF2508">
            <w:pPr>
              <w:pStyle w:val="TableText"/>
              <w:rPr>
                <w:sz w:val="20"/>
              </w:rPr>
            </w:pPr>
            <w:r>
              <w:rPr>
                <w:sz w:val="20"/>
              </w:rPr>
              <w:t>35</w:t>
            </w:r>
          </w:p>
        </w:tc>
        <w:tc>
          <w:tcPr>
            <w:tcW w:w="512"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2.0</w:t>
            </w:r>
          </w:p>
          <w:p w:rsidR="00AF2508" w:rsidRDefault="00AF2508">
            <w:pPr>
              <w:pStyle w:val="TableText"/>
              <w:rPr>
                <w:sz w:val="20"/>
              </w:rPr>
            </w:pPr>
            <w:r>
              <w:rPr>
                <w:sz w:val="20"/>
              </w:rPr>
              <w:t>3.0</w:t>
            </w:r>
          </w:p>
          <w:p w:rsidR="00AF2508" w:rsidRDefault="00AF2508">
            <w:pPr>
              <w:pStyle w:val="TableText"/>
              <w:rPr>
                <w:sz w:val="20"/>
              </w:rPr>
            </w:pPr>
            <w:r>
              <w:rPr>
                <w:sz w:val="20"/>
              </w:rPr>
              <w:t>3.8</w:t>
            </w:r>
          </w:p>
          <w:p w:rsidR="00AF2508" w:rsidRDefault="00AF2508">
            <w:pPr>
              <w:pStyle w:val="TableText"/>
              <w:rPr>
                <w:sz w:val="20"/>
              </w:rPr>
            </w:pPr>
            <w:r>
              <w:rPr>
                <w:sz w:val="20"/>
              </w:rPr>
              <w:t>4.5</w:t>
            </w:r>
          </w:p>
          <w:p w:rsidR="00AF2508" w:rsidRDefault="00AF2508">
            <w:pPr>
              <w:pStyle w:val="TableText"/>
              <w:rPr>
                <w:sz w:val="20"/>
              </w:rPr>
            </w:pPr>
            <w:r>
              <w:rPr>
                <w:sz w:val="20"/>
              </w:rPr>
              <w:t>5.0</w:t>
            </w:r>
          </w:p>
        </w:tc>
        <w:tc>
          <w:tcPr>
            <w:tcW w:w="42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9</w:t>
            </w:r>
          </w:p>
          <w:p w:rsidR="00AF2508" w:rsidRDefault="00AF2508">
            <w:pPr>
              <w:pStyle w:val="TableText"/>
              <w:rPr>
                <w:sz w:val="20"/>
              </w:rPr>
            </w:pPr>
            <w:r>
              <w:rPr>
                <w:sz w:val="20"/>
              </w:rPr>
              <w:t>14</w:t>
            </w:r>
          </w:p>
          <w:p w:rsidR="00AF2508" w:rsidRDefault="00AF2508">
            <w:pPr>
              <w:pStyle w:val="TableText"/>
              <w:rPr>
                <w:sz w:val="20"/>
              </w:rPr>
            </w:pPr>
            <w:r>
              <w:rPr>
                <w:sz w:val="20"/>
              </w:rPr>
              <w:t>20</w:t>
            </w:r>
          </w:p>
          <w:p w:rsidR="00AF2508" w:rsidRDefault="00AF2508">
            <w:pPr>
              <w:pStyle w:val="TableText"/>
              <w:rPr>
                <w:sz w:val="20"/>
              </w:rPr>
            </w:pPr>
            <w:r>
              <w:rPr>
                <w:sz w:val="20"/>
              </w:rPr>
              <w:t>26</w:t>
            </w:r>
          </w:p>
        </w:tc>
        <w:tc>
          <w:tcPr>
            <w:tcW w:w="46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1.7</w:t>
            </w:r>
          </w:p>
          <w:p w:rsidR="00AF2508" w:rsidRDefault="00AF2508">
            <w:pPr>
              <w:pStyle w:val="TableText"/>
              <w:rPr>
                <w:sz w:val="20"/>
              </w:rPr>
            </w:pPr>
            <w:r>
              <w:rPr>
                <w:sz w:val="20"/>
              </w:rPr>
              <w:t>2.2</w:t>
            </w:r>
          </w:p>
          <w:p w:rsidR="00AF2508" w:rsidRDefault="00AF2508">
            <w:pPr>
              <w:pStyle w:val="TableText"/>
              <w:rPr>
                <w:sz w:val="20"/>
              </w:rPr>
            </w:pPr>
            <w:r>
              <w:rPr>
                <w:sz w:val="20"/>
              </w:rPr>
              <w:t>2.8</w:t>
            </w:r>
          </w:p>
          <w:p w:rsidR="00AF2508" w:rsidRDefault="00AF2508">
            <w:pPr>
              <w:pStyle w:val="TableText"/>
              <w:rPr>
                <w:sz w:val="20"/>
              </w:rPr>
            </w:pPr>
            <w:r>
              <w:rPr>
                <w:sz w:val="20"/>
              </w:rPr>
              <w:t>3.3</w:t>
            </w:r>
          </w:p>
          <w:p w:rsidR="00AF2508" w:rsidRDefault="00AF2508">
            <w:pPr>
              <w:pStyle w:val="TableText"/>
              <w:rPr>
                <w:sz w:val="20"/>
              </w:rPr>
            </w:pPr>
            <w:r>
              <w:rPr>
                <w:sz w:val="20"/>
              </w:rPr>
              <w:t>3.7</w:t>
            </w:r>
          </w:p>
        </w:tc>
        <w:tc>
          <w:tcPr>
            <w:tcW w:w="384"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4</w:t>
            </w:r>
          </w:p>
          <w:p w:rsidR="00AF2508" w:rsidRDefault="00AF2508">
            <w:pPr>
              <w:pStyle w:val="TableText"/>
              <w:rPr>
                <w:sz w:val="20"/>
              </w:rPr>
            </w:pPr>
            <w:r>
              <w:rPr>
                <w:sz w:val="20"/>
              </w:rPr>
              <w:t>8</w:t>
            </w:r>
          </w:p>
          <w:p w:rsidR="00AF2508" w:rsidRDefault="00AF2508">
            <w:pPr>
              <w:pStyle w:val="TableText"/>
              <w:rPr>
                <w:sz w:val="20"/>
              </w:rPr>
            </w:pPr>
            <w:r>
              <w:rPr>
                <w:sz w:val="20"/>
              </w:rPr>
              <w:t>12</w:t>
            </w:r>
          </w:p>
          <w:p w:rsidR="00AF2508" w:rsidRDefault="00AF2508">
            <w:pPr>
              <w:pStyle w:val="TableText"/>
              <w:rPr>
                <w:sz w:val="20"/>
              </w:rPr>
            </w:pPr>
            <w:r>
              <w:rPr>
                <w:sz w:val="20"/>
              </w:rPr>
              <w:t>17</w:t>
            </w:r>
          </w:p>
          <w:p w:rsidR="00AF2508" w:rsidRDefault="00AF2508">
            <w:pPr>
              <w:pStyle w:val="TableText"/>
              <w:rPr>
                <w:sz w:val="20"/>
              </w:rPr>
            </w:pPr>
            <w:r>
              <w:rPr>
                <w:sz w:val="20"/>
              </w:rPr>
              <w:t>22</w:t>
            </w:r>
          </w:p>
        </w:tc>
        <w:tc>
          <w:tcPr>
            <w:tcW w:w="50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1.3</w:t>
            </w:r>
          </w:p>
          <w:p w:rsidR="00AF2508" w:rsidRDefault="00AF2508">
            <w:pPr>
              <w:pStyle w:val="TableText"/>
              <w:rPr>
                <w:sz w:val="20"/>
              </w:rPr>
            </w:pPr>
            <w:r>
              <w:rPr>
                <w:sz w:val="20"/>
              </w:rPr>
              <w:t>2.0</w:t>
            </w:r>
          </w:p>
          <w:p w:rsidR="00AF2508" w:rsidRDefault="00AF2508">
            <w:pPr>
              <w:pStyle w:val="TableText"/>
              <w:rPr>
                <w:sz w:val="20"/>
              </w:rPr>
            </w:pPr>
            <w:r>
              <w:rPr>
                <w:sz w:val="20"/>
              </w:rPr>
              <w:t>2.4</w:t>
            </w:r>
          </w:p>
          <w:p w:rsidR="00AF2508" w:rsidRDefault="00AF2508">
            <w:pPr>
              <w:pStyle w:val="TableText"/>
              <w:rPr>
                <w:sz w:val="20"/>
              </w:rPr>
            </w:pPr>
            <w:r>
              <w:rPr>
                <w:sz w:val="20"/>
              </w:rPr>
              <w:t>2.8</w:t>
            </w:r>
          </w:p>
          <w:p w:rsidR="00AF2508" w:rsidRDefault="00AF2508">
            <w:pPr>
              <w:pStyle w:val="TableText"/>
              <w:rPr>
                <w:sz w:val="20"/>
              </w:rPr>
            </w:pPr>
            <w:r>
              <w:rPr>
                <w:sz w:val="20"/>
              </w:rPr>
              <w:t>3.1</w:t>
            </w:r>
          </w:p>
        </w:tc>
        <w:tc>
          <w:tcPr>
            <w:tcW w:w="396"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6</w:t>
            </w:r>
          </w:p>
          <w:p w:rsidR="00AF2508" w:rsidRDefault="00AF2508">
            <w:pPr>
              <w:pStyle w:val="TableText"/>
              <w:rPr>
                <w:sz w:val="20"/>
              </w:rPr>
            </w:pPr>
            <w:r>
              <w:rPr>
                <w:sz w:val="20"/>
              </w:rPr>
              <w:t>10</w:t>
            </w:r>
          </w:p>
          <w:p w:rsidR="00AF2508" w:rsidRDefault="00AF2508">
            <w:pPr>
              <w:pStyle w:val="TableText"/>
              <w:rPr>
                <w:sz w:val="20"/>
              </w:rPr>
            </w:pPr>
            <w:r>
              <w:rPr>
                <w:sz w:val="20"/>
              </w:rPr>
              <w:t>14</w:t>
            </w:r>
          </w:p>
          <w:p w:rsidR="00AF2508" w:rsidRDefault="00AF2508">
            <w:pPr>
              <w:pStyle w:val="TableText"/>
              <w:rPr>
                <w:sz w:val="20"/>
              </w:rPr>
            </w:pPr>
            <w:r>
              <w:rPr>
                <w:sz w:val="20"/>
              </w:rPr>
              <w:t>19</w:t>
            </w:r>
          </w:p>
        </w:tc>
        <w:tc>
          <w:tcPr>
            <w:tcW w:w="50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2.0</w:t>
            </w:r>
          </w:p>
          <w:p w:rsidR="00AF2508" w:rsidRDefault="00AF2508">
            <w:pPr>
              <w:pStyle w:val="TableText"/>
              <w:rPr>
                <w:sz w:val="20"/>
              </w:rPr>
            </w:pPr>
            <w:r>
              <w:rPr>
                <w:sz w:val="20"/>
              </w:rPr>
              <w:t>2.3</w:t>
            </w:r>
          </w:p>
          <w:p w:rsidR="00AF2508" w:rsidRDefault="00AF2508">
            <w:pPr>
              <w:pStyle w:val="TableText"/>
              <w:rPr>
                <w:sz w:val="20"/>
              </w:rPr>
            </w:pPr>
            <w:r>
              <w:rPr>
                <w:sz w:val="20"/>
              </w:rPr>
              <w:t>2.7</w:t>
            </w:r>
          </w:p>
        </w:tc>
        <w:tc>
          <w:tcPr>
            <w:tcW w:w="38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3</w:t>
            </w:r>
          </w:p>
          <w:p w:rsidR="00AF2508" w:rsidRDefault="00AF2508">
            <w:pPr>
              <w:pStyle w:val="TableText"/>
              <w:rPr>
                <w:sz w:val="20"/>
              </w:rPr>
            </w:pPr>
            <w:r>
              <w:rPr>
                <w:sz w:val="20"/>
              </w:rPr>
              <w:t>6</w:t>
            </w:r>
          </w:p>
          <w:p w:rsidR="00AF2508" w:rsidRDefault="00AF2508">
            <w:pPr>
              <w:pStyle w:val="TableText"/>
              <w:rPr>
                <w:sz w:val="20"/>
              </w:rPr>
            </w:pPr>
            <w:r>
              <w:rPr>
                <w:sz w:val="20"/>
              </w:rPr>
              <w:t>9</w:t>
            </w:r>
          </w:p>
          <w:p w:rsidR="00AF2508" w:rsidRDefault="00AF2508">
            <w:pPr>
              <w:pStyle w:val="TableText"/>
              <w:rPr>
                <w:sz w:val="20"/>
              </w:rPr>
            </w:pPr>
            <w:r>
              <w:rPr>
                <w:sz w:val="20"/>
              </w:rPr>
              <w:t>13</w:t>
            </w:r>
          </w:p>
          <w:p w:rsidR="00AF2508" w:rsidRDefault="00AF2508">
            <w:pPr>
              <w:pStyle w:val="TableText"/>
              <w:rPr>
                <w:sz w:val="20"/>
              </w:rPr>
            </w:pPr>
            <w:r>
              <w:rPr>
                <w:sz w:val="20"/>
              </w:rPr>
              <w:t>17</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1.5</w:t>
            </w:r>
          </w:p>
          <w:p w:rsidR="00AF2508" w:rsidRDefault="00AF2508">
            <w:pPr>
              <w:pStyle w:val="TableText"/>
              <w:rPr>
                <w:sz w:val="20"/>
              </w:rPr>
            </w:pPr>
            <w:r>
              <w:rPr>
                <w:sz w:val="20"/>
              </w:rPr>
              <w:t>1.8</w:t>
            </w:r>
          </w:p>
          <w:p w:rsidR="00AF2508" w:rsidRDefault="00AF2508">
            <w:pPr>
              <w:pStyle w:val="TableText"/>
              <w:rPr>
                <w:sz w:val="20"/>
              </w:rPr>
            </w:pPr>
            <w:r>
              <w:rPr>
                <w:sz w:val="20"/>
              </w:rPr>
              <w:t>2.2</w:t>
            </w:r>
          </w:p>
          <w:p w:rsidR="00AF2508" w:rsidRDefault="00AF2508">
            <w:pPr>
              <w:pStyle w:val="TableText"/>
              <w:rPr>
                <w:sz w:val="20"/>
              </w:rPr>
            </w:pPr>
            <w:r>
              <w:rPr>
                <w:sz w:val="20"/>
              </w:rPr>
              <w:t>2.4</w:t>
            </w:r>
          </w:p>
        </w:tc>
        <w:tc>
          <w:tcPr>
            <w:tcW w:w="388"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4</w:t>
            </w:r>
          </w:p>
          <w:p w:rsidR="00AF2508" w:rsidRDefault="00AF2508">
            <w:pPr>
              <w:pStyle w:val="TableText"/>
              <w:rPr>
                <w:sz w:val="20"/>
              </w:rPr>
            </w:pPr>
            <w:r>
              <w:rPr>
                <w:sz w:val="20"/>
              </w:rPr>
              <w:t>7</w:t>
            </w:r>
          </w:p>
          <w:p w:rsidR="00AF2508" w:rsidRDefault="00AF2508">
            <w:pPr>
              <w:pStyle w:val="TableText"/>
              <w:rPr>
                <w:sz w:val="20"/>
              </w:rPr>
            </w:pPr>
            <w:r>
              <w:rPr>
                <w:sz w:val="20"/>
              </w:rPr>
              <w:t>10</w:t>
            </w:r>
          </w:p>
          <w:p w:rsidR="00AF2508" w:rsidRDefault="00AF2508">
            <w:pPr>
              <w:pStyle w:val="TableText"/>
              <w:rPr>
                <w:sz w:val="20"/>
              </w:rPr>
            </w:pPr>
            <w:r>
              <w:rPr>
                <w:sz w:val="20"/>
              </w:rPr>
              <w:t>13</w:t>
            </w:r>
          </w:p>
        </w:tc>
        <w:tc>
          <w:tcPr>
            <w:tcW w:w="452"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0.7</w:t>
            </w:r>
          </w:p>
          <w:p w:rsidR="00AF2508" w:rsidRDefault="00AF2508">
            <w:pPr>
              <w:pStyle w:val="TableText"/>
              <w:rPr>
                <w:sz w:val="20"/>
              </w:rPr>
            </w:pPr>
            <w:r>
              <w:rPr>
                <w:sz w:val="20"/>
              </w:rPr>
              <w:t>1.0</w:t>
            </w:r>
          </w:p>
          <w:p w:rsidR="00AF2508" w:rsidRDefault="00AF2508">
            <w:pPr>
              <w:pStyle w:val="TableText"/>
              <w:rPr>
                <w:sz w:val="20"/>
              </w:rPr>
            </w:pPr>
            <w:r>
              <w:rPr>
                <w:sz w:val="20"/>
              </w:rPr>
              <w:t>1.4</w:t>
            </w:r>
          </w:p>
          <w:p w:rsidR="00AF2508" w:rsidRDefault="00AF2508">
            <w:pPr>
              <w:pStyle w:val="TableText"/>
              <w:rPr>
                <w:sz w:val="20"/>
              </w:rPr>
            </w:pPr>
            <w:r>
              <w:rPr>
                <w:sz w:val="20"/>
              </w:rPr>
              <w:t>1.7</w:t>
            </w:r>
          </w:p>
          <w:p w:rsidR="00AF2508" w:rsidRDefault="00AF2508">
            <w:pPr>
              <w:pStyle w:val="TableText"/>
              <w:rPr>
                <w:sz w:val="20"/>
              </w:rPr>
            </w:pPr>
            <w:r>
              <w:rPr>
                <w:sz w:val="20"/>
              </w:rPr>
              <w:t>1.9</w:t>
            </w:r>
          </w:p>
        </w:tc>
        <w:tc>
          <w:tcPr>
            <w:tcW w:w="408" w:type="dxa"/>
            <w:gridSpan w:val="5"/>
            <w:tcBorders>
              <w:top w:val="single" w:sz="6" w:space="0" w:color="auto"/>
              <w:left w:val="single" w:sz="6" w:space="0" w:color="auto"/>
              <w:right w:val="single" w:sz="6" w:space="0" w:color="auto"/>
            </w:tcBorders>
          </w:tcPr>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p w:rsidR="00AF2508" w:rsidRDefault="00AF2508">
            <w:pPr>
              <w:pStyle w:val="TableText"/>
              <w:rPr>
                <w:sz w:val="20"/>
              </w:rPr>
            </w:pPr>
            <w:r>
              <w:rPr>
                <w:sz w:val="20"/>
              </w:rPr>
              <w:t>8</w:t>
            </w:r>
          </w:p>
          <w:p w:rsidR="00AF2508" w:rsidRDefault="00AF2508">
            <w:pPr>
              <w:pStyle w:val="TableText"/>
              <w:rPr>
                <w:sz w:val="20"/>
              </w:rPr>
            </w:pPr>
            <w:r>
              <w:rPr>
                <w:sz w:val="20"/>
              </w:rPr>
              <w:t>11</w:t>
            </w:r>
          </w:p>
        </w:tc>
        <w:tc>
          <w:tcPr>
            <w:tcW w:w="472"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0.7</w:t>
            </w:r>
          </w:p>
          <w:p w:rsidR="00AF2508" w:rsidRDefault="00AF2508">
            <w:pPr>
              <w:pStyle w:val="TableText"/>
              <w:rPr>
                <w:sz w:val="20"/>
              </w:rPr>
            </w:pPr>
            <w:r>
              <w:rPr>
                <w:sz w:val="20"/>
              </w:rPr>
              <w:t>0.7</w:t>
            </w:r>
          </w:p>
          <w:p w:rsidR="00AF2508" w:rsidRDefault="00AF2508">
            <w:pPr>
              <w:pStyle w:val="TableText"/>
              <w:rPr>
                <w:sz w:val="20"/>
              </w:rPr>
            </w:pPr>
            <w:r>
              <w:rPr>
                <w:sz w:val="20"/>
              </w:rPr>
              <w:t>1.0</w:t>
            </w:r>
          </w:p>
          <w:p w:rsidR="00AF2508" w:rsidRDefault="00AF2508">
            <w:pPr>
              <w:pStyle w:val="TableText"/>
              <w:rPr>
                <w:sz w:val="20"/>
              </w:rPr>
            </w:pPr>
            <w:r>
              <w:rPr>
                <w:sz w:val="20"/>
              </w:rPr>
              <w:t>1.3</w:t>
            </w:r>
          </w:p>
          <w:p w:rsidR="00AF2508" w:rsidRDefault="00AF2508">
            <w:pPr>
              <w:pStyle w:val="TableText"/>
              <w:rPr>
                <w:sz w:val="20"/>
              </w:rPr>
            </w:pPr>
            <w:r>
              <w:rPr>
                <w:sz w:val="20"/>
              </w:rPr>
              <w:t>1.6</w:t>
            </w:r>
          </w:p>
        </w:tc>
        <w:tc>
          <w:tcPr>
            <w:tcW w:w="368"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p w:rsidR="00AF2508" w:rsidRDefault="00AF2508">
            <w:pPr>
              <w:pStyle w:val="TableText"/>
              <w:rPr>
                <w:sz w:val="20"/>
              </w:rPr>
            </w:pPr>
            <w:r>
              <w:rPr>
                <w:sz w:val="20"/>
              </w:rPr>
              <w:t>2</w:t>
            </w:r>
          </w:p>
          <w:p w:rsidR="00AF2508" w:rsidRDefault="00AF2508">
            <w:pPr>
              <w:pStyle w:val="TableText"/>
              <w:rPr>
                <w:sz w:val="20"/>
              </w:rPr>
            </w:pPr>
            <w:r>
              <w:rPr>
                <w:sz w:val="20"/>
              </w:rPr>
              <w:t>4</w:t>
            </w:r>
          </w:p>
          <w:p w:rsidR="00AF2508" w:rsidRDefault="00AF2508">
            <w:pPr>
              <w:pStyle w:val="TableText"/>
              <w:rPr>
                <w:sz w:val="20"/>
              </w:rPr>
            </w:pPr>
            <w:r>
              <w:rPr>
                <w:sz w:val="20"/>
              </w:rPr>
              <w:t>6</w:t>
            </w:r>
          </w:p>
          <w:p w:rsidR="00AF2508" w:rsidRDefault="00AF2508">
            <w:pPr>
              <w:pStyle w:val="TableText"/>
              <w:rPr>
                <w:sz w:val="20"/>
              </w:rPr>
            </w:pPr>
            <w:r>
              <w:rPr>
                <w:sz w:val="20"/>
              </w:rPr>
              <w:t>8</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0.3</w:t>
            </w:r>
          </w:p>
          <w:p w:rsidR="00AF2508" w:rsidRDefault="00AF2508">
            <w:pPr>
              <w:pStyle w:val="TableText"/>
              <w:rPr>
                <w:sz w:val="20"/>
              </w:rPr>
            </w:pPr>
            <w:r>
              <w:rPr>
                <w:sz w:val="20"/>
              </w:rPr>
              <w:t>0.5</w:t>
            </w:r>
          </w:p>
          <w:p w:rsidR="00AF2508" w:rsidRDefault="00AF2508">
            <w:pPr>
              <w:pStyle w:val="TableText"/>
              <w:rPr>
                <w:sz w:val="20"/>
              </w:rPr>
            </w:pPr>
            <w:r>
              <w:rPr>
                <w:sz w:val="20"/>
              </w:rPr>
              <w:t>0.8</w:t>
            </w:r>
          </w:p>
          <w:p w:rsidR="00AF2508" w:rsidRDefault="00AF2508">
            <w:pPr>
              <w:pStyle w:val="TableText"/>
              <w:rPr>
                <w:sz w:val="20"/>
              </w:rPr>
            </w:pPr>
            <w:r>
              <w:rPr>
                <w:sz w:val="20"/>
              </w:rPr>
              <w:t>1.0</w:t>
            </w:r>
          </w:p>
          <w:p w:rsidR="00AF2508" w:rsidRDefault="00AF2508">
            <w:pPr>
              <w:pStyle w:val="TableText"/>
              <w:rPr>
                <w:sz w:val="20"/>
              </w:rPr>
            </w:pPr>
            <w:r>
              <w:rPr>
                <w:sz w:val="20"/>
              </w:rPr>
              <w:t>1.1</w:t>
            </w:r>
          </w:p>
        </w:tc>
        <w:tc>
          <w:tcPr>
            <w:tcW w:w="360"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w:t>
            </w:r>
          </w:p>
          <w:p w:rsidR="00AF2508" w:rsidRDefault="00AF2508">
            <w:pPr>
              <w:pStyle w:val="TableText"/>
              <w:rPr>
                <w:sz w:val="20"/>
              </w:rPr>
            </w:pPr>
            <w:r>
              <w:rPr>
                <w:sz w:val="20"/>
              </w:rPr>
              <w:t>1</w:t>
            </w:r>
          </w:p>
          <w:p w:rsidR="00AF2508" w:rsidRDefault="00AF2508">
            <w:pPr>
              <w:pStyle w:val="TableText"/>
              <w:rPr>
                <w:sz w:val="20"/>
              </w:rPr>
            </w:pPr>
            <w:r>
              <w:rPr>
                <w:sz w:val="20"/>
              </w:rPr>
              <w:t>2</w:t>
            </w:r>
          </w:p>
          <w:p w:rsidR="00AF2508" w:rsidRDefault="00AF2508">
            <w:pPr>
              <w:pStyle w:val="TableText"/>
              <w:rPr>
                <w:sz w:val="20"/>
              </w:rPr>
            </w:pPr>
            <w:r>
              <w:rPr>
                <w:sz w:val="20"/>
              </w:rPr>
              <w:t>3</w:t>
            </w:r>
          </w:p>
          <w:p w:rsidR="00AF2508" w:rsidRDefault="00AF2508">
            <w:pPr>
              <w:pStyle w:val="TableText"/>
              <w:rPr>
                <w:sz w:val="20"/>
              </w:rPr>
            </w:pPr>
            <w:r>
              <w:rPr>
                <w:sz w:val="20"/>
              </w:rPr>
              <w:t>5</w:t>
            </w:r>
          </w:p>
        </w:tc>
        <w:tc>
          <w:tcPr>
            <w:tcW w:w="480" w:type="dxa"/>
            <w:gridSpan w:val="2"/>
            <w:tcBorders>
              <w:top w:val="single" w:sz="6" w:space="0" w:color="auto"/>
            </w:tcBorders>
          </w:tcPr>
          <w:p w:rsidR="00AF2508" w:rsidRDefault="00AF2508">
            <w:pPr>
              <w:pStyle w:val="TableText"/>
              <w:rPr>
                <w:sz w:val="20"/>
              </w:rPr>
            </w:pPr>
            <w:r>
              <w:rPr>
                <w:sz w:val="20"/>
              </w:rPr>
              <w:t>0.3</w:t>
            </w:r>
          </w:p>
          <w:p w:rsidR="00AF2508" w:rsidRDefault="00AF2508">
            <w:pPr>
              <w:pStyle w:val="TableText"/>
              <w:rPr>
                <w:sz w:val="20"/>
              </w:rPr>
            </w:pPr>
            <w:r>
              <w:rPr>
                <w:sz w:val="20"/>
              </w:rPr>
              <w:t>0.2</w:t>
            </w:r>
          </w:p>
          <w:p w:rsidR="00AF2508" w:rsidRDefault="00AF2508">
            <w:pPr>
              <w:pStyle w:val="TableText"/>
              <w:rPr>
                <w:sz w:val="20"/>
              </w:rPr>
            </w:pPr>
            <w:r>
              <w:rPr>
                <w:sz w:val="20"/>
              </w:rPr>
              <w:t>0.4</w:t>
            </w:r>
          </w:p>
          <w:p w:rsidR="00AF2508" w:rsidRDefault="00AF2508">
            <w:pPr>
              <w:pStyle w:val="TableText"/>
              <w:rPr>
                <w:sz w:val="20"/>
              </w:rPr>
            </w:pPr>
            <w:r>
              <w:rPr>
                <w:sz w:val="20"/>
              </w:rPr>
              <w:t>0.5</w:t>
            </w:r>
          </w:p>
          <w:p w:rsidR="00AF2508" w:rsidRDefault="00AF2508">
            <w:pPr>
              <w:pStyle w:val="TableText"/>
              <w:rPr>
                <w:sz w:val="20"/>
              </w:rPr>
            </w:pPr>
            <w:r>
              <w:rPr>
                <w:sz w:val="20"/>
              </w:rPr>
              <w:t>0.7</w:t>
            </w:r>
          </w:p>
        </w:tc>
      </w:tr>
      <w:tr w:rsidR="00AF2508">
        <w:trPr>
          <w:gridAfter w:val="1"/>
          <w:wAfter w:w="12" w:type="dxa"/>
        </w:trPr>
        <w:tc>
          <w:tcPr>
            <w:tcW w:w="792" w:type="dxa"/>
            <w:gridSpan w:val="3"/>
            <w:tcBorders>
              <w:top w:val="single" w:sz="6" w:space="0" w:color="auto"/>
              <w:right w:val="single" w:sz="6" w:space="0" w:color="auto"/>
            </w:tcBorders>
          </w:tcPr>
          <w:p w:rsidR="00AF2508" w:rsidRDefault="00AF2508">
            <w:pPr>
              <w:pStyle w:val="TableText"/>
              <w:rPr>
                <w:sz w:val="20"/>
              </w:rPr>
            </w:pPr>
            <w:r>
              <w:rPr>
                <w:sz w:val="20"/>
              </w:rPr>
              <w:t>30 or 31</w:t>
            </w:r>
          </w:p>
          <w:p w:rsidR="00AF2508" w:rsidRDefault="00AF2508">
            <w:pPr>
              <w:pStyle w:val="TableText"/>
              <w:rPr>
                <w:sz w:val="20"/>
              </w:rPr>
            </w:pPr>
            <w:r>
              <w:rPr>
                <w:sz w:val="20"/>
              </w:rPr>
              <w:t>32 or 33</w:t>
            </w:r>
          </w:p>
          <w:p w:rsidR="00AF2508" w:rsidRDefault="00AF2508">
            <w:pPr>
              <w:pStyle w:val="TableText"/>
              <w:rPr>
                <w:sz w:val="20"/>
              </w:rPr>
            </w:pPr>
            <w:r>
              <w:rPr>
                <w:sz w:val="20"/>
              </w:rPr>
              <w:t>34 or 35</w:t>
            </w:r>
          </w:p>
          <w:p w:rsidR="00AF2508" w:rsidRDefault="00AF2508">
            <w:pPr>
              <w:pStyle w:val="TableText"/>
              <w:rPr>
                <w:sz w:val="20"/>
              </w:rPr>
            </w:pPr>
            <w:r>
              <w:rPr>
                <w:sz w:val="20"/>
              </w:rPr>
              <w:t>36 or 37</w:t>
            </w:r>
          </w:p>
          <w:p w:rsidR="00AF2508" w:rsidRDefault="00AF2508">
            <w:pPr>
              <w:pStyle w:val="TableText"/>
              <w:rPr>
                <w:sz w:val="20"/>
              </w:rPr>
            </w:pPr>
            <w:r>
              <w:rPr>
                <w:sz w:val="20"/>
              </w:rPr>
              <w:t>38 or 39</w:t>
            </w:r>
          </w:p>
        </w:tc>
        <w:tc>
          <w:tcPr>
            <w:tcW w:w="600" w:type="dxa"/>
            <w:tcBorders>
              <w:top w:val="single" w:sz="6" w:space="0" w:color="auto"/>
            </w:tcBorders>
          </w:tcPr>
          <w:p w:rsidR="00AF2508" w:rsidRDefault="00AF2508">
            <w:pPr>
              <w:pStyle w:val="TableText"/>
              <w:rPr>
                <w:sz w:val="20"/>
              </w:rPr>
            </w:pPr>
            <w:r>
              <w:rPr>
                <w:sz w:val="20"/>
              </w:rPr>
              <w:t>8</w:t>
            </w:r>
          </w:p>
          <w:p w:rsidR="00AF2508" w:rsidRDefault="00AF2508">
            <w:pPr>
              <w:pStyle w:val="TableText"/>
              <w:rPr>
                <w:sz w:val="20"/>
              </w:rPr>
            </w:pPr>
            <w:r>
              <w:rPr>
                <w:sz w:val="20"/>
              </w:rPr>
              <w:t>9</w:t>
            </w:r>
          </w:p>
          <w:p w:rsidR="00AF2508" w:rsidRDefault="00AF2508">
            <w:pPr>
              <w:pStyle w:val="TableText"/>
              <w:rPr>
                <w:sz w:val="20"/>
              </w:rPr>
            </w:pPr>
            <w:r>
              <w:rPr>
                <w:sz w:val="20"/>
              </w:rPr>
              <w:t>10</w:t>
            </w:r>
          </w:p>
          <w:p w:rsidR="00AF2508" w:rsidRDefault="00AF2508">
            <w:pPr>
              <w:pStyle w:val="TableText"/>
              <w:rPr>
                <w:sz w:val="20"/>
              </w:rPr>
            </w:pPr>
            <w:r>
              <w:rPr>
                <w:sz w:val="20"/>
              </w:rPr>
              <w:t>11</w:t>
            </w:r>
          </w:p>
          <w:p w:rsidR="00AF2508" w:rsidRDefault="00AF2508">
            <w:pPr>
              <w:pStyle w:val="TableText"/>
              <w:rPr>
                <w:sz w:val="20"/>
              </w:rPr>
            </w:pPr>
            <w:r>
              <w:rPr>
                <w:sz w:val="20"/>
              </w:rPr>
              <w:t>12</w:t>
            </w:r>
          </w:p>
        </w:tc>
        <w:tc>
          <w:tcPr>
            <w:tcW w:w="528"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p w:rsidR="00AF2508" w:rsidRDefault="00AF2508">
            <w:pPr>
              <w:pStyle w:val="TableText"/>
              <w:rPr>
                <w:sz w:val="20"/>
              </w:rPr>
            </w:pPr>
            <w:r>
              <w:rPr>
                <w:sz w:val="20"/>
              </w:rPr>
              <w:t>5</w:t>
            </w:r>
          </w:p>
        </w:tc>
        <w:tc>
          <w:tcPr>
            <w:tcW w:w="44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64</w:t>
            </w:r>
          </w:p>
          <w:p w:rsidR="00AF2508" w:rsidRDefault="00AF2508">
            <w:pPr>
              <w:pStyle w:val="TableText"/>
              <w:rPr>
                <w:sz w:val="20"/>
              </w:rPr>
            </w:pPr>
            <w:r>
              <w:rPr>
                <w:sz w:val="20"/>
              </w:rPr>
              <w:t>73</w:t>
            </w:r>
          </w:p>
          <w:p w:rsidR="00AF2508" w:rsidRDefault="00AF2508">
            <w:pPr>
              <w:pStyle w:val="TableText"/>
              <w:rPr>
                <w:sz w:val="20"/>
              </w:rPr>
            </w:pPr>
            <w:r>
              <w:rPr>
                <w:sz w:val="20"/>
              </w:rPr>
              <w:t>82</w:t>
            </w:r>
          </w:p>
          <w:p w:rsidR="00AF2508" w:rsidRDefault="00AF2508">
            <w:pPr>
              <w:pStyle w:val="TableText"/>
              <w:rPr>
                <w:sz w:val="20"/>
              </w:rPr>
            </w:pPr>
            <w:r>
              <w:rPr>
                <w:sz w:val="20"/>
              </w:rPr>
              <w:t>90</w:t>
            </w:r>
          </w:p>
          <w:p w:rsidR="00AF2508" w:rsidRDefault="00AF2508">
            <w:pPr>
              <w:pStyle w:val="TableText"/>
              <w:rPr>
                <w:sz w:val="20"/>
              </w:rPr>
            </w:pPr>
            <w:r>
              <w:rPr>
                <w:sz w:val="20"/>
              </w:rPr>
              <w:t>99</w:t>
            </w:r>
          </w:p>
        </w:tc>
        <w:tc>
          <w:tcPr>
            <w:tcW w:w="44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8.0</w:t>
            </w:r>
          </w:p>
          <w:p w:rsidR="00AF2508" w:rsidRDefault="00AF2508">
            <w:pPr>
              <w:pStyle w:val="TableText"/>
              <w:rPr>
                <w:sz w:val="20"/>
              </w:rPr>
            </w:pPr>
            <w:r>
              <w:rPr>
                <w:sz w:val="20"/>
              </w:rPr>
              <w:t>8.1</w:t>
            </w:r>
          </w:p>
          <w:p w:rsidR="00AF2508" w:rsidRDefault="00AF2508">
            <w:pPr>
              <w:pStyle w:val="TableText"/>
              <w:rPr>
                <w:sz w:val="20"/>
              </w:rPr>
            </w:pPr>
            <w:r>
              <w:rPr>
                <w:sz w:val="20"/>
              </w:rPr>
              <w:t>8.2</w:t>
            </w:r>
          </w:p>
          <w:p w:rsidR="00AF2508" w:rsidRDefault="00AF2508">
            <w:pPr>
              <w:pStyle w:val="TableText"/>
              <w:rPr>
                <w:sz w:val="20"/>
              </w:rPr>
            </w:pPr>
            <w:r>
              <w:rPr>
                <w:sz w:val="20"/>
              </w:rPr>
              <w:t>8.2</w:t>
            </w:r>
          </w:p>
          <w:p w:rsidR="00AF2508" w:rsidRDefault="00AF2508">
            <w:pPr>
              <w:pStyle w:val="TableText"/>
              <w:rPr>
                <w:sz w:val="20"/>
              </w:rPr>
            </w:pPr>
            <w:r>
              <w:rPr>
                <w:sz w:val="20"/>
              </w:rPr>
              <w:t>8.2</w:t>
            </w:r>
          </w:p>
        </w:tc>
        <w:tc>
          <w:tcPr>
            <w:tcW w:w="44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54</w:t>
            </w:r>
          </w:p>
          <w:p w:rsidR="00AF2508" w:rsidRDefault="00AF2508">
            <w:pPr>
              <w:pStyle w:val="TableText"/>
              <w:rPr>
                <w:sz w:val="20"/>
              </w:rPr>
            </w:pPr>
            <w:r>
              <w:rPr>
                <w:sz w:val="20"/>
              </w:rPr>
              <w:t>63</w:t>
            </w:r>
          </w:p>
          <w:p w:rsidR="00AF2508" w:rsidRDefault="00AF2508">
            <w:pPr>
              <w:pStyle w:val="TableText"/>
              <w:rPr>
                <w:sz w:val="20"/>
              </w:rPr>
            </w:pPr>
            <w:r>
              <w:rPr>
                <w:sz w:val="20"/>
              </w:rPr>
              <w:t>72</w:t>
            </w:r>
          </w:p>
          <w:p w:rsidR="00AF2508" w:rsidRDefault="00AF2508">
            <w:pPr>
              <w:pStyle w:val="TableText"/>
              <w:rPr>
                <w:sz w:val="20"/>
              </w:rPr>
            </w:pPr>
            <w:r>
              <w:rPr>
                <w:sz w:val="20"/>
              </w:rPr>
              <w:t>82</w:t>
            </w:r>
          </w:p>
          <w:p w:rsidR="00AF2508" w:rsidRDefault="00AF2508">
            <w:pPr>
              <w:pStyle w:val="TableText"/>
              <w:rPr>
                <w:sz w:val="20"/>
              </w:rPr>
            </w:pPr>
            <w:r>
              <w:rPr>
                <w:sz w:val="20"/>
              </w:rPr>
              <w:t>91</w:t>
            </w:r>
          </w:p>
        </w:tc>
        <w:tc>
          <w:tcPr>
            <w:tcW w:w="476"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6.8</w:t>
            </w:r>
          </w:p>
          <w:p w:rsidR="00AF2508" w:rsidRDefault="00AF2508">
            <w:pPr>
              <w:pStyle w:val="TableText"/>
              <w:rPr>
                <w:sz w:val="20"/>
              </w:rPr>
            </w:pPr>
            <w:r>
              <w:rPr>
                <w:sz w:val="20"/>
              </w:rPr>
              <w:t>7.0</w:t>
            </w:r>
          </w:p>
          <w:p w:rsidR="00AF2508" w:rsidRDefault="00AF2508">
            <w:pPr>
              <w:pStyle w:val="TableText"/>
              <w:rPr>
                <w:sz w:val="20"/>
              </w:rPr>
            </w:pPr>
            <w:r>
              <w:rPr>
                <w:sz w:val="20"/>
              </w:rPr>
              <w:t>7.2</w:t>
            </w:r>
          </w:p>
          <w:p w:rsidR="00AF2508" w:rsidRDefault="00AF2508">
            <w:pPr>
              <w:pStyle w:val="TableText"/>
              <w:rPr>
                <w:sz w:val="20"/>
              </w:rPr>
            </w:pPr>
            <w:r>
              <w:rPr>
                <w:sz w:val="20"/>
              </w:rPr>
              <w:t>7.4</w:t>
            </w:r>
          </w:p>
          <w:p w:rsidR="00AF2508" w:rsidRDefault="00AF2508">
            <w:pPr>
              <w:pStyle w:val="TableText"/>
              <w:rPr>
                <w:sz w:val="20"/>
              </w:rPr>
            </w:pPr>
            <w:r>
              <w:rPr>
                <w:sz w:val="20"/>
              </w:rPr>
              <w:t>7.6</w:t>
            </w:r>
          </w:p>
        </w:tc>
        <w:tc>
          <w:tcPr>
            <w:tcW w:w="412"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43</w:t>
            </w:r>
          </w:p>
          <w:p w:rsidR="00AF2508" w:rsidRDefault="00AF2508">
            <w:pPr>
              <w:pStyle w:val="TableText"/>
              <w:rPr>
                <w:sz w:val="20"/>
              </w:rPr>
            </w:pPr>
            <w:r>
              <w:rPr>
                <w:sz w:val="20"/>
              </w:rPr>
              <w:t>52</w:t>
            </w:r>
          </w:p>
          <w:p w:rsidR="00AF2508" w:rsidRDefault="00AF2508">
            <w:pPr>
              <w:pStyle w:val="TableText"/>
              <w:rPr>
                <w:sz w:val="20"/>
              </w:rPr>
            </w:pPr>
            <w:r>
              <w:rPr>
                <w:sz w:val="20"/>
              </w:rPr>
              <w:t>61</w:t>
            </w:r>
          </w:p>
          <w:p w:rsidR="00AF2508" w:rsidRDefault="00AF2508">
            <w:pPr>
              <w:pStyle w:val="TableText"/>
              <w:rPr>
                <w:sz w:val="20"/>
              </w:rPr>
            </w:pPr>
            <w:r>
              <w:rPr>
                <w:sz w:val="20"/>
              </w:rPr>
              <w:t>70</w:t>
            </w:r>
          </w:p>
          <w:p w:rsidR="00AF2508" w:rsidRDefault="00AF2508">
            <w:pPr>
              <w:pStyle w:val="TableText"/>
              <w:rPr>
                <w:sz w:val="20"/>
              </w:rPr>
            </w:pPr>
            <w:r>
              <w:rPr>
                <w:sz w:val="20"/>
              </w:rPr>
              <w:t>79</w:t>
            </w:r>
          </w:p>
        </w:tc>
        <w:tc>
          <w:tcPr>
            <w:tcW w:w="512"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5.4</w:t>
            </w:r>
          </w:p>
          <w:p w:rsidR="00AF2508" w:rsidRDefault="00AF2508">
            <w:pPr>
              <w:pStyle w:val="TableText"/>
              <w:rPr>
                <w:sz w:val="20"/>
              </w:rPr>
            </w:pPr>
            <w:r>
              <w:rPr>
                <w:sz w:val="20"/>
              </w:rPr>
              <w:t>5.8</w:t>
            </w:r>
          </w:p>
          <w:p w:rsidR="00AF2508" w:rsidRDefault="00AF2508">
            <w:pPr>
              <w:pStyle w:val="TableText"/>
              <w:rPr>
                <w:sz w:val="20"/>
              </w:rPr>
            </w:pPr>
            <w:r>
              <w:rPr>
                <w:sz w:val="20"/>
              </w:rPr>
              <w:t>6.1</w:t>
            </w:r>
          </w:p>
          <w:p w:rsidR="00AF2508" w:rsidRDefault="00AF2508">
            <w:pPr>
              <w:pStyle w:val="TableText"/>
              <w:rPr>
                <w:sz w:val="20"/>
              </w:rPr>
            </w:pPr>
            <w:r>
              <w:rPr>
                <w:sz w:val="20"/>
              </w:rPr>
              <w:t>6.4</w:t>
            </w:r>
          </w:p>
          <w:p w:rsidR="00AF2508" w:rsidRDefault="00AF2508">
            <w:pPr>
              <w:pStyle w:val="TableText"/>
              <w:rPr>
                <w:sz w:val="20"/>
              </w:rPr>
            </w:pPr>
            <w:r>
              <w:rPr>
                <w:sz w:val="20"/>
              </w:rPr>
              <w:t>6.6</w:t>
            </w:r>
          </w:p>
        </w:tc>
        <w:tc>
          <w:tcPr>
            <w:tcW w:w="42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32</w:t>
            </w:r>
          </w:p>
          <w:p w:rsidR="00AF2508" w:rsidRDefault="00AF2508">
            <w:pPr>
              <w:pStyle w:val="TableText"/>
              <w:rPr>
                <w:sz w:val="20"/>
              </w:rPr>
            </w:pPr>
            <w:r>
              <w:rPr>
                <w:sz w:val="20"/>
              </w:rPr>
              <w:t>39</w:t>
            </w:r>
          </w:p>
          <w:p w:rsidR="00AF2508" w:rsidRDefault="00AF2508">
            <w:pPr>
              <w:pStyle w:val="TableText"/>
              <w:rPr>
                <w:sz w:val="20"/>
              </w:rPr>
            </w:pPr>
            <w:r>
              <w:rPr>
                <w:sz w:val="20"/>
              </w:rPr>
              <w:t>46</w:t>
            </w:r>
          </w:p>
          <w:p w:rsidR="00AF2508" w:rsidRDefault="00AF2508">
            <w:pPr>
              <w:pStyle w:val="TableText"/>
              <w:rPr>
                <w:sz w:val="20"/>
              </w:rPr>
            </w:pPr>
            <w:r>
              <w:rPr>
                <w:sz w:val="20"/>
              </w:rPr>
              <w:t>54</w:t>
            </w:r>
          </w:p>
          <w:p w:rsidR="00AF2508" w:rsidRDefault="00AF2508">
            <w:pPr>
              <w:pStyle w:val="TableText"/>
              <w:rPr>
                <w:sz w:val="20"/>
              </w:rPr>
            </w:pPr>
            <w:r>
              <w:rPr>
                <w:sz w:val="20"/>
              </w:rPr>
              <w:t>63</w:t>
            </w:r>
          </w:p>
        </w:tc>
        <w:tc>
          <w:tcPr>
            <w:tcW w:w="46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4.0</w:t>
            </w:r>
          </w:p>
          <w:p w:rsidR="00AF2508" w:rsidRDefault="00AF2508">
            <w:pPr>
              <w:pStyle w:val="TableText"/>
              <w:rPr>
                <w:sz w:val="20"/>
              </w:rPr>
            </w:pPr>
            <w:r>
              <w:rPr>
                <w:sz w:val="20"/>
              </w:rPr>
              <w:t>4.3</w:t>
            </w:r>
          </w:p>
          <w:p w:rsidR="00AF2508" w:rsidRDefault="00AF2508">
            <w:pPr>
              <w:pStyle w:val="TableText"/>
              <w:rPr>
                <w:sz w:val="20"/>
              </w:rPr>
            </w:pPr>
            <w:r>
              <w:rPr>
                <w:sz w:val="20"/>
              </w:rPr>
              <w:t>4.6</w:t>
            </w:r>
          </w:p>
          <w:p w:rsidR="00AF2508" w:rsidRDefault="00AF2508">
            <w:pPr>
              <w:pStyle w:val="TableText"/>
              <w:rPr>
                <w:sz w:val="20"/>
              </w:rPr>
            </w:pPr>
            <w:r>
              <w:rPr>
                <w:sz w:val="20"/>
              </w:rPr>
              <w:t>4.9</w:t>
            </w:r>
          </w:p>
          <w:p w:rsidR="00AF2508" w:rsidRDefault="00AF2508">
            <w:pPr>
              <w:pStyle w:val="TableText"/>
              <w:rPr>
                <w:sz w:val="20"/>
              </w:rPr>
            </w:pPr>
            <w:r>
              <w:rPr>
                <w:sz w:val="20"/>
              </w:rPr>
              <w:t>5.2</w:t>
            </w:r>
          </w:p>
        </w:tc>
        <w:tc>
          <w:tcPr>
            <w:tcW w:w="384"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27</w:t>
            </w:r>
          </w:p>
          <w:p w:rsidR="00AF2508" w:rsidRDefault="00AF2508">
            <w:pPr>
              <w:pStyle w:val="TableText"/>
              <w:rPr>
                <w:sz w:val="20"/>
              </w:rPr>
            </w:pPr>
            <w:r>
              <w:rPr>
                <w:sz w:val="20"/>
              </w:rPr>
              <w:t>34</w:t>
            </w:r>
          </w:p>
          <w:p w:rsidR="00AF2508" w:rsidRDefault="00AF2508">
            <w:pPr>
              <w:pStyle w:val="TableText"/>
              <w:rPr>
                <w:sz w:val="20"/>
              </w:rPr>
            </w:pPr>
            <w:r>
              <w:rPr>
                <w:sz w:val="20"/>
              </w:rPr>
              <w:t>41</w:t>
            </w:r>
          </w:p>
          <w:p w:rsidR="00AF2508" w:rsidRDefault="00AF2508">
            <w:pPr>
              <w:pStyle w:val="TableText"/>
              <w:rPr>
                <w:sz w:val="20"/>
              </w:rPr>
            </w:pPr>
            <w:r>
              <w:rPr>
                <w:sz w:val="20"/>
              </w:rPr>
              <w:t>48</w:t>
            </w:r>
          </w:p>
          <w:p w:rsidR="00AF2508" w:rsidRDefault="00AF2508">
            <w:pPr>
              <w:pStyle w:val="TableText"/>
              <w:rPr>
                <w:sz w:val="20"/>
              </w:rPr>
            </w:pPr>
            <w:r>
              <w:rPr>
                <w:sz w:val="20"/>
              </w:rPr>
              <w:t>56</w:t>
            </w:r>
          </w:p>
        </w:tc>
        <w:tc>
          <w:tcPr>
            <w:tcW w:w="50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3.4</w:t>
            </w:r>
          </w:p>
          <w:p w:rsidR="00AF2508" w:rsidRDefault="00AF2508">
            <w:pPr>
              <w:pStyle w:val="TableText"/>
              <w:rPr>
                <w:sz w:val="20"/>
              </w:rPr>
            </w:pPr>
            <w:r>
              <w:rPr>
                <w:sz w:val="20"/>
              </w:rPr>
              <w:t>3.8</w:t>
            </w:r>
          </w:p>
          <w:p w:rsidR="00AF2508" w:rsidRDefault="00AF2508">
            <w:pPr>
              <w:pStyle w:val="TableText"/>
              <w:rPr>
                <w:sz w:val="20"/>
              </w:rPr>
            </w:pPr>
            <w:r>
              <w:rPr>
                <w:sz w:val="20"/>
              </w:rPr>
              <w:t>4.1</w:t>
            </w:r>
          </w:p>
          <w:p w:rsidR="00AF2508" w:rsidRDefault="00AF2508">
            <w:pPr>
              <w:pStyle w:val="TableText"/>
              <w:rPr>
                <w:sz w:val="20"/>
              </w:rPr>
            </w:pPr>
            <w:r>
              <w:rPr>
                <w:sz w:val="20"/>
              </w:rPr>
              <w:t>4.4</w:t>
            </w:r>
          </w:p>
          <w:p w:rsidR="00AF2508" w:rsidRDefault="00AF2508">
            <w:pPr>
              <w:pStyle w:val="TableText"/>
              <w:rPr>
                <w:sz w:val="20"/>
              </w:rPr>
            </w:pPr>
            <w:r>
              <w:rPr>
                <w:sz w:val="20"/>
              </w:rPr>
              <w:t>4.7</w:t>
            </w:r>
          </w:p>
        </w:tc>
        <w:tc>
          <w:tcPr>
            <w:tcW w:w="396"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24</w:t>
            </w:r>
          </w:p>
          <w:p w:rsidR="00AF2508" w:rsidRDefault="00AF2508">
            <w:pPr>
              <w:pStyle w:val="TableText"/>
              <w:rPr>
                <w:sz w:val="20"/>
              </w:rPr>
            </w:pPr>
            <w:r>
              <w:rPr>
                <w:sz w:val="20"/>
              </w:rPr>
              <w:t>30</w:t>
            </w:r>
          </w:p>
          <w:p w:rsidR="00AF2508" w:rsidRDefault="00AF2508">
            <w:pPr>
              <w:pStyle w:val="TableText"/>
              <w:rPr>
                <w:sz w:val="20"/>
              </w:rPr>
            </w:pPr>
            <w:r>
              <w:rPr>
                <w:sz w:val="20"/>
              </w:rPr>
              <w:t>36</w:t>
            </w:r>
          </w:p>
          <w:p w:rsidR="00AF2508" w:rsidRDefault="00AF2508">
            <w:pPr>
              <w:pStyle w:val="TableText"/>
              <w:rPr>
                <w:sz w:val="20"/>
              </w:rPr>
            </w:pPr>
            <w:r>
              <w:rPr>
                <w:sz w:val="20"/>
              </w:rPr>
              <w:t>42</w:t>
            </w:r>
          </w:p>
          <w:p w:rsidR="00AF2508" w:rsidRDefault="00AF2508">
            <w:pPr>
              <w:pStyle w:val="TableText"/>
              <w:rPr>
                <w:sz w:val="20"/>
              </w:rPr>
            </w:pPr>
            <w:r>
              <w:rPr>
                <w:sz w:val="20"/>
              </w:rPr>
              <w:t>49</w:t>
            </w:r>
          </w:p>
        </w:tc>
        <w:tc>
          <w:tcPr>
            <w:tcW w:w="50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3.0</w:t>
            </w:r>
          </w:p>
          <w:p w:rsidR="00AF2508" w:rsidRDefault="00AF2508">
            <w:pPr>
              <w:pStyle w:val="TableText"/>
              <w:rPr>
                <w:sz w:val="20"/>
              </w:rPr>
            </w:pPr>
            <w:r>
              <w:rPr>
                <w:sz w:val="20"/>
              </w:rPr>
              <w:t>3.3</w:t>
            </w:r>
          </w:p>
          <w:p w:rsidR="00AF2508" w:rsidRDefault="00AF2508">
            <w:pPr>
              <w:pStyle w:val="TableText"/>
              <w:rPr>
                <w:sz w:val="20"/>
              </w:rPr>
            </w:pPr>
            <w:r>
              <w:rPr>
                <w:sz w:val="20"/>
              </w:rPr>
              <w:t>3.6</w:t>
            </w:r>
          </w:p>
          <w:p w:rsidR="00AF2508" w:rsidRDefault="00AF2508">
            <w:pPr>
              <w:pStyle w:val="TableText"/>
              <w:rPr>
                <w:sz w:val="20"/>
              </w:rPr>
            </w:pPr>
            <w:r>
              <w:rPr>
                <w:sz w:val="20"/>
              </w:rPr>
              <w:t>3.8</w:t>
            </w:r>
          </w:p>
          <w:p w:rsidR="00AF2508" w:rsidRDefault="00AF2508">
            <w:pPr>
              <w:pStyle w:val="TableText"/>
              <w:rPr>
                <w:sz w:val="20"/>
              </w:rPr>
            </w:pPr>
            <w:r>
              <w:rPr>
                <w:sz w:val="20"/>
              </w:rPr>
              <w:t>4.1</w:t>
            </w:r>
          </w:p>
        </w:tc>
        <w:tc>
          <w:tcPr>
            <w:tcW w:w="384"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21</w:t>
            </w:r>
          </w:p>
          <w:p w:rsidR="00AF2508" w:rsidRDefault="00AF2508">
            <w:pPr>
              <w:pStyle w:val="TableText"/>
              <w:rPr>
                <w:sz w:val="20"/>
              </w:rPr>
            </w:pPr>
            <w:r>
              <w:rPr>
                <w:sz w:val="20"/>
              </w:rPr>
              <w:t>26</w:t>
            </w:r>
          </w:p>
          <w:p w:rsidR="00AF2508" w:rsidRDefault="00AF2508">
            <w:pPr>
              <w:pStyle w:val="TableText"/>
              <w:rPr>
                <w:sz w:val="20"/>
              </w:rPr>
            </w:pPr>
            <w:r>
              <w:rPr>
                <w:sz w:val="20"/>
              </w:rPr>
              <w:t>31</w:t>
            </w:r>
          </w:p>
          <w:p w:rsidR="00AF2508" w:rsidRDefault="00AF2508">
            <w:pPr>
              <w:pStyle w:val="TableText"/>
              <w:rPr>
                <w:sz w:val="20"/>
              </w:rPr>
            </w:pPr>
            <w:r>
              <w:rPr>
                <w:sz w:val="20"/>
              </w:rPr>
              <w:t>37</w:t>
            </w:r>
          </w:p>
          <w:p w:rsidR="00AF2508" w:rsidRDefault="00AF2508">
            <w:pPr>
              <w:pStyle w:val="TableText"/>
              <w:rPr>
                <w:sz w:val="20"/>
              </w:rPr>
            </w:pPr>
            <w:r>
              <w:rPr>
                <w:sz w:val="20"/>
              </w:rPr>
              <w:t>43</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2.6</w:t>
            </w:r>
          </w:p>
          <w:p w:rsidR="00AF2508" w:rsidRDefault="00AF2508">
            <w:pPr>
              <w:pStyle w:val="TableText"/>
              <w:rPr>
                <w:sz w:val="20"/>
              </w:rPr>
            </w:pPr>
            <w:r>
              <w:rPr>
                <w:sz w:val="20"/>
              </w:rPr>
              <w:t>2.9</w:t>
            </w:r>
          </w:p>
          <w:p w:rsidR="00AF2508" w:rsidRDefault="00AF2508">
            <w:pPr>
              <w:pStyle w:val="TableText"/>
              <w:rPr>
                <w:sz w:val="20"/>
              </w:rPr>
            </w:pPr>
            <w:r>
              <w:rPr>
                <w:sz w:val="20"/>
              </w:rPr>
              <w:t>3.1</w:t>
            </w:r>
          </w:p>
          <w:p w:rsidR="00AF2508" w:rsidRDefault="00AF2508">
            <w:pPr>
              <w:pStyle w:val="TableText"/>
              <w:rPr>
                <w:sz w:val="20"/>
              </w:rPr>
            </w:pPr>
            <w:r>
              <w:rPr>
                <w:sz w:val="20"/>
              </w:rPr>
              <w:t>3.4</w:t>
            </w:r>
          </w:p>
          <w:p w:rsidR="00AF2508" w:rsidRDefault="00AF2508">
            <w:pPr>
              <w:pStyle w:val="TableText"/>
              <w:rPr>
                <w:sz w:val="20"/>
              </w:rPr>
            </w:pPr>
            <w:r>
              <w:rPr>
                <w:sz w:val="20"/>
              </w:rPr>
              <w:t>3.6</w:t>
            </w:r>
          </w:p>
        </w:tc>
        <w:tc>
          <w:tcPr>
            <w:tcW w:w="388"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17</w:t>
            </w:r>
          </w:p>
          <w:p w:rsidR="00AF2508" w:rsidRDefault="00AF2508">
            <w:pPr>
              <w:pStyle w:val="TableText"/>
              <w:rPr>
                <w:sz w:val="20"/>
              </w:rPr>
            </w:pPr>
            <w:r>
              <w:rPr>
                <w:sz w:val="20"/>
              </w:rPr>
              <w:t>21</w:t>
            </w:r>
          </w:p>
          <w:p w:rsidR="00AF2508" w:rsidRDefault="00AF2508">
            <w:pPr>
              <w:pStyle w:val="TableText"/>
              <w:rPr>
                <w:sz w:val="20"/>
              </w:rPr>
            </w:pPr>
            <w:r>
              <w:rPr>
                <w:sz w:val="20"/>
              </w:rPr>
              <w:t>26</w:t>
            </w:r>
          </w:p>
          <w:p w:rsidR="00AF2508" w:rsidRDefault="00AF2508">
            <w:pPr>
              <w:pStyle w:val="TableText"/>
              <w:rPr>
                <w:sz w:val="20"/>
              </w:rPr>
            </w:pPr>
            <w:r>
              <w:rPr>
                <w:sz w:val="20"/>
              </w:rPr>
              <w:t>31</w:t>
            </w:r>
          </w:p>
          <w:p w:rsidR="00AF2508" w:rsidRDefault="00AF2508">
            <w:pPr>
              <w:pStyle w:val="TableText"/>
              <w:rPr>
                <w:sz w:val="20"/>
              </w:rPr>
            </w:pPr>
            <w:r>
              <w:rPr>
                <w:sz w:val="20"/>
              </w:rPr>
              <w:t>36</w:t>
            </w:r>
          </w:p>
        </w:tc>
        <w:tc>
          <w:tcPr>
            <w:tcW w:w="452"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2.1</w:t>
            </w:r>
          </w:p>
          <w:p w:rsidR="00AF2508" w:rsidRDefault="00AF2508">
            <w:pPr>
              <w:pStyle w:val="TableText"/>
              <w:rPr>
                <w:sz w:val="20"/>
              </w:rPr>
            </w:pPr>
            <w:r>
              <w:rPr>
                <w:sz w:val="20"/>
              </w:rPr>
              <w:t>2.3</w:t>
            </w:r>
          </w:p>
          <w:p w:rsidR="00AF2508" w:rsidRDefault="00AF2508">
            <w:pPr>
              <w:pStyle w:val="TableText"/>
              <w:rPr>
                <w:sz w:val="20"/>
              </w:rPr>
            </w:pPr>
            <w:r>
              <w:rPr>
                <w:sz w:val="20"/>
              </w:rPr>
              <w:t>2.6</w:t>
            </w:r>
          </w:p>
          <w:p w:rsidR="00AF2508" w:rsidRDefault="00AF2508">
            <w:pPr>
              <w:pStyle w:val="TableText"/>
              <w:rPr>
                <w:sz w:val="20"/>
              </w:rPr>
            </w:pPr>
            <w:r>
              <w:rPr>
                <w:sz w:val="20"/>
              </w:rPr>
              <w:t>2.8</w:t>
            </w:r>
          </w:p>
          <w:p w:rsidR="00AF2508" w:rsidRDefault="00AF2508">
            <w:pPr>
              <w:pStyle w:val="TableText"/>
              <w:rPr>
                <w:sz w:val="20"/>
              </w:rPr>
            </w:pPr>
            <w:r>
              <w:rPr>
                <w:sz w:val="20"/>
              </w:rPr>
              <w:t>3.0</w:t>
            </w:r>
          </w:p>
        </w:tc>
        <w:tc>
          <w:tcPr>
            <w:tcW w:w="408" w:type="dxa"/>
            <w:gridSpan w:val="5"/>
            <w:tcBorders>
              <w:top w:val="single" w:sz="6" w:space="0" w:color="auto"/>
              <w:left w:val="single" w:sz="6" w:space="0" w:color="auto"/>
              <w:right w:val="single" w:sz="6" w:space="0" w:color="auto"/>
            </w:tcBorders>
          </w:tcPr>
          <w:p w:rsidR="00AF2508" w:rsidRDefault="00AF2508">
            <w:pPr>
              <w:pStyle w:val="TableText"/>
              <w:rPr>
                <w:sz w:val="20"/>
              </w:rPr>
            </w:pPr>
            <w:r>
              <w:rPr>
                <w:sz w:val="20"/>
              </w:rPr>
              <w:t>14</w:t>
            </w:r>
          </w:p>
          <w:p w:rsidR="00AF2508" w:rsidRDefault="00AF2508">
            <w:pPr>
              <w:pStyle w:val="TableText"/>
              <w:rPr>
                <w:sz w:val="20"/>
              </w:rPr>
            </w:pPr>
            <w:r>
              <w:rPr>
                <w:sz w:val="20"/>
              </w:rPr>
              <w:t>17</w:t>
            </w:r>
          </w:p>
          <w:p w:rsidR="00AF2508" w:rsidRDefault="00AF2508">
            <w:pPr>
              <w:pStyle w:val="TableText"/>
              <w:rPr>
                <w:sz w:val="20"/>
              </w:rPr>
            </w:pPr>
            <w:r>
              <w:rPr>
                <w:sz w:val="20"/>
              </w:rPr>
              <w:t>21</w:t>
            </w:r>
          </w:p>
          <w:p w:rsidR="00AF2508" w:rsidRDefault="00AF2508">
            <w:pPr>
              <w:pStyle w:val="TableText"/>
              <w:rPr>
                <w:sz w:val="20"/>
              </w:rPr>
            </w:pPr>
            <w:r>
              <w:rPr>
                <w:sz w:val="20"/>
              </w:rPr>
              <w:t>25</w:t>
            </w:r>
          </w:p>
          <w:p w:rsidR="00AF2508" w:rsidRDefault="00AF2508">
            <w:pPr>
              <w:pStyle w:val="TableText"/>
              <w:rPr>
                <w:sz w:val="20"/>
              </w:rPr>
            </w:pPr>
            <w:r>
              <w:rPr>
                <w:sz w:val="20"/>
              </w:rPr>
              <w:t>29</w:t>
            </w:r>
          </w:p>
        </w:tc>
        <w:tc>
          <w:tcPr>
            <w:tcW w:w="472"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1.7</w:t>
            </w:r>
          </w:p>
          <w:p w:rsidR="00AF2508" w:rsidRDefault="00AF2508">
            <w:pPr>
              <w:pStyle w:val="TableText"/>
              <w:rPr>
                <w:sz w:val="20"/>
              </w:rPr>
            </w:pPr>
            <w:r>
              <w:rPr>
                <w:sz w:val="20"/>
              </w:rPr>
              <w:t>1.9</w:t>
            </w:r>
          </w:p>
          <w:p w:rsidR="00AF2508" w:rsidRDefault="00AF2508">
            <w:pPr>
              <w:pStyle w:val="TableText"/>
              <w:rPr>
                <w:sz w:val="20"/>
              </w:rPr>
            </w:pPr>
            <w:r>
              <w:rPr>
                <w:sz w:val="20"/>
              </w:rPr>
              <w:t>2.1</w:t>
            </w:r>
          </w:p>
          <w:p w:rsidR="00AF2508" w:rsidRDefault="00AF2508">
            <w:pPr>
              <w:pStyle w:val="TableText"/>
              <w:rPr>
                <w:sz w:val="20"/>
              </w:rPr>
            </w:pPr>
            <w:r>
              <w:rPr>
                <w:sz w:val="20"/>
              </w:rPr>
              <w:t>2.3</w:t>
            </w:r>
          </w:p>
          <w:p w:rsidR="00AF2508" w:rsidRDefault="00AF2508">
            <w:pPr>
              <w:pStyle w:val="TableText"/>
              <w:rPr>
                <w:sz w:val="20"/>
              </w:rPr>
            </w:pPr>
            <w:r>
              <w:rPr>
                <w:sz w:val="20"/>
              </w:rPr>
              <w:t>2.4</w:t>
            </w:r>
          </w:p>
        </w:tc>
        <w:tc>
          <w:tcPr>
            <w:tcW w:w="368"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10</w:t>
            </w:r>
          </w:p>
          <w:p w:rsidR="00AF2508" w:rsidRDefault="00AF2508">
            <w:pPr>
              <w:pStyle w:val="TableText"/>
              <w:rPr>
                <w:sz w:val="20"/>
              </w:rPr>
            </w:pPr>
            <w:r>
              <w:rPr>
                <w:sz w:val="20"/>
              </w:rPr>
              <w:t>12</w:t>
            </w:r>
          </w:p>
          <w:p w:rsidR="00AF2508" w:rsidRDefault="00AF2508">
            <w:pPr>
              <w:pStyle w:val="TableText"/>
              <w:rPr>
                <w:sz w:val="20"/>
              </w:rPr>
            </w:pPr>
            <w:r>
              <w:rPr>
                <w:sz w:val="20"/>
              </w:rPr>
              <w:t>15</w:t>
            </w:r>
          </w:p>
          <w:p w:rsidR="00AF2508" w:rsidRDefault="00AF2508">
            <w:pPr>
              <w:pStyle w:val="TableText"/>
              <w:rPr>
                <w:sz w:val="20"/>
              </w:rPr>
            </w:pPr>
            <w:r>
              <w:rPr>
                <w:sz w:val="20"/>
              </w:rPr>
              <w:t>19</w:t>
            </w:r>
          </w:p>
          <w:p w:rsidR="00AF2508" w:rsidRDefault="00AF2508">
            <w:pPr>
              <w:pStyle w:val="TableText"/>
              <w:rPr>
                <w:sz w:val="20"/>
              </w:rPr>
            </w:pPr>
            <w:r>
              <w:rPr>
                <w:sz w:val="20"/>
              </w:rPr>
              <w:t>22</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1.2</w:t>
            </w:r>
          </w:p>
          <w:p w:rsidR="00AF2508" w:rsidRDefault="00AF2508">
            <w:pPr>
              <w:pStyle w:val="TableText"/>
              <w:rPr>
                <w:sz w:val="20"/>
              </w:rPr>
            </w:pPr>
            <w:r>
              <w:rPr>
                <w:sz w:val="20"/>
              </w:rPr>
              <w:t>1.3</w:t>
            </w:r>
          </w:p>
          <w:p w:rsidR="00AF2508" w:rsidRDefault="00AF2508">
            <w:pPr>
              <w:pStyle w:val="TableText"/>
              <w:rPr>
                <w:sz w:val="20"/>
              </w:rPr>
            </w:pPr>
            <w:r>
              <w:rPr>
                <w:sz w:val="20"/>
              </w:rPr>
              <w:t>1.5</w:t>
            </w:r>
          </w:p>
          <w:p w:rsidR="00AF2508" w:rsidRDefault="00AF2508">
            <w:pPr>
              <w:pStyle w:val="TableText"/>
              <w:rPr>
                <w:sz w:val="20"/>
              </w:rPr>
            </w:pPr>
            <w:r>
              <w:rPr>
                <w:sz w:val="20"/>
              </w:rPr>
              <w:t>1.7</w:t>
            </w:r>
          </w:p>
          <w:p w:rsidR="00AF2508" w:rsidRDefault="00AF2508">
            <w:pPr>
              <w:pStyle w:val="TableText"/>
              <w:rPr>
                <w:sz w:val="20"/>
              </w:rPr>
            </w:pPr>
            <w:r>
              <w:rPr>
                <w:sz w:val="20"/>
              </w:rPr>
              <w:t>1.8</w:t>
            </w:r>
          </w:p>
        </w:tc>
        <w:tc>
          <w:tcPr>
            <w:tcW w:w="360"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6</w:t>
            </w:r>
          </w:p>
          <w:p w:rsidR="00AF2508" w:rsidRDefault="00AF2508">
            <w:pPr>
              <w:pStyle w:val="TableText"/>
              <w:rPr>
                <w:sz w:val="20"/>
              </w:rPr>
            </w:pPr>
            <w:r>
              <w:rPr>
                <w:sz w:val="20"/>
              </w:rPr>
              <w:t>8</w:t>
            </w:r>
          </w:p>
          <w:p w:rsidR="00AF2508" w:rsidRDefault="00AF2508">
            <w:pPr>
              <w:pStyle w:val="TableText"/>
              <w:rPr>
                <w:sz w:val="20"/>
              </w:rPr>
            </w:pPr>
            <w:r>
              <w:rPr>
                <w:sz w:val="20"/>
              </w:rPr>
              <w:t>10</w:t>
            </w:r>
          </w:p>
          <w:p w:rsidR="00AF2508" w:rsidRDefault="00AF2508">
            <w:pPr>
              <w:pStyle w:val="TableText"/>
              <w:rPr>
                <w:sz w:val="20"/>
              </w:rPr>
            </w:pPr>
            <w:r>
              <w:rPr>
                <w:sz w:val="20"/>
              </w:rPr>
              <w:t>12</w:t>
            </w:r>
          </w:p>
          <w:p w:rsidR="00AF2508" w:rsidRDefault="00AF2508">
            <w:pPr>
              <w:pStyle w:val="TableText"/>
              <w:rPr>
                <w:sz w:val="20"/>
              </w:rPr>
            </w:pPr>
            <w:r>
              <w:rPr>
                <w:sz w:val="20"/>
              </w:rPr>
              <w:t>14</w:t>
            </w:r>
          </w:p>
        </w:tc>
        <w:tc>
          <w:tcPr>
            <w:tcW w:w="480" w:type="dxa"/>
            <w:gridSpan w:val="2"/>
            <w:tcBorders>
              <w:top w:val="single" w:sz="6" w:space="0" w:color="auto"/>
            </w:tcBorders>
          </w:tcPr>
          <w:p w:rsidR="00AF2508" w:rsidRDefault="00AF2508">
            <w:pPr>
              <w:pStyle w:val="TableText"/>
              <w:rPr>
                <w:sz w:val="20"/>
              </w:rPr>
            </w:pPr>
            <w:r>
              <w:rPr>
                <w:sz w:val="20"/>
              </w:rPr>
              <w:t>0.8</w:t>
            </w:r>
          </w:p>
          <w:p w:rsidR="00AF2508" w:rsidRDefault="00AF2508">
            <w:pPr>
              <w:pStyle w:val="TableText"/>
              <w:rPr>
                <w:sz w:val="20"/>
              </w:rPr>
            </w:pPr>
            <w:r>
              <w:rPr>
                <w:sz w:val="20"/>
              </w:rPr>
              <w:t>0.9</w:t>
            </w:r>
          </w:p>
          <w:p w:rsidR="00AF2508" w:rsidRDefault="00AF2508">
            <w:pPr>
              <w:pStyle w:val="TableText"/>
              <w:rPr>
                <w:sz w:val="20"/>
              </w:rPr>
            </w:pPr>
            <w:r>
              <w:rPr>
                <w:sz w:val="20"/>
              </w:rPr>
              <w:t>1.0</w:t>
            </w:r>
          </w:p>
          <w:p w:rsidR="00AF2508" w:rsidRDefault="00AF2508">
            <w:pPr>
              <w:pStyle w:val="TableText"/>
              <w:rPr>
                <w:sz w:val="20"/>
              </w:rPr>
            </w:pPr>
            <w:r>
              <w:rPr>
                <w:sz w:val="20"/>
              </w:rPr>
              <w:t>1.1</w:t>
            </w:r>
          </w:p>
          <w:p w:rsidR="00AF2508" w:rsidRDefault="00AF2508">
            <w:pPr>
              <w:pStyle w:val="TableText"/>
              <w:rPr>
                <w:sz w:val="20"/>
              </w:rPr>
            </w:pPr>
            <w:r>
              <w:rPr>
                <w:sz w:val="20"/>
              </w:rPr>
              <w:t>1.2</w:t>
            </w:r>
          </w:p>
        </w:tc>
      </w:tr>
      <w:tr w:rsidR="00AF2508">
        <w:trPr>
          <w:gridAfter w:val="1"/>
          <w:wAfter w:w="12" w:type="dxa"/>
        </w:trPr>
        <w:tc>
          <w:tcPr>
            <w:tcW w:w="792" w:type="dxa"/>
            <w:gridSpan w:val="3"/>
            <w:tcBorders>
              <w:top w:val="single" w:sz="6" w:space="0" w:color="auto"/>
              <w:right w:val="single" w:sz="6" w:space="0" w:color="auto"/>
            </w:tcBorders>
          </w:tcPr>
          <w:p w:rsidR="00AF2508" w:rsidRDefault="00AF2508">
            <w:pPr>
              <w:pStyle w:val="TableText"/>
              <w:keepNext/>
              <w:rPr>
                <w:sz w:val="20"/>
              </w:rPr>
            </w:pPr>
            <w:r>
              <w:rPr>
                <w:sz w:val="20"/>
              </w:rPr>
              <w:t>40 to 41</w:t>
            </w:r>
          </w:p>
          <w:p w:rsidR="00AF2508" w:rsidRDefault="00AF2508">
            <w:pPr>
              <w:pStyle w:val="TableText"/>
              <w:keepNext/>
              <w:rPr>
                <w:sz w:val="20"/>
              </w:rPr>
            </w:pPr>
            <w:r>
              <w:rPr>
                <w:sz w:val="20"/>
              </w:rPr>
              <w:t>42 or 43</w:t>
            </w:r>
          </w:p>
          <w:p w:rsidR="00AF2508" w:rsidRDefault="00AF2508">
            <w:pPr>
              <w:pStyle w:val="TableText"/>
              <w:keepNext/>
              <w:rPr>
                <w:sz w:val="20"/>
              </w:rPr>
            </w:pPr>
            <w:r>
              <w:rPr>
                <w:sz w:val="20"/>
              </w:rPr>
              <w:t>44 or 45</w:t>
            </w:r>
          </w:p>
          <w:p w:rsidR="00AF2508" w:rsidRDefault="00AF2508">
            <w:pPr>
              <w:pStyle w:val="TableText"/>
              <w:keepNext/>
              <w:rPr>
                <w:sz w:val="20"/>
              </w:rPr>
            </w:pPr>
            <w:r>
              <w:rPr>
                <w:sz w:val="20"/>
              </w:rPr>
              <w:t>46 or 47</w:t>
            </w:r>
          </w:p>
          <w:p w:rsidR="00AF2508" w:rsidRDefault="00AF2508">
            <w:pPr>
              <w:pStyle w:val="TableText"/>
              <w:keepNext/>
              <w:rPr>
                <w:sz w:val="20"/>
              </w:rPr>
            </w:pPr>
            <w:r>
              <w:rPr>
                <w:sz w:val="20"/>
              </w:rPr>
              <w:t>48 or 49</w:t>
            </w:r>
          </w:p>
        </w:tc>
        <w:tc>
          <w:tcPr>
            <w:tcW w:w="600" w:type="dxa"/>
            <w:tcBorders>
              <w:top w:val="single" w:sz="6" w:space="0" w:color="auto"/>
            </w:tcBorders>
          </w:tcPr>
          <w:p w:rsidR="00AF2508" w:rsidRDefault="00AF2508">
            <w:pPr>
              <w:pStyle w:val="TableText"/>
              <w:keepNext/>
              <w:rPr>
                <w:sz w:val="20"/>
              </w:rPr>
            </w:pPr>
            <w:r>
              <w:rPr>
                <w:sz w:val="20"/>
              </w:rPr>
              <w:t>13</w:t>
            </w:r>
          </w:p>
          <w:p w:rsidR="00AF2508" w:rsidRDefault="00AF2508">
            <w:pPr>
              <w:pStyle w:val="TableText"/>
              <w:keepNext/>
              <w:rPr>
                <w:sz w:val="20"/>
              </w:rPr>
            </w:pPr>
            <w:r>
              <w:rPr>
                <w:sz w:val="20"/>
              </w:rPr>
              <w:t>14</w:t>
            </w:r>
          </w:p>
          <w:p w:rsidR="00AF2508" w:rsidRDefault="00AF2508">
            <w:pPr>
              <w:pStyle w:val="TableText"/>
              <w:keepNext/>
              <w:rPr>
                <w:sz w:val="20"/>
              </w:rPr>
            </w:pPr>
            <w:r>
              <w:rPr>
                <w:sz w:val="20"/>
              </w:rPr>
              <w:t>15</w:t>
            </w:r>
          </w:p>
          <w:p w:rsidR="00AF2508" w:rsidRDefault="00AF2508">
            <w:pPr>
              <w:pStyle w:val="TableText"/>
              <w:keepNext/>
              <w:rPr>
                <w:sz w:val="20"/>
              </w:rPr>
            </w:pPr>
            <w:r>
              <w:rPr>
                <w:sz w:val="20"/>
              </w:rPr>
              <w:t>16</w:t>
            </w:r>
          </w:p>
          <w:p w:rsidR="00AF2508" w:rsidRDefault="00AF2508">
            <w:pPr>
              <w:pStyle w:val="TableText"/>
              <w:keepNext/>
              <w:rPr>
                <w:sz w:val="20"/>
              </w:rPr>
            </w:pPr>
            <w:r>
              <w:rPr>
                <w:sz w:val="20"/>
              </w:rPr>
              <w:t>17</w:t>
            </w:r>
          </w:p>
        </w:tc>
        <w:tc>
          <w:tcPr>
            <w:tcW w:w="528"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6</w:t>
            </w:r>
          </w:p>
          <w:p w:rsidR="00AF2508" w:rsidRDefault="00AF2508">
            <w:pPr>
              <w:pStyle w:val="TableText"/>
              <w:keepNext/>
              <w:rPr>
                <w:sz w:val="20"/>
              </w:rPr>
            </w:pPr>
            <w:r>
              <w:rPr>
                <w:sz w:val="20"/>
              </w:rPr>
              <w:t>6</w:t>
            </w:r>
          </w:p>
          <w:p w:rsidR="00AF2508" w:rsidRDefault="00AF2508">
            <w:pPr>
              <w:pStyle w:val="TableText"/>
              <w:keepNext/>
              <w:rPr>
                <w:sz w:val="20"/>
              </w:rPr>
            </w:pPr>
            <w:r>
              <w:rPr>
                <w:sz w:val="20"/>
              </w:rPr>
              <w:t>6</w:t>
            </w:r>
          </w:p>
          <w:p w:rsidR="00AF2508" w:rsidRDefault="00AF2508">
            <w:pPr>
              <w:pStyle w:val="TableText"/>
              <w:keepNext/>
              <w:rPr>
                <w:sz w:val="20"/>
              </w:rPr>
            </w:pPr>
            <w:r>
              <w:rPr>
                <w:sz w:val="20"/>
              </w:rPr>
              <w:t>6</w:t>
            </w:r>
          </w:p>
          <w:p w:rsidR="00AF2508" w:rsidRDefault="00AF2508">
            <w:pPr>
              <w:pStyle w:val="TableText"/>
              <w:keepNext/>
              <w:rPr>
                <w:sz w:val="20"/>
              </w:rPr>
            </w:pPr>
            <w:r>
              <w:rPr>
                <w:sz w:val="20"/>
              </w:rPr>
              <w:t>6</w:t>
            </w:r>
          </w:p>
        </w:tc>
        <w:tc>
          <w:tcPr>
            <w:tcW w:w="444"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106</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444"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8.2</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p w:rsidR="00AF2508" w:rsidRDefault="00AF2508">
            <w:pPr>
              <w:pStyle w:val="TableText"/>
              <w:keepNext/>
              <w:rPr>
                <w:sz w:val="20"/>
              </w:rPr>
            </w:pPr>
            <w:r>
              <w:rPr>
                <w:sz w:val="20"/>
              </w:rPr>
              <w:t>...</w:t>
            </w:r>
          </w:p>
        </w:tc>
        <w:tc>
          <w:tcPr>
            <w:tcW w:w="444"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98</w:t>
            </w:r>
          </w:p>
          <w:p w:rsidR="00AF2508" w:rsidRDefault="00AF2508">
            <w:pPr>
              <w:pStyle w:val="TableText"/>
              <w:keepNext/>
              <w:rPr>
                <w:sz w:val="20"/>
              </w:rPr>
            </w:pPr>
            <w:r>
              <w:rPr>
                <w:sz w:val="20"/>
              </w:rPr>
              <w:t>106</w:t>
            </w:r>
          </w:p>
          <w:p w:rsidR="00AF2508" w:rsidRDefault="00AF2508">
            <w:pPr>
              <w:pStyle w:val="TableText"/>
              <w:keepNext/>
              <w:rPr>
                <w:sz w:val="20"/>
              </w:rPr>
            </w:pPr>
            <w:r>
              <w:rPr>
                <w:sz w:val="20"/>
              </w:rPr>
              <w:t>114</w:t>
            </w:r>
          </w:p>
          <w:p w:rsidR="00AF2508" w:rsidRDefault="00AF2508">
            <w:pPr>
              <w:pStyle w:val="TableText"/>
              <w:keepNext/>
              <w:rPr>
                <w:sz w:val="20"/>
              </w:rPr>
            </w:pPr>
            <w:r>
              <w:rPr>
                <w:sz w:val="20"/>
              </w:rPr>
              <w:t>121</w:t>
            </w:r>
          </w:p>
          <w:p w:rsidR="00AF2508" w:rsidRDefault="00AF2508">
            <w:pPr>
              <w:pStyle w:val="TableText"/>
              <w:keepNext/>
              <w:rPr>
                <w:sz w:val="20"/>
              </w:rPr>
            </w:pPr>
            <w:r>
              <w:rPr>
                <w:sz w:val="20"/>
              </w:rPr>
              <w:t>129</w:t>
            </w:r>
          </w:p>
        </w:tc>
        <w:tc>
          <w:tcPr>
            <w:tcW w:w="476"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7.6</w:t>
            </w:r>
          </w:p>
          <w:p w:rsidR="00AF2508" w:rsidRDefault="00AF2508">
            <w:pPr>
              <w:pStyle w:val="TableText"/>
              <w:keepNext/>
              <w:rPr>
                <w:sz w:val="20"/>
              </w:rPr>
            </w:pPr>
            <w:r>
              <w:rPr>
                <w:sz w:val="20"/>
              </w:rPr>
              <w:t>7.6</w:t>
            </w:r>
          </w:p>
          <w:p w:rsidR="00AF2508" w:rsidRDefault="00AF2508">
            <w:pPr>
              <w:pStyle w:val="TableText"/>
              <w:keepNext/>
              <w:rPr>
                <w:sz w:val="20"/>
              </w:rPr>
            </w:pPr>
            <w:r>
              <w:rPr>
                <w:sz w:val="20"/>
              </w:rPr>
              <w:t>7.6</w:t>
            </w:r>
          </w:p>
          <w:p w:rsidR="00AF2508" w:rsidRDefault="00AF2508">
            <w:pPr>
              <w:pStyle w:val="TableText"/>
              <w:keepNext/>
              <w:rPr>
                <w:sz w:val="20"/>
              </w:rPr>
            </w:pPr>
            <w:r>
              <w:rPr>
                <w:sz w:val="20"/>
              </w:rPr>
              <w:t>7.6</w:t>
            </w:r>
          </w:p>
          <w:p w:rsidR="00AF2508" w:rsidRDefault="00AF2508">
            <w:pPr>
              <w:pStyle w:val="TableText"/>
              <w:keepNext/>
              <w:rPr>
                <w:sz w:val="20"/>
              </w:rPr>
            </w:pPr>
            <w:r>
              <w:rPr>
                <w:sz w:val="20"/>
              </w:rPr>
              <w:t>7.6</w:t>
            </w:r>
          </w:p>
        </w:tc>
        <w:tc>
          <w:tcPr>
            <w:tcW w:w="412" w:type="dxa"/>
            <w:gridSpan w:val="4"/>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87</w:t>
            </w:r>
          </w:p>
          <w:p w:rsidR="00AF2508" w:rsidRDefault="00AF2508">
            <w:pPr>
              <w:pStyle w:val="TableText"/>
              <w:keepNext/>
              <w:rPr>
                <w:sz w:val="20"/>
              </w:rPr>
            </w:pPr>
            <w:r>
              <w:rPr>
                <w:sz w:val="20"/>
              </w:rPr>
              <w:t>94</w:t>
            </w:r>
          </w:p>
          <w:p w:rsidR="00AF2508" w:rsidRDefault="00AF2508">
            <w:pPr>
              <w:pStyle w:val="TableText"/>
              <w:keepNext/>
              <w:rPr>
                <w:sz w:val="20"/>
              </w:rPr>
            </w:pPr>
            <w:r>
              <w:rPr>
                <w:sz w:val="20"/>
              </w:rPr>
              <w:t>102</w:t>
            </w:r>
          </w:p>
          <w:p w:rsidR="00AF2508" w:rsidRDefault="00AF2508">
            <w:pPr>
              <w:pStyle w:val="TableText"/>
              <w:keepNext/>
              <w:rPr>
                <w:sz w:val="20"/>
              </w:rPr>
            </w:pPr>
            <w:r>
              <w:rPr>
                <w:sz w:val="20"/>
              </w:rPr>
              <w:t>110</w:t>
            </w:r>
          </w:p>
          <w:p w:rsidR="00AF2508" w:rsidRDefault="00AF2508">
            <w:pPr>
              <w:pStyle w:val="TableText"/>
              <w:keepNext/>
              <w:rPr>
                <w:sz w:val="20"/>
              </w:rPr>
            </w:pPr>
            <w:r>
              <w:rPr>
                <w:sz w:val="20"/>
              </w:rPr>
              <w:t>117</w:t>
            </w:r>
          </w:p>
        </w:tc>
        <w:tc>
          <w:tcPr>
            <w:tcW w:w="512"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6.7</w:t>
            </w:r>
          </w:p>
          <w:p w:rsidR="00AF2508" w:rsidRDefault="00AF2508">
            <w:pPr>
              <w:pStyle w:val="TableText"/>
              <w:keepNext/>
              <w:rPr>
                <w:sz w:val="20"/>
              </w:rPr>
            </w:pPr>
            <w:r>
              <w:rPr>
                <w:sz w:val="20"/>
              </w:rPr>
              <w:t>6.7</w:t>
            </w:r>
          </w:p>
          <w:p w:rsidR="00AF2508" w:rsidRDefault="00AF2508">
            <w:pPr>
              <w:pStyle w:val="TableText"/>
              <w:keepNext/>
              <w:rPr>
                <w:sz w:val="20"/>
              </w:rPr>
            </w:pPr>
            <w:r>
              <w:rPr>
                <w:sz w:val="20"/>
              </w:rPr>
              <w:t>6.8</w:t>
            </w:r>
          </w:p>
          <w:p w:rsidR="00AF2508" w:rsidRDefault="00AF2508">
            <w:pPr>
              <w:pStyle w:val="TableText"/>
              <w:keepNext/>
              <w:rPr>
                <w:sz w:val="20"/>
              </w:rPr>
            </w:pPr>
            <w:r>
              <w:rPr>
                <w:sz w:val="20"/>
              </w:rPr>
              <w:t>6.9</w:t>
            </w:r>
          </w:p>
          <w:p w:rsidR="00AF2508" w:rsidRDefault="00AF2508">
            <w:pPr>
              <w:pStyle w:val="TableText"/>
              <w:keepNext/>
              <w:rPr>
                <w:sz w:val="20"/>
              </w:rPr>
            </w:pPr>
            <w:r>
              <w:rPr>
                <w:sz w:val="20"/>
              </w:rPr>
              <w:t>6.9</w:t>
            </w:r>
          </w:p>
        </w:tc>
        <w:tc>
          <w:tcPr>
            <w:tcW w:w="420"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71</w:t>
            </w:r>
          </w:p>
          <w:p w:rsidR="00AF2508" w:rsidRDefault="00AF2508">
            <w:pPr>
              <w:pStyle w:val="TableText"/>
              <w:keepNext/>
              <w:rPr>
                <w:sz w:val="20"/>
              </w:rPr>
            </w:pPr>
            <w:r>
              <w:rPr>
                <w:sz w:val="20"/>
              </w:rPr>
              <w:t>80</w:t>
            </w:r>
          </w:p>
          <w:p w:rsidR="00AF2508" w:rsidRDefault="00AF2508">
            <w:pPr>
              <w:pStyle w:val="TableText"/>
              <w:keepNext/>
              <w:rPr>
                <w:sz w:val="20"/>
              </w:rPr>
            </w:pPr>
            <w:r>
              <w:rPr>
                <w:sz w:val="20"/>
              </w:rPr>
              <w:t>89</w:t>
            </w:r>
          </w:p>
          <w:p w:rsidR="00AF2508" w:rsidRDefault="00AF2508">
            <w:pPr>
              <w:pStyle w:val="TableText"/>
              <w:keepNext/>
              <w:rPr>
                <w:sz w:val="20"/>
              </w:rPr>
            </w:pPr>
            <w:r>
              <w:rPr>
                <w:sz w:val="20"/>
              </w:rPr>
              <w:t>97</w:t>
            </w:r>
          </w:p>
          <w:p w:rsidR="00AF2508" w:rsidRDefault="00AF2508">
            <w:pPr>
              <w:pStyle w:val="TableText"/>
              <w:keepNext/>
              <w:rPr>
                <w:sz w:val="20"/>
              </w:rPr>
            </w:pPr>
            <w:r>
              <w:rPr>
                <w:sz w:val="20"/>
              </w:rPr>
              <w:t>105</w:t>
            </w:r>
          </w:p>
        </w:tc>
        <w:tc>
          <w:tcPr>
            <w:tcW w:w="468" w:type="dxa"/>
            <w:gridSpan w:val="4"/>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5.5</w:t>
            </w:r>
          </w:p>
          <w:p w:rsidR="00AF2508" w:rsidRDefault="00AF2508">
            <w:pPr>
              <w:pStyle w:val="TableText"/>
              <w:keepNext/>
              <w:rPr>
                <w:sz w:val="20"/>
              </w:rPr>
            </w:pPr>
            <w:r>
              <w:rPr>
                <w:sz w:val="20"/>
              </w:rPr>
              <w:t>5.7</w:t>
            </w:r>
          </w:p>
          <w:p w:rsidR="00AF2508" w:rsidRDefault="00AF2508">
            <w:pPr>
              <w:pStyle w:val="TableText"/>
              <w:keepNext/>
              <w:rPr>
                <w:sz w:val="20"/>
              </w:rPr>
            </w:pPr>
            <w:r>
              <w:rPr>
                <w:sz w:val="20"/>
              </w:rPr>
              <w:t>5.9</w:t>
            </w:r>
          </w:p>
          <w:p w:rsidR="00AF2508" w:rsidRDefault="00AF2508">
            <w:pPr>
              <w:pStyle w:val="TableText"/>
              <w:keepNext/>
              <w:rPr>
                <w:sz w:val="20"/>
              </w:rPr>
            </w:pPr>
            <w:r>
              <w:rPr>
                <w:sz w:val="20"/>
              </w:rPr>
              <w:t>6.1</w:t>
            </w:r>
          </w:p>
          <w:p w:rsidR="00AF2508" w:rsidRDefault="00AF2508">
            <w:pPr>
              <w:pStyle w:val="TableText"/>
              <w:keepNext/>
              <w:rPr>
                <w:sz w:val="20"/>
              </w:rPr>
            </w:pPr>
            <w:r>
              <w:rPr>
                <w:sz w:val="20"/>
              </w:rPr>
              <w:t>6.2</w:t>
            </w:r>
          </w:p>
        </w:tc>
        <w:tc>
          <w:tcPr>
            <w:tcW w:w="384" w:type="dxa"/>
            <w:gridSpan w:val="4"/>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64</w:t>
            </w:r>
          </w:p>
          <w:p w:rsidR="00AF2508" w:rsidRDefault="00AF2508">
            <w:pPr>
              <w:pStyle w:val="TableText"/>
              <w:keepNext/>
              <w:rPr>
                <w:sz w:val="20"/>
              </w:rPr>
            </w:pPr>
            <w:r>
              <w:rPr>
                <w:sz w:val="20"/>
              </w:rPr>
              <w:t>73</w:t>
            </w:r>
          </w:p>
          <w:p w:rsidR="00AF2508" w:rsidRDefault="00AF2508">
            <w:pPr>
              <w:pStyle w:val="TableText"/>
              <w:keepNext/>
              <w:rPr>
                <w:sz w:val="20"/>
              </w:rPr>
            </w:pPr>
            <w:r>
              <w:rPr>
                <w:sz w:val="20"/>
              </w:rPr>
              <w:t>81</w:t>
            </w:r>
          </w:p>
          <w:p w:rsidR="00AF2508" w:rsidRDefault="00AF2508">
            <w:pPr>
              <w:pStyle w:val="TableText"/>
              <w:keepNext/>
              <w:rPr>
                <w:sz w:val="20"/>
              </w:rPr>
            </w:pPr>
            <w:r>
              <w:rPr>
                <w:sz w:val="20"/>
              </w:rPr>
              <w:t>90</w:t>
            </w:r>
          </w:p>
          <w:p w:rsidR="00AF2508" w:rsidRDefault="00AF2508">
            <w:pPr>
              <w:pStyle w:val="TableText"/>
              <w:keepNext/>
              <w:rPr>
                <w:sz w:val="20"/>
              </w:rPr>
            </w:pPr>
            <w:r>
              <w:rPr>
                <w:sz w:val="20"/>
              </w:rPr>
              <w:t>98</w:t>
            </w:r>
          </w:p>
        </w:tc>
        <w:tc>
          <w:tcPr>
            <w:tcW w:w="504"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4.9</w:t>
            </w:r>
          </w:p>
          <w:p w:rsidR="00AF2508" w:rsidRDefault="00AF2508">
            <w:pPr>
              <w:pStyle w:val="TableText"/>
              <w:keepNext/>
              <w:rPr>
                <w:sz w:val="20"/>
              </w:rPr>
            </w:pPr>
            <w:r>
              <w:rPr>
                <w:sz w:val="20"/>
              </w:rPr>
              <w:t>5.2</w:t>
            </w:r>
          </w:p>
          <w:p w:rsidR="00AF2508" w:rsidRDefault="00AF2508">
            <w:pPr>
              <w:pStyle w:val="TableText"/>
              <w:keepNext/>
              <w:rPr>
                <w:sz w:val="20"/>
              </w:rPr>
            </w:pPr>
            <w:r>
              <w:rPr>
                <w:sz w:val="20"/>
              </w:rPr>
              <w:t>5.4</w:t>
            </w:r>
          </w:p>
          <w:p w:rsidR="00AF2508" w:rsidRDefault="00AF2508">
            <w:pPr>
              <w:pStyle w:val="TableText"/>
              <w:keepNext/>
              <w:rPr>
                <w:sz w:val="20"/>
              </w:rPr>
            </w:pPr>
            <w:r>
              <w:rPr>
                <w:sz w:val="20"/>
              </w:rPr>
              <w:t>5.6</w:t>
            </w:r>
          </w:p>
          <w:p w:rsidR="00AF2508" w:rsidRDefault="00AF2508">
            <w:pPr>
              <w:pStyle w:val="TableText"/>
              <w:keepNext/>
              <w:rPr>
                <w:sz w:val="20"/>
              </w:rPr>
            </w:pPr>
            <w:r>
              <w:rPr>
                <w:sz w:val="20"/>
              </w:rPr>
              <w:t>5.8</w:t>
            </w:r>
          </w:p>
        </w:tc>
        <w:tc>
          <w:tcPr>
            <w:tcW w:w="396"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56</w:t>
            </w:r>
          </w:p>
          <w:p w:rsidR="00AF2508" w:rsidRDefault="00AF2508">
            <w:pPr>
              <w:pStyle w:val="TableText"/>
              <w:keepNext/>
              <w:rPr>
                <w:sz w:val="20"/>
              </w:rPr>
            </w:pPr>
            <w:r>
              <w:rPr>
                <w:sz w:val="20"/>
              </w:rPr>
              <w:t>64</w:t>
            </w:r>
          </w:p>
          <w:p w:rsidR="00AF2508" w:rsidRDefault="00AF2508">
            <w:pPr>
              <w:pStyle w:val="TableText"/>
              <w:keepNext/>
              <w:rPr>
                <w:sz w:val="20"/>
              </w:rPr>
            </w:pPr>
            <w:r>
              <w:rPr>
                <w:sz w:val="20"/>
              </w:rPr>
              <w:t>72</w:t>
            </w:r>
          </w:p>
          <w:p w:rsidR="00AF2508" w:rsidRDefault="00AF2508">
            <w:pPr>
              <w:pStyle w:val="TableText"/>
              <w:keepNext/>
              <w:rPr>
                <w:sz w:val="20"/>
              </w:rPr>
            </w:pPr>
            <w:r>
              <w:rPr>
                <w:sz w:val="20"/>
              </w:rPr>
              <w:t>80</w:t>
            </w:r>
          </w:p>
          <w:p w:rsidR="00AF2508" w:rsidRDefault="00AF2508">
            <w:pPr>
              <w:pStyle w:val="TableText"/>
              <w:keepNext/>
              <w:rPr>
                <w:sz w:val="20"/>
              </w:rPr>
            </w:pPr>
            <w:r>
              <w:rPr>
                <w:sz w:val="20"/>
              </w:rPr>
              <w:t>88</w:t>
            </w:r>
          </w:p>
        </w:tc>
        <w:tc>
          <w:tcPr>
            <w:tcW w:w="504"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4.3</w:t>
            </w:r>
          </w:p>
          <w:p w:rsidR="00AF2508" w:rsidRDefault="00AF2508">
            <w:pPr>
              <w:pStyle w:val="TableText"/>
              <w:keepNext/>
              <w:rPr>
                <w:sz w:val="20"/>
              </w:rPr>
            </w:pPr>
            <w:r>
              <w:rPr>
                <w:sz w:val="20"/>
              </w:rPr>
              <w:t>4.6</w:t>
            </w:r>
          </w:p>
          <w:p w:rsidR="00AF2508" w:rsidRDefault="00AF2508">
            <w:pPr>
              <w:pStyle w:val="TableText"/>
              <w:keepNext/>
              <w:rPr>
                <w:sz w:val="20"/>
              </w:rPr>
            </w:pPr>
            <w:r>
              <w:rPr>
                <w:sz w:val="20"/>
              </w:rPr>
              <w:t>4.8</w:t>
            </w:r>
          </w:p>
          <w:p w:rsidR="00AF2508" w:rsidRDefault="00AF2508">
            <w:pPr>
              <w:pStyle w:val="TableText"/>
              <w:keepNext/>
              <w:rPr>
                <w:sz w:val="20"/>
              </w:rPr>
            </w:pPr>
            <w:r>
              <w:rPr>
                <w:sz w:val="20"/>
              </w:rPr>
              <w:t>5.0</w:t>
            </w:r>
          </w:p>
          <w:p w:rsidR="00AF2508" w:rsidRDefault="00AF2508">
            <w:pPr>
              <w:pStyle w:val="TableText"/>
              <w:keepNext/>
              <w:rPr>
                <w:sz w:val="20"/>
              </w:rPr>
            </w:pPr>
            <w:r>
              <w:rPr>
                <w:sz w:val="20"/>
              </w:rPr>
              <w:t>5.2</w:t>
            </w:r>
          </w:p>
        </w:tc>
        <w:tc>
          <w:tcPr>
            <w:tcW w:w="384"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48</w:t>
            </w:r>
          </w:p>
          <w:p w:rsidR="00AF2508" w:rsidRDefault="00AF2508">
            <w:pPr>
              <w:pStyle w:val="TableText"/>
              <w:keepNext/>
              <w:rPr>
                <w:sz w:val="20"/>
              </w:rPr>
            </w:pPr>
            <w:r>
              <w:rPr>
                <w:sz w:val="20"/>
              </w:rPr>
              <w:t>55</w:t>
            </w:r>
          </w:p>
          <w:p w:rsidR="00AF2508" w:rsidRDefault="00AF2508">
            <w:pPr>
              <w:pStyle w:val="TableText"/>
              <w:keepNext/>
              <w:rPr>
                <w:sz w:val="20"/>
              </w:rPr>
            </w:pPr>
            <w:r>
              <w:rPr>
                <w:sz w:val="20"/>
              </w:rPr>
              <w:t>62</w:t>
            </w:r>
          </w:p>
          <w:p w:rsidR="00AF2508" w:rsidRDefault="00AF2508">
            <w:pPr>
              <w:pStyle w:val="TableText"/>
              <w:keepNext/>
              <w:rPr>
                <w:sz w:val="20"/>
              </w:rPr>
            </w:pPr>
            <w:r>
              <w:rPr>
                <w:sz w:val="20"/>
              </w:rPr>
              <w:t>69</w:t>
            </w:r>
          </w:p>
          <w:p w:rsidR="00AF2508" w:rsidRDefault="00AF2508">
            <w:pPr>
              <w:pStyle w:val="TableText"/>
              <w:keepNext/>
              <w:rPr>
                <w:sz w:val="20"/>
              </w:rPr>
            </w:pPr>
            <w:r>
              <w:rPr>
                <w:sz w:val="20"/>
              </w:rPr>
              <w:t>76</w:t>
            </w:r>
          </w:p>
        </w:tc>
        <w:tc>
          <w:tcPr>
            <w:tcW w:w="480"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3.7</w:t>
            </w:r>
          </w:p>
          <w:p w:rsidR="00AF2508" w:rsidRDefault="00AF2508">
            <w:pPr>
              <w:pStyle w:val="TableText"/>
              <w:keepNext/>
              <w:rPr>
                <w:sz w:val="20"/>
              </w:rPr>
            </w:pPr>
            <w:r>
              <w:rPr>
                <w:sz w:val="20"/>
              </w:rPr>
              <w:t>3.9</w:t>
            </w:r>
          </w:p>
          <w:p w:rsidR="00AF2508" w:rsidRDefault="00AF2508">
            <w:pPr>
              <w:pStyle w:val="TableText"/>
              <w:keepNext/>
              <w:rPr>
                <w:sz w:val="20"/>
              </w:rPr>
            </w:pPr>
            <w:r>
              <w:rPr>
                <w:sz w:val="20"/>
              </w:rPr>
              <w:t>4.1</w:t>
            </w:r>
          </w:p>
          <w:p w:rsidR="00AF2508" w:rsidRDefault="00AF2508">
            <w:pPr>
              <w:pStyle w:val="TableText"/>
              <w:keepNext/>
              <w:rPr>
                <w:sz w:val="20"/>
              </w:rPr>
            </w:pPr>
            <w:r>
              <w:rPr>
                <w:sz w:val="20"/>
              </w:rPr>
              <w:t>4.3</w:t>
            </w:r>
          </w:p>
          <w:p w:rsidR="00AF2508" w:rsidRDefault="00AF2508">
            <w:pPr>
              <w:pStyle w:val="TableText"/>
              <w:keepNext/>
              <w:rPr>
                <w:sz w:val="20"/>
              </w:rPr>
            </w:pPr>
            <w:r>
              <w:rPr>
                <w:sz w:val="20"/>
              </w:rPr>
              <w:t>4.5</w:t>
            </w:r>
          </w:p>
        </w:tc>
        <w:tc>
          <w:tcPr>
            <w:tcW w:w="388"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40</w:t>
            </w:r>
          </w:p>
          <w:p w:rsidR="00AF2508" w:rsidRDefault="00AF2508">
            <w:pPr>
              <w:pStyle w:val="TableText"/>
              <w:keepNext/>
              <w:rPr>
                <w:sz w:val="20"/>
              </w:rPr>
            </w:pPr>
            <w:r>
              <w:rPr>
                <w:sz w:val="20"/>
              </w:rPr>
              <w:t>45</w:t>
            </w:r>
          </w:p>
          <w:p w:rsidR="00AF2508" w:rsidRDefault="00AF2508">
            <w:pPr>
              <w:pStyle w:val="TableText"/>
              <w:keepNext/>
              <w:rPr>
                <w:sz w:val="20"/>
              </w:rPr>
            </w:pPr>
            <w:r>
              <w:rPr>
                <w:sz w:val="20"/>
              </w:rPr>
              <w:t>50</w:t>
            </w:r>
          </w:p>
          <w:p w:rsidR="00AF2508" w:rsidRDefault="00AF2508">
            <w:pPr>
              <w:pStyle w:val="TableText"/>
              <w:keepNext/>
              <w:rPr>
                <w:sz w:val="20"/>
              </w:rPr>
            </w:pPr>
            <w:r>
              <w:rPr>
                <w:sz w:val="20"/>
              </w:rPr>
              <w:t>56</w:t>
            </w:r>
          </w:p>
          <w:p w:rsidR="00AF2508" w:rsidRDefault="00AF2508">
            <w:pPr>
              <w:pStyle w:val="TableText"/>
              <w:keepNext/>
              <w:rPr>
                <w:sz w:val="20"/>
              </w:rPr>
            </w:pPr>
            <w:r>
              <w:rPr>
                <w:sz w:val="20"/>
              </w:rPr>
              <w:t>63</w:t>
            </w:r>
          </w:p>
        </w:tc>
        <w:tc>
          <w:tcPr>
            <w:tcW w:w="452" w:type="dxa"/>
            <w:gridSpan w:val="4"/>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3.1</w:t>
            </w:r>
          </w:p>
          <w:p w:rsidR="00AF2508" w:rsidRDefault="00AF2508">
            <w:pPr>
              <w:pStyle w:val="TableText"/>
              <w:keepNext/>
              <w:rPr>
                <w:sz w:val="20"/>
              </w:rPr>
            </w:pPr>
            <w:r>
              <w:rPr>
                <w:sz w:val="20"/>
              </w:rPr>
              <w:t>3.2</w:t>
            </w:r>
          </w:p>
          <w:p w:rsidR="00AF2508" w:rsidRDefault="00AF2508">
            <w:pPr>
              <w:pStyle w:val="TableText"/>
              <w:keepNext/>
              <w:rPr>
                <w:sz w:val="20"/>
              </w:rPr>
            </w:pPr>
            <w:r>
              <w:rPr>
                <w:sz w:val="20"/>
              </w:rPr>
              <w:t>3.3</w:t>
            </w:r>
          </w:p>
          <w:p w:rsidR="00AF2508" w:rsidRDefault="00AF2508">
            <w:pPr>
              <w:pStyle w:val="TableText"/>
              <w:keepNext/>
              <w:rPr>
                <w:sz w:val="20"/>
              </w:rPr>
            </w:pPr>
            <w:r>
              <w:rPr>
                <w:sz w:val="20"/>
              </w:rPr>
              <w:t>3.5</w:t>
            </w:r>
          </w:p>
          <w:p w:rsidR="00AF2508" w:rsidRDefault="00AF2508">
            <w:pPr>
              <w:pStyle w:val="TableText"/>
              <w:keepNext/>
              <w:rPr>
                <w:sz w:val="20"/>
              </w:rPr>
            </w:pPr>
            <w:r>
              <w:rPr>
                <w:sz w:val="20"/>
              </w:rPr>
              <w:t>3.7</w:t>
            </w:r>
          </w:p>
        </w:tc>
        <w:tc>
          <w:tcPr>
            <w:tcW w:w="408" w:type="dxa"/>
            <w:gridSpan w:val="5"/>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32</w:t>
            </w:r>
          </w:p>
          <w:p w:rsidR="00AF2508" w:rsidRDefault="00AF2508">
            <w:pPr>
              <w:pStyle w:val="TableText"/>
              <w:keepNext/>
              <w:rPr>
                <w:sz w:val="20"/>
              </w:rPr>
            </w:pPr>
            <w:r>
              <w:rPr>
                <w:sz w:val="20"/>
              </w:rPr>
              <w:t>37</w:t>
            </w:r>
          </w:p>
          <w:p w:rsidR="00AF2508" w:rsidRDefault="00AF2508">
            <w:pPr>
              <w:pStyle w:val="TableText"/>
              <w:keepNext/>
              <w:rPr>
                <w:sz w:val="20"/>
              </w:rPr>
            </w:pPr>
            <w:r>
              <w:rPr>
                <w:sz w:val="20"/>
              </w:rPr>
              <w:t>42</w:t>
            </w:r>
          </w:p>
          <w:p w:rsidR="00AF2508" w:rsidRDefault="00AF2508">
            <w:pPr>
              <w:pStyle w:val="TableText"/>
              <w:keepNext/>
              <w:rPr>
                <w:sz w:val="20"/>
              </w:rPr>
            </w:pPr>
            <w:r>
              <w:rPr>
                <w:sz w:val="20"/>
              </w:rPr>
              <w:t>47</w:t>
            </w:r>
          </w:p>
          <w:p w:rsidR="00AF2508" w:rsidRDefault="00AF2508">
            <w:pPr>
              <w:pStyle w:val="TableText"/>
              <w:keepNext/>
              <w:rPr>
                <w:sz w:val="20"/>
              </w:rPr>
            </w:pPr>
            <w:r>
              <w:rPr>
                <w:sz w:val="20"/>
              </w:rPr>
              <w:t>52</w:t>
            </w:r>
          </w:p>
        </w:tc>
        <w:tc>
          <w:tcPr>
            <w:tcW w:w="472"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2.5</w:t>
            </w:r>
          </w:p>
          <w:p w:rsidR="00AF2508" w:rsidRDefault="00AF2508">
            <w:pPr>
              <w:pStyle w:val="TableText"/>
              <w:keepNext/>
              <w:rPr>
                <w:sz w:val="20"/>
              </w:rPr>
            </w:pPr>
            <w:r>
              <w:rPr>
                <w:sz w:val="20"/>
              </w:rPr>
              <w:t>2.6</w:t>
            </w:r>
          </w:p>
          <w:p w:rsidR="00AF2508" w:rsidRDefault="00AF2508">
            <w:pPr>
              <w:pStyle w:val="TableText"/>
              <w:keepNext/>
              <w:rPr>
                <w:sz w:val="20"/>
              </w:rPr>
            </w:pPr>
            <w:r>
              <w:rPr>
                <w:sz w:val="20"/>
              </w:rPr>
              <w:t>2.8</w:t>
            </w:r>
          </w:p>
          <w:p w:rsidR="00AF2508" w:rsidRDefault="00AF2508">
            <w:pPr>
              <w:pStyle w:val="TableText"/>
              <w:keepNext/>
              <w:rPr>
                <w:sz w:val="20"/>
              </w:rPr>
            </w:pPr>
            <w:r>
              <w:rPr>
                <w:sz w:val="20"/>
              </w:rPr>
              <w:t>2.9</w:t>
            </w:r>
          </w:p>
          <w:p w:rsidR="00AF2508" w:rsidRDefault="00AF2508">
            <w:pPr>
              <w:pStyle w:val="TableText"/>
              <w:keepNext/>
              <w:rPr>
                <w:sz w:val="20"/>
              </w:rPr>
            </w:pPr>
            <w:r>
              <w:rPr>
                <w:sz w:val="20"/>
              </w:rPr>
              <w:t>3.1</w:t>
            </w:r>
          </w:p>
        </w:tc>
        <w:tc>
          <w:tcPr>
            <w:tcW w:w="368"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25</w:t>
            </w:r>
          </w:p>
          <w:p w:rsidR="00AF2508" w:rsidRDefault="00AF2508">
            <w:pPr>
              <w:pStyle w:val="TableText"/>
              <w:keepNext/>
              <w:rPr>
                <w:sz w:val="20"/>
              </w:rPr>
            </w:pPr>
            <w:r>
              <w:rPr>
                <w:sz w:val="20"/>
              </w:rPr>
              <w:t>29</w:t>
            </w:r>
          </w:p>
          <w:p w:rsidR="00AF2508" w:rsidRDefault="00AF2508">
            <w:pPr>
              <w:pStyle w:val="TableText"/>
              <w:keepNext/>
              <w:rPr>
                <w:sz w:val="20"/>
              </w:rPr>
            </w:pPr>
            <w:r>
              <w:rPr>
                <w:sz w:val="20"/>
              </w:rPr>
              <w:t>33</w:t>
            </w:r>
          </w:p>
          <w:p w:rsidR="00AF2508" w:rsidRDefault="00AF2508">
            <w:pPr>
              <w:pStyle w:val="TableText"/>
              <w:keepNext/>
              <w:rPr>
                <w:sz w:val="20"/>
              </w:rPr>
            </w:pPr>
            <w:r>
              <w:rPr>
                <w:sz w:val="20"/>
              </w:rPr>
              <w:t>37</w:t>
            </w:r>
          </w:p>
          <w:p w:rsidR="00AF2508" w:rsidRDefault="00AF2508">
            <w:pPr>
              <w:pStyle w:val="TableText"/>
              <w:keepNext/>
              <w:rPr>
                <w:sz w:val="20"/>
              </w:rPr>
            </w:pPr>
            <w:r>
              <w:rPr>
                <w:sz w:val="20"/>
              </w:rPr>
              <w:t>41</w:t>
            </w:r>
          </w:p>
        </w:tc>
        <w:tc>
          <w:tcPr>
            <w:tcW w:w="480" w:type="dxa"/>
            <w:gridSpan w:val="3"/>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1.9</w:t>
            </w:r>
          </w:p>
          <w:p w:rsidR="00AF2508" w:rsidRDefault="00AF2508">
            <w:pPr>
              <w:pStyle w:val="TableText"/>
              <w:keepNext/>
              <w:rPr>
                <w:sz w:val="20"/>
              </w:rPr>
            </w:pPr>
            <w:r>
              <w:rPr>
                <w:sz w:val="20"/>
              </w:rPr>
              <w:t>2.1</w:t>
            </w:r>
          </w:p>
          <w:p w:rsidR="00AF2508" w:rsidRDefault="00AF2508">
            <w:pPr>
              <w:pStyle w:val="TableText"/>
              <w:keepNext/>
              <w:rPr>
                <w:sz w:val="20"/>
              </w:rPr>
            </w:pPr>
            <w:r>
              <w:rPr>
                <w:sz w:val="20"/>
              </w:rPr>
              <w:t>2.2</w:t>
            </w:r>
          </w:p>
          <w:p w:rsidR="00AF2508" w:rsidRDefault="00AF2508">
            <w:pPr>
              <w:pStyle w:val="TableText"/>
              <w:keepNext/>
              <w:rPr>
                <w:sz w:val="20"/>
              </w:rPr>
            </w:pPr>
            <w:r>
              <w:rPr>
                <w:sz w:val="20"/>
              </w:rPr>
              <w:t>2.3</w:t>
            </w:r>
          </w:p>
          <w:p w:rsidR="00AF2508" w:rsidRDefault="00AF2508">
            <w:pPr>
              <w:pStyle w:val="TableText"/>
              <w:keepNext/>
              <w:rPr>
                <w:sz w:val="20"/>
              </w:rPr>
            </w:pPr>
            <w:r>
              <w:rPr>
                <w:sz w:val="20"/>
              </w:rPr>
              <w:t>2.4</w:t>
            </w:r>
          </w:p>
        </w:tc>
        <w:tc>
          <w:tcPr>
            <w:tcW w:w="360" w:type="dxa"/>
            <w:gridSpan w:val="2"/>
            <w:tcBorders>
              <w:top w:val="single" w:sz="6" w:space="0" w:color="auto"/>
              <w:left w:val="single" w:sz="6" w:space="0" w:color="auto"/>
              <w:right w:val="single" w:sz="6" w:space="0" w:color="auto"/>
            </w:tcBorders>
          </w:tcPr>
          <w:p w:rsidR="00AF2508" w:rsidRDefault="00AF2508">
            <w:pPr>
              <w:pStyle w:val="TableText"/>
              <w:keepNext/>
              <w:rPr>
                <w:sz w:val="20"/>
              </w:rPr>
            </w:pPr>
            <w:r>
              <w:rPr>
                <w:sz w:val="20"/>
              </w:rPr>
              <w:t>16</w:t>
            </w:r>
          </w:p>
          <w:p w:rsidR="00AF2508" w:rsidRDefault="00AF2508">
            <w:pPr>
              <w:pStyle w:val="TableText"/>
              <w:keepNext/>
              <w:rPr>
                <w:sz w:val="20"/>
              </w:rPr>
            </w:pPr>
            <w:r>
              <w:rPr>
                <w:sz w:val="20"/>
              </w:rPr>
              <w:t>18</w:t>
            </w:r>
          </w:p>
          <w:p w:rsidR="00AF2508" w:rsidRDefault="00AF2508">
            <w:pPr>
              <w:pStyle w:val="TableText"/>
              <w:keepNext/>
              <w:rPr>
                <w:sz w:val="20"/>
              </w:rPr>
            </w:pPr>
            <w:r>
              <w:rPr>
                <w:sz w:val="20"/>
              </w:rPr>
              <w:t>21</w:t>
            </w:r>
          </w:p>
          <w:p w:rsidR="00AF2508" w:rsidRDefault="00AF2508">
            <w:pPr>
              <w:pStyle w:val="TableText"/>
              <w:keepNext/>
              <w:rPr>
                <w:sz w:val="20"/>
              </w:rPr>
            </w:pPr>
            <w:r>
              <w:rPr>
                <w:sz w:val="20"/>
              </w:rPr>
              <w:t>24</w:t>
            </w:r>
          </w:p>
          <w:p w:rsidR="00AF2508" w:rsidRDefault="00AF2508">
            <w:pPr>
              <w:pStyle w:val="TableText"/>
              <w:keepNext/>
              <w:rPr>
                <w:sz w:val="20"/>
              </w:rPr>
            </w:pPr>
            <w:r>
              <w:rPr>
                <w:sz w:val="20"/>
              </w:rPr>
              <w:t>28</w:t>
            </w:r>
          </w:p>
        </w:tc>
        <w:tc>
          <w:tcPr>
            <w:tcW w:w="480" w:type="dxa"/>
            <w:gridSpan w:val="2"/>
            <w:tcBorders>
              <w:top w:val="single" w:sz="6" w:space="0" w:color="auto"/>
            </w:tcBorders>
          </w:tcPr>
          <w:p w:rsidR="00AF2508" w:rsidRDefault="00AF2508">
            <w:pPr>
              <w:pStyle w:val="TableText"/>
              <w:keepNext/>
              <w:rPr>
                <w:sz w:val="20"/>
              </w:rPr>
            </w:pPr>
            <w:r>
              <w:rPr>
                <w:sz w:val="20"/>
              </w:rPr>
              <w:t>1.2</w:t>
            </w:r>
          </w:p>
          <w:p w:rsidR="00AF2508" w:rsidRDefault="00AF2508">
            <w:pPr>
              <w:pStyle w:val="TableText"/>
              <w:keepNext/>
              <w:rPr>
                <w:sz w:val="20"/>
              </w:rPr>
            </w:pPr>
            <w:r>
              <w:rPr>
                <w:sz w:val="20"/>
              </w:rPr>
              <w:t>1.3</w:t>
            </w:r>
          </w:p>
          <w:p w:rsidR="00AF2508" w:rsidRDefault="00AF2508">
            <w:pPr>
              <w:pStyle w:val="TableText"/>
              <w:keepNext/>
              <w:rPr>
                <w:sz w:val="20"/>
              </w:rPr>
            </w:pPr>
            <w:r>
              <w:rPr>
                <w:sz w:val="20"/>
              </w:rPr>
              <w:t>1.4</w:t>
            </w:r>
          </w:p>
          <w:p w:rsidR="00AF2508" w:rsidRDefault="00AF2508">
            <w:pPr>
              <w:pStyle w:val="TableText"/>
              <w:keepNext/>
              <w:rPr>
                <w:sz w:val="20"/>
              </w:rPr>
            </w:pPr>
            <w:r>
              <w:rPr>
                <w:sz w:val="20"/>
              </w:rPr>
              <w:t>1.5</w:t>
            </w:r>
          </w:p>
          <w:p w:rsidR="00AF2508" w:rsidRDefault="00AF2508">
            <w:pPr>
              <w:pStyle w:val="TableText"/>
              <w:keepNext/>
              <w:rPr>
                <w:sz w:val="20"/>
              </w:rPr>
            </w:pPr>
            <w:r>
              <w:rPr>
                <w:sz w:val="20"/>
              </w:rPr>
              <w:t>1.6</w:t>
            </w:r>
          </w:p>
        </w:tc>
      </w:tr>
      <w:tr w:rsidR="00AF2508">
        <w:tblPrEx>
          <w:tblInd w:w="56" w:type="dxa"/>
        </w:tblPrEx>
        <w:trPr>
          <w:gridBefore w:val="1"/>
          <w:gridAfter w:val="2"/>
        </w:trPr>
        <w:tc>
          <w:tcPr>
            <w:tcW w:w="780" w:type="dxa"/>
            <w:tcBorders>
              <w:top w:val="single" w:sz="6" w:space="0" w:color="auto"/>
              <w:right w:val="single" w:sz="6" w:space="0" w:color="auto"/>
            </w:tcBorders>
          </w:tcPr>
          <w:p w:rsidR="00AF2508" w:rsidRDefault="00AF2508">
            <w:pPr>
              <w:pStyle w:val="TableText"/>
              <w:rPr>
                <w:sz w:val="20"/>
              </w:rPr>
            </w:pPr>
            <w:r>
              <w:rPr>
                <w:sz w:val="20"/>
              </w:rPr>
              <w:t>50 or 51</w:t>
            </w:r>
            <w:r>
              <w:rPr>
                <w:sz w:val="20"/>
              </w:rPr>
              <w:tab/>
            </w:r>
          </w:p>
          <w:p w:rsidR="00AF2508" w:rsidRDefault="00AF2508">
            <w:pPr>
              <w:pStyle w:val="TableText"/>
              <w:rPr>
                <w:sz w:val="20"/>
              </w:rPr>
            </w:pPr>
            <w:r>
              <w:rPr>
                <w:sz w:val="20"/>
              </w:rPr>
              <w:t>52 or 53</w:t>
            </w:r>
            <w:r>
              <w:rPr>
                <w:sz w:val="20"/>
              </w:rPr>
              <w:tab/>
            </w:r>
          </w:p>
          <w:p w:rsidR="00AF2508" w:rsidRDefault="00AF2508">
            <w:pPr>
              <w:pStyle w:val="TableText"/>
              <w:rPr>
                <w:sz w:val="20"/>
              </w:rPr>
            </w:pPr>
            <w:r>
              <w:rPr>
                <w:sz w:val="20"/>
              </w:rPr>
              <w:t>54 or 55</w:t>
            </w:r>
            <w:r>
              <w:rPr>
                <w:sz w:val="20"/>
              </w:rPr>
              <w:tab/>
            </w:r>
          </w:p>
          <w:p w:rsidR="00AF2508" w:rsidRDefault="00AF2508">
            <w:pPr>
              <w:pStyle w:val="TableText"/>
              <w:rPr>
                <w:sz w:val="20"/>
              </w:rPr>
            </w:pPr>
            <w:r>
              <w:rPr>
                <w:sz w:val="20"/>
              </w:rPr>
              <w:t>56 or 57</w:t>
            </w:r>
            <w:r>
              <w:rPr>
                <w:sz w:val="20"/>
              </w:rPr>
              <w:tab/>
            </w:r>
          </w:p>
          <w:p w:rsidR="00AF2508" w:rsidRDefault="00AF2508">
            <w:pPr>
              <w:pStyle w:val="TableText"/>
              <w:rPr>
                <w:sz w:val="20"/>
              </w:rPr>
            </w:pPr>
            <w:r>
              <w:rPr>
                <w:sz w:val="20"/>
              </w:rPr>
              <w:t>58 or 59</w:t>
            </w:r>
            <w:r>
              <w:rPr>
                <w:sz w:val="20"/>
              </w:rPr>
              <w:tab/>
            </w:r>
          </w:p>
        </w:tc>
        <w:tc>
          <w:tcPr>
            <w:tcW w:w="612" w:type="dxa"/>
            <w:gridSpan w:val="3"/>
            <w:tcBorders>
              <w:top w:val="single" w:sz="6" w:space="0" w:color="auto"/>
            </w:tcBorders>
          </w:tcPr>
          <w:p w:rsidR="00AF2508" w:rsidRDefault="00AF2508">
            <w:pPr>
              <w:pStyle w:val="TableText"/>
              <w:rPr>
                <w:sz w:val="20"/>
              </w:rPr>
            </w:pPr>
            <w:r>
              <w:rPr>
                <w:sz w:val="20"/>
              </w:rPr>
              <w:t>18</w:t>
            </w:r>
          </w:p>
          <w:p w:rsidR="00AF2508" w:rsidRDefault="00AF2508">
            <w:pPr>
              <w:pStyle w:val="TableText"/>
              <w:rPr>
                <w:sz w:val="20"/>
              </w:rPr>
            </w:pPr>
            <w:r>
              <w:rPr>
                <w:sz w:val="20"/>
              </w:rPr>
              <w:t>19</w:t>
            </w:r>
          </w:p>
          <w:p w:rsidR="00AF2508" w:rsidRDefault="00AF2508">
            <w:pPr>
              <w:pStyle w:val="TableText"/>
              <w:rPr>
                <w:sz w:val="20"/>
              </w:rPr>
            </w:pPr>
            <w:r>
              <w:rPr>
                <w:sz w:val="20"/>
              </w:rPr>
              <w:t>20</w:t>
            </w:r>
          </w:p>
          <w:p w:rsidR="00AF2508" w:rsidRDefault="00AF2508">
            <w:pPr>
              <w:pStyle w:val="TableText"/>
              <w:rPr>
                <w:sz w:val="20"/>
              </w:rPr>
            </w:pPr>
            <w:r>
              <w:rPr>
                <w:sz w:val="20"/>
              </w:rPr>
              <w:t>21</w:t>
            </w:r>
          </w:p>
          <w:p w:rsidR="00AF2508" w:rsidRDefault="00AF2508">
            <w:pPr>
              <w:pStyle w:val="TableText"/>
              <w:rPr>
                <w:sz w:val="20"/>
              </w:rPr>
            </w:pPr>
            <w:r>
              <w:rPr>
                <w:sz w:val="20"/>
              </w:rPr>
              <w:t>22</w:t>
            </w:r>
          </w:p>
        </w:tc>
        <w:tc>
          <w:tcPr>
            <w:tcW w:w="504"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7</w:t>
            </w:r>
          </w:p>
          <w:p w:rsidR="00AF2508" w:rsidRDefault="00AF2508">
            <w:pPr>
              <w:pStyle w:val="TableText"/>
              <w:rPr>
                <w:sz w:val="20"/>
              </w:rPr>
            </w:pPr>
            <w:r>
              <w:rPr>
                <w:sz w:val="20"/>
              </w:rPr>
              <w:t>7</w:t>
            </w:r>
          </w:p>
          <w:p w:rsidR="00AF2508" w:rsidRDefault="00AF2508">
            <w:pPr>
              <w:pStyle w:val="TableText"/>
              <w:rPr>
                <w:sz w:val="20"/>
              </w:rPr>
            </w:pPr>
            <w:r>
              <w:rPr>
                <w:sz w:val="20"/>
              </w:rPr>
              <w:t>7</w:t>
            </w:r>
          </w:p>
          <w:p w:rsidR="00AF2508" w:rsidRDefault="00AF2508">
            <w:pPr>
              <w:pStyle w:val="TableText"/>
              <w:rPr>
                <w:sz w:val="20"/>
              </w:rPr>
            </w:pPr>
            <w:r>
              <w:rPr>
                <w:sz w:val="20"/>
              </w:rPr>
              <w:t>7</w:t>
            </w:r>
          </w:p>
          <w:p w:rsidR="00AF2508" w:rsidRDefault="00AF2508">
            <w:pPr>
              <w:pStyle w:val="TableText"/>
              <w:rPr>
                <w:sz w:val="20"/>
              </w:rPr>
            </w:pPr>
            <w:r>
              <w:rPr>
                <w:sz w:val="20"/>
              </w:rPr>
              <w:t>7</w:t>
            </w:r>
          </w:p>
        </w:tc>
        <w:tc>
          <w:tcPr>
            <w:tcW w:w="456"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432"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46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136</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468" w:type="dxa"/>
            <w:tcBorders>
              <w:top w:val="single" w:sz="6" w:space="0" w:color="auto"/>
              <w:left w:val="single" w:sz="6" w:space="0" w:color="auto"/>
              <w:right w:val="single" w:sz="6" w:space="0" w:color="auto"/>
            </w:tcBorders>
          </w:tcPr>
          <w:p w:rsidR="00AF2508" w:rsidRDefault="00AF2508">
            <w:pPr>
              <w:pStyle w:val="TableText"/>
              <w:rPr>
                <w:sz w:val="20"/>
              </w:rPr>
            </w:pPr>
            <w:r>
              <w:rPr>
                <w:sz w:val="20"/>
              </w:rPr>
              <w:t>7.6</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396"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124</w:t>
            </w:r>
          </w:p>
          <w:p w:rsidR="00AF2508" w:rsidRDefault="00AF2508">
            <w:pPr>
              <w:pStyle w:val="TableText"/>
              <w:rPr>
                <w:sz w:val="20"/>
              </w:rPr>
            </w:pPr>
            <w:r>
              <w:rPr>
                <w:sz w:val="20"/>
              </w:rPr>
              <w:t>131</w:t>
            </w:r>
          </w:p>
          <w:p w:rsidR="00AF2508" w:rsidRDefault="00AF2508">
            <w:pPr>
              <w:pStyle w:val="TableText"/>
              <w:rPr>
                <w:sz w:val="20"/>
              </w:rPr>
            </w:pPr>
            <w:r>
              <w:rPr>
                <w:sz w:val="20"/>
              </w:rPr>
              <w:t>138</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516"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6.9</w:t>
            </w:r>
          </w:p>
          <w:p w:rsidR="00AF2508" w:rsidRDefault="00AF2508">
            <w:pPr>
              <w:pStyle w:val="TableText"/>
              <w:rPr>
                <w:sz w:val="20"/>
              </w:rPr>
            </w:pPr>
            <w:r>
              <w:rPr>
                <w:sz w:val="20"/>
              </w:rPr>
              <w:t>6.9</w:t>
            </w:r>
          </w:p>
          <w:p w:rsidR="00AF2508" w:rsidRDefault="00AF2508">
            <w:pPr>
              <w:pStyle w:val="TableText"/>
              <w:rPr>
                <w:sz w:val="20"/>
              </w:rPr>
            </w:pPr>
            <w:r>
              <w:rPr>
                <w:sz w:val="20"/>
              </w:rPr>
              <w:t>6.9</w:t>
            </w:r>
          </w:p>
          <w:p w:rsidR="00AF2508" w:rsidRDefault="00AF2508">
            <w:pPr>
              <w:pStyle w:val="TableText"/>
              <w:rPr>
                <w:sz w:val="20"/>
              </w:rPr>
            </w:pPr>
            <w:r>
              <w:rPr>
                <w:sz w:val="20"/>
              </w:rPr>
              <w:t>...</w:t>
            </w:r>
          </w:p>
          <w:p w:rsidR="00AF2508" w:rsidRDefault="00AF2508">
            <w:pPr>
              <w:pStyle w:val="TableText"/>
              <w:rPr>
                <w:sz w:val="20"/>
              </w:rPr>
            </w:pPr>
            <w:r>
              <w:rPr>
                <w:sz w:val="20"/>
              </w:rPr>
              <w:t>...</w:t>
            </w:r>
          </w:p>
        </w:tc>
        <w:tc>
          <w:tcPr>
            <w:tcW w:w="444" w:type="dxa"/>
            <w:gridSpan w:val="5"/>
            <w:tcBorders>
              <w:top w:val="single" w:sz="6" w:space="0" w:color="auto"/>
              <w:left w:val="single" w:sz="6" w:space="0" w:color="auto"/>
              <w:right w:val="single" w:sz="6" w:space="0" w:color="auto"/>
            </w:tcBorders>
          </w:tcPr>
          <w:p w:rsidR="00AF2508" w:rsidRDefault="00AF2508">
            <w:pPr>
              <w:pStyle w:val="TableText"/>
              <w:rPr>
                <w:sz w:val="20"/>
              </w:rPr>
            </w:pPr>
            <w:r>
              <w:rPr>
                <w:sz w:val="20"/>
              </w:rPr>
              <w:t>112</w:t>
            </w:r>
          </w:p>
          <w:p w:rsidR="00AF2508" w:rsidRDefault="00AF2508">
            <w:pPr>
              <w:pStyle w:val="TableText"/>
              <w:rPr>
                <w:sz w:val="20"/>
              </w:rPr>
            </w:pPr>
            <w:r>
              <w:rPr>
                <w:sz w:val="20"/>
              </w:rPr>
              <w:t>119</w:t>
            </w:r>
          </w:p>
          <w:p w:rsidR="00AF2508" w:rsidRDefault="00AF2508">
            <w:pPr>
              <w:pStyle w:val="TableText"/>
              <w:rPr>
                <w:sz w:val="20"/>
              </w:rPr>
            </w:pPr>
            <w:r>
              <w:rPr>
                <w:sz w:val="20"/>
              </w:rPr>
              <w:t>127</w:t>
            </w:r>
          </w:p>
          <w:p w:rsidR="00AF2508" w:rsidRDefault="00AF2508">
            <w:pPr>
              <w:pStyle w:val="TableText"/>
              <w:rPr>
                <w:sz w:val="20"/>
              </w:rPr>
            </w:pPr>
            <w:r>
              <w:rPr>
                <w:sz w:val="20"/>
              </w:rPr>
              <w:t>134</w:t>
            </w:r>
          </w:p>
          <w:p w:rsidR="00AF2508" w:rsidRDefault="00AF2508">
            <w:pPr>
              <w:pStyle w:val="TableText"/>
              <w:rPr>
                <w:sz w:val="20"/>
              </w:rPr>
            </w:pPr>
            <w:r>
              <w:rPr>
                <w:sz w:val="20"/>
              </w:rPr>
              <w:t>140</w:t>
            </w:r>
          </w:p>
        </w:tc>
        <w:tc>
          <w:tcPr>
            <w:tcW w:w="444"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6.2</w:t>
            </w:r>
          </w:p>
          <w:p w:rsidR="00AF2508" w:rsidRDefault="00AF2508">
            <w:pPr>
              <w:pStyle w:val="TableText"/>
              <w:rPr>
                <w:sz w:val="20"/>
              </w:rPr>
            </w:pPr>
            <w:r>
              <w:rPr>
                <w:sz w:val="20"/>
              </w:rPr>
              <w:t>6.3</w:t>
            </w:r>
          </w:p>
          <w:p w:rsidR="00AF2508" w:rsidRDefault="00AF2508">
            <w:pPr>
              <w:pStyle w:val="TableText"/>
              <w:rPr>
                <w:sz w:val="20"/>
              </w:rPr>
            </w:pPr>
            <w:r>
              <w:rPr>
                <w:sz w:val="20"/>
              </w:rPr>
              <w:t>6.3</w:t>
            </w:r>
          </w:p>
          <w:p w:rsidR="00AF2508" w:rsidRDefault="00AF2508">
            <w:pPr>
              <w:pStyle w:val="TableText"/>
              <w:rPr>
                <w:sz w:val="20"/>
              </w:rPr>
            </w:pPr>
            <w:r>
              <w:rPr>
                <w:sz w:val="20"/>
              </w:rPr>
              <w:t>6.4</w:t>
            </w:r>
          </w:p>
          <w:p w:rsidR="00AF2508" w:rsidRDefault="00AF2508">
            <w:pPr>
              <w:pStyle w:val="TableText"/>
              <w:rPr>
                <w:sz w:val="20"/>
              </w:rPr>
            </w:pPr>
            <w:r>
              <w:rPr>
                <w:sz w:val="20"/>
              </w:rPr>
              <w:t>6.4</w:t>
            </w:r>
          </w:p>
        </w:tc>
        <w:tc>
          <w:tcPr>
            <w:tcW w:w="384"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106</w:t>
            </w:r>
          </w:p>
          <w:p w:rsidR="00AF2508" w:rsidRDefault="00AF2508">
            <w:pPr>
              <w:pStyle w:val="TableText"/>
              <w:rPr>
                <w:sz w:val="20"/>
              </w:rPr>
            </w:pPr>
            <w:r>
              <w:rPr>
                <w:sz w:val="20"/>
              </w:rPr>
              <w:t>114</w:t>
            </w:r>
          </w:p>
          <w:p w:rsidR="00AF2508" w:rsidRDefault="00AF2508">
            <w:pPr>
              <w:pStyle w:val="TableText"/>
              <w:rPr>
                <w:sz w:val="20"/>
              </w:rPr>
            </w:pPr>
            <w:r>
              <w:rPr>
                <w:sz w:val="20"/>
              </w:rPr>
              <w:t>120</w:t>
            </w:r>
          </w:p>
          <w:p w:rsidR="00AF2508" w:rsidRDefault="00AF2508">
            <w:pPr>
              <w:pStyle w:val="TableText"/>
              <w:rPr>
                <w:sz w:val="20"/>
              </w:rPr>
            </w:pPr>
            <w:r>
              <w:rPr>
                <w:sz w:val="20"/>
              </w:rPr>
              <w:t>128</w:t>
            </w:r>
          </w:p>
          <w:p w:rsidR="00AF2508" w:rsidRDefault="00AF2508">
            <w:pPr>
              <w:pStyle w:val="TableText"/>
              <w:rPr>
                <w:sz w:val="20"/>
              </w:rPr>
            </w:pPr>
            <w:r>
              <w:rPr>
                <w:sz w:val="20"/>
              </w:rPr>
              <w:t>135</w:t>
            </w:r>
          </w:p>
        </w:tc>
        <w:tc>
          <w:tcPr>
            <w:tcW w:w="492"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5.9</w:t>
            </w:r>
          </w:p>
          <w:p w:rsidR="00AF2508" w:rsidRDefault="00AF2508">
            <w:pPr>
              <w:pStyle w:val="TableText"/>
              <w:rPr>
                <w:sz w:val="20"/>
              </w:rPr>
            </w:pPr>
            <w:r>
              <w:rPr>
                <w:sz w:val="20"/>
              </w:rPr>
              <w:t>6.0</w:t>
            </w:r>
          </w:p>
          <w:p w:rsidR="00AF2508" w:rsidRDefault="00AF2508">
            <w:pPr>
              <w:pStyle w:val="TableText"/>
              <w:rPr>
                <w:sz w:val="20"/>
              </w:rPr>
            </w:pPr>
            <w:r>
              <w:rPr>
                <w:sz w:val="20"/>
              </w:rPr>
              <w:t>6.0</w:t>
            </w:r>
          </w:p>
          <w:p w:rsidR="00AF2508" w:rsidRDefault="00AF2508">
            <w:pPr>
              <w:pStyle w:val="TableText"/>
              <w:rPr>
                <w:sz w:val="20"/>
              </w:rPr>
            </w:pPr>
            <w:r>
              <w:rPr>
                <w:sz w:val="20"/>
              </w:rPr>
              <w:t>6.1</w:t>
            </w:r>
          </w:p>
          <w:p w:rsidR="00AF2508" w:rsidRDefault="00AF2508">
            <w:pPr>
              <w:pStyle w:val="TableText"/>
              <w:rPr>
                <w:sz w:val="20"/>
              </w:rPr>
            </w:pPr>
            <w:r>
              <w:rPr>
                <w:sz w:val="20"/>
              </w:rPr>
              <w:t>6.1</w:t>
            </w:r>
          </w:p>
        </w:tc>
        <w:tc>
          <w:tcPr>
            <w:tcW w:w="420"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95</w:t>
            </w:r>
          </w:p>
          <w:p w:rsidR="00AF2508" w:rsidRDefault="00AF2508">
            <w:pPr>
              <w:pStyle w:val="TableText"/>
              <w:rPr>
                <w:sz w:val="20"/>
              </w:rPr>
            </w:pPr>
            <w:r>
              <w:rPr>
                <w:sz w:val="20"/>
              </w:rPr>
              <w:t>103</w:t>
            </w:r>
          </w:p>
          <w:p w:rsidR="00AF2508" w:rsidRDefault="00AF2508">
            <w:pPr>
              <w:pStyle w:val="TableText"/>
              <w:rPr>
                <w:sz w:val="20"/>
              </w:rPr>
            </w:pPr>
            <w:r>
              <w:rPr>
                <w:sz w:val="20"/>
              </w:rPr>
              <w:t>110</w:t>
            </w:r>
          </w:p>
          <w:p w:rsidR="00AF2508" w:rsidRDefault="00AF2508">
            <w:pPr>
              <w:pStyle w:val="TableText"/>
              <w:rPr>
                <w:sz w:val="20"/>
              </w:rPr>
            </w:pPr>
            <w:r>
              <w:rPr>
                <w:sz w:val="20"/>
              </w:rPr>
              <w:t>118</w:t>
            </w:r>
          </w:p>
          <w:p w:rsidR="00AF2508" w:rsidRDefault="00AF2508">
            <w:pPr>
              <w:pStyle w:val="TableText"/>
              <w:rPr>
                <w:sz w:val="20"/>
              </w:rPr>
            </w:pPr>
            <w:r>
              <w:rPr>
                <w:sz w:val="20"/>
              </w:rPr>
              <w:t>126</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5.3</w:t>
            </w:r>
          </w:p>
          <w:p w:rsidR="00AF2508" w:rsidRDefault="00AF2508">
            <w:pPr>
              <w:pStyle w:val="TableText"/>
              <w:rPr>
                <w:sz w:val="20"/>
              </w:rPr>
            </w:pPr>
            <w:r>
              <w:rPr>
                <w:sz w:val="20"/>
              </w:rPr>
              <w:t>5.4</w:t>
            </w:r>
          </w:p>
          <w:p w:rsidR="00AF2508" w:rsidRDefault="00AF2508">
            <w:pPr>
              <w:pStyle w:val="TableText"/>
              <w:rPr>
                <w:sz w:val="20"/>
              </w:rPr>
            </w:pPr>
            <w:r>
              <w:rPr>
                <w:sz w:val="20"/>
              </w:rPr>
              <w:t>5.5</w:t>
            </w:r>
          </w:p>
          <w:p w:rsidR="00AF2508" w:rsidRDefault="00AF2508">
            <w:pPr>
              <w:pStyle w:val="TableText"/>
              <w:rPr>
                <w:sz w:val="20"/>
              </w:rPr>
            </w:pPr>
            <w:r>
              <w:rPr>
                <w:sz w:val="20"/>
              </w:rPr>
              <w:t>5.6</w:t>
            </w:r>
          </w:p>
          <w:p w:rsidR="00AF2508" w:rsidRDefault="00AF2508">
            <w:pPr>
              <w:pStyle w:val="TableText"/>
              <w:rPr>
                <w:sz w:val="20"/>
              </w:rPr>
            </w:pPr>
            <w:r>
              <w:rPr>
                <w:sz w:val="20"/>
              </w:rPr>
              <w:t>5.7</w:t>
            </w:r>
          </w:p>
        </w:tc>
        <w:tc>
          <w:tcPr>
            <w:tcW w:w="396"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83</w:t>
            </w:r>
          </w:p>
          <w:p w:rsidR="00AF2508" w:rsidRDefault="00AF2508">
            <w:pPr>
              <w:pStyle w:val="TableText"/>
              <w:rPr>
                <w:sz w:val="20"/>
              </w:rPr>
            </w:pPr>
            <w:r>
              <w:rPr>
                <w:sz w:val="20"/>
              </w:rPr>
              <w:t>92</w:t>
            </w:r>
          </w:p>
          <w:p w:rsidR="00AF2508" w:rsidRDefault="00AF2508">
            <w:pPr>
              <w:pStyle w:val="TableText"/>
              <w:rPr>
                <w:sz w:val="20"/>
              </w:rPr>
            </w:pPr>
            <w:r>
              <w:rPr>
                <w:sz w:val="20"/>
              </w:rPr>
              <w:t>100</w:t>
            </w:r>
          </w:p>
          <w:p w:rsidR="00AF2508" w:rsidRDefault="00AF2508">
            <w:pPr>
              <w:pStyle w:val="TableText"/>
              <w:rPr>
                <w:sz w:val="20"/>
              </w:rPr>
            </w:pPr>
            <w:r>
              <w:rPr>
                <w:sz w:val="20"/>
              </w:rPr>
              <w:t>109</w:t>
            </w:r>
          </w:p>
          <w:p w:rsidR="00AF2508" w:rsidRDefault="00AF2508">
            <w:pPr>
              <w:pStyle w:val="TableText"/>
              <w:rPr>
                <w:sz w:val="20"/>
              </w:rPr>
            </w:pPr>
            <w:r>
              <w:rPr>
                <w:sz w:val="20"/>
              </w:rPr>
              <w:t>117</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4.6</w:t>
            </w:r>
          </w:p>
          <w:p w:rsidR="00AF2508" w:rsidRDefault="00AF2508">
            <w:pPr>
              <w:pStyle w:val="TableText"/>
              <w:rPr>
                <w:sz w:val="20"/>
              </w:rPr>
            </w:pPr>
            <w:r>
              <w:rPr>
                <w:sz w:val="20"/>
              </w:rPr>
              <w:t>4.8</w:t>
            </w:r>
          </w:p>
          <w:p w:rsidR="00AF2508" w:rsidRDefault="00AF2508">
            <w:pPr>
              <w:pStyle w:val="TableText"/>
              <w:rPr>
                <w:sz w:val="20"/>
              </w:rPr>
            </w:pPr>
            <w:r>
              <w:rPr>
                <w:sz w:val="20"/>
              </w:rPr>
              <w:t>5.0</w:t>
            </w:r>
          </w:p>
          <w:p w:rsidR="00AF2508" w:rsidRDefault="00AF2508">
            <w:pPr>
              <w:pStyle w:val="TableText"/>
              <w:rPr>
                <w:sz w:val="20"/>
              </w:rPr>
            </w:pPr>
            <w:r>
              <w:rPr>
                <w:sz w:val="20"/>
              </w:rPr>
              <w:t>5.2</w:t>
            </w:r>
          </w:p>
          <w:p w:rsidR="00AF2508" w:rsidRDefault="00AF2508">
            <w:pPr>
              <w:pStyle w:val="TableText"/>
              <w:rPr>
                <w:sz w:val="20"/>
              </w:rPr>
            </w:pPr>
            <w:r>
              <w:rPr>
                <w:sz w:val="20"/>
              </w:rPr>
              <w:t>5.3</w:t>
            </w:r>
          </w:p>
        </w:tc>
        <w:tc>
          <w:tcPr>
            <w:tcW w:w="40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70</w:t>
            </w:r>
          </w:p>
          <w:p w:rsidR="00AF2508" w:rsidRDefault="00AF2508">
            <w:pPr>
              <w:pStyle w:val="TableText"/>
              <w:rPr>
                <w:sz w:val="20"/>
              </w:rPr>
            </w:pPr>
            <w:r>
              <w:rPr>
                <w:sz w:val="20"/>
              </w:rPr>
              <w:t>78</w:t>
            </w:r>
          </w:p>
          <w:p w:rsidR="00AF2508" w:rsidRDefault="00AF2508">
            <w:pPr>
              <w:pStyle w:val="TableText"/>
              <w:rPr>
                <w:sz w:val="20"/>
              </w:rPr>
            </w:pPr>
            <w:r>
              <w:rPr>
                <w:sz w:val="20"/>
              </w:rPr>
              <w:t>87</w:t>
            </w:r>
          </w:p>
          <w:p w:rsidR="00AF2508" w:rsidRDefault="00AF2508">
            <w:pPr>
              <w:pStyle w:val="TableText"/>
              <w:rPr>
                <w:sz w:val="20"/>
              </w:rPr>
            </w:pPr>
            <w:r>
              <w:rPr>
                <w:sz w:val="20"/>
              </w:rPr>
              <w:t>96</w:t>
            </w:r>
          </w:p>
          <w:p w:rsidR="00AF2508" w:rsidRDefault="00AF2508">
            <w:pPr>
              <w:pStyle w:val="TableText"/>
              <w:rPr>
                <w:sz w:val="20"/>
              </w:rPr>
            </w:pPr>
            <w:r>
              <w:rPr>
                <w:sz w:val="20"/>
              </w:rPr>
              <w:t>104</w:t>
            </w:r>
          </w:p>
        </w:tc>
        <w:tc>
          <w:tcPr>
            <w:tcW w:w="432"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3.9</w:t>
            </w:r>
          </w:p>
          <w:p w:rsidR="00AF2508" w:rsidRDefault="00AF2508">
            <w:pPr>
              <w:pStyle w:val="TableText"/>
              <w:rPr>
                <w:sz w:val="20"/>
              </w:rPr>
            </w:pPr>
            <w:r>
              <w:rPr>
                <w:sz w:val="20"/>
              </w:rPr>
              <w:t>4.1</w:t>
            </w:r>
          </w:p>
          <w:p w:rsidR="00AF2508" w:rsidRDefault="00AF2508">
            <w:pPr>
              <w:pStyle w:val="TableText"/>
              <w:rPr>
                <w:sz w:val="20"/>
              </w:rPr>
            </w:pPr>
            <w:r>
              <w:rPr>
                <w:sz w:val="20"/>
              </w:rPr>
              <w:t>4.3</w:t>
            </w:r>
          </w:p>
          <w:p w:rsidR="00AF2508" w:rsidRDefault="00AF2508">
            <w:pPr>
              <w:pStyle w:val="TableText"/>
              <w:rPr>
                <w:sz w:val="20"/>
              </w:rPr>
            </w:pPr>
            <w:r>
              <w:rPr>
                <w:sz w:val="20"/>
              </w:rPr>
              <w:t>4.6</w:t>
            </w:r>
          </w:p>
          <w:p w:rsidR="00AF2508" w:rsidRDefault="00AF2508">
            <w:pPr>
              <w:pStyle w:val="TableText"/>
              <w:rPr>
                <w:sz w:val="20"/>
              </w:rPr>
            </w:pPr>
            <w:r>
              <w:rPr>
                <w:sz w:val="20"/>
              </w:rPr>
              <w:t>4.7</w:t>
            </w:r>
          </w:p>
        </w:tc>
        <w:tc>
          <w:tcPr>
            <w:tcW w:w="408"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57</w:t>
            </w:r>
          </w:p>
          <w:p w:rsidR="00AF2508" w:rsidRDefault="00AF2508">
            <w:pPr>
              <w:pStyle w:val="TableText"/>
              <w:rPr>
                <w:sz w:val="20"/>
              </w:rPr>
            </w:pPr>
            <w:r>
              <w:rPr>
                <w:sz w:val="20"/>
              </w:rPr>
              <w:t>62</w:t>
            </w:r>
          </w:p>
          <w:p w:rsidR="00AF2508" w:rsidRDefault="00AF2508">
            <w:pPr>
              <w:pStyle w:val="TableText"/>
              <w:rPr>
                <w:sz w:val="20"/>
              </w:rPr>
            </w:pPr>
            <w:r>
              <w:rPr>
                <w:sz w:val="20"/>
              </w:rPr>
              <w:t>68</w:t>
            </w:r>
          </w:p>
          <w:p w:rsidR="00AF2508" w:rsidRDefault="00AF2508">
            <w:pPr>
              <w:pStyle w:val="TableText"/>
              <w:rPr>
                <w:sz w:val="20"/>
              </w:rPr>
            </w:pPr>
            <w:r>
              <w:rPr>
                <w:sz w:val="20"/>
              </w:rPr>
              <w:t>75</w:t>
            </w:r>
          </w:p>
          <w:p w:rsidR="00AF2508" w:rsidRDefault="00AF2508">
            <w:pPr>
              <w:pStyle w:val="TableText"/>
              <w:rPr>
                <w:sz w:val="20"/>
              </w:rPr>
            </w:pPr>
            <w:r>
              <w:rPr>
                <w:sz w:val="20"/>
              </w:rPr>
              <w:t>83</w:t>
            </w:r>
          </w:p>
        </w:tc>
        <w:tc>
          <w:tcPr>
            <w:tcW w:w="480" w:type="dxa"/>
            <w:gridSpan w:val="4"/>
            <w:tcBorders>
              <w:top w:val="single" w:sz="6" w:space="0" w:color="auto"/>
              <w:left w:val="single" w:sz="6" w:space="0" w:color="auto"/>
              <w:right w:val="single" w:sz="6" w:space="0" w:color="auto"/>
            </w:tcBorders>
          </w:tcPr>
          <w:p w:rsidR="00AF2508" w:rsidRDefault="00AF2508">
            <w:pPr>
              <w:pStyle w:val="TableText"/>
              <w:rPr>
                <w:sz w:val="20"/>
              </w:rPr>
            </w:pPr>
            <w:r>
              <w:rPr>
                <w:sz w:val="20"/>
              </w:rPr>
              <w:t>3.2</w:t>
            </w:r>
          </w:p>
          <w:p w:rsidR="00AF2508" w:rsidRDefault="00AF2508">
            <w:pPr>
              <w:pStyle w:val="TableText"/>
              <w:rPr>
                <w:sz w:val="20"/>
              </w:rPr>
            </w:pPr>
            <w:r>
              <w:rPr>
                <w:sz w:val="20"/>
              </w:rPr>
              <w:t>3.3</w:t>
            </w:r>
          </w:p>
          <w:p w:rsidR="00AF2508" w:rsidRDefault="00AF2508">
            <w:pPr>
              <w:pStyle w:val="TableText"/>
              <w:rPr>
                <w:sz w:val="20"/>
              </w:rPr>
            </w:pPr>
            <w:r>
              <w:rPr>
                <w:sz w:val="20"/>
              </w:rPr>
              <w:t>3.4</w:t>
            </w:r>
          </w:p>
          <w:p w:rsidR="00AF2508" w:rsidRDefault="00AF2508">
            <w:pPr>
              <w:pStyle w:val="TableText"/>
              <w:rPr>
                <w:sz w:val="20"/>
              </w:rPr>
            </w:pPr>
            <w:r>
              <w:rPr>
                <w:sz w:val="20"/>
              </w:rPr>
              <w:t>3.6</w:t>
            </w:r>
          </w:p>
          <w:p w:rsidR="00AF2508" w:rsidRDefault="00AF2508">
            <w:pPr>
              <w:pStyle w:val="TableText"/>
              <w:rPr>
                <w:sz w:val="20"/>
              </w:rPr>
            </w:pPr>
            <w:r>
              <w:rPr>
                <w:sz w:val="20"/>
              </w:rPr>
              <w:t>3.8</w:t>
            </w:r>
          </w:p>
        </w:tc>
        <w:tc>
          <w:tcPr>
            <w:tcW w:w="372"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45</w:t>
            </w:r>
          </w:p>
          <w:p w:rsidR="00AF2508" w:rsidRDefault="00AF2508">
            <w:pPr>
              <w:pStyle w:val="TableText"/>
              <w:rPr>
                <w:sz w:val="20"/>
              </w:rPr>
            </w:pPr>
            <w:r>
              <w:rPr>
                <w:sz w:val="20"/>
              </w:rPr>
              <w:t>49</w:t>
            </w:r>
          </w:p>
          <w:p w:rsidR="00AF2508" w:rsidRDefault="00AF2508">
            <w:pPr>
              <w:pStyle w:val="TableText"/>
              <w:rPr>
                <w:sz w:val="20"/>
              </w:rPr>
            </w:pPr>
            <w:r>
              <w:rPr>
                <w:sz w:val="20"/>
              </w:rPr>
              <w:t>54</w:t>
            </w:r>
          </w:p>
          <w:p w:rsidR="00AF2508" w:rsidRDefault="00AF2508">
            <w:pPr>
              <w:pStyle w:val="TableText"/>
              <w:rPr>
                <w:sz w:val="20"/>
              </w:rPr>
            </w:pPr>
            <w:r>
              <w:rPr>
                <w:sz w:val="20"/>
              </w:rPr>
              <w:t>58</w:t>
            </w:r>
          </w:p>
          <w:p w:rsidR="00AF2508" w:rsidRDefault="00AF2508">
            <w:pPr>
              <w:pStyle w:val="TableText"/>
              <w:rPr>
                <w:sz w:val="20"/>
              </w:rPr>
            </w:pPr>
            <w:r>
              <w:rPr>
                <w:sz w:val="20"/>
              </w:rPr>
              <w:t>63</w:t>
            </w:r>
          </w:p>
        </w:tc>
        <w:tc>
          <w:tcPr>
            <w:tcW w:w="480" w:type="dxa"/>
            <w:gridSpan w:val="3"/>
            <w:tcBorders>
              <w:top w:val="single" w:sz="6" w:space="0" w:color="auto"/>
              <w:left w:val="single" w:sz="6" w:space="0" w:color="auto"/>
              <w:right w:val="single" w:sz="6" w:space="0" w:color="auto"/>
            </w:tcBorders>
          </w:tcPr>
          <w:p w:rsidR="00AF2508" w:rsidRDefault="00AF2508">
            <w:pPr>
              <w:pStyle w:val="TableText"/>
              <w:rPr>
                <w:sz w:val="20"/>
              </w:rPr>
            </w:pPr>
            <w:r>
              <w:rPr>
                <w:sz w:val="20"/>
              </w:rPr>
              <w:t>2.5</w:t>
            </w:r>
          </w:p>
          <w:p w:rsidR="00AF2508" w:rsidRDefault="00AF2508">
            <w:pPr>
              <w:pStyle w:val="TableText"/>
              <w:rPr>
                <w:sz w:val="20"/>
              </w:rPr>
            </w:pPr>
            <w:r>
              <w:rPr>
                <w:sz w:val="20"/>
              </w:rPr>
              <w:t>2.6</w:t>
            </w:r>
          </w:p>
          <w:p w:rsidR="00AF2508" w:rsidRDefault="00AF2508">
            <w:pPr>
              <w:pStyle w:val="TableText"/>
              <w:rPr>
                <w:sz w:val="20"/>
              </w:rPr>
            </w:pPr>
            <w:r>
              <w:rPr>
                <w:sz w:val="20"/>
              </w:rPr>
              <w:t>2.7</w:t>
            </w:r>
          </w:p>
          <w:p w:rsidR="00AF2508" w:rsidRDefault="00AF2508">
            <w:pPr>
              <w:pStyle w:val="TableText"/>
              <w:rPr>
                <w:sz w:val="20"/>
              </w:rPr>
            </w:pPr>
            <w:r>
              <w:rPr>
                <w:sz w:val="20"/>
              </w:rPr>
              <w:t>2.8</w:t>
            </w:r>
          </w:p>
          <w:p w:rsidR="00AF2508" w:rsidRDefault="00AF2508">
            <w:pPr>
              <w:pStyle w:val="TableText"/>
              <w:rPr>
                <w:sz w:val="20"/>
              </w:rPr>
            </w:pPr>
            <w:r>
              <w:rPr>
                <w:sz w:val="20"/>
              </w:rPr>
              <w:t>2.9</w:t>
            </w:r>
          </w:p>
        </w:tc>
        <w:tc>
          <w:tcPr>
            <w:tcW w:w="348" w:type="dxa"/>
            <w:gridSpan w:val="2"/>
            <w:tcBorders>
              <w:top w:val="single" w:sz="6" w:space="0" w:color="auto"/>
              <w:left w:val="single" w:sz="6" w:space="0" w:color="auto"/>
              <w:right w:val="single" w:sz="6" w:space="0" w:color="auto"/>
            </w:tcBorders>
          </w:tcPr>
          <w:p w:rsidR="00AF2508" w:rsidRDefault="00AF2508">
            <w:pPr>
              <w:pStyle w:val="TableText"/>
              <w:rPr>
                <w:sz w:val="20"/>
              </w:rPr>
            </w:pPr>
            <w:r>
              <w:rPr>
                <w:sz w:val="20"/>
              </w:rPr>
              <w:t>30</w:t>
            </w:r>
          </w:p>
          <w:p w:rsidR="00AF2508" w:rsidRDefault="00AF2508">
            <w:pPr>
              <w:pStyle w:val="TableText"/>
              <w:rPr>
                <w:sz w:val="20"/>
              </w:rPr>
            </w:pPr>
            <w:r>
              <w:rPr>
                <w:sz w:val="20"/>
              </w:rPr>
              <w:t>34</w:t>
            </w:r>
          </w:p>
          <w:p w:rsidR="00AF2508" w:rsidRDefault="00AF2508">
            <w:pPr>
              <w:pStyle w:val="TableText"/>
              <w:rPr>
                <w:sz w:val="20"/>
              </w:rPr>
            </w:pPr>
            <w:r>
              <w:rPr>
                <w:sz w:val="20"/>
              </w:rPr>
              <w:t>38</w:t>
            </w:r>
          </w:p>
          <w:p w:rsidR="00AF2508" w:rsidRDefault="00AF2508">
            <w:pPr>
              <w:pStyle w:val="TableText"/>
              <w:rPr>
                <w:sz w:val="20"/>
              </w:rPr>
            </w:pPr>
            <w:r>
              <w:rPr>
                <w:sz w:val="20"/>
              </w:rPr>
              <w:t>43</w:t>
            </w:r>
          </w:p>
          <w:p w:rsidR="00AF2508" w:rsidRDefault="00AF2508">
            <w:pPr>
              <w:pStyle w:val="TableText"/>
              <w:rPr>
                <w:sz w:val="20"/>
              </w:rPr>
            </w:pPr>
            <w:r>
              <w:rPr>
                <w:sz w:val="20"/>
              </w:rPr>
              <w:t>47</w:t>
            </w:r>
          </w:p>
        </w:tc>
        <w:tc>
          <w:tcPr>
            <w:tcW w:w="456" w:type="dxa"/>
            <w:gridSpan w:val="2"/>
            <w:tcBorders>
              <w:top w:val="single" w:sz="6" w:space="0" w:color="auto"/>
            </w:tcBorders>
          </w:tcPr>
          <w:p w:rsidR="00AF2508" w:rsidRDefault="00AF2508">
            <w:pPr>
              <w:pStyle w:val="TableText"/>
              <w:rPr>
                <w:sz w:val="20"/>
              </w:rPr>
            </w:pPr>
            <w:r>
              <w:rPr>
                <w:sz w:val="20"/>
              </w:rPr>
              <w:t>1.7</w:t>
            </w:r>
          </w:p>
          <w:p w:rsidR="00AF2508" w:rsidRDefault="00AF2508">
            <w:pPr>
              <w:pStyle w:val="TableText"/>
              <w:rPr>
                <w:sz w:val="20"/>
              </w:rPr>
            </w:pPr>
            <w:r>
              <w:rPr>
                <w:sz w:val="20"/>
              </w:rPr>
              <w:t>1.8</w:t>
            </w:r>
          </w:p>
          <w:p w:rsidR="00AF2508" w:rsidRDefault="00AF2508">
            <w:pPr>
              <w:pStyle w:val="TableText"/>
              <w:rPr>
                <w:sz w:val="20"/>
              </w:rPr>
            </w:pPr>
            <w:r>
              <w:rPr>
                <w:sz w:val="20"/>
              </w:rPr>
              <w:t>1.9</w:t>
            </w:r>
          </w:p>
          <w:p w:rsidR="00AF2508" w:rsidRDefault="00AF2508">
            <w:pPr>
              <w:pStyle w:val="TableText"/>
              <w:rPr>
                <w:sz w:val="20"/>
              </w:rPr>
            </w:pPr>
            <w:r>
              <w:rPr>
                <w:sz w:val="20"/>
              </w:rPr>
              <w:t>2.0</w:t>
            </w:r>
          </w:p>
          <w:p w:rsidR="00AF2508" w:rsidRDefault="00AF2508">
            <w:pPr>
              <w:pStyle w:val="TableText"/>
              <w:rPr>
                <w:sz w:val="20"/>
              </w:rPr>
            </w:pPr>
            <w:r>
              <w:rPr>
                <w:sz w:val="20"/>
              </w:rPr>
              <w:t>2.1</w:t>
            </w:r>
          </w:p>
        </w:tc>
      </w:tr>
      <w:tr w:rsidR="00AF2508">
        <w:tblPrEx>
          <w:tblInd w:w="56" w:type="dxa"/>
        </w:tblPrEx>
        <w:trPr>
          <w:gridBefore w:val="1"/>
          <w:gridAfter w:val="2"/>
        </w:trPr>
        <w:tc>
          <w:tcPr>
            <w:tcW w:w="780" w:type="dxa"/>
            <w:tcBorders>
              <w:top w:val="single" w:sz="6" w:space="0" w:color="auto"/>
              <w:bottom w:val="single" w:sz="6" w:space="0" w:color="auto"/>
              <w:right w:val="single" w:sz="6" w:space="0" w:color="auto"/>
            </w:tcBorders>
          </w:tcPr>
          <w:p w:rsidR="00AF2508" w:rsidRDefault="00AF2508">
            <w:pPr>
              <w:pStyle w:val="TableText"/>
              <w:rPr>
                <w:sz w:val="20"/>
              </w:rPr>
            </w:pPr>
            <w:r>
              <w:rPr>
                <w:sz w:val="20"/>
              </w:rPr>
              <w:t>60</w:t>
            </w:r>
            <w:r>
              <w:rPr>
                <w:sz w:val="20"/>
              </w:rPr>
              <w:tab/>
            </w:r>
          </w:p>
        </w:tc>
        <w:tc>
          <w:tcPr>
            <w:tcW w:w="612" w:type="dxa"/>
            <w:gridSpan w:val="3"/>
            <w:tcBorders>
              <w:top w:val="single" w:sz="6" w:space="0" w:color="auto"/>
              <w:bottom w:val="single" w:sz="6" w:space="0" w:color="auto"/>
            </w:tcBorders>
          </w:tcPr>
          <w:p w:rsidR="00AF2508" w:rsidRDefault="00AF2508">
            <w:pPr>
              <w:pStyle w:val="TableText"/>
              <w:rPr>
                <w:sz w:val="20"/>
              </w:rPr>
            </w:pPr>
            <w:r>
              <w:rPr>
                <w:sz w:val="20"/>
              </w:rPr>
              <w:t>23</w:t>
            </w:r>
          </w:p>
        </w:tc>
        <w:tc>
          <w:tcPr>
            <w:tcW w:w="504"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7</w:t>
            </w:r>
          </w:p>
        </w:tc>
        <w:tc>
          <w:tcPr>
            <w:tcW w:w="456"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43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468" w:type="dxa"/>
            <w:gridSpan w:val="4"/>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468" w:type="dxa"/>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396"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516"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w:t>
            </w:r>
          </w:p>
        </w:tc>
        <w:tc>
          <w:tcPr>
            <w:tcW w:w="444" w:type="dxa"/>
            <w:gridSpan w:val="5"/>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146</w:t>
            </w:r>
          </w:p>
        </w:tc>
        <w:tc>
          <w:tcPr>
            <w:tcW w:w="444"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6.4</w:t>
            </w:r>
          </w:p>
        </w:tc>
        <w:tc>
          <w:tcPr>
            <w:tcW w:w="384" w:type="dxa"/>
            <w:gridSpan w:val="4"/>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141</w:t>
            </w:r>
          </w:p>
        </w:tc>
        <w:tc>
          <w:tcPr>
            <w:tcW w:w="49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6.1</w:t>
            </w:r>
          </w:p>
        </w:tc>
        <w:tc>
          <w:tcPr>
            <w:tcW w:w="420"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134</w:t>
            </w:r>
          </w:p>
        </w:tc>
        <w:tc>
          <w:tcPr>
            <w:tcW w:w="480"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5.8</w:t>
            </w:r>
          </w:p>
        </w:tc>
        <w:tc>
          <w:tcPr>
            <w:tcW w:w="396"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125</w:t>
            </w:r>
          </w:p>
        </w:tc>
        <w:tc>
          <w:tcPr>
            <w:tcW w:w="480"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5.4</w:t>
            </w:r>
          </w:p>
        </w:tc>
        <w:tc>
          <w:tcPr>
            <w:tcW w:w="408" w:type="dxa"/>
            <w:gridSpan w:val="4"/>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112</w:t>
            </w:r>
          </w:p>
        </w:tc>
        <w:tc>
          <w:tcPr>
            <w:tcW w:w="43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4.9</w:t>
            </w:r>
          </w:p>
        </w:tc>
        <w:tc>
          <w:tcPr>
            <w:tcW w:w="408" w:type="dxa"/>
            <w:gridSpan w:val="4"/>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91</w:t>
            </w:r>
          </w:p>
        </w:tc>
        <w:tc>
          <w:tcPr>
            <w:tcW w:w="480" w:type="dxa"/>
            <w:gridSpan w:val="4"/>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4.0</w:t>
            </w:r>
          </w:p>
        </w:tc>
        <w:tc>
          <w:tcPr>
            <w:tcW w:w="372"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69</w:t>
            </w:r>
          </w:p>
        </w:tc>
        <w:tc>
          <w:tcPr>
            <w:tcW w:w="480" w:type="dxa"/>
            <w:gridSpan w:val="3"/>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3.0</w:t>
            </w:r>
          </w:p>
        </w:tc>
        <w:tc>
          <w:tcPr>
            <w:tcW w:w="348" w:type="dxa"/>
            <w:gridSpan w:val="2"/>
            <w:tcBorders>
              <w:top w:val="single" w:sz="6" w:space="0" w:color="auto"/>
              <w:left w:val="single" w:sz="6" w:space="0" w:color="auto"/>
              <w:bottom w:val="single" w:sz="6" w:space="0" w:color="auto"/>
              <w:right w:val="single" w:sz="6" w:space="0" w:color="auto"/>
            </w:tcBorders>
          </w:tcPr>
          <w:p w:rsidR="00AF2508" w:rsidRDefault="00AF2508">
            <w:pPr>
              <w:pStyle w:val="TableText"/>
              <w:rPr>
                <w:sz w:val="20"/>
              </w:rPr>
            </w:pPr>
            <w:r>
              <w:rPr>
                <w:sz w:val="20"/>
              </w:rPr>
              <w:t>51</w:t>
            </w:r>
          </w:p>
        </w:tc>
        <w:tc>
          <w:tcPr>
            <w:tcW w:w="456" w:type="dxa"/>
            <w:gridSpan w:val="2"/>
            <w:tcBorders>
              <w:top w:val="single" w:sz="6" w:space="0" w:color="auto"/>
              <w:bottom w:val="single" w:sz="6" w:space="0" w:color="auto"/>
            </w:tcBorders>
          </w:tcPr>
          <w:p w:rsidR="00AF2508" w:rsidRDefault="00AF2508">
            <w:pPr>
              <w:pStyle w:val="TableText"/>
              <w:rPr>
                <w:sz w:val="20"/>
              </w:rPr>
            </w:pPr>
            <w:r>
              <w:rPr>
                <w:sz w:val="20"/>
              </w:rPr>
              <w:t>2.2</w:t>
            </w:r>
          </w:p>
        </w:tc>
      </w:tr>
    </w:tbl>
    <w:p w:rsidR="00AF2508" w:rsidRDefault="00AF2508">
      <w:pPr>
        <w:pStyle w:val="aNote"/>
        <w:tabs>
          <w:tab w:val="left" w:pos="864"/>
        </w:tabs>
        <w:ind w:left="900" w:hanging="900"/>
      </w:pPr>
      <w:r>
        <w:rPr>
          <w:rStyle w:val="charItals"/>
        </w:rPr>
        <w:t>Note</w:t>
      </w:r>
      <w:r>
        <w:rPr>
          <w:rStyle w:val="charItals"/>
        </w:rPr>
        <w:tab/>
      </w:r>
      <w:r>
        <w:t>‘Periods’ referred to in column headings are periods of exposure to working pressure, and should not be confused with working periods at the face.</w:t>
      </w:r>
    </w:p>
    <w:p w:rsidR="00AF2508" w:rsidRDefault="00AF2508">
      <w:pPr>
        <w:pStyle w:val="03ScheduleLandscape"/>
        <w:sectPr w:rsidR="00AF2508">
          <w:headerReference w:type="even" r:id="rId182"/>
          <w:headerReference w:type="default" r:id="rId183"/>
          <w:footerReference w:type="even" r:id="rId184"/>
          <w:footerReference w:type="default" r:id="rId185"/>
          <w:pgSz w:w="16839" w:h="11907" w:orient="landscape" w:code="9"/>
          <w:pgMar w:top="2300" w:right="3000" w:bottom="2300" w:left="2500" w:header="2480" w:footer="2100" w:gutter="0"/>
          <w:cols w:space="720"/>
        </w:sectPr>
      </w:pPr>
    </w:p>
    <w:p w:rsidR="00AF2508" w:rsidRDefault="00136775">
      <w:pPr>
        <w:spacing w:before="1440"/>
        <w:jc w:val="center"/>
      </w:pPr>
      <w:r>
        <w:rPr>
          <w:noProof/>
          <w:lang w:eastAsia="en-AU"/>
        </w:rPr>
        <w:drawing>
          <wp:inline distT="0" distB="0" distL="0" distR="0">
            <wp:extent cx="3867150" cy="4638675"/>
            <wp:effectExtent l="0" t="0" r="0" b="0"/>
            <wp:docPr id="95" name="Picture 95" descr="Plate1-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te1-V0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67150" cy="4638675"/>
                    </a:xfrm>
                    <a:prstGeom prst="rect">
                      <a:avLst/>
                    </a:prstGeom>
                    <a:noFill/>
                    <a:ln>
                      <a:noFill/>
                    </a:ln>
                  </pic:spPr>
                </pic:pic>
              </a:graphicData>
            </a:graphic>
          </wp:inline>
        </w:drawing>
      </w:r>
    </w:p>
    <w:p w:rsidR="00AF2508" w:rsidRDefault="00AF2508">
      <w:pPr>
        <w:spacing w:before="1440"/>
        <w:jc w:val="center"/>
      </w:pPr>
    </w:p>
    <w:p w:rsidR="00AF2508" w:rsidRDefault="00136775">
      <w:pPr>
        <w:spacing w:before="1320"/>
        <w:jc w:val="center"/>
      </w:pPr>
      <w:r>
        <w:rPr>
          <w:noProof/>
          <w:lang w:eastAsia="en-AU"/>
        </w:rPr>
        <w:drawing>
          <wp:inline distT="0" distB="0" distL="0" distR="0">
            <wp:extent cx="4943475" cy="3810000"/>
            <wp:effectExtent l="0" t="0" r="0" b="0"/>
            <wp:docPr id="96" name="Picture 96" descr="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te2"/>
                    <pic:cNvPicPr>
                      <a:picLocks noChangeAspect="1" noChangeArrowheads="1"/>
                    </pic:cNvPicPr>
                  </pic:nvPicPr>
                  <pic:blipFill>
                    <a:blip r:embed="rId187" cstate="print">
                      <a:extLst>
                        <a:ext uri="{28A0092B-C50C-407E-A947-70E740481C1C}">
                          <a14:useLocalDpi xmlns:a14="http://schemas.microsoft.com/office/drawing/2010/main" val="0"/>
                        </a:ext>
                      </a:extLst>
                    </a:blip>
                    <a:srcRect t="2156" r="36797" b="62317"/>
                    <a:stretch>
                      <a:fillRect/>
                    </a:stretch>
                  </pic:blipFill>
                  <pic:spPr bwMode="auto">
                    <a:xfrm>
                      <a:off x="0" y="0"/>
                      <a:ext cx="4943475" cy="3810000"/>
                    </a:xfrm>
                    <a:prstGeom prst="rect">
                      <a:avLst/>
                    </a:prstGeom>
                    <a:noFill/>
                    <a:ln>
                      <a:noFill/>
                    </a:ln>
                  </pic:spPr>
                </pic:pic>
              </a:graphicData>
            </a:graphic>
          </wp:inline>
        </w:drawing>
      </w: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jc w:val="center"/>
      </w:pPr>
    </w:p>
    <w:p w:rsidR="00AF2508" w:rsidRDefault="00AF2508">
      <w:pPr>
        <w:spacing w:before="360"/>
        <w:jc w:val="center"/>
      </w:pPr>
    </w:p>
    <w:p w:rsidR="00AF2508" w:rsidRDefault="00136775">
      <w:pPr>
        <w:spacing w:before="1680"/>
        <w:jc w:val="center"/>
        <w:rPr>
          <w:noProof/>
        </w:rPr>
      </w:pPr>
      <w:r>
        <w:rPr>
          <w:noProof/>
          <w:lang w:eastAsia="en-AU"/>
        </w:rPr>
        <w:drawing>
          <wp:inline distT="0" distB="0" distL="0" distR="0">
            <wp:extent cx="5219700" cy="3276600"/>
            <wp:effectExtent l="0" t="0" r="0" b="0"/>
            <wp:docPr id="97" name="Picture 97" descr="plate3-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late3-V02"/>
                    <pic:cNvPicPr>
                      <a:picLocks noChangeAspect="1" noChangeArrowheads="1"/>
                    </pic:cNvPicPr>
                  </pic:nvPicPr>
                  <pic:blipFill>
                    <a:blip r:embed="rId188" cstate="print">
                      <a:extLst>
                        <a:ext uri="{28A0092B-C50C-407E-A947-70E740481C1C}">
                          <a14:useLocalDpi xmlns:a14="http://schemas.microsoft.com/office/drawing/2010/main" val="0"/>
                        </a:ext>
                      </a:extLst>
                    </a:blip>
                    <a:srcRect t="3688" r="13142" b="56581"/>
                    <a:stretch>
                      <a:fillRect/>
                    </a:stretch>
                  </pic:blipFill>
                  <pic:spPr bwMode="auto">
                    <a:xfrm>
                      <a:off x="0" y="0"/>
                      <a:ext cx="5219700" cy="3276600"/>
                    </a:xfrm>
                    <a:prstGeom prst="rect">
                      <a:avLst/>
                    </a:prstGeom>
                    <a:noFill/>
                    <a:ln>
                      <a:noFill/>
                    </a:ln>
                  </pic:spPr>
                </pic:pic>
              </a:graphicData>
            </a:graphic>
          </wp:inline>
        </w:drawing>
      </w:r>
    </w:p>
    <w:p w:rsidR="00AF2508" w:rsidRDefault="00AF2508">
      <w:pPr>
        <w:jc w:val="center"/>
      </w:pPr>
    </w:p>
    <w:p w:rsidR="00AF2508" w:rsidRDefault="00AF2508">
      <w:pPr>
        <w:pStyle w:val="03Schedule"/>
        <w:sectPr w:rsidR="00AF2508">
          <w:headerReference w:type="even" r:id="rId189"/>
          <w:headerReference w:type="default" r:id="rId190"/>
          <w:footerReference w:type="even" r:id="rId191"/>
          <w:footerReference w:type="default" r:id="rId192"/>
          <w:type w:val="continuous"/>
          <w:pgSz w:w="11907" w:h="16839" w:code="9"/>
          <w:pgMar w:top="3000" w:right="1900" w:bottom="2500" w:left="2300" w:header="2480" w:footer="2100" w:gutter="0"/>
          <w:cols w:space="720"/>
        </w:sectPr>
      </w:pPr>
    </w:p>
    <w:p w:rsidR="00AF2508" w:rsidRDefault="00AF2508">
      <w:pPr>
        <w:pStyle w:val="Sched-heading"/>
      </w:pPr>
      <w:bookmarkStart w:id="333" w:name="_Toc161636964"/>
      <w:r>
        <w:rPr>
          <w:rStyle w:val="CharChapNo"/>
        </w:rPr>
        <w:t>Schedule 8</w:t>
      </w:r>
      <w:r>
        <w:tab/>
      </w:r>
      <w:r>
        <w:rPr>
          <w:rStyle w:val="CharChapText"/>
        </w:rPr>
        <w:t>Medical standards and examination report for compressed air workers</w:t>
      </w:r>
      <w:bookmarkEnd w:id="333"/>
    </w:p>
    <w:p w:rsidR="00AF2508" w:rsidRDefault="00AF2508">
      <w:pPr>
        <w:pStyle w:val="Amainreturn"/>
      </w:pPr>
      <w:r>
        <w:t>The medical standards required for workers in compressed air are as follows:</w:t>
      </w:r>
    </w:p>
    <w:p w:rsidR="00AF2508" w:rsidRDefault="00AF2508">
      <w:pPr>
        <w:pStyle w:val="Apara"/>
      </w:pPr>
      <w:r>
        <w:rPr>
          <w:rStyle w:val="charItals"/>
          <w:i w:val="0"/>
        </w:rPr>
        <w:tab/>
        <w:t>(a)</w:t>
      </w:r>
      <w:r>
        <w:rPr>
          <w:rStyle w:val="charItals"/>
          <w:i w:val="0"/>
        </w:rPr>
        <w:tab/>
        <w:t>age and physique</w:t>
      </w:r>
      <w:r>
        <w:t>—</w:t>
      </w:r>
    </w:p>
    <w:p w:rsidR="00AF2508" w:rsidRDefault="00AF2508">
      <w:pPr>
        <w:pStyle w:val="Asubpara"/>
      </w:pPr>
      <w:r>
        <w:tab/>
        <w:t>(i)</w:t>
      </w:r>
      <w:r>
        <w:tab/>
        <w:t xml:space="preserve">the worker shall be well-developed and healthy but not above the average weight/height ratio; and </w:t>
      </w:r>
    </w:p>
    <w:p w:rsidR="00AF2508" w:rsidRDefault="00AF2508">
      <w:pPr>
        <w:pStyle w:val="Asubpara"/>
      </w:pPr>
      <w:r>
        <w:tab/>
        <w:t>(ii)</w:t>
      </w:r>
      <w:r>
        <w:tab/>
        <w:t>the worker shall be intelligent, active and have good sight and hearing; and</w:t>
      </w:r>
    </w:p>
    <w:p w:rsidR="00AF2508" w:rsidRDefault="00AF2508">
      <w:pPr>
        <w:pStyle w:val="Asubpara"/>
      </w:pPr>
      <w:r>
        <w:tab/>
        <w:t>(ii)</w:t>
      </w:r>
      <w:r>
        <w:tab/>
        <w:t>there shall be no marked development of adipose tissue nor evidence of premature senility.</w:t>
      </w:r>
    </w:p>
    <w:p w:rsidR="00AF2508" w:rsidRDefault="00AF2508">
      <w:pPr>
        <w:pStyle w:val="Apara"/>
      </w:pPr>
      <w:r>
        <w:rPr>
          <w:rStyle w:val="charItals"/>
          <w:i w:val="0"/>
        </w:rPr>
        <w:tab/>
        <w:t>(b)</w:t>
      </w:r>
      <w:r>
        <w:rPr>
          <w:rStyle w:val="charItals"/>
          <w:i w:val="0"/>
        </w:rPr>
        <w:tab/>
        <w:t>respiratory system</w:t>
      </w:r>
      <w:r>
        <w:t>—</w:t>
      </w:r>
    </w:p>
    <w:p w:rsidR="00AF2508" w:rsidRDefault="00AF2508">
      <w:pPr>
        <w:pStyle w:val="Asubpara"/>
      </w:pPr>
      <w:r>
        <w:tab/>
        <w:t>(i)</w:t>
      </w:r>
      <w:r>
        <w:tab/>
        <w:t>there shall be no disease of the respiratory system; or</w:t>
      </w:r>
    </w:p>
    <w:p w:rsidR="00AF2508" w:rsidRDefault="00AF2508">
      <w:pPr>
        <w:pStyle w:val="Asubpara"/>
      </w:pPr>
      <w:r>
        <w:tab/>
        <w:t>(ii)</w:t>
      </w:r>
      <w:r>
        <w:tab/>
        <w:t>there shall be no disease of the middle ear or blockage of the Eustachian tubes; or</w:t>
      </w:r>
    </w:p>
    <w:p w:rsidR="00AF2508" w:rsidRDefault="00AF2508">
      <w:pPr>
        <w:pStyle w:val="Asubpara"/>
      </w:pPr>
      <w:r>
        <w:tab/>
        <w:t>(ii)</w:t>
      </w:r>
      <w:r>
        <w:tab/>
        <w:t>there shall be no disease of the the pharynx or frontal sinuses.</w:t>
      </w:r>
    </w:p>
    <w:p w:rsidR="00AF2508" w:rsidRDefault="00AF2508">
      <w:pPr>
        <w:pStyle w:val="Apara"/>
      </w:pPr>
      <w:r>
        <w:rPr>
          <w:rStyle w:val="charItals"/>
          <w:i w:val="0"/>
        </w:rPr>
        <w:tab/>
        <w:t>(c)</w:t>
      </w:r>
      <w:r>
        <w:rPr>
          <w:rStyle w:val="charItals"/>
          <w:i w:val="0"/>
        </w:rPr>
        <w:tab/>
        <w:t>circulatory system</w:t>
      </w:r>
      <w:r>
        <w:t>—</w:t>
      </w:r>
    </w:p>
    <w:p w:rsidR="00AF2508" w:rsidRDefault="00AF2508">
      <w:pPr>
        <w:pStyle w:val="Asubpara"/>
      </w:pPr>
      <w:r>
        <w:tab/>
        <w:t>(i)</w:t>
      </w:r>
      <w:r>
        <w:tab/>
        <w:t>there shall be no evidence of disease of the heart or the blood vessels; and</w:t>
      </w:r>
    </w:p>
    <w:p w:rsidR="00AF2508" w:rsidRDefault="00AF2508">
      <w:pPr>
        <w:pStyle w:val="Asubpara"/>
      </w:pPr>
      <w:r>
        <w:tab/>
        <w:t>(ii)</w:t>
      </w:r>
      <w:r>
        <w:tab/>
        <w:t>the arteries shall not be thickened or the blood pressure above a figure normal for the age.</w:t>
      </w:r>
    </w:p>
    <w:p w:rsidR="00AF2508" w:rsidRDefault="00AF2508">
      <w:pPr>
        <w:pStyle w:val="Apara"/>
        <w:keepNext/>
      </w:pPr>
      <w:r>
        <w:rPr>
          <w:rStyle w:val="charItals"/>
          <w:i w:val="0"/>
        </w:rPr>
        <w:tab/>
        <w:t>(d)</w:t>
      </w:r>
      <w:r>
        <w:rPr>
          <w:rStyle w:val="charItals"/>
          <w:i w:val="0"/>
        </w:rPr>
        <w:tab/>
        <w:t>nervous system</w:t>
      </w:r>
      <w:r>
        <w:t>—</w:t>
      </w:r>
    </w:p>
    <w:p w:rsidR="00AF2508" w:rsidRDefault="00AF2508">
      <w:pPr>
        <w:pStyle w:val="Asubpara"/>
        <w:keepNext/>
      </w:pPr>
      <w:r>
        <w:tab/>
        <w:t>(i)</w:t>
      </w:r>
      <w:r>
        <w:tab/>
        <w:t>there shall be no disease of the nervous system or special senses; and</w:t>
      </w:r>
    </w:p>
    <w:p w:rsidR="00AF2508" w:rsidRDefault="00AF2508">
      <w:pPr>
        <w:pStyle w:val="Asubpara"/>
      </w:pPr>
      <w:r>
        <w:tab/>
        <w:t>(ii)</w:t>
      </w:r>
      <w:r>
        <w:tab/>
        <w:t>ther shall be no evidence of neurasthenia, neurosis or psychosis.</w:t>
      </w:r>
    </w:p>
    <w:p w:rsidR="00AF2508" w:rsidRDefault="00AF2508">
      <w:pPr>
        <w:pStyle w:val="Apara"/>
      </w:pPr>
      <w:r>
        <w:rPr>
          <w:rStyle w:val="charItals"/>
          <w:i w:val="0"/>
        </w:rPr>
        <w:tab/>
        <w:t>(e)</w:t>
      </w:r>
      <w:r>
        <w:rPr>
          <w:rStyle w:val="charItals"/>
          <w:i w:val="0"/>
        </w:rPr>
        <w:tab/>
        <w:t>renal system</w:t>
      </w:r>
      <w:r>
        <w:t>—</w:t>
      </w:r>
    </w:p>
    <w:p w:rsidR="00AF2508" w:rsidRDefault="00AF2508">
      <w:pPr>
        <w:pStyle w:val="Asubpara"/>
      </w:pPr>
      <w:r>
        <w:tab/>
        <w:t>(i)</w:t>
      </w:r>
      <w:r>
        <w:tab/>
        <w:t xml:space="preserve">there shall be no evidence of disease of the kidneys or bladder; and </w:t>
      </w:r>
    </w:p>
    <w:p w:rsidR="00AF2508" w:rsidRDefault="00AF2508">
      <w:pPr>
        <w:pStyle w:val="Asubpara"/>
      </w:pPr>
      <w:r>
        <w:tab/>
        <w:t>(ii)</w:t>
      </w:r>
      <w:r>
        <w:tab/>
        <w:t>there shall be no evidence of either albuminuria or glucosuria.</w:t>
      </w:r>
    </w:p>
    <w:p w:rsidR="00AF2508" w:rsidRDefault="00AF2508">
      <w:pPr>
        <w:pStyle w:val="PageBreak"/>
      </w:pPr>
      <w:r>
        <w:br w:type="page"/>
      </w:r>
    </w:p>
    <w:p w:rsidR="00AF2508" w:rsidRDefault="00AF2508">
      <w:pPr>
        <w:spacing w:before="120" w:after="120"/>
        <w:rPr>
          <w:rFonts w:ascii="Arial" w:hAnsi="Arial"/>
          <w:b/>
        </w:rPr>
      </w:pPr>
      <w:r>
        <w:rPr>
          <w:rFonts w:ascii="Arial" w:hAnsi="Arial"/>
          <w:b/>
        </w:rPr>
        <w:t>Examination report for compressed air workers</w:t>
      </w:r>
    </w:p>
    <w:p w:rsidR="00AF2508" w:rsidRDefault="00AF2508">
      <w:pPr>
        <w:spacing w:before="40" w:after="40"/>
      </w:pPr>
      <w:r>
        <w:t>Name of applicant…………………………………………age………….</w:t>
      </w:r>
    </w:p>
    <w:p w:rsidR="00AF2508" w:rsidRDefault="00AF2508">
      <w:pPr>
        <w:spacing w:before="40" w:after="40"/>
      </w:pPr>
      <w:r>
        <w:t>General physical condition……………………………………………….</w:t>
      </w:r>
    </w:p>
    <w:p w:rsidR="00AF2508" w:rsidRDefault="00AF2508">
      <w:pPr>
        <w:spacing w:before="40" w:after="40"/>
      </w:pPr>
      <w:r>
        <w:t>……………………………………………………………………………</w:t>
      </w:r>
    </w:p>
    <w:p w:rsidR="00AF2508" w:rsidRDefault="00AF2508">
      <w:pPr>
        <w:spacing w:before="40" w:after="40"/>
      </w:pPr>
      <w:r>
        <w:t>……………………………………………………………………………</w:t>
      </w:r>
    </w:p>
    <w:p w:rsidR="00AF2508" w:rsidRDefault="00AF2508">
      <w:pPr>
        <w:spacing w:before="40" w:after="40"/>
      </w:pPr>
      <w:r>
        <w:t>Respiratory system:</w:t>
      </w:r>
    </w:p>
    <w:p w:rsidR="00AF2508" w:rsidRDefault="00AF2508">
      <w:pPr>
        <w:spacing w:before="40" w:after="40"/>
      </w:pPr>
      <w:r>
        <w:tab/>
        <w:t>lungs……………………………………………………….……..</w:t>
      </w:r>
    </w:p>
    <w:p w:rsidR="00AF2508" w:rsidRDefault="00AF2508">
      <w:pPr>
        <w:spacing w:before="40" w:after="40"/>
      </w:pPr>
      <w:r>
        <w:tab/>
        <w:t>nose, ears, throat…………………………………………………</w:t>
      </w:r>
    </w:p>
    <w:p w:rsidR="00AF2508" w:rsidRDefault="00AF2508">
      <w:pPr>
        <w:spacing w:before="40" w:after="40"/>
      </w:pPr>
      <w:r>
        <w:tab/>
        <w:t>sinuses……………………………………………………………</w:t>
      </w:r>
    </w:p>
    <w:p w:rsidR="00AF2508" w:rsidRDefault="00AF2508">
      <w:pPr>
        <w:spacing w:before="40" w:after="40"/>
      </w:pPr>
      <w:r>
        <w:t>Circulatory system:</w:t>
      </w:r>
    </w:p>
    <w:p w:rsidR="00AF2508" w:rsidRDefault="00AF2508">
      <w:pPr>
        <w:spacing w:before="40" w:after="40"/>
      </w:pPr>
      <w:r>
        <w:tab/>
        <w:t>blood pressure……………………………………………………</w:t>
      </w:r>
    </w:p>
    <w:p w:rsidR="00AF2508" w:rsidRDefault="00AF2508">
      <w:pPr>
        <w:spacing w:before="40" w:after="40"/>
      </w:pPr>
      <w:r>
        <w:tab/>
        <w:t>heart………………………………………………………………</w:t>
      </w:r>
    </w:p>
    <w:p w:rsidR="00AF2508" w:rsidRDefault="00AF2508">
      <w:pPr>
        <w:spacing w:before="40" w:after="40"/>
      </w:pPr>
      <w:r>
        <w:t>Nervous system…………………………………………………………..</w:t>
      </w:r>
    </w:p>
    <w:p w:rsidR="00AF2508" w:rsidRDefault="00AF2508">
      <w:pPr>
        <w:spacing w:before="40" w:after="40"/>
      </w:pPr>
      <w:r>
        <w:t>Renal system……………………………………………………………...</w:t>
      </w:r>
    </w:p>
    <w:p w:rsidR="00AF2508" w:rsidRDefault="00AF2508">
      <w:pPr>
        <w:pStyle w:val="Formula"/>
      </w:pPr>
      <w:r>
        <w:t>Urine:</w:t>
      </w:r>
      <w:r>
        <w:tab/>
      </w:r>
      <w:r>
        <w:rPr>
          <w:position w:val="-30"/>
        </w:rPr>
        <w:object w:dxaOrig="6020" w:dyaOrig="740">
          <v:shape id="_x0000_i1056" type="#_x0000_t75" style="width:300.75pt;height:36.75pt" o:ole="" fillcolor="window">
            <v:imagedata r:id="rId193" o:title=""/>
          </v:shape>
          <o:OLEObject Type="Embed" ProgID="Equation.2" ShapeID="_x0000_i1056" DrawAspect="Content" ObjectID="_1595940281" r:id="rId194"/>
        </w:object>
      </w:r>
    </w:p>
    <w:p w:rsidR="00AF2508" w:rsidRDefault="00AF2508">
      <w:r>
        <w:t>Result of chest X-ray examination……...………………………………..</w:t>
      </w:r>
    </w:p>
    <w:p w:rsidR="00AF2508" w:rsidRDefault="00AF2508">
      <w:r>
        <w:t>……………………………………………………………………………</w:t>
      </w:r>
    </w:p>
    <w:p w:rsidR="00AF2508" w:rsidRDefault="00AF2508"/>
    <w:p w:rsidR="00AF2508" w:rsidRDefault="00AF2508">
      <w:r>
        <w:t>I certify that I have carefully examined…………………………………..</w:t>
      </w:r>
    </w:p>
    <w:p w:rsidR="00AF2508" w:rsidRDefault="00AF2508">
      <w:r>
        <w:t>and consider that he/she is fit/not fit to work under compressed air conditions.</w:t>
      </w:r>
    </w:p>
    <w:p w:rsidR="00AF2508" w:rsidRDefault="00AF2508"/>
    <w:p w:rsidR="00AF2508" w:rsidRDefault="00AF2508">
      <w:r>
        <w:t>(In the event of an unfavourable opinion, please state reasons.)</w:t>
      </w:r>
    </w:p>
    <w:p w:rsidR="00AF2508" w:rsidRDefault="00AF2508">
      <w:r>
        <w:t>…………………………………………………………………………….</w:t>
      </w:r>
    </w:p>
    <w:p w:rsidR="00AF2508" w:rsidRDefault="00AF2508">
      <w:r>
        <w:t>…………………………………………………………………………….</w:t>
      </w:r>
    </w:p>
    <w:p w:rsidR="00AF2508" w:rsidRDefault="00AF2508">
      <w:r>
        <w:t>Signature of medical officer</w:t>
      </w:r>
    </w:p>
    <w:p w:rsidR="00AF2508" w:rsidRDefault="00AF2508"/>
    <w:p w:rsidR="00AF2508" w:rsidRDefault="00AF2508">
      <w:r>
        <w:t>……………………………..</w:t>
      </w:r>
    </w:p>
    <w:p w:rsidR="00AF2508" w:rsidRDefault="00AF2508">
      <w:r>
        <w:t>Dated:</w:t>
      </w:r>
    </w:p>
    <w:p w:rsidR="00AF2508" w:rsidRDefault="00AF2508">
      <w:pPr>
        <w:pStyle w:val="03Schedule"/>
        <w:sectPr w:rsidR="00AF2508">
          <w:headerReference w:type="even" r:id="rId195"/>
          <w:headerReference w:type="default" r:id="rId196"/>
          <w:footerReference w:type="even" r:id="rId197"/>
          <w:footerReference w:type="default" r:id="rId198"/>
          <w:type w:val="continuous"/>
          <w:pgSz w:w="11907" w:h="16839" w:code="9"/>
          <w:pgMar w:top="3000" w:right="1900" w:bottom="2500" w:left="2300" w:header="2480" w:footer="2100" w:gutter="0"/>
          <w:cols w:space="720"/>
        </w:sectPr>
      </w:pPr>
    </w:p>
    <w:p w:rsidR="00AF2508" w:rsidRDefault="00AF2508">
      <w:pPr>
        <w:pStyle w:val="PageBreak"/>
      </w:pPr>
      <w:r>
        <w:br w:type="page"/>
      </w:r>
    </w:p>
    <w:p w:rsidR="00AF2508" w:rsidRDefault="00AF2508">
      <w:pPr>
        <w:pStyle w:val="Sched-heading"/>
      </w:pPr>
      <w:bookmarkStart w:id="334" w:name="_Toc161636965"/>
      <w:r>
        <w:rPr>
          <w:rStyle w:val="CharChapNo"/>
        </w:rPr>
        <w:t>Schedule 9</w:t>
      </w:r>
      <w:r>
        <w:tab/>
      </w:r>
      <w:r>
        <w:rPr>
          <w:rStyle w:val="CharChapText"/>
        </w:rPr>
        <w:t>Symptoms and treatment of compressed air illness</w:t>
      </w:r>
      <w:bookmarkEnd w:id="334"/>
    </w:p>
    <w:p w:rsidR="00AF2508" w:rsidRDefault="00AF2508">
      <w:pPr>
        <w:pStyle w:val="Assectheading"/>
        <w:rPr>
          <w:i w:val="0"/>
        </w:rPr>
      </w:pPr>
      <w:r>
        <w:rPr>
          <w:rStyle w:val="charItals"/>
          <w:i/>
        </w:rPr>
        <w:t>Symptoms of compressed air illness</w:t>
      </w:r>
    </w:p>
    <w:p w:rsidR="00AF2508" w:rsidRDefault="00AF2508">
      <w:pPr>
        <w:pStyle w:val="Amain"/>
      </w:pPr>
      <w:r>
        <w:tab/>
        <w:t>1</w:t>
      </w:r>
      <w:r>
        <w:tab/>
        <w:t>The symptoms of compressed air illness are due to the liberation of bubbles of nitrogen in the blood or tissues and usually occur after the return of a person to normal air pressure.</w:t>
      </w:r>
    </w:p>
    <w:p w:rsidR="00AF2508" w:rsidRDefault="00AF2508">
      <w:pPr>
        <w:pStyle w:val="Amain"/>
      </w:pPr>
      <w:r>
        <w:tab/>
        <w:t>2</w:t>
      </w:r>
      <w:r>
        <w:tab/>
        <w:t>The time of onset is generally a few minutes after decompression has been completed, but may be delayed as much as 4 hours, occasionally a case may occur during decompression.</w:t>
      </w:r>
    </w:p>
    <w:p w:rsidR="00AF2508" w:rsidRDefault="00AF2508">
      <w:pPr>
        <w:pStyle w:val="Assectheading"/>
        <w:rPr>
          <w:i w:val="0"/>
        </w:rPr>
      </w:pPr>
      <w:r>
        <w:rPr>
          <w:rStyle w:val="charItals"/>
          <w:i/>
        </w:rPr>
        <w:t>Forms of compressed air illness</w:t>
      </w:r>
    </w:p>
    <w:p w:rsidR="00AF2508" w:rsidRDefault="00AF2508">
      <w:pPr>
        <w:pStyle w:val="Amain"/>
      </w:pPr>
      <w:r>
        <w:tab/>
        <w:t>3</w:t>
      </w:r>
      <w:r>
        <w:tab/>
        <w:t>The different forms that compressed air illness may assume are very numerous, and any illness or unusual symptoms after compression should be investigated at once with a view to eliminating compressed air illness.</w:t>
      </w:r>
    </w:p>
    <w:p w:rsidR="00AF2508" w:rsidRDefault="00AF2508">
      <w:pPr>
        <w:pStyle w:val="Amain"/>
      </w:pPr>
      <w:r>
        <w:tab/>
        <w:t>4</w:t>
      </w:r>
      <w:r>
        <w:tab/>
        <w:t>If any doubt exists, it is wise to place the person concerned under a small pressure to ascertain if there is any alleviation of the symptoms.</w:t>
      </w:r>
    </w:p>
    <w:p w:rsidR="00AF2508" w:rsidRDefault="00AF2508">
      <w:pPr>
        <w:pStyle w:val="Amain"/>
      </w:pPr>
      <w:r>
        <w:tab/>
        <w:t>5</w:t>
      </w:r>
      <w:r>
        <w:tab/>
        <w:t>The following forms of compressed air illness are most commonly encountered:</w:t>
      </w:r>
    </w:p>
    <w:p w:rsidR="00AF2508" w:rsidRDefault="00AF2508">
      <w:pPr>
        <w:pStyle w:val="Apara"/>
      </w:pPr>
      <w:r>
        <w:tab/>
        <w:t>(1)</w:t>
      </w:r>
      <w:r>
        <w:tab/>
        <w:t>‘Bends’ are the most common form of compressed air illness.  These are painful and sometimes acute manifestations of the illness that affect 1 or more limbs.  They are not dangerous unless both arms or legs are effected, that may indicate a bubble in the spinal cord.  Bends are most likely to occur in muscles that have been the hardest worked.  The pain begins gradually, but may rapidly assume a very painful climax which, unless relieved by recompression, may be sufficiently severe to make the person cry out.  Any symptom of a ‘bend’ should be treated by recompression at the earliest possible moment.  The longer recompression is delayed the more difficult will be the cure.</w:t>
      </w:r>
    </w:p>
    <w:p w:rsidR="00AF2508" w:rsidRDefault="00AF2508">
      <w:pPr>
        <w:pStyle w:val="Apara"/>
      </w:pPr>
      <w:r>
        <w:tab/>
        <w:t>(2)</w:t>
      </w:r>
      <w:r>
        <w:tab/>
        <w:t>Severe pains in the chest or abdomen.  The pain in the chest may be accompanied by short, quick, gasping breathing, and the pain in the abdomen may lead to vomiting.</w:t>
      </w:r>
    </w:p>
    <w:p w:rsidR="00AF2508" w:rsidRDefault="00AF2508">
      <w:pPr>
        <w:pStyle w:val="Apara"/>
      </w:pPr>
      <w:r>
        <w:tab/>
        <w:t>(3)</w:t>
      </w:r>
      <w:r>
        <w:tab/>
        <w:t>Paralysis of the legs and arms.  This is a very serious symptom, and unless relieved may lead to permanent loss of use of the limbs.</w:t>
      </w:r>
    </w:p>
    <w:p w:rsidR="00AF2508" w:rsidRDefault="00AF2508">
      <w:pPr>
        <w:pStyle w:val="Apara"/>
      </w:pPr>
      <w:r>
        <w:tab/>
        <w:t>(4)</w:t>
      </w:r>
      <w:r>
        <w:tab/>
        <w:t>Other forms are faintness or unconsciousness, jerky movements of the eye or loss of sight, deafness, swelling of the body, loss of speech.  These forms are less common.</w:t>
      </w:r>
    </w:p>
    <w:p w:rsidR="00AF2508" w:rsidRDefault="00AF2508">
      <w:pPr>
        <w:pStyle w:val="Assectheading"/>
      </w:pPr>
      <w:r>
        <w:rPr>
          <w:rStyle w:val="charItals"/>
          <w:i/>
        </w:rPr>
        <w:t>Symptoms to be reported</w:t>
      </w:r>
    </w:p>
    <w:p w:rsidR="00AF2508" w:rsidRDefault="00AF2508">
      <w:pPr>
        <w:pStyle w:val="Amain"/>
      </w:pPr>
      <w:r>
        <w:tab/>
        <w:t>6</w:t>
      </w:r>
      <w:r>
        <w:tab/>
        <w:t>Any attack of ‘bends’, giddiness, vomiting or difficulty in breathing, disease of the heart, lungs, kidneys, genital organs, a chill, or any other disease that may come on a compressed air worker during or subsequent to work may have the most serious consequences to the worker’s health.</w:t>
      </w:r>
    </w:p>
    <w:p w:rsidR="00AF2508" w:rsidRDefault="00AF2508">
      <w:pPr>
        <w:pStyle w:val="Amain"/>
      </w:pPr>
      <w:r>
        <w:tab/>
        <w:t>7</w:t>
      </w:r>
      <w:r>
        <w:tab/>
        <w:t>Therefore, immediately on noticing the indisposition, the worker must report it to the medical officer or to a medical orderly, or failing either, to the contractor or a responsible representative of the contractor.</w:t>
      </w:r>
    </w:p>
    <w:p w:rsidR="00AF2508" w:rsidRDefault="00AF2508">
      <w:pPr>
        <w:pStyle w:val="Assectheading"/>
      </w:pPr>
      <w:r>
        <w:rPr>
          <w:rStyle w:val="charItals"/>
          <w:i/>
        </w:rPr>
        <w:t>Treatment of compressed air illness</w:t>
      </w:r>
    </w:p>
    <w:p w:rsidR="00AF2508" w:rsidRDefault="00AF2508">
      <w:pPr>
        <w:pStyle w:val="Amain"/>
      </w:pPr>
      <w:r>
        <w:tab/>
        <w:t>8</w:t>
      </w:r>
      <w:r>
        <w:tab/>
        <w:t>The cure for compressed air illness is immediate and adequate recompression, which causes diminution in the size and final disappearance of the bubble of gas that produced the symptom.</w:t>
      </w:r>
    </w:p>
    <w:p w:rsidR="00AF2508" w:rsidRDefault="00AF2508">
      <w:pPr>
        <w:pStyle w:val="03Schedule"/>
        <w:sectPr w:rsidR="00AF2508">
          <w:headerReference w:type="even" r:id="rId199"/>
          <w:headerReference w:type="default" r:id="rId200"/>
          <w:footerReference w:type="even" r:id="rId201"/>
          <w:footerReference w:type="default" r:id="rId202"/>
          <w:type w:val="continuous"/>
          <w:pgSz w:w="11907" w:h="16839" w:code="9"/>
          <w:pgMar w:top="3000" w:right="1900" w:bottom="2500" w:left="2300" w:header="2480" w:footer="2100" w:gutter="0"/>
          <w:cols w:space="720"/>
        </w:sectPr>
      </w:pPr>
    </w:p>
    <w:p w:rsidR="00AF2508" w:rsidRDefault="00AF2508">
      <w:pPr>
        <w:pStyle w:val="PageBreak"/>
      </w:pPr>
      <w:r>
        <w:br w:type="page"/>
      </w:r>
    </w:p>
    <w:p w:rsidR="00AF2508" w:rsidRDefault="00AF2508">
      <w:pPr>
        <w:pStyle w:val="Dict-Heading"/>
      </w:pPr>
      <w:bookmarkStart w:id="335" w:name="_Toc161636966"/>
      <w:r>
        <w:t>Dictionary</w:t>
      </w:r>
      <w:bookmarkEnd w:id="335"/>
    </w:p>
    <w:p w:rsidR="00AF2508" w:rsidRDefault="00AF2508">
      <w:pPr>
        <w:pStyle w:val="ref"/>
        <w:keepNext/>
        <w:rPr>
          <w:color w:val="000000"/>
        </w:rPr>
      </w:pPr>
      <w:r>
        <w:rPr>
          <w:color w:val="000000"/>
        </w:rPr>
        <w:t>(see s 2)</w:t>
      </w:r>
    </w:p>
    <w:p w:rsidR="00AF2508" w:rsidRDefault="00AF2508">
      <w:pPr>
        <w:pStyle w:val="aNote"/>
        <w:rPr>
          <w:color w:val="000000"/>
        </w:rPr>
      </w:pPr>
      <w:r>
        <w:rPr>
          <w:i/>
          <w:iCs/>
          <w:color w:val="000000"/>
        </w:rPr>
        <w:t>Note 1</w:t>
      </w:r>
      <w:r>
        <w:rPr>
          <w:i/>
          <w:iCs/>
          <w:color w:val="000000"/>
        </w:rPr>
        <w:tab/>
      </w:r>
      <w:r>
        <w:rPr>
          <w:color w:val="000000"/>
        </w:rPr>
        <w:t>The Legislation Act contains definitions and other provisions relevant to this regulation.</w:t>
      </w:r>
    </w:p>
    <w:p w:rsidR="00AF2508" w:rsidRDefault="00AF2508">
      <w:pPr>
        <w:pStyle w:val="aNote"/>
        <w:keepNext/>
        <w:rPr>
          <w:color w:val="000000"/>
        </w:rPr>
      </w:pPr>
      <w:r>
        <w:rPr>
          <w:i/>
          <w:iCs/>
          <w:color w:val="000000"/>
        </w:rPr>
        <w:t>Note 2</w:t>
      </w:r>
      <w:r>
        <w:rPr>
          <w:i/>
          <w:iCs/>
          <w:color w:val="000000"/>
        </w:rPr>
        <w:tab/>
      </w:r>
      <w:r>
        <w:rPr>
          <w:color w:val="000000"/>
        </w:rPr>
        <w:t>For example, the Legislation Act, dict, pt 1, defines the following terms:</w:t>
      </w:r>
    </w:p>
    <w:p w:rsidR="00AF2508" w:rsidRDefault="00AF2508">
      <w:pPr>
        <w:pStyle w:val="aNoteBulletss"/>
        <w:keepNext/>
        <w:tabs>
          <w:tab w:val="left" w:pos="2300"/>
        </w:tabs>
        <w:rPr>
          <w:color w:val="000000"/>
        </w:rPr>
      </w:pPr>
      <w:r>
        <w:rPr>
          <w:rFonts w:ascii="Symbol" w:hAnsi="Symbol"/>
          <w:color w:val="000000"/>
        </w:rPr>
        <w:t></w:t>
      </w:r>
      <w:r>
        <w:rPr>
          <w:rFonts w:ascii="Symbol" w:hAnsi="Symbol"/>
          <w:color w:val="000000"/>
        </w:rPr>
        <w:tab/>
      </w:r>
      <w:r>
        <w:rPr>
          <w:color w:val="000000"/>
        </w:rPr>
        <w:t>document</w:t>
      </w:r>
    </w:p>
    <w:p w:rsidR="00AF2508" w:rsidRDefault="00AF2508">
      <w:pPr>
        <w:pStyle w:val="aNoteBulletss"/>
        <w:tabs>
          <w:tab w:val="left" w:pos="2300"/>
        </w:tabs>
        <w:rPr>
          <w:color w:val="000000"/>
        </w:rPr>
      </w:pPr>
      <w:r>
        <w:rPr>
          <w:rFonts w:ascii="Symbol" w:hAnsi="Symbol"/>
          <w:color w:val="000000"/>
        </w:rPr>
        <w:t></w:t>
      </w:r>
      <w:r>
        <w:rPr>
          <w:rFonts w:ascii="Symbol" w:hAnsi="Symbol"/>
          <w:color w:val="000000"/>
        </w:rPr>
        <w:tab/>
      </w:r>
      <w:r>
        <w:rPr>
          <w:color w:val="000000"/>
        </w:rPr>
        <w:t>person.</w:t>
      </w:r>
    </w:p>
    <w:p w:rsidR="00AF2508" w:rsidRDefault="00AF2508">
      <w:pPr>
        <w:pStyle w:val="aNote"/>
        <w:keepNext/>
        <w:rPr>
          <w:color w:val="000000"/>
        </w:rPr>
      </w:pPr>
      <w:r>
        <w:rPr>
          <w:i/>
          <w:iCs/>
          <w:color w:val="000000"/>
        </w:rPr>
        <w:t>Note 3</w:t>
      </w:r>
      <w:r>
        <w:rPr>
          <w:i/>
          <w:iCs/>
          <w:color w:val="000000"/>
        </w:rPr>
        <w:tab/>
      </w:r>
      <w:r>
        <w:rPr>
          <w:color w:val="000000"/>
        </w:rPr>
        <w:t xml:space="preserve">Terms used in this regulation have the same meaning that they have in the </w:t>
      </w:r>
      <w:r>
        <w:rPr>
          <w:i/>
          <w:iCs/>
          <w:color w:val="000000"/>
        </w:rPr>
        <w:t xml:space="preserve">Scaffolding and Lifts Act 1912 </w:t>
      </w:r>
      <w:r>
        <w:rPr>
          <w:color w:val="000000"/>
        </w:rPr>
        <w:t xml:space="preserve">(see Legislation Act, s 148).  For example, the following terms are defined in the </w:t>
      </w:r>
      <w:r>
        <w:rPr>
          <w:i/>
          <w:iCs/>
          <w:color w:val="000000"/>
        </w:rPr>
        <w:t>Scaffolding and Lifts Act 1912</w:t>
      </w:r>
      <w:r>
        <w:rPr>
          <w:color w:val="000000"/>
        </w:rPr>
        <w:t>, dict:</w:t>
      </w:r>
    </w:p>
    <w:p w:rsidR="00AF2508" w:rsidRDefault="00AF2508">
      <w:pPr>
        <w:pStyle w:val="aNoteBulletss"/>
        <w:rPr>
          <w:color w:val="000000"/>
        </w:rPr>
      </w:pPr>
      <w:r>
        <w:rPr>
          <w:rFonts w:ascii="Symbol" w:hAnsi="Symbol"/>
          <w:color w:val="000000"/>
        </w:rPr>
        <w:t></w:t>
      </w:r>
      <w:r>
        <w:rPr>
          <w:rFonts w:ascii="Symbol" w:hAnsi="Symbol"/>
          <w:color w:val="000000"/>
        </w:rPr>
        <w:tab/>
      </w:r>
      <w:r>
        <w:rPr>
          <w:color w:val="000000"/>
        </w:rPr>
        <w:t>crane</w:t>
      </w:r>
    </w:p>
    <w:p w:rsidR="00AF2508" w:rsidRDefault="00AF2508">
      <w:pPr>
        <w:pStyle w:val="aNoteBulletss"/>
        <w:rPr>
          <w:color w:val="000000"/>
        </w:rPr>
      </w:pPr>
      <w:r>
        <w:rPr>
          <w:rFonts w:ascii="Symbol" w:hAnsi="Symbol"/>
          <w:color w:val="000000"/>
        </w:rPr>
        <w:t></w:t>
      </w:r>
      <w:r>
        <w:rPr>
          <w:rFonts w:ascii="Symbol" w:hAnsi="Symbol"/>
          <w:color w:val="000000"/>
        </w:rPr>
        <w:tab/>
      </w:r>
      <w:r>
        <w:rPr>
          <w:color w:val="000000"/>
        </w:rPr>
        <w:t>dogger</w:t>
      </w:r>
    </w:p>
    <w:p w:rsidR="00AF2508" w:rsidRDefault="00AF2508">
      <w:pPr>
        <w:pStyle w:val="aNoteBulletss"/>
        <w:rPr>
          <w:color w:val="000000"/>
        </w:rPr>
      </w:pPr>
      <w:r>
        <w:rPr>
          <w:rFonts w:ascii="Symbol" w:hAnsi="Symbol"/>
          <w:color w:val="000000"/>
        </w:rPr>
        <w:t></w:t>
      </w:r>
      <w:r>
        <w:rPr>
          <w:rFonts w:ascii="Symbol" w:hAnsi="Symbol"/>
          <w:color w:val="000000"/>
        </w:rPr>
        <w:tab/>
      </w:r>
      <w:r>
        <w:rPr>
          <w:color w:val="000000"/>
        </w:rPr>
        <w:t>gear</w:t>
      </w:r>
    </w:p>
    <w:p w:rsidR="00AF2508" w:rsidRDefault="00AF2508">
      <w:pPr>
        <w:pStyle w:val="aNoteBulletss"/>
        <w:rPr>
          <w:color w:val="000000"/>
        </w:rPr>
      </w:pPr>
      <w:r>
        <w:rPr>
          <w:rFonts w:ascii="Symbol" w:hAnsi="Symbol"/>
          <w:color w:val="000000"/>
        </w:rPr>
        <w:t></w:t>
      </w:r>
      <w:r>
        <w:rPr>
          <w:rFonts w:ascii="Symbol" w:hAnsi="Symbol"/>
          <w:color w:val="000000"/>
        </w:rPr>
        <w:tab/>
      </w:r>
      <w:r>
        <w:rPr>
          <w:color w:val="000000"/>
        </w:rPr>
        <w:t>inspector</w:t>
      </w:r>
    </w:p>
    <w:p w:rsidR="00AF2508" w:rsidRDefault="00AF2508">
      <w:pPr>
        <w:pStyle w:val="aNoteBulletss"/>
        <w:rPr>
          <w:color w:val="000000"/>
        </w:rPr>
      </w:pPr>
      <w:r>
        <w:rPr>
          <w:rFonts w:ascii="Symbol" w:hAnsi="Symbol"/>
          <w:color w:val="000000"/>
        </w:rPr>
        <w:t></w:t>
      </w:r>
      <w:r>
        <w:rPr>
          <w:rFonts w:ascii="Symbol" w:hAnsi="Symbol"/>
          <w:color w:val="000000"/>
        </w:rPr>
        <w:tab/>
      </w:r>
      <w:r>
        <w:rPr>
          <w:color w:val="000000"/>
        </w:rPr>
        <w:t>lift</w:t>
      </w:r>
    </w:p>
    <w:p w:rsidR="00AF2508" w:rsidRDefault="00AF2508">
      <w:pPr>
        <w:pStyle w:val="aNoteBulletss"/>
        <w:rPr>
          <w:color w:val="000000"/>
        </w:rPr>
      </w:pPr>
      <w:r>
        <w:rPr>
          <w:rFonts w:ascii="Symbol" w:hAnsi="Symbol"/>
          <w:color w:val="000000"/>
        </w:rPr>
        <w:t></w:t>
      </w:r>
      <w:r>
        <w:rPr>
          <w:rFonts w:ascii="Symbol" w:hAnsi="Symbol"/>
          <w:color w:val="000000"/>
        </w:rPr>
        <w:tab/>
      </w:r>
      <w:r>
        <w:rPr>
          <w:color w:val="000000"/>
        </w:rPr>
        <w:t>plant.</w:t>
      </w:r>
    </w:p>
    <w:p w:rsidR="00AF2508" w:rsidRDefault="00AF2508">
      <w:pPr>
        <w:pStyle w:val="aDef"/>
      </w:pPr>
      <w:r>
        <w:rPr>
          <w:rStyle w:val="charBoldItals"/>
        </w:rPr>
        <w:t>analogous</w:t>
      </w:r>
      <w:r>
        <w:t xml:space="preserve"> means radically analogous in relation to prime characteristics.</w:t>
      </w:r>
    </w:p>
    <w:p w:rsidR="00AF2508" w:rsidRDefault="00AF2508">
      <w:pPr>
        <w:pStyle w:val="aDef"/>
      </w:pPr>
      <w:r>
        <w:rPr>
          <w:rStyle w:val="charBoldItals"/>
        </w:rPr>
        <w:t>approved</w:t>
      </w:r>
      <w:r>
        <w:t xml:space="preserve"> means approved in writing by the chief inspector.</w:t>
      </w:r>
    </w:p>
    <w:p w:rsidR="00AF2508" w:rsidRDefault="00AF2508">
      <w:pPr>
        <w:pStyle w:val="aDef"/>
      </w:pPr>
      <w:r>
        <w:rPr>
          <w:rStyle w:val="charBoldItals"/>
        </w:rPr>
        <w:t>axial stress</w:t>
      </w:r>
      <w:r>
        <w:t xml:space="preserve"> means one produced by a force or load acting parallel to and concentrically with the longitudinal neutral axis of the member concerned, and is the initial stress so produced, before any redistribution that may accompany resultant elastic deformation of the member.</w:t>
      </w:r>
    </w:p>
    <w:p w:rsidR="00AF2508" w:rsidRDefault="00AF2508">
      <w:pPr>
        <w:pStyle w:val="aDef"/>
      </w:pPr>
      <w:r>
        <w:rPr>
          <w:rStyle w:val="charBoldItals"/>
        </w:rPr>
        <w:t>bearing pressure</w:t>
      </w:r>
      <w:r>
        <w:t>, in relation to a pin or shaft in a plain bearing, means bearing pressure calculated as for a plane rectangular area of length equal to the length of the bearing, and of width equal to the diameter of the bearing.</w:t>
      </w:r>
    </w:p>
    <w:p w:rsidR="00AF2508" w:rsidRDefault="00AF2508">
      <w:pPr>
        <w:pStyle w:val="aDef"/>
        <w:rPr>
          <w:color w:val="000000"/>
        </w:rPr>
      </w:pPr>
      <w:r>
        <w:rPr>
          <w:rStyle w:val="charBoldItals"/>
          <w:color w:val="000000"/>
        </w:rPr>
        <w:t>birdcage scaffolding</w:t>
      </w:r>
      <w:r>
        <w:rPr>
          <w:color w:val="000000"/>
        </w:rPr>
        <w:t>—see section 85.</w:t>
      </w:r>
    </w:p>
    <w:p w:rsidR="00AF2508" w:rsidRDefault="00AF2508">
      <w:pPr>
        <w:pStyle w:val="aDef"/>
        <w:rPr>
          <w:color w:val="000000"/>
        </w:rPr>
      </w:pPr>
      <w:r>
        <w:rPr>
          <w:rStyle w:val="charBoldItals"/>
          <w:color w:val="000000"/>
        </w:rPr>
        <w:t>cantilever scaffolding</w:t>
      </w:r>
      <w:r>
        <w:rPr>
          <w:color w:val="000000"/>
        </w:rPr>
        <w:t>—see section 85.</w:t>
      </w:r>
    </w:p>
    <w:p w:rsidR="00AF2508" w:rsidRDefault="00AF2508">
      <w:pPr>
        <w:pStyle w:val="aDef"/>
        <w:rPr>
          <w:color w:val="000000"/>
        </w:rPr>
      </w:pPr>
      <w:r>
        <w:rPr>
          <w:rStyle w:val="charBoldItals"/>
          <w:color w:val="000000"/>
        </w:rPr>
        <w:t>conveyor</w:t>
      </w:r>
      <w:r>
        <w:rPr>
          <w:color w:val="000000"/>
        </w:rPr>
        <w:t>, for part 4 (Lifts)—see section 16.</w:t>
      </w:r>
    </w:p>
    <w:p w:rsidR="00AF2508" w:rsidRDefault="00AF2508">
      <w:pPr>
        <w:pStyle w:val="aDef"/>
      </w:pPr>
      <w:r>
        <w:rPr>
          <w:rStyle w:val="charBoldItals"/>
        </w:rPr>
        <w:t>dead loads</w:t>
      </w:r>
      <w:r>
        <w:t xml:space="preserve"> means all loads of which the principal effects remain constant during operation or manipulation of the crane, lift, hoist, scaffolding, plant or gear concerned.</w:t>
      </w:r>
    </w:p>
    <w:p w:rsidR="00AF2508" w:rsidRDefault="00AF2508">
      <w:pPr>
        <w:pStyle w:val="aDef"/>
      </w:pPr>
      <w:r>
        <w:rPr>
          <w:rStyle w:val="charBoldItals"/>
        </w:rPr>
        <w:t>designed</w:t>
      </w:r>
      <w:r>
        <w:t xml:space="preserve"> means effectively and correctly designed for its purpose in complete accordance with this regulation or, if provision is not included in this regulation, effectively and correctly designed for its purpose in an approved way.</w:t>
      </w:r>
    </w:p>
    <w:p w:rsidR="00AF2508" w:rsidRDefault="00AF2508">
      <w:pPr>
        <w:pStyle w:val="aDef"/>
      </w:pPr>
      <w:r>
        <w:rPr>
          <w:rStyle w:val="charBoldItals"/>
        </w:rPr>
        <w:t>drawings</w:t>
      </w:r>
      <w:r>
        <w:t xml:space="preserve"> means permanent, fully detailed and fully dimensioned and annotated engineering drawings, clear, distinct, and to a commonly used scale, which are sufficiently complete for engineering workshop use to enable faithful manufacture of all items depicted.</w:t>
      </w:r>
    </w:p>
    <w:p w:rsidR="00AF2508" w:rsidRDefault="00AF2508">
      <w:pPr>
        <w:pStyle w:val="aDef"/>
      </w:pPr>
      <w:r>
        <w:rPr>
          <w:b/>
          <w:i/>
        </w:rPr>
        <w:t>dynamically irreversible</w:t>
      </w:r>
      <w:r>
        <w:t xml:space="preserve"> means incapable of being set or kept in motion by energy applied at or to the power output member or part of any mechanism, linkage or device.</w:t>
      </w:r>
    </w:p>
    <w:p w:rsidR="00AF2508" w:rsidRDefault="00AF2508">
      <w:pPr>
        <w:pStyle w:val="aDef"/>
      </w:pPr>
      <w:r>
        <w:rPr>
          <w:rStyle w:val="charBoldItals"/>
        </w:rPr>
        <w:t>dynamically reversible</w:t>
      </w:r>
      <w:r>
        <w:t xml:space="preserve"> means capable of being set or kept in motion by energy applied at or to the power output member or part of any mechanism, linkage or device.</w:t>
      </w:r>
    </w:p>
    <w:p w:rsidR="00AF2508" w:rsidRDefault="00AF2508">
      <w:pPr>
        <w:pStyle w:val="aDef"/>
        <w:rPr>
          <w:color w:val="000000"/>
        </w:rPr>
      </w:pPr>
      <w:r>
        <w:rPr>
          <w:b/>
          <w:i/>
          <w:color w:val="000000"/>
        </w:rPr>
        <w:t>explosive-powered tool</w:t>
      </w:r>
      <w:r>
        <w:rPr>
          <w:color w:val="000000"/>
        </w:rPr>
        <w:t>, for part 9A (Explosive-powered tools—safety measures)—see section 118A.</w:t>
      </w:r>
    </w:p>
    <w:p w:rsidR="00AF2508" w:rsidRDefault="00AF2508">
      <w:pPr>
        <w:pStyle w:val="aDef"/>
      </w:pPr>
      <w:r>
        <w:rPr>
          <w:rStyle w:val="charBoldItals"/>
        </w:rPr>
        <w:t>fixed end</w:t>
      </w:r>
      <w:r>
        <w:t xml:space="preserve"> means for purposes of stress determination, a fixed end or fixed connection so designed that it effectively maintains and preserves the tangent to the elastic curve of the end of the member concerned in its original direction and position, irrespective of applied loading.</w:t>
      </w:r>
    </w:p>
    <w:p w:rsidR="00AF2508" w:rsidRDefault="00AF2508">
      <w:pPr>
        <w:pStyle w:val="aDef"/>
      </w:pPr>
      <w:r>
        <w:rPr>
          <w:rStyle w:val="charBoldItals"/>
        </w:rPr>
        <w:t>forged steel</w:t>
      </w:r>
      <w:r>
        <w:t xml:space="preserve"> means hot forged from steel conforming to Australian Standard Specification No E17—(1944 T.) General Locomotive Forgings of K quality, and Australian Standard Specification No B63—1938 </w:t>
      </w:r>
      <w:r>
        <w:rPr>
          <w:i/>
        </w:rPr>
        <w:t>Carbon Steel Forgings (Primarily for Cranes and Hoists)</w:t>
      </w:r>
      <w:r>
        <w:t>.</w:t>
      </w:r>
    </w:p>
    <w:p w:rsidR="00AF2508" w:rsidRDefault="00AF2508">
      <w:pPr>
        <w:pStyle w:val="aDef"/>
      </w:pPr>
      <w:r>
        <w:rPr>
          <w:rStyle w:val="charBoldItals"/>
        </w:rPr>
        <w:t>free end</w:t>
      </w:r>
      <w:r>
        <w:t xml:space="preserve"> means for purposes of stress determination, a free end not specifically secured in a way that will effectively prevent its translation.</w:t>
      </w:r>
    </w:p>
    <w:p w:rsidR="00AF2508" w:rsidRDefault="00AF2508">
      <w:pPr>
        <w:pStyle w:val="aDef"/>
        <w:rPr>
          <w:color w:val="000000"/>
        </w:rPr>
      </w:pPr>
      <w:r>
        <w:rPr>
          <w:rStyle w:val="charBoldItals"/>
          <w:color w:val="000000"/>
        </w:rPr>
        <w:t>heavy duty scaffolding</w:t>
      </w:r>
      <w:r>
        <w:rPr>
          <w:color w:val="000000"/>
        </w:rPr>
        <w:t>—see section 85.</w:t>
      </w:r>
    </w:p>
    <w:p w:rsidR="00AF2508" w:rsidRDefault="00AF2508">
      <w:pPr>
        <w:pStyle w:val="aDef"/>
      </w:pPr>
      <w:r>
        <w:rPr>
          <w:rStyle w:val="charBoldItals"/>
        </w:rPr>
        <w:t>high tensile structural steel</w:t>
      </w:r>
      <w:r>
        <w:t xml:space="preserve"> means steel conforming to British Standard Specification No 548—1934, High Tensile Structural Steel for Bridges etc and General</w:t>
      </w:r>
      <w:r>
        <w:rPr>
          <w:rStyle w:val="charBoldItals"/>
        </w:rPr>
        <w:t xml:space="preserve"> </w:t>
      </w:r>
      <w:r>
        <w:t xml:space="preserve">Building Construction, or British Standard Specification No 968—1941, </w:t>
      </w:r>
      <w:r>
        <w:rPr>
          <w:i/>
        </w:rPr>
        <w:t>High Tensile (Fusion Welding Quality) Steel for Bridges, etc, and General Building Construction</w:t>
      </w:r>
      <w:r>
        <w:t xml:space="preserve"> promulgated by Standards Australia.</w:t>
      </w:r>
    </w:p>
    <w:p w:rsidR="00AF2508" w:rsidRDefault="00AF2508">
      <w:pPr>
        <w:pStyle w:val="aDef"/>
      </w:pPr>
      <w:r>
        <w:rPr>
          <w:rStyle w:val="charBoldItals"/>
        </w:rPr>
        <w:t>hinged end</w:t>
      </w:r>
      <w:r>
        <w:t xml:space="preserve"> means for purposes of stress determination, a hinged end or hinged connection not specifically and effectively designed to transmit major restraining or other moments.</w:t>
      </w:r>
    </w:p>
    <w:p w:rsidR="00AF2508" w:rsidRDefault="00AF2508">
      <w:pPr>
        <w:pStyle w:val="aDef"/>
      </w:pPr>
      <w:r>
        <w:rPr>
          <w:rStyle w:val="charBoldItals"/>
        </w:rPr>
        <w:t>in commission</w:t>
      </w:r>
      <w:r>
        <w:t xml:space="preserve"> means in commission but not necessarily active.</w:t>
      </w:r>
    </w:p>
    <w:p w:rsidR="00AF2508" w:rsidRDefault="00AF2508">
      <w:pPr>
        <w:pStyle w:val="aDef"/>
        <w:rPr>
          <w:color w:val="000000"/>
        </w:rPr>
      </w:pPr>
      <w:r>
        <w:rPr>
          <w:rStyle w:val="charBoldItals"/>
          <w:color w:val="000000"/>
        </w:rPr>
        <w:t>independent pole scaffolding</w:t>
      </w:r>
      <w:r>
        <w:rPr>
          <w:color w:val="000000"/>
        </w:rPr>
        <w:t>—see section 85.</w:t>
      </w:r>
    </w:p>
    <w:p w:rsidR="00AF2508" w:rsidRDefault="00AF2508">
      <w:pPr>
        <w:pStyle w:val="aDef"/>
        <w:rPr>
          <w:color w:val="000000"/>
        </w:rPr>
      </w:pPr>
      <w:r>
        <w:rPr>
          <w:rStyle w:val="charBoldItals"/>
          <w:color w:val="000000"/>
        </w:rPr>
        <w:t>light duty scaffolding</w:t>
      </w:r>
      <w:r>
        <w:rPr>
          <w:color w:val="000000"/>
        </w:rPr>
        <w:t>—see section 85.</w:t>
      </w:r>
    </w:p>
    <w:p w:rsidR="00AF2508" w:rsidRDefault="00AF2508">
      <w:pPr>
        <w:pStyle w:val="aDef"/>
        <w:rPr>
          <w:color w:val="000000"/>
        </w:rPr>
      </w:pPr>
      <w:r>
        <w:rPr>
          <w:rStyle w:val="charBoldItals"/>
          <w:color w:val="000000"/>
        </w:rPr>
        <w:t>light swinging stage</w:t>
      </w:r>
      <w:r>
        <w:rPr>
          <w:color w:val="000000"/>
        </w:rPr>
        <w:t>—see section 85.</w:t>
      </w:r>
    </w:p>
    <w:p w:rsidR="00AF2508" w:rsidRDefault="00AF2508">
      <w:pPr>
        <w:pStyle w:val="aDef"/>
      </w:pPr>
      <w:r>
        <w:rPr>
          <w:rStyle w:val="charBoldItals"/>
        </w:rPr>
        <w:t>limiting</w:t>
      </w:r>
      <w:r>
        <w:t xml:space="preserve"> means—</w:t>
      </w:r>
    </w:p>
    <w:p w:rsidR="00AF2508" w:rsidRDefault="00AF2508">
      <w:pPr>
        <w:pStyle w:val="aDefpara"/>
      </w:pPr>
      <w:r>
        <w:tab/>
        <w:t>(a)</w:t>
      </w:r>
      <w:r>
        <w:tab/>
        <w:t>a maximum such that if it were increased; or</w:t>
      </w:r>
    </w:p>
    <w:p w:rsidR="00AF2508" w:rsidRDefault="00AF2508">
      <w:pPr>
        <w:pStyle w:val="aDefpara"/>
      </w:pPr>
      <w:r>
        <w:tab/>
        <w:t>(b)</w:t>
      </w:r>
      <w:r>
        <w:tab/>
        <w:t>a minimum such that if it were decreased;</w:t>
      </w:r>
    </w:p>
    <w:p w:rsidR="00AF2508" w:rsidRDefault="00AF2508">
      <w:pPr>
        <w:pStyle w:val="Amainreturn"/>
      </w:pPr>
      <w:r>
        <w:t>the increase or decrease would occasion contravention of the Act or this regulation, or in any way prejudice the safe working of the crane, lift, hoist, scaffolding or plant concerned.</w:t>
      </w:r>
    </w:p>
    <w:p w:rsidR="00AF2508" w:rsidRDefault="00AF2508">
      <w:pPr>
        <w:pStyle w:val="aDef"/>
      </w:pPr>
      <w:r>
        <w:rPr>
          <w:rStyle w:val="charBoldItals"/>
        </w:rPr>
        <w:t>live loads</w:t>
      </w:r>
      <w:r>
        <w:t xml:space="preserve"> means all loads of which the principal effects vary during operation or manipulation of the crane, lift, hoist, scaffolding, plant or gear concerned, and include the working load and all loads due to inertia, momentum, braking and wind.</w:t>
      </w:r>
    </w:p>
    <w:p w:rsidR="00AF2508" w:rsidRDefault="00AF2508">
      <w:pPr>
        <w:pStyle w:val="aDef"/>
      </w:pPr>
      <w:r>
        <w:rPr>
          <w:rStyle w:val="charBoldItals"/>
        </w:rPr>
        <w:t>mild steel</w:t>
      </w:r>
      <w:r>
        <w:t xml:space="preserve"> means—</w:t>
      </w:r>
    </w:p>
    <w:p w:rsidR="00AF2508" w:rsidRDefault="00AF2508">
      <w:pPr>
        <w:pStyle w:val="aDefpara"/>
      </w:pPr>
      <w:r>
        <w:tab/>
        <w:t>(a)</w:t>
      </w:r>
      <w:r>
        <w:tab/>
        <w:t xml:space="preserve">except in relation to bolts or rivets—mild steel conforming to Australian Standard Specification No A.1—1940 </w:t>
      </w:r>
      <w:r>
        <w:rPr>
          <w:i/>
        </w:rPr>
        <w:t>Rolled Steel Sections for Structural Purposes</w:t>
      </w:r>
      <w:r>
        <w:t>; and</w:t>
      </w:r>
    </w:p>
    <w:p w:rsidR="00AF2508" w:rsidRDefault="00AF2508">
      <w:pPr>
        <w:pStyle w:val="aDefpara"/>
      </w:pPr>
      <w:r>
        <w:tab/>
        <w:t>(b)</w:t>
      </w:r>
      <w:r>
        <w:tab/>
        <w:t>in relation to bolts or rivets—a mild steel approved by the chief inspector as being suitable for its purpose.</w:t>
      </w:r>
    </w:p>
    <w:p w:rsidR="00AF2508" w:rsidRDefault="00AF2508">
      <w:pPr>
        <w:pStyle w:val="aDef"/>
        <w:rPr>
          <w:color w:val="000000"/>
        </w:rPr>
      </w:pPr>
      <w:r>
        <w:rPr>
          <w:b/>
          <w:i/>
          <w:color w:val="000000"/>
        </w:rPr>
        <w:t>projectile</w:t>
      </w:r>
      <w:r>
        <w:rPr>
          <w:color w:val="000000"/>
        </w:rPr>
        <w:t>, for part 9A (Explosive-powered tools—safety measures)—see section 118A.</w:t>
      </w:r>
    </w:p>
    <w:p w:rsidR="00AF2508" w:rsidRDefault="00AF2508">
      <w:pPr>
        <w:pStyle w:val="aDef"/>
        <w:rPr>
          <w:color w:val="000000"/>
        </w:rPr>
      </w:pPr>
      <w:r>
        <w:rPr>
          <w:b/>
          <w:i/>
          <w:color w:val="000000"/>
        </w:rPr>
        <w:t>qualified operator</w:t>
      </w:r>
      <w:r>
        <w:rPr>
          <w:color w:val="000000"/>
        </w:rPr>
        <w:t>, for part 9A (Explosive-powered tools—safety measures)—see section 118A.</w:t>
      </w:r>
    </w:p>
    <w:p w:rsidR="00AF2508" w:rsidRDefault="00AF2508">
      <w:pPr>
        <w:pStyle w:val="aDef"/>
      </w:pPr>
      <w:r>
        <w:rPr>
          <w:rStyle w:val="charBoldItals"/>
        </w:rPr>
        <w:t>roller</w:t>
      </w:r>
      <w:r>
        <w:t xml:space="preserve"> means a wheel or cylinder that is either without an axle, or in which an axle or equivalent device is employed principally for purposes of alignment and location as distinct from the transmission of loads or forces.</w:t>
      </w:r>
    </w:p>
    <w:p w:rsidR="00AF2508" w:rsidRDefault="00AF2508">
      <w:pPr>
        <w:pStyle w:val="aDef"/>
        <w:rPr>
          <w:color w:val="000000"/>
        </w:rPr>
      </w:pPr>
      <w:r>
        <w:rPr>
          <w:rStyle w:val="charBoldItals"/>
          <w:color w:val="000000"/>
        </w:rPr>
        <w:t>run</w:t>
      </w:r>
      <w:r>
        <w:rPr>
          <w:color w:val="000000"/>
        </w:rPr>
        <w:t>—see section 85.</w:t>
      </w:r>
    </w:p>
    <w:p w:rsidR="00AF2508" w:rsidRDefault="00AF2508">
      <w:pPr>
        <w:pStyle w:val="aDef"/>
      </w:pPr>
      <w:r>
        <w:rPr>
          <w:rStyle w:val="charBoldItals"/>
        </w:rPr>
        <w:t>S.A.A. Wiring Rules</w:t>
      </w:r>
      <w:r>
        <w:t xml:space="preserve"> means Australian Standard Rules for the electrical equipment of buildings, structures and premises, published by the Standards Australia, known as the S.A.A. Wiring Rules. (First issued June, 1931, revised December, 1934, revised January, 1940.  Reprinted including corrigenda of February, 1940, February, 1943, and March, 1944.  Amendment 3, 1945.  All redated 1945.  Amendment 4, January, 1946, redated 1946.).</w:t>
      </w:r>
    </w:p>
    <w:p w:rsidR="00AF2508" w:rsidRDefault="00AF2508">
      <w:pPr>
        <w:pStyle w:val="aDef"/>
        <w:rPr>
          <w:color w:val="000000"/>
        </w:rPr>
      </w:pPr>
      <w:r>
        <w:rPr>
          <w:rStyle w:val="charBoldItals"/>
          <w:color w:val="000000"/>
        </w:rPr>
        <w:t>safety gear</w:t>
      </w:r>
      <w:r>
        <w:rPr>
          <w:color w:val="000000"/>
        </w:rPr>
        <w:t>, for part 4 (Lifts)—see section 16.</w:t>
      </w:r>
    </w:p>
    <w:p w:rsidR="00AF2508" w:rsidRDefault="00AF2508">
      <w:pPr>
        <w:pStyle w:val="aDef"/>
      </w:pPr>
      <w:r>
        <w:rPr>
          <w:rStyle w:val="charBoldItals"/>
        </w:rPr>
        <w:t>safe working load</w:t>
      </w:r>
      <w:r>
        <w:t xml:space="preserve"> (or </w:t>
      </w:r>
      <w:r>
        <w:rPr>
          <w:rStyle w:val="charBoldItals"/>
        </w:rPr>
        <w:t>working load</w:t>
      </w:r>
      <w:r>
        <w:rPr>
          <w:rStyle w:val="charBoldItals"/>
          <w:b w:val="0"/>
          <w:bCs/>
          <w:i w:val="0"/>
          <w:iCs/>
        </w:rPr>
        <w:t>)</w:t>
      </w:r>
      <w:r>
        <w:t xml:space="preserve"> means the greatest burden that may be imposed without contravening any provision of this regulation in or on the lifting or lowering instrument with which any crane, lift or hoist is provided for lifting or lowering, or on any platform of any scaffold, but does not include wind loads or any increase consequential to section 125 or the weight of the lifting hook, yoke, kibble, box, cage, vessel or other medium by which the load is raised or lowered, or the weight of the platform or framework of any scaffold.</w:t>
      </w:r>
    </w:p>
    <w:p w:rsidR="00AF2508" w:rsidRDefault="00AF2508">
      <w:pPr>
        <w:pStyle w:val="aDef"/>
      </w:pPr>
      <w:r>
        <w:rPr>
          <w:rStyle w:val="charBoldItals"/>
        </w:rPr>
        <w:t>second-hand</w:t>
      </w:r>
      <w:r>
        <w:t xml:space="preserve"> means evidencing previous usage that might reasonably be expected or anticipated to have resulted in wear or abrasion, distortion, fatigue, misalignment, cold working, strain hardening, overheating, corrosion, or other damage or deterioration, affecting the item concerned in whole or in part, and, in relation to any material, second-hand means not plainly self evidently new.</w:t>
      </w:r>
    </w:p>
    <w:p w:rsidR="00AF2508" w:rsidRDefault="00AF2508">
      <w:pPr>
        <w:pStyle w:val="aDef"/>
      </w:pPr>
      <w:r>
        <w:rPr>
          <w:rStyle w:val="charBoldItals"/>
        </w:rPr>
        <w:t>section</w:t>
      </w:r>
      <w:r>
        <w:t xml:space="preserve"> means actual section before any deformation that may follow or accompany application of stress and, unless otherwise stated, all sections must lie in planes normal to the longitudinal axes of the members concerned.</w:t>
      </w:r>
    </w:p>
    <w:p w:rsidR="00AF2508" w:rsidRDefault="00AF2508">
      <w:pPr>
        <w:pStyle w:val="aDef"/>
        <w:rPr>
          <w:color w:val="000000"/>
        </w:rPr>
      </w:pPr>
      <w:r>
        <w:rPr>
          <w:rStyle w:val="charBoldItals"/>
          <w:color w:val="000000"/>
        </w:rPr>
        <w:t>service lift</w:t>
      </w:r>
      <w:r>
        <w:rPr>
          <w:color w:val="000000"/>
        </w:rPr>
        <w:t>, for part 4 (Lifts)—see section 16.</w:t>
      </w:r>
    </w:p>
    <w:p w:rsidR="00AF2508" w:rsidRDefault="00AF2508">
      <w:pPr>
        <w:pStyle w:val="aDef"/>
        <w:rPr>
          <w:color w:val="000000"/>
        </w:rPr>
      </w:pPr>
      <w:r>
        <w:rPr>
          <w:rStyle w:val="charBoldItals"/>
          <w:color w:val="000000"/>
        </w:rPr>
        <w:t>single pole scaffolding</w:t>
      </w:r>
      <w:r>
        <w:rPr>
          <w:color w:val="000000"/>
        </w:rPr>
        <w:t>—see section 85.</w:t>
      </w:r>
    </w:p>
    <w:p w:rsidR="00AF2508" w:rsidRDefault="00AF2508">
      <w:pPr>
        <w:pStyle w:val="aDef"/>
      </w:pPr>
      <w:r>
        <w:rPr>
          <w:rStyle w:val="charBoldItals"/>
        </w:rPr>
        <w:t>static counterbalance weights</w:t>
      </w:r>
      <w:r>
        <w:t xml:space="preserve"> includes all counterbalance weights that do not move relatively to the crane, hoist, lift, scaffolding, plant or gear concerned or to its supporting structure.</w:t>
      </w:r>
    </w:p>
    <w:p w:rsidR="00AF2508" w:rsidRDefault="00AF2508">
      <w:pPr>
        <w:pStyle w:val="aDef"/>
      </w:pPr>
      <w:r>
        <w:rPr>
          <w:rStyle w:val="charBoldItals"/>
        </w:rPr>
        <w:t>strength</w:t>
      </w:r>
      <w:r>
        <w:t xml:space="preserve"> means computed strength except in relation to the strengths of materials or ropes, and unless the chief inspector specifically approves otherwise.</w:t>
      </w:r>
    </w:p>
    <w:p w:rsidR="00AF2508" w:rsidRDefault="00AF2508">
      <w:pPr>
        <w:pStyle w:val="aDef"/>
      </w:pPr>
      <w:r>
        <w:rPr>
          <w:rStyle w:val="charBoldItals"/>
        </w:rPr>
        <w:t>stress</w:t>
      </w:r>
      <w:r>
        <w:t xml:space="preserve"> means stress measured in tons per square inch, after including all increases prescribed by this regulation.</w:t>
      </w:r>
    </w:p>
    <w:p w:rsidR="00AF2508" w:rsidRDefault="00AF2508">
      <w:pPr>
        <w:pStyle w:val="aDef"/>
        <w:rPr>
          <w:color w:val="000000"/>
        </w:rPr>
      </w:pPr>
      <w:r>
        <w:rPr>
          <w:rStyle w:val="charBoldItals"/>
          <w:color w:val="000000"/>
        </w:rPr>
        <w:t>suspended scaffolding</w:t>
      </w:r>
      <w:r>
        <w:rPr>
          <w:color w:val="000000"/>
        </w:rPr>
        <w:t>—see section 85.</w:t>
      </w:r>
    </w:p>
    <w:p w:rsidR="00AF2508" w:rsidRDefault="00AF2508">
      <w:pPr>
        <w:pStyle w:val="aDef"/>
        <w:rPr>
          <w:color w:val="000000"/>
        </w:rPr>
      </w:pPr>
      <w:r>
        <w:rPr>
          <w:rStyle w:val="charBoldItals"/>
          <w:color w:val="000000"/>
        </w:rPr>
        <w:t>toe board</w:t>
      </w:r>
      <w:r>
        <w:rPr>
          <w:color w:val="000000"/>
        </w:rPr>
        <w:t>—see section 85.</w:t>
      </w:r>
    </w:p>
    <w:p w:rsidR="00AF2508" w:rsidRDefault="00AF2508">
      <w:pPr>
        <w:pStyle w:val="aDef"/>
        <w:rPr>
          <w:color w:val="000000"/>
        </w:rPr>
      </w:pPr>
      <w:r>
        <w:rPr>
          <w:b/>
          <w:i/>
          <w:color w:val="000000"/>
        </w:rPr>
        <w:t>tool</w:t>
      </w:r>
      <w:r>
        <w:rPr>
          <w:color w:val="000000"/>
        </w:rPr>
        <w:t>, for part 9A (Explosive-powered tools—safety measures)—see section 118A.</w:t>
      </w:r>
    </w:p>
    <w:p w:rsidR="00AF2508" w:rsidRDefault="00AF2508">
      <w:pPr>
        <w:pStyle w:val="aDef"/>
      </w:pPr>
      <w:r>
        <w:rPr>
          <w:rStyle w:val="charBoldItals"/>
        </w:rPr>
        <w:t>transverse stress</w:t>
      </w:r>
      <w:r>
        <w:t xml:space="preserve"> means the longitudinal tensile or compressive fibre stress resulting at the skin of a member from forces that cause flexure, but not include the axial stress.</w:t>
      </w:r>
    </w:p>
    <w:p w:rsidR="00AF2508" w:rsidRDefault="00AF2508">
      <w:pPr>
        <w:pStyle w:val="aDef"/>
      </w:pPr>
      <w:r>
        <w:rPr>
          <w:rStyle w:val="charBoldItals"/>
        </w:rPr>
        <w:t>under power</w:t>
      </w:r>
      <w:r>
        <w:t xml:space="preserve"> means energised by any agency other than manual or gravitational.</w:t>
      </w:r>
    </w:p>
    <w:p w:rsidR="00AF2508" w:rsidRDefault="00AF2508">
      <w:pPr>
        <w:pStyle w:val="aDef"/>
        <w:rPr>
          <w:color w:val="000000"/>
        </w:rPr>
      </w:pPr>
      <w:r>
        <w:rPr>
          <w:b/>
          <w:bCs/>
          <w:i/>
          <w:iCs/>
          <w:color w:val="000000"/>
        </w:rPr>
        <w:t>use</w:t>
      </w:r>
      <w:r>
        <w:rPr>
          <w:color w:val="000000"/>
        </w:rPr>
        <w:t>, an explosive-powered tool, for part 9A (Explosive-powered tools—safety measures)—see section 118A (3).</w:t>
      </w:r>
    </w:p>
    <w:p w:rsidR="00AF2508" w:rsidRDefault="00AF2508">
      <w:pPr>
        <w:pStyle w:val="aDef"/>
        <w:rPr>
          <w:color w:val="000000"/>
        </w:rPr>
      </w:pPr>
      <w:r>
        <w:rPr>
          <w:b/>
          <w:i/>
          <w:color w:val="000000"/>
        </w:rPr>
        <w:t>work</w:t>
      </w:r>
      <w:r>
        <w:rPr>
          <w:color w:val="000000"/>
        </w:rPr>
        <w:t>, for part 9A (Explosive-powered tools—safety measures)—see section 118A.</w:t>
      </w:r>
    </w:p>
    <w:p w:rsidR="00AF2508" w:rsidRDefault="00AF2508">
      <w:pPr>
        <w:pStyle w:val="aDef"/>
      </w:pPr>
      <w:r>
        <w:rPr>
          <w:b/>
          <w:bCs/>
          <w:i/>
          <w:iCs/>
        </w:rPr>
        <w:t>working load</w:t>
      </w:r>
      <w:r>
        <w:t xml:space="preserve">—see </w:t>
      </w:r>
      <w:r>
        <w:rPr>
          <w:b/>
          <w:bCs/>
          <w:i/>
          <w:iCs/>
        </w:rPr>
        <w:t>safe working load</w:t>
      </w:r>
      <w:r>
        <w:t>.</w:t>
      </w:r>
    </w:p>
    <w:p w:rsidR="00AF2508" w:rsidRDefault="00AF2508">
      <w:pPr>
        <w:pStyle w:val="04Dictionary"/>
        <w:sectPr w:rsidR="00AF2508">
          <w:headerReference w:type="even" r:id="rId203"/>
          <w:headerReference w:type="default" r:id="rId204"/>
          <w:footerReference w:type="even" r:id="rId205"/>
          <w:footerReference w:type="default" r:id="rId206"/>
          <w:type w:val="continuous"/>
          <w:pgSz w:w="11907" w:h="16839" w:code="9"/>
          <w:pgMar w:top="3000" w:right="1900" w:bottom="2500" w:left="2300" w:header="2480" w:footer="2100" w:gutter="0"/>
          <w:cols w:space="720"/>
          <w:docGrid w:linePitch="254"/>
        </w:sectPr>
      </w:pPr>
    </w:p>
    <w:p w:rsidR="00AF2508" w:rsidRDefault="00AF2508">
      <w:pPr>
        <w:pStyle w:val="Endnote1"/>
      </w:pPr>
      <w:bookmarkStart w:id="336" w:name="_Toc161636967"/>
      <w:r>
        <w:t>Endnotes</w:t>
      </w:r>
      <w:bookmarkEnd w:id="336"/>
    </w:p>
    <w:p w:rsidR="00AF2508" w:rsidRDefault="00AF2508">
      <w:pPr>
        <w:pStyle w:val="Endnote2"/>
      </w:pPr>
      <w:bookmarkStart w:id="337" w:name="_Toc161636968"/>
      <w:r>
        <w:rPr>
          <w:rStyle w:val="charTableNo"/>
        </w:rPr>
        <w:t>1</w:t>
      </w:r>
      <w:r>
        <w:tab/>
      </w:r>
      <w:r>
        <w:rPr>
          <w:rStyle w:val="charTableText"/>
        </w:rPr>
        <w:t>About the endnotes</w:t>
      </w:r>
      <w:bookmarkEnd w:id="337"/>
    </w:p>
    <w:p w:rsidR="00AF2508" w:rsidRDefault="00AF2508">
      <w:pPr>
        <w:pStyle w:val="EndNoteTextPub"/>
      </w:pPr>
      <w:r>
        <w:t>Amending and modifying laws are annotated in the legislation history and the amendment history.  Current modifications are not included in the republished law but are set out in the endnotes.</w:t>
      </w:r>
    </w:p>
    <w:p w:rsidR="00AF2508" w:rsidRDefault="00AF2508">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F2508" w:rsidRDefault="00AF2508">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F2508" w:rsidRDefault="00AF2508">
      <w:pPr>
        <w:pStyle w:val="EndNoteTextPub"/>
      </w:pPr>
      <w:r>
        <w:t xml:space="preserve">If all the provisions of the law have been renumbered, a table of renumbered provisions gives details of previous and current numbering.  </w:t>
      </w:r>
    </w:p>
    <w:p w:rsidR="00AF2508" w:rsidRDefault="00AF2508">
      <w:pPr>
        <w:pStyle w:val="EndNoteTextPub"/>
      </w:pPr>
      <w:r>
        <w:t>The endnotes also include a table of earlier republications.</w:t>
      </w:r>
    </w:p>
    <w:p w:rsidR="00AF2508" w:rsidRDefault="00AF2508">
      <w:pPr>
        <w:pStyle w:val="Endnote2"/>
      </w:pPr>
      <w:bookmarkStart w:id="338" w:name="_Toc161636969"/>
      <w:r>
        <w:rPr>
          <w:rStyle w:val="charTableNo"/>
        </w:rPr>
        <w:t>2</w:t>
      </w:r>
      <w:r>
        <w:tab/>
      </w:r>
      <w:r>
        <w:rPr>
          <w:rStyle w:val="charTableText"/>
        </w:rPr>
        <w:t>Abbreviation key</w:t>
      </w:r>
      <w:bookmarkEnd w:id="338"/>
    </w:p>
    <w:p w:rsidR="00AF2508" w:rsidRDefault="00AF2508">
      <w:pPr>
        <w:rPr>
          <w:sz w:val="4"/>
        </w:rPr>
      </w:pPr>
    </w:p>
    <w:tbl>
      <w:tblPr>
        <w:tblW w:w="7056" w:type="dxa"/>
        <w:tblInd w:w="1100" w:type="dxa"/>
        <w:tblLayout w:type="fixed"/>
        <w:tblLook w:val="0000" w:firstRow="0" w:lastRow="0" w:firstColumn="0" w:lastColumn="0" w:noHBand="0" w:noVBand="0"/>
      </w:tblPr>
      <w:tblGrid>
        <w:gridCol w:w="3720"/>
        <w:gridCol w:w="3336"/>
      </w:tblGrid>
      <w:tr w:rsidR="00AF2508">
        <w:tc>
          <w:tcPr>
            <w:tcW w:w="3720" w:type="dxa"/>
          </w:tcPr>
          <w:p w:rsidR="00AF2508" w:rsidRDefault="00AF2508">
            <w:pPr>
              <w:pStyle w:val="EndnotesAbbrev"/>
            </w:pPr>
            <w:r>
              <w:t>am = amended</w:t>
            </w:r>
          </w:p>
        </w:tc>
        <w:tc>
          <w:tcPr>
            <w:tcW w:w="3336" w:type="dxa"/>
          </w:tcPr>
          <w:p w:rsidR="00AF2508" w:rsidRDefault="00AF2508">
            <w:pPr>
              <w:pStyle w:val="EndnotesAbbrev"/>
            </w:pPr>
            <w:r>
              <w:t>ord = ordinance</w:t>
            </w:r>
          </w:p>
        </w:tc>
      </w:tr>
      <w:tr w:rsidR="00AF2508">
        <w:tc>
          <w:tcPr>
            <w:tcW w:w="3720" w:type="dxa"/>
          </w:tcPr>
          <w:p w:rsidR="00AF2508" w:rsidRDefault="00AF2508">
            <w:pPr>
              <w:pStyle w:val="EndnotesAbbrev"/>
            </w:pPr>
            <w:r>
              <w:t>amdt = amendment</w:t>
            </w:r>
          </w:p>
        </w:tc>
        <w:tc>
          <w:tcPr>
            <w:tcW w:w="3336" w:type="dxa"/>
          </w:tcPr>
          <w:p w:rsidR="00AF2508" w:rsidRDefault="00AF2508">
            <w:pPr>
              <w:pStyle w:val="EndnotesAbbrev"/>
            </w:pPr>
            <w:r>
              <w:t>orig = original</w:t>
            </w:r>
          </w:p>
        </w:tc>
      </w:tr>
      <w:tr w:rsidR="00AF2508">
        <w:tc>
          <w:tcPr>
            <w:tcW w:w="3720" w:type="dxa"/>
          </w:tcPr>
          <w:p w:rsidR="00AF2508" w:rsidRDefault="00AF2508">
            <w:pPr>
              <w:pStyle w:val="EndnotesAbbrev"/>
            </w:pPr>
            <w:r>
              <w:t>ch = chapter</w:t>
            </w:r>
          </w:p>
        </w:tc>
        <w:tc>
          <w:tcPr>
            <w:tcW w:w="3336" w:type="dxa"/>
          </w:tcPr>
          <w:p w:rsidR="00AF2508" w:rsidRDefault="00AF2508">
            <w:pPr>
              <w:pStyle w:val="EndnotesAbbrev"/>
            </w:pPr>
            <w:r>
              <w:t>par = paragraph/subparagraph</w:t>
            </w:r>
          </w:p>
        </w:tc>
      </w:tr>
      <w:tr w:rsidR="00AF2508">
        <w:tc>
          <w:tcPr>
            <w:tcW w:w="3720" w:type="dxa"/>
          </w:tcPr>
          <w:p w:rsidR="00AF2508" w:rsidRDefault="00AF2508">
            <w:pPr>
              <w:pStyle w:val="EndnotesAbbrev"/>
            </w:pPr>
            <w:r>
              <w:t>def = definition</w:t>
            </w:r>
          </w:p>
        </w:tc>
        <w:tc>
          <w:tcPr>
            <w:tcW w:w="3336" w:type="dxa"/>
          </w:tcPr>
          <w:p w:rsidR="00AF2508" w:rsidRDefault="00AF2508">
            <w:pPr>
              <w:pStyle w:val="EndnotesAbbrev"/>
            </w:pPr>
            <w:r>
              <w:t>pres = present</w:t>
            </w:r>
          </w:p>
        </w:tc>
      </w:tr>
      <w:tr w:rsidR="00AF2508">
        <w:tc>
          <w:tcPr>
            <w:tcW w:w="3720" w:type="dxa"/>
          </w:tcPr>
          <w:p w:rsidR="00AF2508" w:rsidRDefault="00AF2508">
            <w:pPr>
              <w:pStyle w:val="EndnotesAbbrev"/>
            </w:pPr>
            <w:r>
              <w:t>dict = dictionary</w:t>
            </w:r>
          </w:p>
        </w:tc>
        <w:tc>
          <w:tcPr>
            <w:tcW w:w="3336" w:type="dxa"/>
          </w:tcPr>
          <w:p w:rsidR="00AF2508" w:rsidRDefault="00AF2508">
            <w:pPr>
              <w:pStyle w:val="EndnotesAbbrev"/>
            </w:pPr>
            <w:r>
              <w:t>prev = previous</w:t>
            </w:r>
          </w:p>
        </w:tc>
      </w:tr>
      <w:tr w:rsidR="00AF2508">
        <w:tc>
          <w:tcPr>
            <w:tcW w:w="3720" w:type="dxa"/>
          </w:tcPr>
          <w:p w:rsidR="00AF2508" w:rsidRDefault="00AF2508">
            <w:pPr>
              <w:pStyle w:val="EndnotesAbbrev"/>
            </w:pPr>
            <w:r>
              <w:t xml:space="preserve">disallowed = disallowed by the Legislative </w:t>
            </w:r>
          </w:p>
        </w:tc>
        <w:tc>
          <w:tcPr>
            <w:tcW w:w="3336" w:type="dxa"/>
          </w:tcPr>
          <w:p w:rsidR="00AF2508" w:rsidRDefault="00AF2508">
            <w:pPr>
              <w:pStyle w:val="EndnotesAbbrev"/>
            </w:pPr>
            <w:r>
              <w:t>(prev...) = previously</w:t>
            </w:r>
          </w:p>
        </w:tc>
      </w:tr>
      <w:tr w:rsidR="00AF2508">
        <w:tc>
          <w:tcPr>
            <w:tcW w:w="3720" w:type="dxa"/>
          </w:tcPr>
          <w:p w:rsidR="00AF2508" w:rsidRDefault="00AF2508">
            <w:pPr>
              <w:pStyle w:val="EndnotesAbbrev"/>
              <w:ind w:left="972"/>
            </w:pPr>
            <w:r>
              <w:t>Assembly</w:t>
            </w:r>
          </w:p>
        </w:tc>
        <w:tc>
          <w:tcPr>
            <w:tcW w:w="3336" w:type="dxa"/>
          </w:tcPr>
          <w:p w:rsidR="00AF2508" w:rsidRDefault="00AF2508">
            <w:pPr>
              <w:pStyle w:val="EndnotesAbbrev"/>
            </w:pPr>
            <w:r>
              <w:t>pt = part</w:t>
            </w:r>
          </w:p>
        </w:tc>
      </w:tr>
      <w:tr w:rsidR="00AF2508">
        <w:tc>
          <w:tcPr>
            <w:tcW w:w="3720" w:type="dxa"/>
          </w:tcPr>
          <w:p w:rsidR="00AF2508" w:rsidRDefault="00AF2508">
            <w:pPr>
              <w:pStyle w:val="EndnotesAbbrev"/>
            </w:pPr>
            <w:r>
              <w:t>div = division</w:t>
            </w:r>
          </w:p>
        </w:tc>
        <w:tc>
          <w:tcPr>
            <w:tcW w:w="3336" w:type="dxa"/>
          </w:tcPr>
          <w:p w:rsidR="00AF2508" w:rsidRDefault="00AF2508">
            <w:pPr>
              <w:pStyle w:val="EndnotesAbbrev"/>
            </w:pPr>
            <w:r>
              <w:t>r = rule/subrule</w:t>
            </w:r>
          </w:p>
        </w:tc>
      </w:tr>
      <w:tr w:rsidR="00AF2508">
        <w:tc>
          <w:tcPr>
            <w:tcW w:w="3720" w:type="dxa"/>
          </w:tcPr>
          <w:p w:rsidR="00AF2508" w:rsidRDefault="00AF2508">
            <w:pPr>
              <w:pStyle w:val="EndnotesAbbrev"/>
            </w:pPr>
            <w:r>
              <w:t>exp = expires/expired</w:t>
            </w:r>
          </w:p>
        </w:tc>
        <w:tc>
          <w:tcPr>
            <w:tcW w:w="3336" w:type="dxa"/>
          </w:tcPr>
          <w:p w:rsidR="00AF2508" w:rsidRDefault="00AF2508">
            <w:pPr>
              <w:pStyle w:val="EndnotesAbbrev"/>
            </w:pPr>
            <w:r>
              <w:t>renum = renumbered</w:t>
            </w:r>
          </w:p>
        </w:tc>
      </w:tr>
      <w:tr w:rsidR="00AF2508">
        <w:tc>
          <w:tcPr>
            <w:tcW w:w="3720" w:type="dxa"/>
          </w:tcPr>
          <w:p w:rsidR="00AF2508" w:rsidRDefault="00AF2508">
            <w:pPr>
              <w:pStyle w:val="EndnotesAbbrev"/>
            </w:pPr>
            <w:r>
              <w:t>Gaz = gazette</w:t>
            </w:r>
          </w:p>
        </w:tc>
        <w:tc>
          <w:tcPr>
            <w:tcW w:w="3336" w:type="dxa"/>
          </w:tcPr>
          <w:p w:rsidR="00AF2508" w:rsidRDefault="00AF2508">
            <w:pPr>
              <w:pStyle w:val="EndnotesAbbrev"/>
            </w:pPr>
            <w:r>
              <w:t>reloc = relocated</w:t>
            </w:r>
          </w:p>
        </w:tc>
      </w:tr>
      <w:tr w:rsidR="00AF2508">
        <w:tc>
          <w:tcPr>
            <w:tcW w:w="3720" w:type="dxa"/>
          </w:tcPr>
          <w:p w:rsidR="00AF2508" w:rsidRDefault="00AF2508">
            <w:pPr>
              <w:pStyle w:val="EndnotesAbbrev"/>
            </w:pPr>
            <w:r>
              <w:t>hdg = heading</w:t>
            </w:r>
          </w:p>
        </w:tc>
        <w:tc>
          <w:tcPr>
            <w:tcW w:w="3336" w:type="dxa"/>
          </w:tcPr>
          <w:p w:rsidR="00AF2508" w:rsidRDefault="00AF2508">
            <w:pPr>
              <w:pStyle w:val="EndnotesAbbrev"/>
            </w:pPr>
            <w:r>
              <w:t>R[X] = Republication No</w:t>
            </w:r>
          </w:p>
        </w:tc>
      </w:tr>
      <w:tr w:rsidR="00AF2508">
        <w:tc>
          <w:tcPr>
            <w:tcW w:w="3720" w:type="dxa"/>
          </w:tcPr>
          <w:p w:rsidR="00AF2508" w:rsidRDefault="00AF2508">
            <w:pPr>
              <w:pStyle w:val="EndnotesAbbrev"/>
            </w:pPr>
            <w:r>
              <w:t>IA = Interpretation Act 1967</w:t>
            </w:r>
          </w:p>
        </w:tc>
        <w:tc>
          <w:tcPr>
            <w:tcW w:w="3336" w:type="dxa"/>
          </w:tcPr>
          <w:p w:rsidR="00AF2508" w:rsidRDefault="00AF2508">
            <w:pPr>
              <w:pStyle w:val="EndnotesAbbrev"/>
            </w:pPr>
            <w:r>
              <w:t>RI = reissue</w:t>
            </w:r>
          </w:p>
        </w:tc>
      </w:tr>
      <w:tr w:rsidR="00AF2508">
        <w:tc>
          <w:tcPr>
            <w:tcW w:w="3720" w:type="dxa"/>
          </w:tcPr>
          <w:p w:rsidR="00AF2508" w:rsidRDefault="00AF2508">
            <w:pPr>
              <w:pStyle w:val="EndnotesAbbrev"/>
            </w:pPr>
            <w:r>
              <w:t>ins = inserted/added</w:t>
            </w:r>
          </w:p>
        </w:tc>
        <w:tc>
          <w:tcPr>
            <w:tcW w:w="3336" w:type="dxa"/>
          </w:tcPr>
          <w:p w:rsidR="00AF2508" w:rsidRDefault="00AF2508">
            <w:pPr>
              <w:pStyle w:val="EndnotesAbbrev"/>
            </w:pPr>
            <w:r>
              <w:t>s = section/subsection</w:t>
            </w:r>
          </w:p>
        </w:tc>
      </w:tr>
      <w:tr w:rsidR="00AF2508">
        <w:tc>
          <w:tcPr>
            <w:tcW w:w="3720" w:type="dxa"/>
          </w:tcPr>
          <w:p w:rsidR="00AF2508" w:rsidRDefault="00AF2508">
            <w:pPr>
              <w:pStyle w:val="EndnotesAbbrev"/>
            </w:pPr>
            <w:r>
              <w:t>LA = Legislation Act 2001</w:t>
            </w:r>
          </w:p>
        </w:tc>
        <w:tc>
          <w:tcPr>
            <w:tcW w:w="3336" w:type="dxa"/>
          </w:tcPr>
          <w:p w:rsidR="00AF2508" w:rsidRDefault="00AF2508">
            <w:pPr>
              <w:pStyle w:val="EndnotesAbbrev"/>
            </w:pPr>
            <w:r>
              <w:t>sch = schedule</w:t>
            </w:r>
          </w:p>
        </w:tc>
      </w:tr>
      <w:tr w:rsidR="00AF2508">
        <w:tc>
          <w:tcPr>
            <w:tcW w:w="3720" w:type="dxa"/>
          </w:tcPr>
          <w:p w:rsidR="00AF2508" w:rsidRDefault="00AF2508">
            <w:pPr>
              <w:pStyle w:val="EndnotesAbbrev"/>
            </w:pPr>
            <w:r>
              <w:t>LR = legislation register</w:t>
            </w:r>
          </w:p>
        </w:tc>
        <w:tc>
          <w:tcPr>
            <w:tcW w:w="3336" w:type="dxa"/>
          </w:tcPr>
          <w:p w:rsidR="00AF2508" w:rsidRDefault="00AF2508">
            <w:pPr>
              <w:pStyle w:val="EndnotesAbbrev"/>
            </w:pPr>
            <w:r>
              <w:t>sdiv = subdivision</w:t>
            </w:r>
          </w:p>
        </w:tc>
      </w:tr>
      <w:tr w:rsidR="00AF2508">
        <w:tc>
          <w:tcPr>
            <w:tcW w:w="3720" w:type="dxa"/>
          </w:tcPr>
          <w:p w:rsidR="00AF2508" w:rsidRDefault="00AF2508">
            <w:pPr>
              <w:pStyle w:val="EndnotesAbbrev"/>
            </w:pPr>
            <w:r>
              <w:t>LRA = Legislation (Republication) Act 1996</w:t>
            </w:r>
          </w:p>
        </w:tc>
        <w:tc>
          <w:tcPr>
            <w:tcW w:w="3336" w:type="dxa"/>
          </w:tcPr>
          <w:p w:rsidR="00AF2508" w:rsidRDefault="00AF2508">
            <w:pPr>
              <w:pStyle w:val="EndnotesAbbrev"/>
            </w:pPr>
            <w:r>
              <w:t>sub = substituted</w:t>
            </w:r>
          </w:p>
        </w:tc>
      </w:tr>
      <w:tr w:rsidR="00AF2508">
        <w:tc>
          <w:tcPr>
            <w:tcW w:w="3720" w:type="dxa"/>
          </w:tcPr>
          <w:p w:rsidR="00AF2508" w:rsidRDefault="00AF2508">
            <w:pPr>
              <w:pStyle w:val="EndnotesAbbrev"/>
            </w:pPr>
            <w:r>
              <w:t>mod = modified/modification</w:t>
            </w:r>
          </w:p>
        </w:tc>
        <w:tc>
          <w:tcPr>
            <w:tcW w:w="3336" w:type="dxa"/>
          </w:tcPr>
          <w:p w:rsidR="00AF2508" w:rsidRDefault="00AF2508">
            <w:pPr>
              <w:pStyle w:val="EndnotesAbbrev"/>
            </w:pPr>
            <w:r>
              <w:t>SL = Subordinate Law</w:t>
            </w:r>
          </w:p>
        </w:tc>
      </w:tr>
      <w:tr w:rsidR="00AF2508">
        <w:tc>
          <w:tcPr>
            <w:tcW w:w="3720" w:type="dxa"/>
          </w:tcPr>
          <w:p w:rsidR="00AF2508" w:rsidRDefault="00AF2508">
            <w:pPr>
              <w:pStyle w:val="EndnotesAbbrev"/>
            </w:pPr>
            <w:r>
              <w:t>o = order</w:t>
            </w:r>
          </w:p>
        </w:tc>
        <w:tc>
          <w:tcPr>
            <w:tcW w:w="3336" w:type="dxa"/>
          </w:tcPr>
          <w:p w:rsidR="00AF2508" w:rsidRDefault="00AF2508">
            <w:pPr>
              <w:pStyle w:val="EndnotesAbbrev"/>
            </w:pPr>
            <w:r>
              <w:rPr>
                <w:u w:val="single"/>
              </w:rPr>
              <w:t>underlining</w:t>
            </w:r>
            <w:r>
              <w:t xml:space="preserve"> = whole or part not commenced</w:t>
            </w:r>
          </w:p>
        </w:tc>
      </w:tr>
      <w:tr w:rsidR="00AF2508">
        <w:tc>
          <w:tcPr>
            <w:tcW w:w="3720" w:type="dxa"/>
          </w:tcPr>
          <w:p w:rsidR="00AF2508" w:rsidRDefault="00AF2508">
            <w:pPr>
              <w:pStyle w:val="EndnotesAbbrev"/>
            </w:pPr>
            <w:r>
              <w:t>om = omitted/repealed</w:t>
            </w:r>
          </w:p>
        </w:tc>
        <w:tc>
          <w:tcPr>
            <w:tcW w:w="3336" w:type="dxa"/>
          </w:tcPr>
          <w:p w:rsidR="00AF2508" w:rsidRDefault="00AF2508">
            <w:pPr>
              <w:pStyle w:val="EndnotesAbbrev"/>
              <w:ind w:left="972"/>
            </w:pPr>
            <w:r>
              <w:t>or to be expired</w:t>
            </w:r>
          </w:p>
        </w:tc>
      </w:tr>
    </w:tbl>
    <w:p w:rsidR="00AF2508" w:rsidRDefault="00AF2508">
      <w:pPr>
        <w:pStyle w:val="Endnote2"/>
      </w:pPr>
      <w:bookmarkStart w:id="339" w:name="_Toc161636970"/>
      <w:r>
        <w:rPr>
          <w:rStyle w:val="charTableNo"/>
        </w:rPr>
        <w:t>3</w:t>
      </w:r>
      <w:r>
        <w:tab/>
      </w:r>
      <w:r>
        <w:rPr>
          <w:rStyle w:val="charTableText"/>
        </w:rPr>
        <w:t>Legislation history</w:t>
      </w:r>
      <w:bookmarkEnd w:id="339"/>
    </w:p>
    <w:p w:rsidR="00AF2508" w:rsidRDefault="00AF2508">
      <w:pPr>
        <w:pStyle w:val="EndNoteTextEPS"/>
        <w:keepNext/>
      </w:pPr>
      <w:r>
        <w:t xml:space="preserve">This regulation was originally a NSW regulation—the </w:t>
      </w:r>
      <w:r>
        <w:rPr>
          <w:rStyle w:val="charItals"/>
        </w:rPr>
        <w:t>Regulations made under the Scaffolding and Lifts Act 1912</w:t>
      </w:r>
      <w:r>
        <w:rPr>
          <w:i/>
        </w:rPr>
        <w:t xml:space="preserve"> </w:t>
      </w:r>
      <w:r>
        <w:t>(NSW).</w:t>
      </w:r>
    </w:p>
    <w:p w:rsidR="00AF2508" w:rsidRDefault="00AF2508">
      <w:pPr>
        <w:pStyle w:val="EndNoteTextEPS"/>
      </w:pPr>
      <w:r>
        <w:t xml:space="preserve">The </w:t>
      </w:r>
      <w:r>
        <w:rPr>
          <w:i/>
        </w:rPr>
        <w:t>Scaffolding and Lifts Act 1912</w:t>
      </w:r>
      <w:r>
        <w:t xml:space="preserve"> (NSW) and this regulation were applied, in a modified form, as ACT laws by the </w:t>
      </w:r>
      <w:r>
        <w:rPr>
          <w:i/>
        </w:rPr>
        <w:t>Scaffolding and Lifts Act 1957</w:t>
      </w:r>
      <w:r>
        <w:t xml:space="preserve"> (now repealed).</w:t>
      </w:r>
    </w:p>
    <w:p w:rsidR="00AF2508" w:rsidRDefault="00AF2508">
      <w:pPr>
        <w:pStyle w:val="EndNoteTextEPS"/>
      </w:pPr>
      <w:r>
        <w:t xml:space="preserve">This regulation was renamed by the </w:t>
      </w:r>
      <w:r>
        <w:rPr>
          <w:i/>
        </w:rPr>
        <w:t>Scaffolding and Lifts Regulations Amendment</w:t>
      </w:r>
      <w:r>
        <w:t xml:space="preserve"> SL 1999 No 19 and later under the </w:t>
      </w:r>
      <w:r>
        <w:rPr>
          <w:i/>
          <w:iCs/>
        </w:rPr>
        <w:t>Legislation Act 2001</w:t>
      </w:r>
      <w:r>
        <w:t>.</w:t>
      </w:r>
    </w:p>
    <w:p w:rsidR="00AF2508" w:rsidRDefault="00AF2508">
      <w:pPr>
        <w:pStyle w:val="EndNoteTextEPS"/>
      </w:pPr>
      <w:r>
        <w:t xml:space="preserve">Under the </w:t>
      </w:r>
      <w:r>
        <w:rPr>
          <w:i/>
        </w:rPr>
        <w:t>Interpretation Act 1967</w:t>
      </w:r>
      <w:r>
        <w:t xml:space="preserve"> (repealed), s 65 all former NSW Acts in force in the ACT immediately before 10 November 1999 (including the </w:t>
      </w:r>
      <w:r>
        <w:rPr>
          <w:i/>
        </w:rPr>
        <w:t>Scaffolding and Lifts Act 1912</w:t>
      </w:r>
      <w:r>
        <w:t>) became, for all purposes, laws made by the ACT Legislative Assembly.</w:t>
      </w:r>
    </w:p>
    <w:p w:rsidR="00AF2508" w:rsidRDefault="00AF2508">
      <w:pPr>
        <w:pStyle w:val="EndNoteTextEPS"/>
      </w:pPr>
      <w:r>
        <w:t xml:space="preserve">Under the </w:t>
      </w:r>
      <w:r>
        <w:rPr>
          <w:i/>
        </w:rPr>
        <w:t>Scaffolding and Lifts Act 1912</w:t>
      </w:r>
      <w:r>
        <w:t xml:space="preserve">, s 28 (now expired) the </w:t>
      </w:r>
      <w:r>
        <w:rPr>
          <w:i/>
        </w:rPr>
        <w:t>Scaffolding and Lifts Regulation 1950</w:t>
      </w:r>
      <w:r>
        <w:t xml:space="preserve"> became, on 29 March 2001, for all purposes, a regulation made under that Act. This completed the process of making the regulation fully into an ACT law.</w:t>
      </w:r>
    </w:p>
    <w:p w:rsidR="00AF2508" w:rsidRDefault="00AF2508">
      <w:pPr>
        <w:pStyle w:val="EndNoteTextEPS"/>
      </w:pPr>
      <w:r>
        <w:t xml:space="preserve">Before 11 May 1989, regulations commenced on their notification day unless otherwise stated (see </w:t>
      </w:r>
      <w:r>
        <w:rPr>
          <w:rStyle w:val="charItals"/>
        </w:rPr>
        <w:t>Interpretation Act 1967</w:t>
      </w:r>
      <w:r>
        <w:t xml:space="preserve"> s 50).</w:t>
      </w:r>
    </w:p>
    <w:p w:rsidR="00AF2508" w:rsidRDefault="00AF2508">
      <w:pPr>
        <w:pStyle w:val="EndNoteTextEPS"/>
      </w:pPr>
      <w:r>
        <w:t xml:space="preserve">Before 11 May 1989, ordinances commenced on their notification day unless otherwise stated (see </w:t>
      </w:r>
      <w:r>
        <w:rPr>
          <w:rStyle w:val="charItals"/>
        </w:rPr>
        <w:t xml:space="preserve">Seat of Government (Administration) Act 1910 </w:t>
      </w:r>
      <w:r>
        <w:t>(Cwlth), s 12).</w:t>
      </w:r>
    </w:p>
    <w:p w:rsidR="00AF2508" w:rsidRDefault="00AF2508">
      <w:pPr>
        <w:pStyle w:val="Endnote3"/>
      </w:pPr>
      <w:r>
        <w:tab/>
        <w:t>NSW legislation</w:t>
      </w:r>
    </w:p>
    <w:p w:rsidR="00AF2508" w:rsidRDefault="00AF2508">
      <w:pPr>
        <w:pStyle w:val="NewReg"/>
      </w:pPr>
      <w:r>
        <w:t>Scaffolding and Lifts Regulation 1950</w:t>
      </w:r>
    </w:p>
    <w:p w:rsidR="00AF2508" w:rsidRDefault="00AF2508">
      <w:pPr>
        <w:pStyle w:val="Actdetails"/>
      </w:pPr>
      <w:r>
        <w:t>notified 25 May 1950 (NSW Gaz 1950 No 86)</w:t>
      </w:r>
    </w:p>
    <w:p w:rsidR="00AF2508" w:rsidRDefault="00AF2508">
      <w:pPr>
        <w:pStyle w:val="Actdetails"/>
      </w:pPr>
      <w:r>
        <w:t>commenced 1 June 1950 (s 1 (1))</w:t>
      </w:r>
    </w:p>
    <w:p w:rsidR="00AF2508" w:rsidRDefault="00AF2508">
      <w:pPr>
        <w:pStyle w:val="Asamby"/>
      </w:pPr>
      <w:r>
        <w:t>as amended by</w:t>
      </w:r>
    </w:p>
    <w:p w:rsidR="00AF2508" w:rsidRDefault="00AF2508">
      <w:pPr>
        <w:pStyle w:val="NewReg"/>
      </w:pPr>
      <w:r>
        <w:t>Amendments of regulations made under the Scaffolding and Lifts Act 1912</w:t>
      </w:r>
    </w:p>
    <w:p w:rsidR="00AF2508" w:rsidRDefault="00AF2508">
      <w:pPr>
        <w:pStyle w:val="Actdetails"/>
      </w:pPr>
      <w:r>
        <w:t>notified 1 September 1950 (NSW Gaz 1950 No 141)</w:t>
      </w:r>
    </w:p>
    <w:p w:rsidR="00AF2508" w:rsidRDefault="00AF2508">
      <w:pPr>
        <w:pStyle w:val="Actdetails"/>
      </w:pPr>
      <w:r>
        <w:t>commenced 1 September 1950</w:t>
      </w:r>
    </w:p>
    <w:p w:rsidR="00AF2508" w:rsidRDefault="00AF2508">
      <w:pPr>
        <w:pStyle w:val="NewReg"/>
      </w:pPr>
      <w:r>
        <w:t>Amendments of regulations made under the Scaffolding and Lifts Act 1912</w:t>
      </w:r>
    </w:p>
    <w:p w:rsidR="00AF2508" w:rsidRDefault="00AF2508">
      <w:pPr>
        <w:pStyle w:val="Actdetails"/>
      </w:pPr>
      <w:r>
        <w:t>notified 3 November 1950 (NSW Gaz 1950 No 168)</w:t>
      </w:r>
    </w:p>
    <w:p w:rsidR="00AF2508" w:rsidRDefault="00AF2508">
      <w:pPr>
        <w:pStyle w:val="Actdetails"/>
      </w:pPr>
      <w:r>
        <w:t>commenced 3 November 1950</w:t>
      </w:r>
    </w:p>
    <w:p w:rsidR="00AF2508" w:rsidRDefault="00AF2508">
      <w:pPr>
        <w:pStyle w:val="NewReg"/>
      </w:pPr>
      <w:r>
        <w:t>Amendments of regulations made under the Scaffolding and Lifts Act 1912</w:t>
      </w:r>
    </w:p>
    <w:p w:rsidR="00AF2508" w:rsidRDefault="00AF2508">
      <w:pPr>
        <w:pStyle w:val="Actdetails"/>
      </w:pPr>
      <w:r>
        <w:t>notified 6 March 1953 (NSW Gaz 1953 No 44)</w:t>
      </w:r>
    </w:p>
    <w:p w:rsidR="00AF2508" w:rsidRDefault="00AF2508">
      <w:pPr>
        <w:pStyle w:val="Actdetails"/>
      </w:pPr>
      <w:r>
        <w:t>commenced 6 March 1953</w:t>
      </w:r>
    </w:p>
    <w:p w:rsidR="00AF2508" w:rsidRDefault="00AF2508">
      <w:pPr>
        <w:pStyle w:val="NewReg"/>
      </w:pPr>
      <w:r>
        <w:t>Amendments of regulations made under the Scaffolding and Lifts Act 1912</w:t>
      </w:r>
    </w:p>
    <w:p w:rsidR="00AF2508" w:rsidRDefault="00AF2508">
      <w:pPr>
        <w:pStyle w:val="Actdetails"/>
      </w:pPr>
      <w:r>
        <w:t>notified 3 December 1954 (NSW Gaz 1954 No 197)</w:t>
      </w:r>
    </w:p>
    <w:p w:rsidR="00AF2508" w:rsidRDefault="00AF2508">
      <w:pPr>
        <w:pStyle w:val="Actdetails"/>
      </w:pPr>
      <w:r>
        <w:t>commenced 3 December 1954</w:t>
      </w:r>
    </w:p>
    <w:p w:rsidR="00AF2508" w:rsidRDefault="00AF2508">
      <w:pPr>
        <w:pStyle w:val="NewReg"/>
      </w:pPr>
      <w:r>
        <w:t>Amendments of regulations made under the Scaffolding and Lifts Act 1912</w:t>
      </w:r>
    </w:p>
    <w:p w:rsidR="00AF2508" w:rsidRDefault="00AF2508">
      <w:pPr>
        <w:pStyle w:val="Actdetails"/>
      </w:pPr>
      <w:r>
        <w:t>notified 5 August 1955 (NSW Gaz 1955 No 76)</w:t>
      </w:r>
    </w:p>
    <w:p w:rsidR="00AF2508" w:rsidRDefault="00AF2508">
      <w:pPr>
        <w:pStyle w:val="Actdetails"/>
      </w:pPr>
      <w:r>
        <w:t>commenced 5 August 1955</w:t>
      </w:r>
    </w:p>
    <w:p w:rsidR="00AF2508" w:rsidRDefault="00AF2508">
      <w:pPr>
        <w:pStyle w:val="NewReg"/>
      </w:pPr>
      <w:r>
        <w:t>Amendments of regulations made under the Scaffolding and Lifts Act 1912</w:t>
      </w:r>
    </w:p>
    <w:p w:rsidR="00AF2508" w:rsidRDefault="00AF2508">
      <w:pPr>
        <w:pStyle w:val="Actdetails"/>
      </w:pPr>
      <w:r>
        <w:t>notified 9 March 1956 (NSW Gaz 1956 No 24)</w:t>
      </w:r>
    </w:p>
    <w:p w:rsidR="00AF2508" w:rsidRDefault="00AF2508">
      <w:pPr>
        <w:pStyle w:val="Actdetails"/>
      </w:pPr>
      <w:r>
        <w:t>commenced 9 March 1956</w:t>
      </w:r>
    </w:p>
    <w:p w:rsidR="00AF2508" w:rsidRDefault="00AF2508">
      <w:pPr>
        <w:pStyle w:val="NewReg"/>
      </w:pPr>
      <w:r>
        <w:t>Amendments of regulations made under the Scaffolding and Lifts Act 1912</w:t>
      </w:r>
    </w:p>
    <w:p w:rsidR="00AF2508" w:rsidRDefault="00AF2508">
      <w:pPr>
        <w:pStyle w:val="Actdetails"/>
      </w:pPr>
      <w:r>
        <w:t>notified 22 June 1956 (NSW Gaz 1956 No 69)</w:t>
      </w:r>
    </w:p>
    <w:p w:rsidR="00AF2508" w:rsidRDefault="00AF2508">
      <w:pPr>
        <w:pStyle w:val="Actdetails"/>
      </w:pPr>
      <w:r>
        <w:t>commenced 22 June 1956</w:t>
      </w:r>
    </w:p>
    <w:p w:rsidR="00AF2508" w:rsidRDefault="00AF2508">
      <w:pPr>
        <w:pStyle w:val="NewReg"/>
      </w:pPr>
      <w:r>
        <w:t>Amendments of regulations made under the Scaffolding and Lifts Act 1912</w:t>
      </w:r>
    </w:p>
    <w:p w:rsidR="00AF2508" w:rsidRDefault="00AF2508">
      <w:pPr>
        <w:pStyle w:val="Actdetails"/>
      </w:pPr>
      <w:r>
        <w:t>notified 19 October 1956 (NSW Gaz 1956 No 113)</w:t>
      </w:r>
    </w:p>
    <w:p w:rsidR="00AF2508" w:rsidRDefault="00AF2508">
      <w:pPr>
        <w:pStyle w:val="Actdetails"/>
      </w:pPr>
      <w:r>
        <w:t>commenced 19 October 1956</w:t>
      </w:r>
    </w:p>
    <w:p w:rsidR="00AF2508" w:rsidRDefault="00AF2508">
      <w:pPr>
        <w:pStyle w:val="NewReg"/>
      </w:pPr>
      <w:r>
        <w:t>Amendments of regulations made under the Scaffolding and Lifts Act 1912</w:t>
      </w:r>
    </w:p>
    <w:p w:rsidR="00AF2508" w:rsidRDefault="00AF2508">
      <w:pPr>
        <w:pStyle w:val="Actdetails"/>
      </w:pPr>
      <w:r>
        <w:t>notified 1 March 1957 (NSW Gaz 1957 No 29)</w:t>
      </w:r>
    </w:p>
    <w:p w:rsidR="00AF2508" w:rsidRDefault="00AF2508">
      <w:pPr>
        <w:pStyle w:val="Actdetails"/>
      </w:pPr>
      <w:r>
        <w:t>commenced 1 March 1957</w:t>
      </w:r>
    </w:p>
    <w:p w:rsidR="00AF2508" w:rsidRDefault="00AF2508">
      <w:pPr>
        <w:pStyle w:val="Endnote3"/>
      </w:pPr>
      <w:r>
        <w:tab/>
        <w:t>Commonwealth legislation</w:t>
      </w:r>
    </w:p>
    <w:p w:rsidR="00AF2508" w:rsidRDefault="00AF2508">
      <w:pPr>
        <w:pStyle w:val="NewAct"/>
      </w:pPr>
      <w:r>
        <w:t>Scaffolding and Lifts Act 1957 No 8 sch pt 2 (as am by ord 1968 No 5; ord 1974 No 26; ord 1976 No 7; ord 1977 No 28; ord 1981 No 15; ord 1982 No 15; ord 1982 No 68; ord 1983 No 34)</w:t>
      </w:r>
    </w:p>
    <w:p w:rsidR="00AF2508" w:rsidRDefault="00AF2508">
      <w:pPr>
        <w:pStyle w:val="Actdetails"/>
      </w:pPr>
      <w:r>
        <w:t>notified 19 September 1957 (Cwlth Gaz 1957 No 51)</w:t>
      </w:r>
    </w:p>
    <w:p w:rsidR="00AF2508" w:rsidRDefault="00AF2508">
      <w:pPr>
        <w:pStyle w:val="Actdetails"/>
      </w:pPr>
      <w:r>
        <w:t>commenced 19 September 1957</w:t>
      </w:r>
    </w:p>
    <w:p w:rsidR="00AF2508" w:rsidRDefault="00AF2508">
      <w:pPr>
        <w:pStyle w:val="NewReg"/>
      </w:pPr>
      <w:r>
        <w:t>Scaffolding and Lifts Ordinance 1968 No 5</w:t>
      </w:r>
    </w:p>
    <w:p w:rsidR="00AF2508" w:rsidRDefault="00AF2508">
      <w:pPr>
        <w:pStyle w:val="Actdetails"/>
      </w:pPr>
      <w:r>
        <w:t>notified 21 March 1968 (Cwlth Gaz 1968 No 26)</w:t>
      </w:r>
    </w:p>
    <w:p w:rsidR="00AF2508" w:rsidRDefault="00AF2508">
      <w:pPr>
        <w:pStyle w:val="Actdetails"/>
      </w:pPr>
      <w:r>
        <w:t>commenced 21 March 1968</w:t>
      </w:r>
    </w:p>
    <w:p w:rsidR="00AF2508" w:rsidRDefault="00AF2508">
      <w:pPr>
        <w:pStyle w:val="LegHistNote"/>
      </w:pPr>
      <w:r>
        <w:rPr>
          <w:rStyle w:val="charItals"/>
        </w:rPr>
        <w:t>Note</w:t>
      </w:r>
      <w:r>
        <w:tab/>
        <w:t>This ordinance only amends the Scaffolding and Lifts Act 1957 No 8.</w:t>
      </w:r>
    </w:p>
    <w:p w:rsidR="00AF2508" w:rsidRDefault="00AF2508">
      <w:pPr>
        <w:pStyle w:val="NewReg"/>
      </w:pPr>
      <w:r>
        <w:t>Scaffolding and Lifts Ordinance 1974 No 26</w:t>
      </w:r>
    </w:p>
    <w:p w:rsidR="00AF2508" w:rsidRDefault="00AF2508">
      <w:pPr>
        <w:pStyle w:val="Actdetails"/>
      </w:pPr>
      <w:r>
        <w:t>notified 30 July 1974 (Cwlth Gaz 1974 No 62)</w:t>
      </w:r>
    </w:p>
    <w:p w:rsidR="00AF2508" w:rsidRDefault="00AF2508">
      <w:pPr>
        <w:pStyle w:val="Actdetails"/>
      </w:pPr>
      <w:r>
        <w:t>commenced 30 July 1974</w:t>
      </w:r>
    </w:p>
    <w:p w:rsidR="00AF2508" w:rsidRDefault="00AF2508">
      <w:pPr>
        <w:pStyle w:val="LegHistNote"/>
      </w:pPr>
      <w:r>
        <w:rPr>
          <w:rStyle w:val="charItals"/>
        </w:rPr>
        <w:t>Note</w:t>
      </w:r>
      <w:r>
        <w:tab/>
        <w:t>This ordinance only amends the Scaffolding and Lifts Act 1957 No 8.</w:t>
      </w:r>
    </w:p>
    <w:p w:rsidR="00AF2508" w:rsidRDefault="00AF2508">
      <w:pPr>
        <w:pStyle w:val="NewAct"/>
      </w:pPr>
      <w:r>
        <w:t>Scaffolding and Lifts Ordinance 1976 No 7</w:t>
      </w:r>
    </w:p>
    <w:p w:rsidR="00AF2508" w:rsidRDefault="00AF2508">
      <w:pPr>
        <w:pStyle w:val="Actdetails"/>
      </w:pPr>
      <w:r>
        <w:t>notified 24 February 1976 (Cwlth Gaz 1976 No S38)</w:t>
      </w:r>
    </w:p>
    <w:p w:rsidR="00AF2508" w:rsidRDefault="00AF2508">
      <w:pPr>
        <w:pStyle w:val="Actdetails"/>
      </w:pPr>
      <w:r>
        <w:t>commenced 24 February 1976</w:t>
      </w:r>
    </w:p>
    <w:p w:rsidR="00AF2508" w:rsidRDefault="00AF2508">
      <w:pPr>
        <w:pStyle w:val="LegHistNote"/>
      </w:pPr>
      <w:r>
        <w:rPr>
          <w:rStyle w:val="charItals"/>
        </w:rPr>
        <w:t>Note</w:t>
      </w:r>
      <w:r>
        <w:tab/>
        <w:t>This ordinance only amends the Scaffolding and Lifts Act 1957 No 8.</w:t>
      </w:r>
    </w:p>
    <w:p w:rsidR="00AF2508" w:rsidRDefault="00AF2508">
      <w:pPr>
        <w:pStyle w:val="NewReg"/>
      </w:pPr>
      <w:r>
        <w:t>Scaffolding and Lifts (Amendment) Ordinance 1977 No 28</w:t>
      </w:r>
    </w:p>
    <w:p w:rsidR="00AF2508" w:rsidRDefault="00AF2508">
      <w:pPr>
        <w:pStyle w:val="Actdetails"/>
      </w:pPr>
      <w:r>
        <w:t>notified 1 July 1977 (Cwlth Gaz 1977 No S124)</w:t>
      </w:r>
    </w:p>
    <w:p w:rsidR="00AF2508" w:rsidRDefault="00AF2508">
      <w:pPr>
        <w:pStyle w:val="Actdetails"/>
      </w:pPr>
      <w:r>
        <w:t>commenced 1 July 1977</w:t>
      </w:r>
    </w:p>
    <w:p w:rsidR="00AF2508" w:rsidRDefault="00AF2508">
      <w:pPr>
        <w:pStyle w:val="LegHistNote"/>
      </w:pPr>
      <w:r>
        <w:rPr>
          <w:rStyle w:val="charItals"/>
        </w:rPr>
        <w:t>Note</w:t>
      </w:r>
      <w:r>
        <w:tab/>
        <w:t>This ordinance only amends the Scaffolding and Lifts Act 1957 No 8.</w:t>
      </w:r>
    </w:p>
    <w:p w:rsidR="00AF2508" w:rsidRDefault="00AF2508">
      <w:pPr>
        <w:pStyle w:val="NewAct"/>
      </w:pPr>
      <w:r>
        <w:t>Scaffolding and Lifts (Amendment) Ordinance 1981 No 15</w:t>
      </w:r>
    </w:p>
    <w:p w:rsidR="00AF2508" w:rsidRDefault="00AF2508">
      <w:pPr>
        <w:pStyle w:val="Actdetails"/>
      </w:pPr>
      <w:r>
        <w:t>notified 30 June 1981 (Cwlth Gaz 1981 No S128)</w:t>
      </w:r>
    </w:p>
    <w:p w:rsidR="00AF2508" w:rsidRDefault="00AF2508">
      <w:pPr>
        <w:pStyle w:val="Actdetails"/>
      </w:pPr>
      <w:r>
        <w:t>commenced 30 June 1981</w:t>
      </w:r>
    </w:p>
    <w:p w:rsidR="00AF2508" w:rsidRDefault="00AF2508">
      <w:pPr>
        <w:pStyle w:val="LegHistNote"/>
      </w:pPr>
      <w:r>
        <w:rPr>
          <w:rStyle w:val="charItals"/>
        </w:rPr>
        <w:t>Note</w:t>
      </w:r>
      <w:r>
        <w:tab/>
        <w:t>This ordinance only amends the Scaffolding and Lifts Act 1957 No 8.</w:t>
      </w:r>
    </w:p>
    <w:p w:rsidR="00AF2508" w:rsidRDefault="00AF2508">
      <w:pPr>
        <w:pStyle w:val="NewAct"/>
      </w:pPr>
      <w:r>
        <w:t>Scaffolding and Lifts (Amendment) Ordinance 1982 No 15</w:t>
      </w:r>
    </w:p>
    <w:p w:rsidR="00AF2508" w:rsidRDefault="00AF2508">
      <w:pPr>
        <w:pStyle w:val="Actdetails"/>
      </w:pPr>
      <w:r>
        <w:t>notified 7 May 1982 (Cwlth Gaz 1982 No S93)</w:t>
      </w:r>
    </w:p>
    <w:p w:rsidR="00AF2508" w:rsidRDefault="00AF2508">
      <w:pPr>
        <w:pStyle w:val="Actdetails"/>
      </w:pPr>
      <w:r>
        <w:t>commenced 7 May 1982</w:t>
      </w:r>
    </w:p>
    <w:p w:rsidR="00AF2508" w:rsidRDefault="00AF2508">
      <w:pPr>
        <w:pStyle w:val="LegHistNote"/>
      </w:pPr>
      <w:r>
        <w:rPr>
          <w:rStyle w:val="charItals"/>
        </w:rPr>
        <w:t>Note</w:t>
      </w:r>
      <w:r>
        <w:tab/>
        <w:t>This ordinance only amends the Scaffolding and Lifts Act 1957 No 8.</w:t>
      </w:r>
    </w:p>
    <w:p w:rsidR="00AF2508" w:rsidRDefault="00AF2508">
      <w:pPr>
        <w:pStyle w:val="NewReg"/>
      </w:pPr>
      <w:r>
        <w:t>Scaffolding and Lifts (Amendment) Ordinance (No 2) 1982 No 68</w:t>
      </w:r>
    </w:p>
    <w:p w:rsidR="00AF2508" w:rsidRDefault="00AF2508">
      <w:pPr>
        <w:pStyle w:val="Actdetails"/>
      </w:pPr>
      <w:r>
        <w:t>notified 18 August 1982 (Cwlth Gaz 1982 No S174)</w:t>
      </w:r>
    </w:p>
    <w:p w:rsidR="00AF2508" w:rsidRDefault="00AF2508">
      <w:pPr>
        <w:pStyle w:val="Actdetails"/>
      </w:pPr>
      <w:r>
        <w:t>commenced 18 August 1982</w:t>
      </w:r>
    </w:p>
    <w:p w:rsidR="00AF2508" w:rsidRDefault="00AF2508">
      <w:pPr>
        <w:pStyle w:val="LegHistNote"/>
      </w:pPr>
      <w:r>
        <w:rPr>
          <w:rStyle w:val="charItals"/>
        </w:rPr>
        <w:t>Note</w:t>
      </w:r>
      <w:r>
        <w:tab/>
        <w:t>This ordinance only amends the Scaffolding and Lifts Act 1957 No 8.</w:t>
      </w:r>
    </w:p>
    <w:p w:rsidR="00AF2508" w:rsidRDefault="00AF2508">
      <w:pPr>
        <w:pStyle w:val="NewAct"/>
      </w:pPr>
      <w:r>
        <w:t>Scaffolding and Lifts (Amendment) Ordinance 1983 No 34</w:t>
      </w:r>
    </w:p>
    <w:p w:rsidR="00AF2508" w:rsidRDefault="00AF2508">
      <w:pPr>
        <w:pStyle w:val="Actdetails"/>
      </w:pPr>
      <w:r>
        <w:t>notified 29 September 1983 (Cwlth Gaz 1983 No S226)</w:t>
      </w:r>
    </w:p>
    <w:p w:rsidR="00AF2508" w:rsidRDefault="00AF2508">
      <w:pPr>
        <w:pStyle w:val="Actdetails"/>
      </w:pPr>
      <w:r>
        <w:t>commenced 1 October 1983 (s 2)</w:t>
      </w:r>
    </w:p>
    <w:p w:rsidR="00AF2508" w:rsidRDefault="00AF2508">
      <w:pPr>
        <w:pStyle w:val="LegHistNote"/>
      </w:pPr>
      <w:r>
        <w:rPr>
          <w:rStyle w:val="charItals"/>
        </w:rPr>
        <w:t>Note</w:t>
      </w:r>
      <w:r>
        <w:tab/>
        <w:t>This ordinance only amends the Scaffolding and Lifts Act 1957 No 8.</w:t>
      </w:r>
    </w:p>
    <w:p w:rsidR="00AF2508" w:rsidRDefault="00AF2508">
      <w:pPr>
        <w:pStyle w:val="NewAct"/>
      </w:pPr>
      <w:r>
        <w:t>Regulations under the Scaffolding and Lifts Act 1912 (NSW) in their application to the Territory (Amendment) SL 1986 No 9</w:t>
      </w:r>
    </w:p>
    <w:p w:rsidR="00AF2508" w:rsidRDefault="00AF2508">
      <w:pPr>
        <w:pStyle w:val="Actdetails"/>
      </w:pPr>
      <w:r>
        <w:t>notified 31 July 1986 (Cwlth Gaz 1986 No S375)</w:t>
      </w:r>
    </w:p>
    <w:p w:rsidR="00AF2508" w:rsidRDefault="00AF2508">
      <w:pPr>
        <w:pStyle w:val="Actdetails"/>
      </w:pPr>
      <w:r>
        <w:t>commenced 31 July 1986</w:t>
      </w:r>
    </w:p>
    <w:p w:rsidR="00AF2508" w:rsidRDefault="00AF2508">
      <w:pPr>
        <w:pStyle w:val="NewAct"/>
      </w:pPr>
      <w:r>
        <w:t>Self-Government (Consequential Amendments) Ordinance 1989 No 38 sch 2</w:t>
      </w:r>
    </w:p>
    <w:p w:rsidR="00AF2508" w:rsidRDefault="00AF2508">
      <w:pPr>
        <w:pStyle w:val="Actdetails"/>
      </w:pPr>
      <w:r>
        <w:t>notified 10 May 1989 (Cwlth Gaz 1989 No S160)</w:t>
      </w:r>
    </w:p>
    <w:p w:rsidR="00AF2508" w:rsidRDefault="00AF2508">
      <w:pPr>
        <w:pStyle w:val="Actdetails"/>
      </w:pPr>
      <w:r>
        <w:t>s 1, s 2 commenced 10 May 1989 (s 2 (1))</w:t>
      </w:r>
    </w:p>
    <w:p w:rsidR="00AF2508" w:rsidRDefault="00AF2508">
      <w:pPr>
        <w:pStyle w:val="Actdetails"/>
      </w:pPr>
      <w:r>
        <w:t xml:space="preserve">sch 2 commenced 11 May 1989 (s 2 (2) and see Cwlth </w:t>
      </w:r>
      <w:r>
        <w:rPr>
          <w:rStyle w:val="charItals"/>
          <w:i w:val="0"/>
        </w:rPr>
        <w:t>Gaz</w:t>
      </w:r>
      <w:r>
        <w:t xml:space="preserve"> 1989 No S164)</w:t>
      </w:r>
    </w:p>
    <w:p w:rsidR="00AF2508" w:rsidRDefault="00AF2508">
      <w:pPr>
        <w:pStyle w:val="Endnote3"/>
        <w:rPr>
          <w:color w:val="auto"/>
        </w:rPr>
      </w:pPr>
      <w:r>
        <w:rPr>
          <w:color w:val="auto"/>
        </w:rPr>
        <w:tab/>
        <w:t>Legislation after becoming Territory enactment</w:t>
      </w:r>
    </w:p>
    <w:p w:rsidR="00AF2508" w:rsidRDefault="00AF2508">
      <w:pPr>
        <w:pStyle w:val="NewReg"/>
      </w:pPr>
      <w:r>
        <w:t>Scaffolding and Lifts Regulations Amendment SL 1999 No 19</w:t>
      </w:r>
    </w:p>
    <w:p w:rsidR="00AF2508" w:rsidRDefault="00AF2508">
      <w:pPr>
        <w:pStyle w:val="Actdetails"/>
      </w:pPr>
      <w:r>
        <w:t>notified 30 September 1999 (Gaz 1999 No S57)</w:t>
      </w:r>
    </w:p>
    <w:p w:rsidR="00AF2508" w:rsidRDefault="00AF2508">
      <w:pPr>
        <w:pStyle w:val="Actdetails"/>
      </w:pPr>
      <w:r>
        <w:t>commenced 30 September 1999 (s 1)</w:t>
      </w:r>
    </w:p>
    <w:p w:rsidR="00AF2508" w:rsidRDefault="00AF2508">
      <w:pPr>
        <w:pStyle w:val="NewReg"/>
      </w:pPr>
      <w:r>
        <w:t>Occupational Health and Safety Legislation Regulations Amendment SL 2000 No 47 pt 3</w:t>
      </w:r>
    </w:p>
    <w:p w:rsidR="00AF2508" w:rsidRDefault="00AF2508">
      <w:pPr>
        <w:pStyle w:val="Actdetails"/>
      </w:pPr>
      <w:r>
        <w:t>notified 30 November 2000 (Gaz 2000 No 48)</w:t>
      </w:r>
    </w:p>
    <w:p w:rsidR="00AF2508" w:rsidRDefault="00AF2508">
      <w:pPr>
        <w:pStyle w:val="Actdetails"/>
      </w:pPr>
      <w:r>
        <w:t>commenced 30 November 2000 (s 1)</w:t>
      </w:r>
    </w:p>
    <w:p w:rsidR="00AF2508" w:rsidRDefault="00AF2508">
      <w:pPr>
        <w:pStyle w:val="NewAct"/>
      </w:pPr>
      <w:r>
        <w:t>Statute Law Amendment Act 2001 No 11 sch 3</w:t>
      </w:r>
    </w:p>
    <w:p w:rsidR="00AF2508" w:rsidRDefault="00AF2508">
      <w:pPr>
        <w:pStyle w:val="Actdetails"/>
      </w:pPr>
      <w:r>
        <w:t>notified 29 March 2001 (Gaz 2001 No 13)</w:t>
      </w:r>
    </w:p>
    <w:p w:rsidR="00AF2508" w:rsidRDefault="00AF2508">
      <w:pPr>
        <w:pStyle w:val="Actdetails"/>
      </w:pPr>
      <w:r>
        <w:t>commenced 29 March 2001 (s 2)</w:t>
      </w:r>
    </w:p>
    <w:p w:rsidR="00AF2508" w:rsidRDefault="00AF2508">
      <w:pPr>
        <w:pStyle w:val="NewAct"/>
      </w:pPr>
      <w:r>
        <w:t>Legislation (Consequential Amendments) Act 2001 No 44 pt 359</w:t>
      </w:r>
    </w:p>
    <w:p w:rsidR="00AF2508" w:rsidRDefault="00AF2508">
      <w:pPr>
        <w:pStyle w:val="Actdetails"/>
      </w:pPr>
      <w:r>
        <w:t>notified 26 July 2001 (Gaz 2001 No 30)</w:t>
      </w:r>
    </w:p>
    <w:p w:rsidR="00AF2508" w:rsidRDefault="00AF2508">
      <w:pPr>
        <w:pStyle w:val="Actdetails"/>
        <w:rPr>
          <w:rStyle w:val="charUnderline"/>
        </w:rPr>
      </w:pPr>
      <w:r>
        <w:t>s 1, s 2 commenced 26 July 2001 (IA s 10B)</w:t>
      </w:r>
    </w:p>
    <w:p w:rsidR="00AF2508" w:rsidRDefault="00AF2508">
      <w:pPr>
        <w:pStyle w:val="Actdetails"/>
      </w:pPr>
      <w:r>
        <w:t>pt 359 commenced 12 September 2001 (s 2 and see Gaz 2001 No S65)</w:t>
      </w:r>
    </w:p>
    <w:p w:rsidR="00AF2508" w:rsidRDefault="00AF2508">
      <w:pPr>
        <w:pStyle w:val="NewAct"/>
      </w:pPr>
      <w:r>
        <w:t>Statute Law Amendment Act 2007 A2007-3 sch 3 pt 3.92</w:t>
      </w:r>
    </w:p>
    <w:p w:rsidR="00AF2508" w:rsidRDefault="00AF2508">
      <w:pPr>
        <w:pStyle w:val="Actdetails"/>
        <w:keepNext/>
      </w:pPr>
      <w:r>
        <w:t>notified LR 22 March 2007</w:t>
      </w:r>
    </w:p>
    <w:p w:rsidR="00AF2508" w:rsidRDefault="00AF2508">
      <w:pPr>
        <w:pStyle w:val="Actdetails"/>
        <w:keepNext/>
      </w:pPr>
      <w:r>
        <w:t>s 1, s 2 taken to have commenced 1 July 2006 (LA s 75 (2))</w:t>
      </w:r>
    </w:p>
    <w:p w:rsidR="00AF2508" w:rsidRDefault="00AF2508">
      <w:pPr>
        <w:pStyle w:val="Actdetails"/>
        <w:keepNext/>
      </w:pPr>
      <w:r>
        <w:t>sch 3 pt 3.92 commenced 12 April 2007 (s 2 (1))</w:t>
      </w:r>
    </w:p>
    <w:p w:rsidR="00AF2508" w:rsidRDefault="00AF2508">
      <w:pPr>
        <w:pStyle w:val="Endnote2"/>
      </w:pPr>
      <w:bookmarkStart w:id="340" w:name="_Toc161636971"/>
      <w:r>
        <w:rPr>
          <w:rStyle w:val="charTableNo"/>
        </w:rPr>
        <w:t>4</w:t>
      </w:r>
      <w:r>
        <w:tab/>
      </w:r>
      <w:r>
        <w:rPr>
          <w:rStyle w:val="charTableText"/>
        </w:rPr>
        <w:t>Amendment history</w:t>
      </w:r>
      <w:bookmarkEnd w:id="340"/>
    </w:p>
    <w:p w:rsidR="00AF2508" w:rsidRDefault="00AF2508">
      <w:pPr>
        <w:pStyle w:val="AmdtsEntryHd"/>
      </w:pPr>
      <w:r>
        <w:t>Name of regulation</w:t>
      </w:r>
    </w:p>
    <w:p w:rsidR="00AF2508" w:rsidRDefault="00AF2508">
      <w:pPr>
        <w:pStyle w:val="AmdtsEntries"/>
        <w:keepNext/>
      </w:pPr>
      <w:r>
        <w:t>s 1</w:t>
      </w:r>
      <w:r>
        <w:tab/>
        <w:t>am regs gazetted 9 March 1956; regs gazetted 22 June 1956</w:t>
      </w:r>
    </w:p>
    <w:p w:rsidR="00AF2508" w:rsidRDefault="00AF2508">
      <w:pPr>
        <w:pStyle w:val="AmdtsEntries"/>
      </w:pPr>
      <w:r>
        <w:tab/>
        <w:t>om Act 1957 No 8 sch pt 2 (as am ord 1977 No 28 s 5)</w:t>
      </w:r>
    </w:p>
    <w:p w:rsidR="00AF2508" w:rsidRDefault="00AF2508">
      <w:pPr>
        <w:pStyle w:val="AmdtsEntries"/>
      </w:pPr>
      <w:r>
        <w:tab/>
        <w:t>ins 1999 No 19 sch</w:t>
      </w:r>
    </w:p>
    <w:p w:rsidR="00AF2508" w:rsidRDefault="00AF2508">
      <w:pPr>
        <w:pStyle w:val="AmdtsEntries"/>
      </w:pPr>
      <w:r>
        <w:tab/>
        <w:t>am R2 LA</w:t>
      </w:r>
    </w:p>
    <w:p w:rsidR="00AF2508" w:rsidRDefault="00AF2508">
      <w:pPr>
        <w:pStyle w:val="AmdtsEntryHd"/>
      </w:pPr>
      <w:r>
        <w:t>Dictionary</w:t>
      </w:r>
    </w:p>
    <w:p w:rsidR="00AF2508" w:rsidRDefault="00AF2508">
      <w:pPr>
        <w:pStyle w:val="AmdtsEntries"/>
      </w:pPr>
      <w:r>
        <w:t>s 2</w:t>
      </w:r>
      <w:r>
        <w:tab/>
        <w:t>om Act 1957 No 8 sch pt 2 (as am ord 1977 No 28 s 4)</w:t>
      </w:r>
    </w:p>
    <w:p w:rsidR="00AF2508" w:rsidRDefault="00AF2508">
      <w:pPr>
        <w:pStyle w:val="AmdtsEntries"/>
      </w:pPr>
      <w:r>
        <w:tab/>
        <w:t>ins A2007-3 amdt 3.471</w:t>
      </w:r>
    </w:p>
    <w:p w:rsidR="00AF2508" w:rsidRDefault="00AF2508">
      <w:pPr>
        <w:pStyle w:val="AmdtsEntryHd"/>
      </w:pPr>
      <w:r>
        <w:t>Notes</w:t>
      </w:r>
    </w:p>
    <w:p w:rsidR="00AF2508" w:rsidRDefault="00AF2508">
      <w:pPr>
        <w:pStyle w:val="AmdtsEntries"/>
      </w:pPr>
      <w:r>
        <w:t>s 3</w:t>
      </w:r>
      <w:r>
        <w:tab/>
        <w:t>defs reloc to dict A2007-3 amdt 3.470</w:t>
      </w:r>
    </w:p>
    <w:p w:rsidR="00AF2508" w:rsidRDefault="00AF2508">
      <w:pPr>
        <w:pStyle w:val="AmdtsEntries"/>
      </w:pPr>
      <w:r>
        <w:tab/>
        <w:t>sub A2007-3 amdt 3.471</w:t>
      </w:r>
    </w:p>
    <w:p w:rsidR="00AF2508" w:rsidRDefault="00AF2508">
      <w:pPr>
        <w:pStyle w:val="AmdtsEntries"/>
      </w:pPr>
      <w:r>
        <w:tab/>
        <w:t xml:space="preserve">def </w:t>
      </w:r>
      <w:r>
        <w:rPr>
          <w:rStyle w:val="charBoldItals"/>
        </w:rPr>
        <w:t xml:space="preserve">chief inspector </w:t>
      </w:r>
      <w:r>
        <w:t>ins Act 1957 No 8 sch pt 2</w:t>
      </w:r>
    </w:p>
    <w:p w:rsidR="00AF2508" w:rsidRDefault="00AF2508">
      <w:pPr>
        <w:pStyle w:val="AmdtsEntriesDefL2"/>
      </w:pPr>
      <w:r>
        <w:tab/>
        <w:t>om A2007-3 amdt 3.469</w:t>
      </w:r>
    </w:p>
    <w:p w:rsidR="00AF2508" w:rsidRDefault="00AF2508">
      <w:pPr>
        <w:pStyle w:val="AmdtsEntries"/>
      </w:pPr>
      <w:r>
        <w:tab/>
        <w:t xml:space="preserve">def </w:t>
      </w:r>
      <w:r>
        <w:rPr>
          <w:b/>
          <w:i/>
        </w:rPr>
        <w:t>inspector</w:t>
      </w:r>
      <w:r>
        <w:t xml:space="preserve"> ins Act 1957 No 8 sch pt 2</w:t>
      </w:r>
    </w:p>
    <w:p w:rsidR="00AF2508" w:rsidRDefault="00AF2508">
      <w:pPr>
        <w:pStyle w:val="AmdtsEntriesDefL2"/>
      </w:pPr>
      <w:r>
        <w:tab/>
        <w:t>om A2007-3 amdt 3.469</w:t>
      </w:r>
    </w:p>
    <w:p w:rsidR="00AF2508" w:rsidRDefault="00AF2508">
      <w:pPr>
        <w:pStyle w:val="AmdtsEntries"/>
      </w:pPr>
      <w:r>
        <w:tab/>
        <w:t xml:space="preserve">def </w:t>
      </w:r>
      <w:r>
        <w:rPr>
          <w:b/>
          <w:i/>
        </w:rPr>
        <w:t>the Act</w:t>
      </w:r>
      <w:r>
        <w:t xml:space="preserve"> sub Act 1957 No 8 sch pt 2; Act 2001 No 11 amdt 3.257</w:t>
      </w:r>
    </w:p>
    <w:p w:rsidR="00AF2508" w:rsidRDefault="00AF2508">
      <w:pPr>
        <w:pStyle w:val="AmdtsEntriesDefL2"/>
      </w:pPr>
      <w:r>
        <w:tab/>
        <w:t>om Act 2001 No 44 amdt 1.3879</w:t>
      </w:r>
    </w:p>
    <w:p w:rsidR="00AF2508" w:rsidRDefault="00AF2508">
      <w:pPr>
        <w:pStyle w:val="AmdtsEntries"/>
      </w:pPr>
      <w:r>
        <w:tab/>
        <w:t xml:space="preserve">def </w:t>
      </w:r>
      <w:r>
        <w:rPr>
          <w:b/>
          <w:i/>
        </w:rPr>
        <w:t>the Explosives Act 1905</w:t>
      </w:r>
      <w:r>
        <w:rPr>
          <w:b/>
        </w:rPr>
        <w:t xml:space="preserve"> </w:t>
      </w:r>
      <w:r>
        <w:t>ins Act 1957 No 8 sch pt 2</w:t>
      </w:r>
    </w:p>
    <w:p w:rsidR="00AF2508" w:rsidRDefault="00AF2508">
      <w:pPr>
        <w:pStyle w:val="AmdtsEntriesDefL2"/>
      </w:pPr>
      <w:r>
        <w:tab/>
        <w:t>om 1999 No 19 sch</w:t>
      </w:r>
    </w:p>
    <w:p w:rsidR="00AF2508" w:rsidRDefault="00AF2508">
      <w:pPr>
        <w:pStyle w:val="AmdtsEntryHd"/>
      </w:pPr>
    </w:p>
    <w:p w:rsidR="00AF2508" w:rsidRDefault="00AF2508">
      <w:pPr>
        <w:pStyle w:val="AmdtsEntries"/>
      </w:pPr>
      <w:r>
        <w:t>s</w:t>
      </w:r>
      <w:r>
        <w:rPr>
          <w:sz w:val="12"/>
        </w:rPr>
        <w:t xml:space="preserve"> </w:t>
      </w:r>
      <w:r>
        <w:t>8</w:t>
      </w:r>
      <w:r>
        <w:tab/>
        <w:t>sub regs gazetted 1 September 1950</w:t>
      </w:r>
    </w:p>
    <w:p w:rsidR="00AF2508" w:rsidRDefault="00AF2508">
      <w:pPr>
        <w:pStyle w:val="AmdtsEntries"/>
      </w:pPr>
      <w:r>
        <w:tab/>
        <w:t>om Act 1957 No 8 sch pt 2</w:t>
      </w:r>
    </w:p>
    <w:p w:rsidR="00AF2508" w:rsidRDefault="00AF2508">
      <w:pPr>
        <w:pStyle w:val="AmdtsEntryHd"/>
      </w:pPr>
    </w:p>
    <w:p w:rsidR="00AF2508" w:rsidRDefault="00AF2508">
      <w:pPr>
        <w:pStyle w:val="AmdtsEntries"/>
      </w:pPr>
      <w:r>
        <w:t>s 9</w:t>
      </w:r>
      <w:r>
        <w:tab/>
        <w:t>om regs gazetted 1 September 1950</w:t>
      </w:r>
    </w:p>
    <w:p w:rsidR="00AF2508" w:rsidRDefault="00AF2508">
      <w:pPr>
        <w:pStyle w:val="AmdtsEntryHd"/>
      </w:pPr>
    </w:p>
    <w:p w:rsidR="00AF2508" w:rsidRDefault="00AF2508">
      <w:pPr>
        <w:pStyle w:val="AmdtsEntries"/>
      </w:pPr>
      <w:r>
        <w:t>s 10</w:t>
      </w:r>
      <w:r>
        <w:tab/>
        <w:t>sub regs gazetted 1 September 1950</w:t>
      </w:r>
    </w:p>
    <w:p w:rsidR="00AF2508" w:rsidRDefault="00AF2508">
      <w:pPr>
        <w:pStyle w:val="AmdtsEntries"/>
      </w:pPr>
      <w:r>
        <w:tab/>
        <w:t>om Act 1957 No 8 sch pt 2</w:t>
      </w:r>
    </w:p>
    <w:p w:rsidR="00AF2508" w:rsidRDefault="00AF2508">
      <w:pPr>
        <w:pStyle w:val="AmdtsEntryHd"/>
      </w:pPr>
    </w:p>
    <w:p w:rsidR="00AF2508" w:rsidRDefault="00AF2508">
      <w:pPr>
        <w:pStyle w:val="AmdtsEntries"/>
      </w:pPr>
      <w:r>
        <w:t>s 11</w:t>
      </w:r>
      <w:r>
        <w:tab/>
        <w:t>sub Act 1957 No 8 sch pt 2</w:t>
      </w:r>
    </w:p>
    <w:p w:rsidR="00AF2508" w:rsidRDefault="00AF2508">
      <w:pPr>
        <w:pStyle w:val="AmdtsEntryHd"/>
      </w:pPr>
    </w:p>
    <w:p w:rsidR="00AF2508" w:rsidRDefault="00AF2508">
      <w:pPr>
        <w:pStyle w:val="AmdtsEntries"/>
      </w:pPr>
      <w:r>
        <w:t>s 12</w:t>
      </w:r>
      <w:r>
        <w:tab/>
        <w:t>om Act 1957 No 8 sch pt 2</w:t>
      </w:r>
    </w:p>
    <w:p w:rsidR="00AF2508" w:rsidRDefault="00AF2508">
      <w:pPr>
        <w:pStyle w:val="AmdtsEntryHd"/>
      </w:pPr>
    </w:p>
    <w:p w:rsidR="00AF2508" w:rsidRDefault="00AF2508">
      <w:pPr>
        <w:pStyle w:val="AmdtsEntries"/>
      </w:pPr>
      <w:r>
        <w:t>pt 3 hdg</w:t>
      </w:r>
      <w:r>
        <w:tab/>
        <w:t>om Act 1957 No 8 sch pt 2</w:t>
      </w:r>
    </w:p>
    <w:p w:rsidR="00AF2508" w:rsidRDefault="00AF2508">
      <w:pPr>
        <w:pStyle w:val="AmdtsEntryHd"/>
      </w:pPr>
    </w:p>
    <w:p w:rsidR="00AF2508" w:rsidRDefault="00AF2508">
      <w:pPr>
        <w:pStyle w:val="AmdtsEntries"/>
      </w:pPr>
      <w:r>
        <w:t>s 15</w:t>
      </w:r>
      <w:r>
        <w:tab/>
        <w:t>om Act 1957 No 8 sch pt 2</w:t>
      </w:r>
    </w:p>
    <w:p w:rsidR="00AF2508" w:rsidRDefault="00AF2508">
      <w:pPr>
        <w:pStyle w:val="AmdtsEntryHd"/>
      </w:pPr>
      <w:r>
        <w:t>Interpretation</w:t>
      </w:r>
    </w:p>
    <w:p w:rsidR="00AF2508" w:rsidRDefault="00AF2508">
      <w:pPr>
        <w:pStyle w:val="AmdtsEntries"/>
      </w:pPr>
      <w:r>
        <w:t>div 4.1 hdg</w:t>
      </w:r>
      <w:r>
        <w:tab/>
        <w:t>ins R2 LA</w:t>
      </w:r>
    </w:p>
    <w:p w:rsidR="00AF2508" w:rsidRDefault="00AF2508">
      <w:pPr>
        <w:pStyle w:val="AmdtsEntryHd"/>
      </w:pPr>
      <w:r>
        <w:t>Design, construction and erection of lifts</w:t>
      </w:r>
    </w:p>
    <w:p w:rsidR="00AF2508" w:rsidRDefault="00AF2508">
      <w:pPr>
        <w:pStyle w:val="AmdtsEntries"/>
      </w:pPr>
      <w:r>
        <w:t>div 4.2 hdg</w:t>
      </w:r>
      <w:r>
        <w:tab/>
        <w:t>(prev pt 4 div A hdg) renum R2 LA</w:t>
      </w:r>
    </w:p>
    <w:p w:rsidR="00AF2508" w:rsidRDefault="00AF2508">
      <w:pPr>
        <w:pStyle w:val="AmdtsEntryHd"/>
      </w:pPr>
    </w:p>
    <w:p w:rsidR="00AF2508" w:rsidRDefault="00AF2508">
      <w:pPr>
        <w:pStyle w:val="AmdtsEntries"/>
      </w:pPr>
      <w:r>
        <w:t>s 17</w:t>
      </w:r>
      <w:r>
        <w:tab/>
        <w:t>am Act 1957 No 8 sch pt 2; regs renum R2 LA</w:t>
      </w:r>
    </w:p>
    <w:p w:rsidR="00AF2508" w:rsidRDefault="00AF2508">
      <w:pPr>
        <w:pStyle w:val="AmdtsEntryHd"/>
      </w:pPr>
    </w:p>
    <w:p w:rsidR="00AF2508" w:rsidRDefault="00AF2508">
      <w:pPr>
        <w:pStyle w:val="AmdtsEntries"/>
      </w:pPr>
      <w:r>
        <w:t>s 18</w:t>
      </w:r>
      <w:r>
        <w:tab/>
        <w:t>ss renum R2 LA</w:t>
      </w:r>
    </w:p>
    <w:p w:rsidR="00AF2508" w:rsidRDefault="00AF2508">
      <w:pPr>
        <w:pStyle w:val="AmdtsEntryHd"/>
      </w:pPr>
    </w:p>
    <w:p w:rsidR="00AF2508" w:rsidRDefault="00AF2508">
      <w:pPr>
        <w:pStyle w:val="AmdtsEntries"/>
      </w:pPr>
      <w:r>
        <w:t>s 22</w:t>
      </w:r>
      <w:r>
        <w:tab/>
        <w:t>ss renum R2 LA</w:t>
      </w:r>
    </w:p>
    <w:p w:rsidR="00AF2508" w:rsidRDefault="00AF2508">
      <w:pPr>
        <w:pStyle w:val="AmdtsEntryHd"/>
      </w:pPr>
    </w:p>
    <w:p w:rsidR="00AF2508" w:rsidRDefault="00AF2508">
      <w:pPr>
        <w:pStyle w:val="AmdtsEntries"/>
      </w:pPr>
      <w:r>
        <w:t>s 23</w:t>
      </w:r>
      <w:r>
        <w:tab/>
        <w:t>ss renum R2 LA</w:t>
      </w:r>
    </w:p>
    <w:p w:rsidR="00AF2508" w:rsidRDefault="00AF2508">
      <w:pPr>
        <w:pStyle w:val="AmdtsEntryHd"/>
      </w:pPr>
    </w:p>
    <w:p w:rsidR="00AF2508" w:rsidRDefault="00AF2508">
      <w:pPr>
        <w:pStyle w:val="AmdtsEntries"/>
      </w:pPr>
      <w:r>
        <w:t>s 24</w:t>
      </w:r>
      <w:r>
        <w:tab/>
        <w:t>ss renum R2 LA</w:t>
      </w:r>
    </w:p>
    <w:p w:rsidR="00AF2508" w:rsidRDefault="00AF2508">
      <w:pPr>
        <w:pStyle w:val="AmdtsEntryHd"/>
      </w:pPr>
    </w:p>
    <w:p w:rsidR="00AF2508" w:rsidRDefault="00AF2508">
      <w:pPr>
        <w:pStyle w:val="AmdtsEntries"/>
      </w:pPr>
      <w:r>
        <w:t>s 25</w:t>
      </w:r>
      <w:r>
        <w:tab/>
        <w:t>sub regs gazetted 3 December 1954</w:t>
      </w:r>
    </w:p>
    <w:p w:rsidR="00AF2508" w:rsidRDefault="00AF2508">
      <w:pPr>
        <w:pStyle w:val="AmdtsEntries"/>
      </w:pPr>
      <w:r>
        <w:tab/>
        <w:t>ss renum R2 LA</w:t>
      </w:r>
    </w:p>
    <w:p w:rsidR="00AF2508" w:rsidRDefault="00AF2508">
      <w:pPr>
        <w:pStyle w:val="AmdtsEntryHd"/>
      </w:pPr>
    </w:p>
    <w:p w:rsidR="00AF2508" w:rsidRDefault="00AF2508">
      <w:pPr>
        <w:pStyle w:val="AmdtsEntries"/>
      </w:pPr>
      <w:r>
        <w:t>s 27</w:t>
      </w:r>
      <w:r>
        <w:tab/>
        <w:t>ss renum R2 LA</w:t>
      </w:r>
    </w:p>
    <w:p w:rsidR="00AF2508" w:rsidRDefault="00AF2508">
      <w:pPr>
        <w:pStyle w:val="AmdtsEntryHd"/>
      </w:pPr>
    </w:p>
    <w:p w:rsidR="00AF2508" w:rsidRDefault="00AF2508">
      <w:pPr>
        <w:pStyle w:val="AmdtsEntries"/>
      </w:pPr>
      <w:r>
        <w:t>s 28</w:t>
      </w:r>
      <w:r>
        <w:tab/>
        <w:t>ss renum R2 LA</w:t>
      </w:r>
    </w:p>
    <w:p w:rsidR="00AF2508" w:rsidRDefault="00AF2508">
      <w:pPr>
        <w:pStyle w:val="AmdtsEntryHd"/>
      </w:pPr>
    </w:p>
    <w:p w:rsidR="00AF2508" w:rsidRDefault="00AF2508">
      <w:pPr>
        <w:pStyle w:val="AmdtsEntries"/>
      </w:pPr>
      <w:r>
        <w:t>s 29</w:t>
      </w:r>
      <w:r>
        <w:tab/>
        <w:t>ss renum R2 LA; ss renum R3 LA</w:t>
      </w:r>
    </w:p>
    <w:p w:rsidR="00AF2508" w:rsidRDefault="00AF2508">
      <w:pPr>
        <w:pStyle w:val="AmdtsEntryHd"/>
      </w:pPr>
    </w:p>
    <w:p w:rsidR="00AF2508" w:rsidRDefault="00AF2508">
      <w:pPr>
        <w:pStyle w:val="AmdtsEntries"/>
      </w:pPr>
      <w:r>
        <w:t>s 31</w:t>
      </w:r>
      <w:r>
        <w:tab/>
        <w:t>ss renum R2 LA</w:t>
      </w:r>
    </w:p>
    <w:p w:rsidR="00AF2508" w:rsidRDefault="00AF2508">
      <w:pPr>
        <w:pStyle w:val="AmdtsEntryHd"/>
      </w:pPr>
    </w:p>
    <w:p w:rsidR="00AF2508" w:rsidRDefault="00AF2508">
      <w:pPr>
        <w:pStyle w:val="AmdtsEntries"/>
      </w:pPr>
      <w:r>
        <w:t>s 32</w:t>
      </w:r>
      <w:r>
        <w:tab/>
        <w:t>ss renum R2 LA</w:t>
      </w:r>
    </w:p>
    <w:p w:rsidR="00AF2508" w:rsidRDefault="00AF2508">
      <w:pPr>
        <w:pStyle w:val="AmdtsEntryHd"/>
      </w:pPr>
    </w:p>
    <w:p w:rsidR="00AF2508" w:rsidRDefault="00AF2508">
      <w:pPr>
        <w:pStyle w:val="AmdtsEntries"/>
      </w:pPr>
      <w:r>
        <w:t>s 33</w:t>
      </w:r>
      <w:r>
        <w:tab/>
        <w:t>ss renum R2 LA</w:t>
      </w:r>
    </w:p>
    <w:p w:rsidR="00AF2508" w:rsidRDefault="00AF2508">
      <w:pPr>
        <w:pStyle w:val="AmdtsEntryHd"/>
      </w:pPr>
    </w:p>
    <w:p w:rsidR="00AF2508" w:rsidRDefault="00AF2508">
      <w:pPr>
        <w:pStyle w:val="AmdtsEntries"/>
      </w:pPr>
      <w:r>
        <w:t>s 35</w:t>
      </w:r>
      <w:r>
        <w:tab/>
        <w:t>am Act 1957 No 8 sch pt 2; Act 2001 No 11 amdt 3.258</w:t>
      </w:r>
    </w:p>
    <w:p w:rsidR="00AF2508" w:rsidRDefault="00AF2508">
      <w:pPr>
        <w:pStyle w:val="AmdtsEntryHd"/>
      </w:pPr>
    </w:p>
    <w:p w:rsidR="00AF2508" w:rsidRDefault="00AF2508">
      <w:pPr>
        <w:pStyle w:val="AmdtsEntries"/>
      </w:pPr>
      <w:r>
        <w:t>s 39</w:t>
      </w:r>
      <w:r>
        <w:tab/>
        <w:t>ss renum R2 LA</w:t>
      </w:r>
    </w:p>
    <w:p w:rsidR="00AF2508" w:rsidRDefault="00AF2508">
      <w:pPr>
        <w:pStyle w:val="AmdtsEntryHd"/>
      </w:pPr>
    </w:p>
    <w:p w:rsidR="00AF2508" w:rsidRDefault="00AF2508">
      <w:pPr>
        <w:pStyle w:val="AmdtsEntries"/>
      </w:pPr>
      <w:r>
        <w:t>s 40</w:t>
      </w:r>
      <w:r>
        <w:tab/>
        <w:t>ss renum R2 LA</w:t>
      </w:r>
    </w:p>
    <w:p w:rsidR="00AF2508" w:rsidRDefault="00AF2508">
      <w:pPr>
        <w:pStyle w:val="AmdtsEntryHd"/>
      </w:pPr>
    </w:p>
    <w:p w:rsidR="00AF2508" w:rsidRDefault="00AF2508">
      <w:pPr>
        <w:pStyle w:val="AmdtsEntries"/>
      </w:pPr>
      <w:r>
        <w:t>s 41</w:t>
      </w:r>
      <w:r>
        <w:tab/>
        <w:t>ss renum R2 LA</w:t>
      </w:r>
    </w:p>
    <w:p w:rsidR="00AF2508" w:rsidRDefault="00AF2508">
      <w:pPr>
        <w:pStyle w:val="AmdtsEntryHd"/>
      </w:pPr>
    </w:p>
    <w:p w:rsidR="00AF2508" w:rsidRDefault="00AF2508">
      <w:pPr>
        <w:pStyle w:val="AmdtsEntries"/>
      </w:pPr>
      <w:r>
        <w:t>s 46</w:t>
      </w:r>
      <w:r>
        <w:tab/>
        <w:t>ss renum R2 LA</w:t>
      </w:r>
    </w:p>
    <w:p w:rsidR="00AF2508" w:rsidRDefault="00AF2508">
      <w:pPr>
        <w:pStyle w:val="AmdtsEntryHd"/>
      </w:pPr>
    </w:p>
    <w:p w:rsidR="00AF2508" w:rsidRDefault="00AF2508">
      <w:pPr>
        <w:pStyle w:val="AmdtsEntries"/>
      </w:pPr>
      <w:r>
        <w:t>s 51</w:t>
      </w:r>
      <w:r>
        <w:tab/>
        <w:t>ss renum R2 LA</w:t>
      </w:r>
    </w:p>
    <w:p w:rsidR="00AF2508" w:rsidRDefault="00AF2508">
      <w:pPr>
        <w:pStyle w:val="AmdtsEntryHd"/>
      </w:pPr>
    </w:p>
    <w:p w:rsidR="00AF2508" w:rsidRDefault="00AF2508">
      <w:pPr>
        <w:pStyle w:val="AmdtsEntries"/>
      </w:pPr>
      <w:r>
        <w:t>s 56</w:t>
      </w:r>
      <w:r>
        <w:tab/>
        <w:t>ss renum R2 LA</w:t>
      </w:r>
    </w:p>
    <w:p w:rsidR="00AF2508" w:rsidRDefault="00AF2508">
      <w:pPr>
        <w:pStyle w:val="AmdtsEntryHd"/>
      </w:pPr>
    </w:p>
    <w:p w:rsidR="00AF2508" w:rsidRDefault="00AF2508">
      <w:pPr>
        <w:pStyle w:val="AmdtsEntries"/>
      </w:pPr>
      <w:r>
        <w:t>s 61</w:t>
      </w:r>
      <w:r>
        <w:tab/>
        <w:t>ss renum R2 LA</w:t>
      </w:r>
    </w:p>
    <w:p w:rsidR="00AF2508" w:rsidRDefault="00AF2508">
      <w:pPr>
        <w:pStyle w:val="AmdtsEntryHd"/>
      </w:pPr>
    </w:p>
    <w:p w:rsidR="00AF2508" w:rsidRDefault="00AF2508">
      <w:pPr>
        <w:pStyle w:val="AmdtsEntries"/>
      </w:pPr>
      <w:r>
        <w:t>s 62</w:t>
      </w:r>
      <w:r>
        <w:tab/>
        <w:t>ss renum R2 LA</w:t>
      </w:r>
    </w:p>
    <w:p w:rsidR="00AF2508" w:rsidRDefault="00AF2508">
      <w:pPr>
        <w:pStyle w:val="AmdtsEntryHd"/>
      </w:pPr>
    </w:p>
    <w:p w:rsidR="00AF2508" w:rsidRDefault="00AF2508">
      <w:pPr>
        <w:pStyle w:val="AmdtsEntries"/>
      </w:pPr>
      <w:r>
        <w:t>s 63</w:t>
      </w:r>
      <w:r>
        <w:tab/>
        <w:t>ss renum R2 LA</w:t>
      </w:r>
    </w:p>
    <w:p w:rsidR="00AF2508" w:rsidRDefault="00AF2508">
      <w:pPr>
        <w:pStyle w:val="AmdtsEntryHd"/>
      </w:pPr>
      <w:r>
        <w:t>Maintenance of lifts</w:t>
      </w:r>
    </w:p>
    <w:p w:rsidR="00AF2508" w:rsidRDefault="00AF2508">
      <w:pPr>
        <w:pStyle w:val="AmdtsEntries"/>
      </w:pPr>
      <w:r>
        <w:t>div 4.3 hdg</w:t>
      </w:r>
      <w:r>
        <w:tab/>
        <w:t>(prev pt 4 div B hdg) renum R2 LA</w:t>
      </w:r>
    </w:p>
    <w:p w:rsidR="00AF2508" w:rsidRDefault="00AF2508">
      <w:pPr>
        <w:pStyle w:val="AmdtsEntryHd"/>
      </w:pPr>
    </w:p>
    <w:p w:rsidR="00AF2508" w:rsidRDefault="00AF2508">
      <w:pPr>
        <w:pStyle w:val="AmdtsEntries"/>
      </w:pPr>
      <w:r>
        <w:t>s 67</w:t>
      </w:r>
      <w:r>
        <w:tab/>
        <w:t>pars renum R2 LA</w:t>
      </w:r>
    </w:p>
    <w:p w:rsidR="00AF2508" w:rsidRDefault="00AF2508">
      <w:pPr>
        <w:pStyle w:val="AmdtsEntryHd"/>
      </w:pPr>
      <w:r>
        <w:t>Use of lifts</w:t>
      </w:r>
    </w:p>
    <w:p w:rsidR="00AF2508" w:rsidRDefault="00AF2508">
      <w:pPr>
        <w:pStyle w:val="AmdtsEntries"/>
      </w:pPr>
      <w:r>
        <w:t>div 4.4 hdg</w:t>
      </w:r>
      <w:r>
        <w:tab/>
        <w:t>(prev pt 4 div C hdg) renum R2 LA</w:t>
      </w:r>
    </w:p>
    <w:p w:rsidR="00AF2508" w:rsidRDefault="00AF2508">
      <w:pPr>
        <w:pStyle w:val="AmdtsEntryHd"/>
      </w:pPr>
    </w:p>
    <w:p w:rsidR="00AF2508" w:rsidRDefault="00AF2508">
      <w:pPr>
        <w:pStyle w:val="AmdtsEntries"/>
      </w:pPr>
      <w:r>
        <w:t>s 68</w:t>
      </w:r>
      <w:r>
        <w:tab/>
        <w:t>am 2000 No 47 s 11; ss etc renum R2 LA</w:t>
      </w:r>
    </w:p>
    <w:p w:rsidR="00AF2508" w:rsidRDefault="00AF2508">
      <w:pPr>
        <w:pStyle w:val="AmdtsEntryHd"/>
      </w:pPr>
    </w:p>
    <w:p w:rsidR="00AF2508" w:rsidRDefault="00AF2508">
      <w:pPr>
        <w:pStyle w:val="AmdtsEntries"/>
      </w:pPr>
      <w:r>
        <w:t>s 69</w:t>
      </w:r>
      <w:r>
        <w:tab/>
        <w:t>am Act 1957 No 8 sch pt 2</w:t>
      </w:r>
    </w:p>
    <w:p w:rsidR="00AF2508" w:rsidRDefault="00AF2508">
      <w:pPr>
        <w:pStyle w:val="AmdtsEntryHd"/>
      </w:pPr>
    </w:p>
    <w:p w:rsidR="00AF2508" w:rsidRDefault="00AF2508">
      <w:pPr>
        <w:pStyle w:val="AmdtsEntries"/>
      </w:pPr>
      <w:r>
        <w:t>s 70</w:t>
      </w:r>
      <w:r>
        <w:tab/>
        <w:t>am 2000 No 47 s 12</w:t>
      </w:r>
    </w:p>
    <w:p w:rsidR="00AF2508" w:rsidRDefault="00AF2508">
      <w:pPr>
        <w:pStyle w:val="AmdtsEntryHd"/>
      </w:pPr>
    </w:p>
    <w:p w:rsidR="00AF2508" w:rsidRDefault="00AF2508">
      <w:pPr>
        <w:pStyle w:val="AmdtsEntries"/>
      </w:pPr>
      <w:r>
        <w:t>s 72A</w:t>
      </w:r>
      <w:r>
        <w:tab/>
        <w:t>ins regs gazetted 22 June 1956</w:t>
      </w:r>
    </w:p>
    <w:p w:rsidR="00AF2508" w:rsidRDefault="00AF2508">
      <w:pPr>
        <w:pStyle w:val="AmdtsEntries"/>
      </w:pPr>
      <w:r>
        <w:tab/>
        <w:t>sub Act 1957 No 8 sch pt 2 (as am ord 1974 No 26 s 2; ord 1977 No 28 s 5)</w:t>
      </w:r>
    </w:p>
    <w:p w:rsidR="00AF2508" w:rsidRDefault="00AF2508">
      <w:pPr>
        <w:pStyle w:val="AmdtsEntries"/>
      </w:pPr>
      <w:r>
        <w:tab/>
        <w:t>am Act 1957 No 8 sch pt 2 (as am ord 1981 No 15 s 2; ord 1982 No 68 s 2)</w:t>
      </w:r>
    </w:p>
    <w:p w:rsidR="00AF2508" w:rsidRDefault="00AF2508">
      <w:pPr>
        <w:pStyle w:val="AmdtsEntries"/>
      </w:pPr>
      <w:r>
        <w:tab/>
        <w:t>om Act 1957 No 8 sch pt 2 (as am ord 1983 No 34 s 5)</w:t>
      </w:r>
    </w:p>
    <w:p w:rsidR="00AF2508" w:rsidRDefault="00AF2508">
      <w:pPr>
        <w:pStyle w:val="AmdtsEntryHd"/>
      </w:pPr>
      <w:r>
        <w:t>General</w:t>
      </w:r>
    </w:p>
    <w:p w:rsidR="00AF2508" w:rsidRDefault="00AF2508">
      <w:pPr>
        <w:pStyle w:val="AmdtsEntries"/>
      </w:pPr>
      <w:r>
        <w:t>div 5.1 hdg</w:t>
      </w:r>
      <w:r>
        <w:tab/>
        <w:t>(prev pt 5 div A hdg) renum R2 LA</w:t>
      </w:r>
    </w:p>
    <w:p w:rsidR="00AF2508" w:rsidRDefault="00AF2508">
      <w:pPr>
        <w:pStyle w:val="AmdtsEntryHd"/>
      </w:pPr>
    </w:p>
    <w:p w:rsidR="00AF2508" w:rsidRDefault="00AF2508">
      <w:pPr>
        <w:pStyle w:val="AmdtsEntries"/>
      </w:pPr>
      <w:r>
        <w:t>s 73</w:t>
      </w:r>
      <w:r>
        <w:tab/>
        <w:t>am Act 1957 No 8 sch pt 2 (as am ord 1976 No 7 s 2); ss etc renum R2 LA</w:t>
      </w:r>
    </w:p>
    <w:p w:rsidR="00AF2508" w:rsidRDefault="00AF2508">
      <w:pPr>
        <w:pStyle w:val="AmdtsEntryHd"/>
      </w:pPr>
    </w:p>
    <w:p w:rsidR="00AF2508" w:rsidRDefault="00AF2508">
      <w:pPr>
        <w:pStyle w:val="AmdtsEntries"/>
      </w:pPr>
      <w:r>
        <w:t>s 75</w:t>
      </w:r>
      <w:r>
        <w:tab/>
        <w:t>ss renum R2 LA</w:t>
      </w:r>
    </w:p>
    <w:p w:rsidR="00AF2508" w:rsidRDefault="00AF2508">
      <w:pPr>
        <w:pStyle w:val="AmdtsEntryHd"/>
      </w:pPr>
    </w:p>
    <w:p w:rsidR="00AF2508" w:rsidRDefault="00AF2508">
      <w:pPr>
        <w:pStyle w:val="AmdtsEntries"/>
      </w:pPr>
      <w:r>
        <w:t>s 76</w:t>
      </w:r>
      <w:r>
        <w:tab/>
        <w:t>om regs gazetted 22 June 1956</w:t>
      </w:r>
    </w:p>
    <w:p w:rsidR="00AF2508" w:rsidRDefault="00AF2508">
      <w:pPr>
        <w:pStyle w:val="AmdtsEntryHd"/>
      </w:pPr>
      <w:r>
        <w:t>Construction, erecting, adding to, altering, repairing, finishing, painting and cleaning buildings and structures</w:t>
      </w:r>
    </w:p>
    <w:p w:rsidR="00AF2508" w:rsidRDefault="00AF2508">
      <w:pPr>
        <w:pStyle w:val="AmdtsEntries"/>
      </w:pPr>
      <w:r>
        <w:t>div 5.2 hdg</w:t>
      </w:r>
      <w:r>
        <w:tab/>
        <w:t>(prev pt 5 div B hdg) renum R2 LA</w:t>
      </w:r>
    </w:p>
    <w:p w:rsidR="00AF2508" w:rsidRDefault="00AF2508">
      <w:pPr>
        <w:pStyle w:val="AmdtsEntryHd"/>
      </w:pPr>
    </w:p>
    <w:p w:rsidR="00AF2508" w:rsidRDefault="00AF2508">
      <w:pPr>
        <w:pStyle w:val="AmdtsEntries"/>
      </w:pPr>
      <w:r>
        <w:t>s 78</w:t>
      </w:r>
      <w:r>
        <w:tab/>
        <w:t>ss renum R2 LA</w:t>
      </w:r>
    </w:p>
    <w:p w:rsidR="00AF2508" w:rsidRDefault="00AF2508">
      <w:pPr>
        <w:pStyle w:val="AmdtsEntryHd"/>
      </w:pPr>
    </w:p>
    <w:p w:rsidR="00AF2508" w:rsidRDefault="00AF2508">
      <w:pPr>
        <w:pStyle w:val="AmdtsEntries"/>
      </w:pPr>
      <w:r>
        <w:t>s 79</w:t>
      </w:r>
      <w:r>
        <w:tab/>
        <w:t>ss renum R2 LA</w:t>
      </w:r>
    </w:p>
    <w:p w:rsidR="00AF2508" w:rsidRDefault="00AF2508">
      <w:pPr>
        <w:pStyle w:val="AmdtsEntryHd"/>
      </w:pPr>
    </w:p>
    <w:p w:rsidR="00AF2508" w:rsidRDefault="00AF2508">
      <w:pPr>
        <w:pStyle w:val="AmdtsEntries"/>
      </w:pPr>
      <w:r>
        <w:t>s 80</w:t>
      </w:r>
      <w:r>
        <w:tab/>
        <w:t>ss renum R2 LA</w:t>
      </w:r>
    </w:p>
    <w:p w:rsidR="00AF2508" w:rsidRDefault="00AF2508">
      <w:pPr>
        <w:pStyle w:val="AmdtsEntryHd"/>
      </w:pPr>
    </w:p>
    <w:p w:rsidR="00AF2508" w:rsidRDefault="00AF2508">
      <w:pPr>
        <w:pStyle w:val="AmdtsEntries"/>
      </w:pPr>
      <w:r>
        <w:t>s 81</w:t>
      </w:r>
      <w:r>
        <w:tab/>
        <w:t>ss renum R2 LA</w:t>
      </w:r>
    </w:p>
    <w:p w:rsidR="00AF2508" w:rsidRDefault="00AF2508">
      <w:pPr>
        <w:pStyle w:val="AmdtsEntryHd"/>
      </w:pPr>
    </w:p>
    <w:p w:rsidR="00AF2508" w:rsidRDefault="00AF2508">
      <w:pPr>
        <w:pStyle w:val="AmdtsEntries"/>
      </w:pPr>
      <w:r>
        <w:t>s 82</w:t>
      </w:r>
      <w:r>
        <w:tab/>
        <w:t>am Act 1957 No 8 sch pt 2; Act 2001 No 11 amdt 3.259; ss etc renum R2 LA</w:t>
      </w:r>
    </w:p>
    <w:p w:rsidR="00AF2508" w:rsidRDefault="00AF2508">
      <w:pPr>
        <w:pStyle w:val="AmdtsEntryHd"/>
      </w:pPr>
    </w:p>
    <w:p w:rsidR="00AF2508" w:rsidRDefault="00AF2508">
      <w:pPr>
        <w:pStyle w:val="AmdtsEntries"/>
      </w:pPr>
      <w:r>
        <w:t>s 83</w:t>
      </w:r>
      <w:r>
        <w:tab/>
        <w:t>am Act 1957 No 8 sch pt 2; ss etc renum R2 LA</w:t>
      </w:r>
    </w:p>
    <w:p w:rsidR="00AF2508" w:rsidRDefault="00AF2508">
      <w:pPr>
        <w:pStyle w:val="AmdtsEntryHd"/>
      </w:pPr>
      <w:r>
        <w:t>Demolition of buildings and structures</w:t>
      </w:r>
    </w:p>
    <w:p w:rsidR="00AF2508" w:rsidRDefault="00AF2508">
      <w:pPr>
        <w:pStyle w:val="AmdtsEntries"/>
      </w:pPr>
      <w:r>
        <w:t>div 5.3 hdg</w:t>
      </w:r>
      <w:r>
        <w:tab/>
        <w:t>(prev pt 5 div C hdg) renum R2 LA</w:t>
      </w:r>
    </w:p>
    <w:p w:rsidR="00AF2508" w:rsidRDefault="00AF2508">
      <w:pPr>
        <w:pStyle w:val="AmdtsEntryHd"/>
      </w:pPr>
    </w:p>
    <w:p w:rsidR="00AF2508" w:rsidRDefault="00AF2508">
      <w:pPr>
        <w:pStyle w:val="AmdtsEntries"/>
      </w:pPr>
      <w:r>
        <w:t>s 84</w:t>
      </w:r>
      <w:r>
        <w:tab/>
        <w:t>am regs gazetted 22 June 1956; 1999 No 19 sch; ss etc renum R2 LA</w:t>
      </w:r>
    </w:p>
    <w:p w:rsidR="00AF2508" w:rsidRDefault="00AF2508">
      <w:pPr>
        <w:pStyle w:val="AmdtsEntryHd"/>
      </w:pPr>
    </w:p>
    <w:p w:rsidR="00AF2508" w:rsidRDefault="00AF2508">
      <w:pPr>
        <w:pStyle w:val="AmdtsEntries"/>
      </w:pPr>
      <w:r>
        <w:t>s 86</w:t>
      </w:r>
      <w:r>
        <w:tab/>
        <w:t>ss etc renum R2 LA</w:t>
      </w:r>
    </w:p>
    <w:p w:rsidR="00AF2508" w:rsidRDefault="00AF2508">
      <w:pPr>
        <w:pStyle w:val="AmdtsEntryHd"/>
      </w:pPr>
    </w:p>
    <w:p w:rsidR="00AF2508" w:rsidRDefault="00AF2508">
      <w:pPr>
        <w:pStyle w:val="AmdtsEntries"/>
      </w:pPr>
      <w:r>
        <w:t>s 87</w:t>
      </w:r>
      <w:r>
        <w:tab/>
        <w:t>am regs gazetted 3 December 1954; ss etc renum R2 LA</w:t>
      </w:r>
    </w:p>
    <w:p w:rsidR="00AF2508" w:rsidRDefault="00AF2508">
      <w:pPr>
        <w:pStyle w:val="AmdtsEntryHd"/>
      </w:pPr>
    </w:p>
    <w:p w:rsidR="00AF2508" w:rsidRDefault="00AF2508">
      <w:pPr>
        <w:pStyle w:val="AmdtsEntries"/>
      </w:pPr>
      <w:r>
        <w:t>s 88</w:t>
      </w:r>
      <w:r>
        <w:tab/>
        <w:t>ss renum R2 LA</w:t>
      </w:r>
    </w:p>
    <w:p w:rsidR="00AF2508" w:rsidRDefault="00AF2508">
      <w:pPr>
        <w:pStyle w:val="AmdtsEntryHd"/>
      </w:pPr>
    </w:p>
    <w:p w:rsidR="00AF2508" w:rsidRDefault="00AF2508">
      <w:pPr>
        <w:pStyle w:val="AmdtsEntries"/>
      </w:pPr>
      <w:r>
        <w:t>s 89</w:t>
      </w:r>
      <w:r>
        <w:tab/>
        <w:t>ss etc renum R2 LA</w:t>
      </w:r>
    </w:p>
    <w:p w:rsidR="00AF2508" w:rsidRDefault="00AF2508">
      <w:pPr>
        <w:pStyle w:val="AmdtsEntryHd"/>
      </w:pPr>
    </w:p>
    <w:p w:rsidR="00AF2508" w:rsidRDefault="00AF2508">
      <w:pPr>
        <w:pStyle w:val="AmdtsEntries"/>
      </w:pPr>
      <w:r>
        <w:t>s 90</w:t>
      </w:r>
      <w:r>
        <w:tab/>
        <w:t>ss renum R2 LA</w:t>
      </w:r>
    </w:p>
    <w:p w:rsidR="00AF2508" w:rsidRDefault="00AF2508">
      <w:pPr>
        <w:pStyle w:val="AmdtsEntryHd"/>
      </w:pPr>
    </w:p>
    <w:p w:rsidR="00AF2508" w:rsidRDefault="00AF2508">
      <w:pPr>
        <w:pStyle w:val="AmdtsEntries"/>
      </w:pPr>
      <w:r>
        <w:t>s 91</w:t>
      </w:r>
      <w:r>
        <w:tab/>
        <w:t>ss etc renum R2 LA</w:t>
      </w:r>
    </w:p>
    <w:p w:rsidR="00AF2508" w:rsidRDefault="00AF2508">
      <w:pPr>
        <w:pStyle w:val="AmdtsEntryHd"/>
      </w:pPr>
    </w:p>
    <w:p w:rsidR="00AF2508" w:rsidRDefault="00AF2508">
      <w:pPr>
        <w:pStyle w:val="AmdtsEntries"/>
      </w:pPr>
      <w:r>
        <w:t>s 92</w:t>
      </w:r>
      <w:r>
        <w:tab/>
        <w:t>ss etc renum R2 LA</w:t>
      </w:r>
    </w:p>
    <w:p w:rsidR="00AF2508" w:rsidRDefault="00AF2508">
      <w:pPr>
        <w:pStyle w:val="AmdtsEntryHd"/>
      </w:pPr>
    </w:p>
    <w:p w:rsidR="00AF2508" w:rsidRDefault="00AF2508">
      <w:pPr>
        <w:pStyle w:val="AmdtsEntries"/>
      </w:pPr>
      <w:r>
        <w:t>s 93</w:t>
      </w:r>
      <w:r>
        <w:tab/>
        <w:t>ss etc renum R2 LA</w:t>
      </w:r>
    </w:p>
    <w:p w:rsidR="00AF2508" w:rsidRDefault="00AF2508">
      <w:pPr>
        <w:pStyle w:val="AmdtsEntryHd"/>
      </w:pPr>
    </w:p>
    <w:p w:rsidR="00AF2508" w:rsidRDefault="00AF2508">
      <w:pPr>
        <w:pStyle w:val="AmdtsEntries"/>
      </w:pPr>
      <w:r>
        <w:t>s 94</w:t>
      </w:r>
      <w:r>
        <w:tab/>
        <w:t>ss renum R2 LA</w:t>
      </w:r>
    </w:p>
    <w:p w:rsidR="00AF2508" w:rsidRDefault="00AF2508">
      <w:pPr>
        <w:pStyle w:val="AmdtsEntryHd"/>
      </w:pPr>
      <w:r>
        <w:t>General</w:t>
      </w:r>
    </w:p>
    <w:p w:rsidR="00AF2508" w:rsidRDefault="00AF2508">
      <w:pPr>
        <w:pStyle w:val="AmdtsEntries"/>
      </w:pPr>
      <w:r>
        <w:t>div 7.1 hdg</w:t>
      </w:r>
      <w:r>
        <w:tab/>
        <w:t>(prev pt 7 div A hdg) renum R2 LA</w:t>
      </w:r>
    </w:p>
    <w:p w:rsidR="00AF2508" w:rsidRDefault="00AF2508">
      <w:pPr>
        <w:pStyle w:val="AmdtsEntryHd"/>
      </w:pPr>
    </w:p>
    <w:p w:rsidR="00AF2508" w:rsidRDefault="00AF2508">
      <w:pPr>
        <w:pStyle w:val="AmdtsEntries"/>
      </w:pPr>
      <w:r>
        <w:t>s 95</w:t>
      </w:r>
      <w:r>
        <w:tab/>
        <w:t>am regs gazetted 3 December 1954; regs gazetted 22 June 1956; ss renum R2 LA</w:t>
      </w:r>
    </w:p>
    <w:p w:rsidR="00AF2508" w:rsidRDefault="00AF2508">
      <w:pPr>
        <w:pStyle w:val="AmdtsEntryHd"/>
      </w:pPr>
      <w:r>
        <w:t>Cofferdams and caissons</w:t>
      </w:r>
    </w:p>
    <w:p w:rsidR="00AF2508" w:rsidRDefault="00AF2508">
      <w:pPr>
        <w:pStyle w:val="AmdtsEntries"/>
      </w:pPr>
      <w:r>
        <w:t>div 7.2 hdg</w:t>
      </w:r>
      <w:r>
        <w:tab/>
        <w:t>(prev pt 7 div B hdg) renum R2 LA</w:t>
      </w:r>
    </w:p>
    <w:p w:rsidR="00AF2508" w:rsidRDefault="00AF2508">
      <w:pPr>
        <w:pStyle w:val="AmdtsEntryHd"/>
      </w:pPr>
      <w:r>
        <w:t>Trenches</w:t>
      </w:r>
    </w:p>
    <w:p w:rsidR="00AF2508" w:rsidRDefault="00AF2508">
      <w:pPr>
        <w:pStyle w:val="AmdtsEntries"/>
      </w:pPr>
      <w:r>
        <w:t>div 7.3 hdg</w:t>
      </w:r>
      <w:r>
        <w:tab/>
        <w:t>(prev pt 7 div C hdg) renum R2 LA</w:t>
      </w:r>
    </w:p>
    <w:p w:rsidR="00AF2508" w:rsidRDefault="00AF2508">
      <w:pPr>
        <w:pStyle w:val="AmdtsEntryHd"/>
      </w:pPr>
    </w:p>
    <w:p w:rsidR="00AF2508" w:rsidRDefault="00AF2508">
      <w:pPr>
        <w:pStyle w:val="AmdtsEntries"/>
      </w:pPr>
      <w:r>
        <w:t>s 97</w:t>
      </w:r>
      <w:r>
        <w:tab/>
        <w:t>ss renum R2 LA</w:t>
      </w:r>
    </w:p>
    <w:p w:rsidR="00AF2508" w:rsidRDefault="00AF2508">
      <w:pPr>
        <w:pStyle w:val="AmdtsEntryHd"/>
      </w:pPr>
      <w:r>
        <w:t>Shafts, wells and tunnels</w:t>
      </w:r>
    </w:p>
    <w:p w:rsidR="00AF2508" w:rsidRDefault="00AF2508">
      <w:pPr>
        <w:pStyle w:val="AmdtsEntries"/>
      </w:pPr>
      <w:r>
        <w:t>div 7.4 hdg</w:t>
      </w:r>
      <w:r>
        <w:tab/>
        <w:t>(prev pt 7 div D hdg) renum R2 LA</w:t>
      </w:r>
    </w:p>
    <w:p w:rsidR="00AF2508" w:rsidRDefault="00AF2508">
      <w:pPr>
        <w:pStyle w:val="AmdtsEntryHd"/>
      </w:pPr>
    </w:p>
    <w:p w:rsidR="00AF2508" w:rsidRDefault="00AF2508">
      <w:pPr>
        <w:pStyle w:val="AmdtsEntries"/>
      </w:pPr>
      <w:r>
        <w:t>s 98</w:t>
      </w:r>
      <w:r>
        <w:tab/>
        <w:t>ss renum R2 LA</w:t>
      </w:r>
    </w:p>
    <w:p w:rsidR="00AF2508" w:rsidRDefault="00AF2508">
      <w:pPr>
        <w:pStyle w:val="AmdtsEntryHd"/>
      </w:pPr>
      <w:r>
        <w:t>Diving</w:t>
      </w:r>
    </w:p>
    <w:p w:rsidR="00AF2508" w:rsidRDefault="00AF2508">
      <w:pPr>
        <w:pStyle w:val="AmdtsEntries"/>
      </w:pPr>
      <w:r>
        <w:t>div 8.1 hdg</w:t>
      </w:r>
      <w:r>
        <w:tab/>
        <w:t>(prev pt 8 div A hdg) renum R2 LA</w:t>
      </w:r>
    </w:p>
    <w:p w:rsidR="00AF2508" w:rsidRDefault="00AF2508">
      <w:pPr>
        <w:pStyle w:val="AmdtsEntryHd"/>
      </w:pPr>
    </w:p>
    <w:p w:rsidR="00AF2508" w:rsidRDefault="00AF2508">
      <w:pPr>
        <w:pStyle w:val="AmdtsEntries"/>
      </w:pPr>
      <w:r>
        <w:t>s 99</w:t>
      </w:r>
      <w:r>
        <w:tab/>
        <w:t>am regs gazetted 22 June 1956; Act 1957 No 8 sch pt 2; 1999 No 19 sch; ss etc renum R2 LA</w:t>
      </w:r>
    </w:p>
    <w:p w:rsidR="00AF2508" w:rsidRDefault="00AF2508">
      <w:pPr>
        <w:pStyle w:val="AmdtsEntryHd"/>
      </w:pPr>
      <w:r>
        <w:t>Tunnelling</w:t>
      </w:r>
    </w:p>
    <w:p w:rsidR="00AF2508" w:rsidRDefault="00AF2508">
      <w:pPr>
        <w:pStyle w:val="AmdtsEntries"/>
      </w:pPr>
      <w:r>
        <w:t>div 8.2 hdg</w:t>
      </w:r>
      <w:r>
        <w:tab/>
        <w:t>(prev pt 8 div B hdg) renum R2 LA</w:t>
      </w:r>
    </w:p>
    <w:p w:rsidR="00AF2508" w:rsidRDefault="00AF2508">
      <w:pPr>
        <w:pStyle w:val="AmdtsEntryHd"/>
      </w:pPr>
    </w:p>
    <w:p w:rsidR="00AF2508" w:rsidRDefault="00AF2508">
      <w:pPr>
        <w:pStyle w:val="AmdtsEntries"/>
      </w:pPr>
      <w:r>
        <w:t>s 100</w:t>
      </w:r>
      <w:r>
        <w:tab/>
        <w:t>am regs gazetted 22 June 1956; Act 1957 No 8 sch pt 2; 1986 No 9 s 3; 1999 No 19 sch; ss etc renum R2 LA</w:t>
      </w:r>
    </w:p>
    <w:p w:rsidR="00AF2508" w:rsidRDefault="00AF2508">
      <w:pPr>
        <w:pStyle w:val="AmdtsEntryHd"/>
      </w:pPr>
      <w:r>
        <w:t>Caissons</w:t>
      </w:r>
    </w:p>
    <w:p w:rsidR="00AF2508" w:rsidRDefault="00AF2508">
      <w:pPr>
        <w:pStyle w:val="AmdtsEntries"/>
      </w:pPr>
      <w:r>
        <w:t>div 8.3 hdg</w:t>
      </w:r>
      <w:r>
        <w:tab/>
        <w:t>renum R2 LA</w:t>
      </w:r>
    </w:p>
    <w:p w:rsidR="00AF2508" w:rsidRDefault="00AF2508">
      <w:pPr>
        <w:pStyle w:val="AmdtsEntryHd"/>
      </w:pPr>
    </w:p>
    <w:p w:rsidR="00AF2508" w:rsidRDefault="00AF2508">
      <w:pPr>
        <w:pStyle w:val="AmdtsEntries"/>
      </w:pPr>
      <w:r>
        <w:t>s 101</w:t>
      </w:r>
      <w:r>
        <w:tab/>
        <w:t>am regs gazetted 22 June 1956; Act 1957 No 8 sch pt 2; 1986 No 9; 1999 No 19 s 2 sch; ss etc renum R2 LA</w:t>
      </w:r>
    </w:p>
    <w:p w:rsidR="00AF2508" w:rsidRDefault="00AF2508">
      <w:pPr>
        <w:pStyle w:val="AmdtsEntryHd"/>
      </w:pPr>
    </w:p>
    <w:p w:rsidR="00AF2508" w:rsidRDefault="00AF2508">
      <w:pPr>
        <w:pStyle w:val="AmdtsEntries"/>
      </w:pPr>
      <w:r>
        <w:t>pt 9 hdg</w:t>
      </w:r>
      <w:r>
        <w:tab/>
        <w:t>om 1999 No 19 sch</w:t>
      </w:r>
    </w:p>
    <w:p w:rsidR="00AF2508" w:rsidRDefault="00AF2508">
      <w:pPr>
        <w:pStyle w:val="AmdtsEntryHd"/>
      </w:pPr>
    </w:p>
    <w:p w:rsidR="00AF2508" w:rsidRDefault="00AF2508">
      <w:pPr>
        <w:pStyle w:val="AmdtsEntries"/>
      </w:pPr>
      <w:r>
        <w:t>s 102</w:t>
      </w:r>
      <w:r>
        <w:tab/>
        <w:t>om 1999 No 19 sch</w:t>
      </w:r>
    </w:p>
    <w:p w:rsidR="00AF2508" w:rsidRDefault="00AF2508">
      <w:pPr>
        <w:pStyle w:val="AmdtsEntryHd"/>
      </w:pPr>
    </w:p>
    <w:p w:rsidR="00AF2508" w:rsidRDefault="00AF2508">
      <w:pPr>
        <w:pStyle w:val="AmdtsEntries"/>
      </w:pPr>
      <w:r>
        <w:t>s 103</w:t>
      </w:r>
      <w:r>
        <w:tab/>
        <w:t>am Act 1957 No 8 sch pt 2</w:t>
      </w:r>
    </w:p>
    <w:p w:rsidR="00AF2508" w:rsidRDefault="00AF2508">
      <w:pPr>
        <w:pStyle w:val="AmdtsEntries"/>
      </w:pPr>
      <w:r>
        <w:tab/>
        <w:t>om 1999 No 19 sch</w:t>
      </w:r>
    </w:p>
    <w:p w:rsidR="00AF2508" w:rsidRDefault="00AF2508">
      <w:pPr>
        <w:pStyle w:val="AmdtsEntryHd"/>
      </w:pPr>
    </w:p>
    <w:p w:rsidR="00AF2508" w:rsidRDefault="00AF2508">
      <w:pPr>
        <w:pStyle w:val="AmdtsEntries"/>
      </w:pPr>
      <w:r>
        <w:t>s 104</w:t>
      </w:r>
      <w:r>
        <w:tab/>
        <w:t>om 1999 No 19 sch</w:t>
      </w:r>
    </w:p>
    <w:p w:rsidR="00AF2508" w:rsidRDefault="00AF2508">
      <w:pPr>
        <w:pStyle w:val="AmdtsEntryHd"/>
      </w:pPr>
    </w:p>
    <w:p w:rsidR="00AF2508" w:rsidRDefault="00AF2508">
      <w:pPr>
        <w:pStyle w:val="AmdtsEntries"/>
      </w:pPr>
      <w:r>
        <w:t>s 105</w:t>
      </w:r>
      <w:r>
        <w:tab/>
        <w:t>om 1999 No 19 sch</w:t>
      </w:r>
    </w:p>
    <w:p w:rsidR="00AF2508" w:rsidRDefault="00AF2508">
      <w:pPr>
        <w:pStyle w:val="AmdtsEntryHd"/>
      </w:pPr>
    </w:p>
    <w:p w:rsidR="00AF2508" w:rsidRDefault="00AF2508">
      <w:pPr>
        <w:pStyle w:val="AmdtsEntries"/>
      </w:pPr>
      <w:r>
        <w:t>s 106</w:t>
      </w:r>
      <w:r>
        <w:tab/>
        <w:t>om 1999 No 19 sch</w:t>
      </w:r>
    </w:p>
    <w:p w:rsidR="00AF2508" w:rsidRDefault="00AF2508">
      <w:pPr>
        <w:pStyle w:val="AmdtsEntryHd"/>
      </w:pPr>
    </w:p>
    <w:p w:rsidR="00AF2508" w:rsidRDefault="00AF2508">
      <w:pPr>
        <w:pStyle w:val="AmdtsEntries"/>
      </w:pPr>
      <w:r>
        <w:t>s 107</w:t>
      </w:r>
      <w:r>
        <w:tab/>
        <w:t>om 1999 No 19 sch</w:t>
      </w:r>
    </w:p>
    <w:p w:rsidR="00AF2508" w:rsidRDefault="00AF2508">
      <w:pPr>
        <w:pStyle w:val="AmdtsEntryHd"/>
      </w:pPr>
    </w:p>
    <w:p w:rsidR="00AF2508" w:rsidRDefault="00AF2508">
      <w:pPr>
        <w:pStyle w:val="AmdtsEntries"/>
      </w:pPr>
      <w:r>
        <w:t>s 108</w:t>
      </w:r>
      <w:r>
        <w:tab/>
        <w:t>om 1999 No 19 sch</w:t>
      </w:r>
    </w:p>
    <w:p w:rsidR="00AF2508" w:rsidRDefault="00AF2508">
      <w:pPr>
        <w:pStyle w:val="AmdtsEntryHd"/>
      </w:pPr>
    </w:p>
    <w:p w:rsidR="00AF2508" w:rsidRDefault="00AF2508">
      <w:pPr>
        <w:pStyle w:val="AmdtsEntries"/>
      </w:pPr>
      <w:r>
        <w:t>s 109</w:t>
      </w:r>
      <w:r>
        <w:tab/>
        <w:t>om 1999 No 19 sch</w:t>
      </w:r>
    </w:p>
    <w:p w:rsidR="00AF2508" w:rsidRDefault="00AF2508">
      <w:pPr>
        <w:pStyle w:val="AmdtsEntryHd"/>
      </w:pPr>
    </w:p>
    <w:p w:rsidR="00AF2508" w:rsidRDefault="00AF2508">
      <w:pPr>
        <w:pStyle w:val="AmdtsEntries"/>
      </w:pPr>
      <w:r>
        <w:t>s 110</w:t>
      </w:r>
      <w:r>
        <w:tab/>
        <w:t>om 1999 No 19 sch</w:t>
      </w:r>
    </w:p>
    <w:p w:rsidR="00AF2508" w:rsidRDefault="00AF2508">
      <w:pPr>
        <w:pStyle w:val="AmdtsEntryHd"/>
      </w:pPr>
    </w:p>
    <w:p w:rsidR="00AF2508" w:rsidRDefault="00AF2508">
      <w:pPr>
        <w:pStyle w:val="AmdtsEntries"/>
      </w:pPr>
      <w:r>
        <w:t>s 111</w:t>
      </w:r>
      <w:r>
        <w:tab/>
        <w:t>om 1999 No 19 sch</w:t>
      </w:r>
    </w:p>
    <w:p w:rsidR="00AF2508" w:rsidRDefault="00AF2508">
      <w:pPr>
        <w:pStyle w:val="AmdtsEntryHd"/>
      </w:pPr>
    </w:p>
    <w:p w:rsidR="00AF2508" w:rsidRDefault="00AF2508">
      <w:pPr>
        <w:pStyle w:val="AmdtsEntries"/>
      </w:pPr>
      <w:r>
        <w:t>s 112</w:t>
      </w:r>
      <w:r>
        <w:tab/>
        <w:t>om 1999 No 19 sch</w:t>
      </w:r>
    </w:p>
    <w:p w:rsidR="00AF2508" w:rsidRDefault="00AF2508">
      <w:pPr>
        <w:pStyle w:val="AmdtsEntryHd"/>
      </w:pPr>
    </w:p>
    <w:p w:rsidR="00AF2508" w:rsidRDefault="00AF2508">
      <w:pPr>
        <w:pStyle w:val="AmdtsEntries"/>
      </w:pPr>
      <w:r>
        <w:t>s 113</w:t>
      </w:r>
      <w:r>
        <w:tab/>
        <w:t>om 1999 No 19 sch</w:t>
      </w:r>
    </w:p>
    <w:p w:rsidR="00AF2508" w:rsidRDefault="00AF2508">
      <w:pPr>
        <w:pStyle w:val="AmdtsEntryHd"/>
      </w:pPr>
    </w:p>
    <w:p w:rsidR="00AF2508" w:rsidRDefault="00AF2508">
      <w:pPr>
        <w:pStyle w:val="AmdtsEntries"/>
      </w:pPr>
      <w:r>
        <w:t>s 114</w:t>
      </w:r>
      <w:r>
        <w:tab/>
        <w:t>om 1999 No 19 sch</w:t>
      </w:r>
    </w:p>
    <w:p w:rsidR="00AF2508" w:rsidRDefault="00AF2508">
      <w:pPr>
        <w:pStyle w:val="AmdtsEntryHd"/>
      </w:pPr>
    </w:p>
    <w:p w:rsidR="00AF2508" w:rsidRDefault="00AF2508">
      <w:pPr>
        <w:pStyle w:val="AmdtsEntries"/>
      </w:pPr>
      <w:r>
        <w:t>s 115</w:t>
      </w:r>
      <w:r>
        <w:tab/>
        <w:t>om 1999 No 19 sch</w:t>
      </w:r>
    </w:p>
    <w:p w:rsidR="00AF2508" w:rsidRDefault="00AF2508">
      <w:pPr>
        <w:pStyle w:val="AmdtsEntryHd"/>
      </w:pPr>
    </w:p>
    <w:p w:rsidR="00AF2508" w:rsidRDefault="00AF2508">
      <w:pPr>
        <w:pStyle w:val="AmdtsEntries"/>
      </w:pPr>
      <w:r>
        <w:t>s 116</w:t>
      </w:r>
      <w:r>
        <w:tab/>
        <w:t>om 1999 No 19 sch</w:t>
      </w:r>
    </w:p>
    <w:p w:rsidR="00AF2508" w:rsidRDefault="00AF2508">
      <w:pPr>
        <w:pStyle w:val="AmdtsEntryHd"/>
      </w:pPr>
    </w:p>
    <w:p w:rsidR="00AF2508" w:rsidRDefault="00AF2508">
      <w:pPr>
        <w:pStyle w:val="AmdtsEntries"/>
      </w:pPr>
      <w:r>
        <w:t>s 117</w:t>
      </w:r>
      <w:r>
        <w:tab/>
        <w:t>om 1999 No 19 sch</w:t>
      </w:r>
    </w:p>
    <w:p w:rsidR="00AF2508" w:rsidRDefault="00AF2508">
      <w:pPr>
        <w:pStyle w:val="AmdtsEntries"/>
      </w:pPr>
    </w:p>
    <w:p w:rsidR="00AF2508" w:rsidRDefault="00AF2508">
      <w:pPr>
        <w:pStyle w:val="AmdtsEntries"/>
      </w:pPr>
      <w:r>
        <w:t>s 118</w:t>
      </w:r>
      <w:r>
        <w:tab/>
        <w:t>om 1999 No 19 sch</w:t>
      </w:r>
    </w:p>
    <w:p w:rsidR="00AF2508" w:rsidRDefault="00AF2508">
      <w:pPr>
        <w:pStyle w:val="AmdtsEntryHd"/>
        <w:rPr>
          <w:color w:val="000000"/>
        </w:rPr>
      </w:pPr>
      <w:r>
        <w:rPr>
          <w:color w:val="000000"/>
        </w:rPr>
        <w:t>Explosive-powered tools—safety measures</w:t>
      </w:r>
    </w:p>
    <w:p w:rsidR="00AF2508" w:rsidRDefault="00AF2508">
      <w:pPr>
        <w:pStyle w:val="AmdtsEntries"/>
      </w:pPr>
      <w:r>
        <w:t>pt 9A hdg</w:t>
      </w:r>
      <w:r>
        <w:tab/>
        <w:t>sub A2007-3 amdt 3.472</w:t>
      </w:r>
    </w:p>
    <w:p w:rsidR="00AF2508" w:rsidRDefault="00AF2508">
      <w:pPr>
        <w:pStyle w:val="AmdtsEntryHd"/>
      </w:pPr>
    </w:p>
    <w:p w:rsidR="00AF2508" w:rsidRDefault="00AF2508">
      <w:pPr>
        <w:pStyle w:val="AmdtsEntries"/>
      </w:pPr>
      <w:r>
        <w:t>s 118A</w:t>
      </w:r>
      <w:r>
        <w:tab/>
        <w:t>ins regs gazetted 9 March 1956</w:t>
      </w:r>
    </w:p>
    <w:p w:rsidR="00AF2508" w:rsidRDefault="00AF2508">
      <w:pPr>
        <w:pStyle w:val="AmdtsEntryHd"/>
      </w:pPr>
    </w:p>
    <w:p w:rsidR="00AF2508" w:rsidRDefault="00AF2508">
      <w:pPr>
        <w:pStyle w:val="AmdtsEntries"/>
      </w:pPr>
      <w:r>
        <w:t>s 118B</w:t>
      </w:r>
      <w:r>
        <w:tab/>
        <w:t>ins regs gazetted 9 March 1956; ss etc renum R2 LA</w:t>
      </w:r>
    </w:p>
    <w:p w:rsidR="00AF2508" w:rsidRDefault="00AF2508">
      <w:pPr>
        <w:pStyle w:val="AmdtsEntryHd"/>
      </w:pPr>
    </w:p>
    <w:p w:rsidR="00AF2508" w:rsidRDefault="00AF2508">
      <w:pPr>
        <w:pStyle w:val="AmdtsEntries"/>
      </w:pPr>
      <w:r>
        <w:t>s 118C</w:t>
      </w:r>
      <w:r>
        <w:tab/>
        <w:t>ins regs gazetted 9 March 1956; ss renum R2 LA</w:t>
      </w:r>
    </w:p>
    <w:p w:rsidR="00AF2508" w:rsidRDefault="00AF2508">
      <w:pPr>
        <w:pStyle w:val="AmdtsEntryHd"/>
      </w:pPr>
    </w:p>
    <w:p w:rsidR="00AF2508" w:rsidRDefault="00AF2508">
      <w:pPr>
        <w:pStyle w:val="AmdtsEntries"/>
      </w:pPr>
      <w:r>
        <w:t>s 118D</w:t>
      </w:r>
      <w:r>
        <w:tab/>
        <w:t>ins regs gazetted 9 March 1956; ss etc renum R2 LA</w:t>
      </w:r>
    </w:p>
    <w:p w:rsidR="00AF2508" w:rsidRDefault="00AF2508">
      <w:pPr>
        <w:pStyle w:val="AmdtsEntryHd"/>
      </w:pPr>
    </w:p>
    <w:p w:rsidR="00AF2508" w:rsidRDefault="00AF2508">
      <w:pPr>
        <w:pStyle w:val="AmdtsEntries"/>
      </w:pPr>
      <w:r>
        <w:t>s 118E</w:t>
      </w:r>
      <w:r>
        <w:tab/>
        <w:t>ins regs gazetted 9 March 1956; ss etc renum R2 LA</w:t>
      </w:r>
    </w:p>
    <w:p w:rsidR="00AF2508" w:rsidRDefault="00AF2508">
      <w:pPr>
        <w:pStyle w:val="AmdtsEntryHd"/>
      </w:pPr>
    </w:p>
    <w:p w:rsidR="00AF2508" w:rsidRDefault="00AF2508">
      <w:pPr>
        <w:pStyle w:val="AmdtsEntries"/>
      </w:pPr>
      <w:r>
        <w:t>s 118F</w:t>
      </w:r>
      <w:r>
        <w:tab/>
        <w:t>ins regs gazetted 9 March 1956; ss renum R2 LA</w:t>
      </w:r>
    </w:p>
    <w:p w:rsidR="00AF2508" w:rsidRDefault="00AF2508">
      <w:pPr>
        <w:pStyle w:val="AmdtsEntryHd"/>
      </w:pPr>
    </w:p>
    <w:p w:rsidR="00AF2508" w:rsidRDefault="00AF2508">
      <w:pPr>
        <w:pStyle w:val="AmdtsEntries"/>
      </w:pPr>
      <w:r>
        <w:t>s 118G</w:t>
      </w:r>
      <w:r>
        <w:tab/>
        <w:t>ins regs gazetted 9 March 1956; ss renum R2 LA</w:t>
      </w:r>
    </w:p>
    <w:p w:rsidR="00AF2508" w:rsidRDefault="00AF2508">
      <w:pPr>
        <w:pStyle w:val="AmdtsEntryHd"/>
      </w:pPr>
    </w:p>
    <w:p w:rsidR="00AF2508" w:rsidRDefault="00AF2508">
      <w:pPr>
        <w:pStyle w:val="AmdtsEntries"/>
      </w:pPr>
      <w:r>
        <w:t>s 118H</w:t>
      </w:r>
      <w:r>
        <w:tab/>
        <w:t>ins regs gazetted 9 March 1956</w:t>
      </w:r>
    </w:p>
    <w:p w:rsidR="00AF2508" w:rsidRDefault="00AF2508">
      <w:pPr>
        <w:pStyle w:val="AmdtsEntryHd"/>
      </w:pPr>
      <w:r>
        <w:t>First-aid equipment</w:t>
      </w:r>
    </w:p>
    <w:p w:rsidR="00AF2508" w:rsidRDefault="00AF2508">
      <w:pPr>
        <w:pStyle w:val="AmdtsEntries"/>
      </w:pPr>
      <w:r>
        <w:t>div 10.1 hdg</w:t>
      </w:r>
      <w:r>
        <w:tab/>
        <w:t>(prev pt 10 div A hdg) renum R2 LA</w:t>
      </w:r>
    </w:p>
    <w:p w:rsidR="00AF2508" w:rsidRDefault="00AF2508">
      <w:pPr>
        <w:pStyle w:val="AmdtsEntryHd"/>
      </w:pPr>
    </w:p>
    <w:p w:rsidR="00AF2508" w:rsidRDefault="00AF2508">
      <w:pPr>
        <w:pStyle w:val="AmdtsEntries"/>
      </w:pPr>
      <w:r>
        <w:t>s 119</w:t>
      </w:r>
      <w:r>
        <w:tab/>
        <w:t>am regs gazetted 3 December 1954; ss renum R2 LA</w:t>
      </w:r>
    </w:p>
    <w:p w:rsidR="00AF2508" w:rsidRDefault="00AF2508">
      <w:pPr>
        <w:pStyle w:val="AmdtsEntryHd"/>
      </w:pPr>
      <w:r>
        <w:t>Shelter, change and dining accommodation</w:t>
      </w:r>
    </w:p>
    <w:p w:rsidR="00AF2508" w:rsidRDefault="00AF2508">
      <w:pPr>
        <w:pStyle w:val="AmdtsEntries"/>
      </w:pPr>
      <w:r>
        <w:t>div 10.2 hdg</w:t>
      </w:r>
      <w:r>
        <w:tab/>
        <w:t>(prev pt 10 div B hdg) renum R2 LA</w:t>
      </w:r>
    </w:p>
    <w:p w:rsidR="00AF2508" w:rsidRDefault="00AF2508">
      <w:pPr>
        <w:pStyle w:val="AmdtsEntryHd"/>
      </w:pPr>
    </w:p>
    <w:p w:rsidR="00AF2508" w:rsidRDefault="00AF2508">
      <w:pPr>
        <w:pStyle w:val="AmdtsEntries"/>
      </w:pPr>
      <w:r>
        <w:t>s 120</w:t>
      </w:r>
      <w:r>
        <w:tab/>
        <w:t>ss etc renum R2 LA</w:t>
      </w:r>
    </w:p>
    <w:p w:rsidR="00AF2508" w:rsidRDefault="00AF2508">
      <w:pPr>
        <w:pStyle w:val="AmdtsEntryHd"/>
      </w:pPr>
      <w:r>
        <w:t>Sanitary conveniences and washing facilities</w:t>
      </w:r>
    </w:p>
    <w:p w:rsidR="00AF2508" w:rsidRDefault="00AF2508">
      <w:pPr>
        <w:pStyle w:val="AmdtsEntries"/>
      </w:pPr>
      <w:r>
        <w:t>div 10.3 hdg</w:t>
      </w:r>
      <w:r>
        <w:tab/>
        <w:t>(prev pt 10 div C hdg) renum R2 LA</w:t>
      </w:r>
    </w:p>
    <w:p w:rsidR="00AF2508" w:rsidRDefault="00AF2508">
      <w:pPr>
        <w:pStyle w:val="AmdtsEntryHd"/>
      </w:pPr>
    </w:p>
    <w:p w:rsidR="00AF2508" w:rsidRDefault="00AF2508">
      <w:pPr>
        <w:pStyle w:val="AmdtsEntries"/>
      </w:pPr>
      <w:r>
        <w:t>s 121</w:t>
      </w:r>
      <w:r>
        <w:tab/>
        <w:t>am Act 1957 No 8 sch pt 2 (as am ord 1968 No 5 s 2); 1986 No 9 s 4; ss etc renum R2 LA</w:t>
      </w:r>
    </w:p>
    <w:p w:rsidR="00AF2508" w:rsidRDefault="00AF2508">
      <w:pPr>
        <w:pStyle w:val="AmdtsEntryHd"/>
      </w:pPr>
    </w:p>
    <w:p w:rsidR="00AF2508" w:rsidRDefault="00AF2508">
      <w:pPr>
        <w:pStyle w:val="AmdtsEntries"/>
      </w:pPr>
      <w:r>
        <w:t>s 122</w:t>
      </w:r>
      <w:r>
        <w:tab/>
        <w:t>am Act 1957 No 8 sch pt 2; ss etc renum R2 LA</w:t>
      </w:r>
    </w:p>
    <w:p w:rsidR="00AF2508" w:rsidRDefault="00AF2508">
      <w:pPr>
        <w:pStyle w:val="AmdtsEntryHd"/>
      </w:pPr>
    </w:p>
    <w:p w:rsidR="00AF2508" w:rsidRDefault="00AF2508">
      <w:pPr>
        <w:pStyle w:val="AmdtsEntries"/>
      </w:pPr>
      <w:r>
        <w:t>s 123</w:t>
      </w:r>
      <w:r>
        <w:tab/>
        <w:t>ss renum R2 LA</w:t>
      </w:r>
    </w:p>
    <w:p w:rsidR="00AF2508" w:rsidRDefault="00AF2508">
      <w:pPr>
        <w:pStyle w:val="AmdtsEntryHd"/>
      </w:pPr>
    </w:p>
    <w:p w:rsidR="00AF2508" w:rsidRDefault="00AF2508">
      <w:pPr>
        <w:pStyle w:val="AmdtsEntries"/>
      </w:pPr>
      <w:r>
        <w:t>s 124</w:t>
      </w:r>
      <w:r>
        <w:tab/>
        <w:t>ss renum R2 LA</w:t>
      </w:r>
    </w:p>
    <w:p w:rsidR="00AF2508" w:rsidRDefault="00AF2508">
      <w:pPr>
        <w:pStyle w:val="AmdtsEntryHd"/>
      </w:pPr>
    </w:p>
    <w:p w:rsidR="00AF2508" w:rsidRDefault="00AF2508">
      <w:pPr>
        <w:pStyle w:val="AmdtsEntries"/>
      </w:pPr>
      <w:r>
        <w:t>s 125</w:t>
      </w:r>
      <w:r>
        <w:tab/>
        <w:t>ss renum R2 LA</w:t>
      </w:r>
    </w:p>
    <w:p w:rsidR="00AF2508" w:rsidRDefault="00AF2508">
      <w:pPr>
        <w:pStyle w:val="AmdtsEntryHd"/>
      </w:pPr>
    </w:p>
    <w:p w:rsidR="00AF2508" w:rsidRDefault="00AF2508">
      <w:pPr>
        <w:pStyle w:val="AmdtsEntries"/>
      </w:pPr>
      <w:r>
        <w:t>s 126</w:t>
      </w:r>
      <w:r>
        <w:tab/>
        <w:t>ss etc renum R2 LA</w:t>
      </w:r>
    </w:p>
    <w:p w:rsidR="00AF2508" w:rsidRDefault="00AF2508">
      <w:pPr>
        <w:pStyle w:val="AmdtsEntryHd"/>
      </w:pPr>
    </w:p>
    <w:p w:rsidR="00AF2508" w:rsidRDefault="00AF2508">
      <w:pPr>
        <w:pStyle w:val="AmdtsEntries"/>
      </w:pPr>
      <w:r>
        <w:t>s 127</w:t>
      </w:r>
      <w:r>
        <w:tab/>
        <w:t>am regs gazetted 5 August 1955; Act 2001 No 11 amdt 3.260; ss etc renum R2 LA</w:t>
      </w:r>
    </w:p>
    <w:p w:rsidR="00AF2508" w:rsidRDefault="00AF2508">
      <w:pPr>
        <w:pStyle w:val="AmdtsEntryHd"/>
      </w:pPr>
    </w:p>
    <w:p w:rsidR="00AF2508" w:rsidRDefault="00AF2508">
      <w:pPr>
        <w:pStyle w:val="AmdtsEntries"/>
      </w:pPr>
      <w:r>
        <w:t>s 128</w:t>
      </w:r>
      <w:r>
        <w:tab/>
        <w:t>ss renum R2 LA</w:t>
      </w:r>
    </w:p>
    <w:p w:rsidR="00AF2508" w:rsidRDefault="00AF2508">
      <w:pPr>
        <w:pStyle w:val="AmdtsEntryHd"/>
      </w:pPr>
    </w:p>
    <w:p w:rsidR="00AF2508" w:rsidRDefault="00AF2508">
      <w:pPr>
        <w:pStyle w:val="AmdtsEntries"/>
      </w:pPr>
      <w:r>
        <w:t>s 129</w:t>
      </w:r>
      <w:r>
        <w:tab/>
        <w:t>ss renum R2 LA</w:t>
      </w:r>
    </w:p>
    <w:p w:rsidR="00AF2508" w:rsidRDefault="00AF2508">
      <w:pPr>
        <w:pStyle w:val="AmdtsEntryHd"/>
      </w:pPr>
    </w:p>
    <w:p w:rsidR="00AF2508" w:rsidRDefault="00AF2508">
      <w:pPr>
        <w:pStyle w:val="AmdtsEntries"/>
      </w:pPr>
      <w:r>
        <w:t>s 130</w:t>
      </w:r>
      <w:r>
        <w:tab/>
        <w:t>am regs gazetted 3 December 1954; ss renum R2 LA</w:t>
      </w:r>
    </w:p>
    <w:p w:rsidR="00AF2508" w:rsidRDefault="00AF2508">
      <w:pPr>
        <w:pStyle w:val="AmdtsEntryHd"/>
      </w:pPr>
    </w:p>
    <w:p w:rsidR="00AF2508" w:rsidRDefault="00AF2508">
      <w:pPr>
        <w:pStyle w:val="AmdtsEntries"/>
      </w:pPr>
      <w:r>
        <w:t>s 131</w:t>
      </w:r>
      <w:r>
        <w:tab/>
        <w:t>ss renum R2 LA</w:t>
      </w:r>
    </w:p>
    <w:p w:rsidR="00AF2508" w:rsidRDefault="00AF2508">
      <w:pPr>
        <w:pStyle w:val="AmdtsEntryHd"/>
      </w:pPr>
    </w:p>
    <w:p w:rsidR="00AF2508" w:rsidRDefault="00AF2508">
      <w:pPr>
        <w:pStyle w:val="AmdtsEntries"/>
      </w:pPr>
      <w:r>
        <w:t>s 132</w:t>
      </w:r>
      <w:r>
        <w:tab/>
        <w:t>am regs gazetted 5 August 1955; ss etc renum R2 LA</w:t>
      </w:r>
    </w:p>
    <w:p w:rsidR="00AF2508" w:rsidRDefault="00AF2508">
      <w:pPr>
        <w:pStyle w:val="AmdtsEntryHd"/>
      </w:pPr>
    </w:p>
    <w:p w:rsidR="00AF2508" w:rsidRDefault="00AF2508">
      <w:pPr>
        <w:pStyle w:val="AmdtsEntries"/>
      </w:pPr>
      <w:r>
        <w:t>s 132A</w:t>
      </w:r>
      <w:r>
        <w:tab/>
        <w:t>ins regs gazetted 1 March 1957; ss renum R2 LA</w:t>
      </w:r>
    </w:p>
    <w:p w:rsidR="00AF2508" w:rsidRDefault="00AF2508">
      <w:pPr>
        <w:pStyle w:val="AmdtsEntryHd"/>
      </w:pPr>
    </w:p>
    <w:p w:rsidR="00AF2508" w:rsidRDefault="00AF2508">
      <w:pPr>
        <w:pStyle w:val="AmdtsEntries"/>
      </w:pPr>
      <w:r>
        <w:t>s 133</w:t>
      </w:r>
      <w:r>
        <w:tab/>
        <w:t>ss renum R2 LA</w:t>
      </w:r>
    </w:p>
    <w:p w:rsidR="00AF2508" w:rsidRDefault="00AF2508">
      <w:pPr>
        <w:pStyle w:val="AmdtsEntryHd"/>
      </w:pPr>
    </w:p>
    <w:p w:rsidR="00AF2508" w:rsidRDefault="00AF2508">
      <w:pPr>
        <w:pStyle w:val="AmdtsEntries"/>
      </w:pPr>
      <w:r>
        <w:t>s 134</w:t>
      </w:r>
      <w:r>
        <w:tab/>
        <w:t>ss renum R2 LA</w:t>
      </w:r>
    </w:p>
    <w:p w:rsidR="00AF2508" w:rsidRDefault="00AF2508">
      <w:pPr>
        <w:pStyle w:val="AmdtsEntryHd"/>
      </w:pPr>
    </w:p>
    <w:p w:rsidR="00AF2508" w:rsidRDefault="00AF2508">
      <w:pPr>
        <w:pStyle w:val="AmdtsEntries"/>
      </w:pPr>
      <w:r>
        <w:t>s 135</w:t>
      </w:r>
      <w:r>
        <w:tab/>
        <w:t>ss renum R2 LA</w:t>
      </w:r>
    </w:p>
    <w:p w:rsidR="00AF2508" w:rsidRDefault="00AF2508">
      <w:pPr>
        <w:pStyle w:val="AmdtsEntryHd"/>
      </w:pPr>
    </w:p>
    <w:p w:rsidR="00AF2508" w:rsidRDefault="00AF2508">
      <w:pPr>
        <w:pStyle w:val="AmdtsEntries"/>
      </w:pPr>
      <w:r>
        <w:t>s 136</w:t>
      </w:r>
      <w:r>
        <w:tab/>
        <w:t>ss renum R2 LA</w:t>
      </w:r>
    </w:p>
    <w:p w:rsidR="00AF2508" w:rsidRDefault="00AF2508">
      <w:pPr>
        <w:pStyle w:val="AmdtsEntryHd"/>
      </w:pPr>
    </w:p>
    <w:p w:rsidR="00AF2508" w:rsidRDefault="00AF2508">
      <w:pPr>
        <w:pStyle w:val="AmdtsEntries"/>
      </w:pPr>
      <w:r>
        <w:t>s 137</w:t>
      </w:r>
      <w:r>
        <w:tab/>
        <w:t>ss renum R2 LA</w:t>
      </w:r>
    </w:p>
    <w:p w:rsidR="00AF2508" w:rsidRDefault="00AF2508">
      <w:pPr>
        <w:pStyle w:val="AmdtsEntryHd"/>
      </w:pPr>
    </w:p>
    <w:p w:rsidR="00AF2508" w:rsidRDefault="00AF2508">
      <w:pPr>
        <w:pStyle w:val="AmdtsEntries"/>
      </w:pPr>
      <w:r>
        <w:t>s 138</w:t>
      </w:r>
      <w:r>
        <w:tab/>
        <w:t>am 2000 No 47 s 13; ss renum R2 LA</w:t>
      </w:r>
    </w:p>
    <w:p w:rsidR="00AF2508" w:rsidRDefault="00AF2508">
      <w:pPr>
        <w:pStyle w:val="AmdtsEntryHd"/>
      </w:pPr>
    </w:p>
    <w:p w:rsidR="00AF2508" w:rsidRDefault="00AF2508">
      <w:pPr>
        <w:pStyle w:val="AmdtsEntries"/>
      </w:pPr>
      <w:r>
        <w:t>s 139</w:t>
      </w:r>
      <w:r>
        <w:tab/>
        <w:t>ss etc renum R2 LA</w:t>
      </w:r>
    </w:p>
    <w:p w:rsidR="00AF2508" w:rsidRDefault="00AF2508">
      <w:pPr>
        <w:pStyle w:val="AmdtsEntryHd"/>
      </w:pPr>
    </w:p>
    <w:p w:rsidR="00AF2508" w:rsidRDefault="00AF2508">
      <w:pPr>
        <w:pStyle w:val="AmdtsEntries"/>
      </w:pPr>
      <w:r>
        <w:t>s 140</w:t>
      </w:r>
      <w:r>
        <w:tab/>
        <w:t>ss renum R2 LA</w:t>
      </w:r>
    </w:p>
    <w:p w:rsidR="00AF2508" w:rsidRDefault="00AF2508">
      <w:pPr>
        <w:pStyle w:val="AmdtsEntryHd"/>
      </w:pPr>
    </w:p>
    <w:p w:rsidR="00AF2508" w:rsidRDefault="00AF2508">
      <w:pPr>
        <w:pStyle w:val="AmdtsEntries"/>
      </w:pPr>
      <w:r>
        <w:t>s 141</w:t>
      </w:r>
      <w:r>
        <w:tab/>
        <w:t>ss renum R2 LA</w:t>
      </w:r>
    </w:p>
    <w:p w:rsidR="00AF2508" w:rsidRDefault="00AF2508">
      <w:pPr>
        <w:pStyle w:val="AmdtsEntryHd"/>
      </w:pPr>
    </w:p>
    <w:p w:rsidR="00AF2508" w:rsidRDefault="00AF2508">
      <w:pPr>
        <w:pStyle w:val="AmdtsEntries"/>
      </w:pPr>
      <w:r>
        <w:t>s 142</w:t>
      </w:r>
      <w:r>
        <w:tab/>
        <w:t>ss etc renum R2 LA</w:t>
      </w:r>
    </w:p>
    <w:p w:rsidR="00AF2508" w:rsidRDefault="00AF2508">
      <w:pPr>
        <w:pStyle w:val="AmdtsEntryHd"/>
      </w:pPr>
    </w:p>
    <w:p w:rsidR="00AF2508" w:rsidRDefault="00AF2508">
      <w:pPr>
        <w:pStyle w:val="AmdtsEntries"/>
      </w:pPr>
      <w:r>
        <w:t>s 143</w:t>
      </w:r>
      <w:r>
        <w:tab/>
        <w:t>am Act 1957 No 8 sch pt 2; Act 2001 No 11 amdt 3.261; ss etc renum R2 LA</w:t>
      </w:r>
    </w:p>
    <w:p w:rsidR="00AF2508" w:rsidRDefault="00AF2508">
      <w:pPr>
        <w:pStyle w:val="AmdtsEntryHd"/>
      </w:pPr>
    </w:p>
    <w:p w:rsidR="00AF2508" w:rsidRDefault="00AF2508">
      <w:pPr>
        <w:pStyle w:val="AmdtsEntries"/>
      </w:pPr>
      <w:r>
        <w:t>s 144</w:t>
      </w:r>
      <w:r>
        <w:tab/>
        <w:t>am regs gazetted 19 October 1956; Act 2001 No 11 amdt 3.262; ss etc renum R2 LA</w:t>
      </w:r>
    </w:p>
    <w:p w:rsidR="00AF2508" w:rsidRDefault="00AF2508">
      <w:pPr>
        <w:pStyle w:val="AmdtsEntryHd"/>
      </w:pPr>
    </w:p>
    <w:p w:rsidR="00AF2508" w:rsidRDefault="00AF2508">
      <w:pPr>
        <w:pStyle w:val="AmdtsEntries"/>
      </w:pPr>
      <w:r>
        <w:t>s 145</w:t>
      </w:r>
      <w:r>
        <w:tab/>
        <w:t>ss etc renum R2 LA</w:t>
      </w:r>
    </w:p>
    <w:p w:rsidR="00AF2508" w:rsidRDefault="00AF2508">
      <w:pPr>
        <w:pStyle w:val="AmdtsEntryHd"/>
      </w:pPr>
    </w:p>
    <w:p w:rsidR="00AF2508" w:rsidRDefault="00AF2508">
      <w:pPr>
        <w:pStyle w:val="AmdtsEntries"/>
      </w:pPr>
      <w:r>
        <w:t>s 150</w:t>
      </w:r>
      <w:r>
        <w:tab/>
        <w:t>pars renum R2 LA</w:t>
      </w:r>
    </w:p>
    <w:p w:rsidR="00AF2508" w:rsidRDefault="00AF2508">
      <w:pPr>
        <w:pStyle w:val="AmdtsEntryHd"/>
      </w:pPr>
    </w:p>
    <w:p w:rsidR="00AF2508" w:rsidRDefault="00AF2508">
      <w:pPr>
        <w:pStyle w:val="AmdtsEntries"/>
      </w:pPr>
      <w:r>
        <w:t>s 151</w:t>
      </w:r>
      <w:r>
        <w:tab/>
        <w:t>ss renum R2 LA</w:t>
      </w:r>
    </w:p>
    <w:p w:rsidR="00AF2508" w:rsidRDefault="00AF2508">
      <w:pPr>
        <w:pStyle w:val="AmdtsEntryHd"/>
      </w:pPr>
    </w:p>
    <w:p w:rsidR="00AF2508" w:rsidRDefault="00AF2508">
      <w:pPr>
        <w:pStyle w:val="AmdtsEntries"/>
      </w:pPr>
      <w:r>
        <w:t>s 154</w:t>
      </w:r>
      <w:r>
        <w:tab/>
        <w:t>pars etc renum R2 LA</w:t>
      </w:r>
    </w:p>
    <w:p w:rsidR="00AF2508" w:rsidRDefault="00AF2508">
      <w:pPr>
        <w:pStyle w:val="AmdtsEntryHd"/>
      </w:pPr>
    </w:p>
    <w:p w:rsidR="00AF2508" w:rsidRDefault="00AF2508">
      <w:pPr>
        <w:pStyle w:val="AmdtsEntries"/>
      </w:pPr>
      <w:r>
        <w:t>s 156</w:t>
      </w:r>
      <w:r>
        <w:tab/>
        <w:t>ss etc renum R2 LA</w:t>
      </w:r>
    </w:p>
    <w:p w:rsidR="00AF2508" w:rsidRDefault="00AF2508">
      <w:pPr>
        <w:pStyle w:val="AmdtsEntryHd"/>
      </w:pPr>
    </w:p>
    <w:p w:rsidR="00AF2508" w:rsidRDefault="00AF2508">
      <w:pPr>
        <w:pStyle w:val="AmdtsEntries"/>
      </w:pPr>
      <w:r>
        <w:t>s 157</w:t>
      </w:r>
      <w:r>
        <w:tab/>
        <w:t>ss renum R2 LA</w:t>
      </w:r>
    </w:p>
    <w:p w:rsidR="00AF2508" w:rsidRDefault="00AF2508">
      <w:pPr>
        <w:pStyle w:val="AmdtsEntryHd"/>
      </w:pPr>
    </w:p>
    <w:p w:rsidR="00AF2508" w:rsidRDefault="00AF2508">
      <w:pPr>
        <w:pStyle w:val="AmdtsEntries"/>
      </w:pPr>
      <w:r>
        <w:t>s 158</w:t>
      </w:r>
      <w:r>
        <w:tab/>
        <w:t>ss etc renum R2 LA</w:t>
      </w:r>
    </w:p>
    <w:p w:rsidR="00AF2508" w:rsidRDefault="00AF2508">
      <w:pPr>
        <w:pStyle w:val="AmdtsEntryHd"/>
      </w:pPr>
    </w:p>
    <w:p w:rsidR="00AF2508" w:rsidRDefault="00AF2508">
      <w:pPr>
        <w:pStyle w:val="AmdtsEntries"/>
      </w:pPr>
      <w:r>
        <w:t>pt 14 hdg</w:t>
      </w:r>
      <w:r>
        <w:tab/>
        <w:t>om 2000 No 47 s 14</w:t>
      </w:r>
    </w:p>
    <w:p w:rsidR="00AF2508" w:rsidRDefault="00AF2508">
      <w:pPr>
        <w:pStyle w:val="AmdtsEntryHd"/>
      </w:pPr>
    </w:p>
    <w:p w:rsidR="00AF2508" w:rsidRDefault="00AF2508">
      <w:pPr>
        <w:pStyle w:val="AmdtsEntries"/>
      </w:pPr>
      <w:r>
        <w:t>s 159</w:t>
      </w:r>
      <w:r>
        <w:tab/>
        <w:t>am regs gazetted 3 December 1954; Act 1957 No 8 sch pt 2 (as am ord 1976 No 7 s 3; ord 1977 No 28 s 5; ord 1983 No 34 s 5)</w:t>
      </w:r>
    </w:p>
    <w:p w:rsidR="00AF2508" w:rsidRDefault="00AF2508">
      <w:pPr>
        <w:pStyle w:val="AmdtsEntries"/>
      </w:pPr>
      <w:r>
        <w:tab/>
        <w:t>om 2000 No 47 s 14</w:t>
      </w:r>
    </w:p>
    <w:p w:rsidR="00AF2508" w:rsidRDefault="00AF2508">
      <w:pPr>
        <w:pStyle w:val="AmdtsEntryHd"/>
      </w:pPr>
    </w:p>
    <w:p w:rsidR="00AF2508" w:rsidRDefault="00AF2508">
      <w:pPr>
        <w:pStyle w:val="AmdtsEntries"/>
      </w:pPr>
      <w:r>
        <w:t>s 160</w:t>
      </w:r>
      <w:r>
        <w:tab/>
        <w:t>am regs gazetted 3 December 1954; Act 1957 No 8 sch pt 2</w:t>
      </w:r>
    </w:p>
    <w:p w:rsidR="00AF2508" w:rsidRDefault="00AF2508">
      <w:pPr>
        <w:pStyle w:val="AmdtsEntries"/>
      </w:pPr>
      <w:r>
        <w:tab/>
        <w:t>om 2000 No 47 s 14</w:t>
      </w:r>
    </w:p>
    <w:p w:rsidR="00AF2508" w:rsidRDefault="00AF2508">
      <w:pPr>
        <w:pStyle w:val="AmdtsEntryHd"/>
      </w:pPr>
    </w:p>
    <w:p w:rsidR="00AF2508" w:rsidRDefault="00AF2508">
      <w:pPr>
        <w:pStyle w:val="AmdtsEntries"/>
      </w:pPr>
      <w:r>
        <w:t>s 161</w:t>
      </w:r>
      <w:r>
        <w:tab/>
        <w:t>am regs gazetted 3 December 1954; Act 1957 No 8 sch pt 2</w:t>
      </w:r>
    </w:p>
    <w:p w:rsidR="00AF2508" w:rsidRDefault="00AF2508">
      <w:pPr>
        <w:pStyle w:val="AmdtsEntries"/>
      </w:pPr>
      <w:r>
        <w:tab/>
        <w:t>om 2000 No 47 s 14</w:t>
      </w:r>
    </w:p>
    <w:p w:rsidR="00AF2508" w:rsidRDefault="00AF2508">
      <w:pPr>
        <w:pStyle w:val="AmdtsEntryHd"/>
      </w:pPr>
    </w:p>
    <w:p w:rsidR="00AF2508" w:rsidRDefault="00AF2508">
      <w:pPr>
        <w:pStyle w:val="AmdtsEntries"/>
      </w:pPr>
      <w:r>
        <w:t>pt 15 hdg</w:t>
      </w:r>
      <w:r>
        <w:tab/>
        <w:t>om 2000 No 47 s 14</w:t>
      </w:r>
    </w:p>
    <w:p w:rsidR="00AF2508" w:rsidRDefault="00AF2508">
      <w:pPr>
        <w:pStyle w:val="AmdtsEntryHd"/>
      </w:pPr>
    </w:p>
    <w:p w:rsidR="00AF2508" w:rsidRDefault="00AF2508">
      <w:pPr>
        <w:pStyle w:val="AmdtsEntries"/>
      </w:pPr>
      <w:r>
        <w:t>s 162</w:t>
      </w:r>
      <w:r>
        <w:tab/>
        <w:t>am regs gazetted 3 December 1954; Act 1957 No 8 sch pt 2 (as am ord 1977 No 28 s 5; ord 1983 No 34 s 5)</w:t>
      </w:r>
    </w:p>
    <w:p w:rsidR="00AF2508" w:rsidRDefault="00AF2508">
      <w:pPr>
        <w:pStyle w:val="AmdtsEntries"/>
      </w:pPr>
      <w:r>
        <w:tab/>
        <w:t>om 2000 No 47 s 14</w:t>
      </w:r>
    </w:p>
    <w:p w:rsidR="00AF2508" w:rsidRDefault="00AF2508">
      <w:pPr>
        <w:pStyle w:val="AmdtsEntryHd"/>
      </w:pPr>
    </w:p>
    <w:p w:rsidR="00AF2508" w:rsidRDefault="00AF2508">
      <w:pPr>
        <w:pStyle w:val="AmdtsEntries"/>
      </w:pPr>
      <w:r>
        <w:t>s 163</w:t>
      </w:r>
      <w:r>
        <w:tab/>
        <w:t>om Act 1957 No 8 sch pt 2 (as am ord 1983 No 34 s 5)</w:t>
      </w:r>
    </w:p>
    <w:p w:rsidR="00AF2508" w:rsidRDefault="00AF2508">
      <w:pPr>
        <w:pStyle w:val="AmdtsEntryHd"/>
      </w:pPr>
    </w:p>
    <w:p w:rsidR="00AF2508" w:rsidRDefault="00AF2508">
      <w:pPr>
        <w:pStyle w:val="AmdtsEntries"/>
      </w:pPr>
      <w:r>
        <w:t>s 164</w:t>
      </w:r>
      <w:r>
        <w:tab/>
        <w:t>am Act 1957 No 8 sch pt 2 (as am ord 1977 No 28 s 4); ss renum R2 LA</w:t>
      </w:r>
    </w:p>
    <w:p w:rsidR="00AF2508" w:rsidRDefault="00AF2508">
      <w:pPr>
        <w:pStyle w:val="AmdtsEntryHd"/>
      </w:pPr>
    </w:p>
    <w:p w:rsidR="00AF2508" w:rsidRDefault="00AF2508">
      <w:pPr>
        <w:pStyle w:val="AmdtsEntries"/>
      </w:pPr>
      <w:r>
        <w:t>sch 1</w:t>
      </w:r>
      <w:r>
        <w:tab/>
        <w:t>am regs gazetted 3 November 1950; regs gazetted 6 March 1953; regs gazetted 22 June 1956; Act 1957 No 8 sch pt 2 (as am ord 1976 No 7 s 2; ord 1977 No 28 s 5; ord 1982 No 15 s 2; ord 1982 No 68 s 2)</w:t>
      </w:r>
    </w:p>
    <w:p w:rsidR="00AF2508" w:rsidRDefault="00AF2508">
      <w:pPr>
        <w:pStyle w:val="AmdtsEntries"/>
      </w:pPr>
      <w:r>
        <w:tab/>
        <w:t>om Act 1957 No 8 sch pt 2 (as am ord 1983 No 34 s 5)</w:t>
      </w:r>
    </w:p>
    <w:p w:rsidR="00AF2508" w:rsidRDefault="00AF2508">
      <w:pPr>
        <w:pStyle w:val="AmdtsEntryHd"/>
      </w:pPr>
    </w:p>
    <w:p w:rsidR="00AF2508" w:rsidRDefault="00AF2508">
      <w:pPr>
        <w:pStyle w:val="AmdtsEntries"/>
      </w:pPr>
      <w:r>
        <w:t>sch 2</w:t>
      </w:r>
      <w:r>
        <w:tab/>
        <w:t>am regs gazetted 22 June 1956; regs gazetted 19 October 1956</w:t>
      </w:r>
    </w:p>
    <w:p w:rsidR="00AF2508" w:rsidRDefault="00AF2508">
      <w:pPr>
        <w:pStyle w:val="AmdtsEntries"/>
      </w:pPr>
      <w:r>
        <w:tab/>
        <w:t>om Act 1957 No 8 sch pt 2</w:t>
      </w:r>
    </w:p>
    <w:p w:rsidR="00AF2508" w:rsidRDefault="00AF2508">
      <w:pPr>
        <w:pStyle w:val="AmdtsEntryHd"/>
      </w:pPr>
      <w:r>
        <w:t>Method of treatment of silica paint for the purpose of ascertaining the percentage of free silica present</w:t>
      </w:r>
    </w:p>
    <w:p w:rsidR="00AF2508" w:rsidRDefault="00AF2508">
      <w:pPr>
        <w:pStyle w:val="AmdtsEntries"/>
        <w:keepNext/>
      </w:pPr>
      <w:r>
        <w:t>sch 3 hdg</w:t>
      </w:r>
      <w:r>
        <w:tab/>
        <w:t>(prev third sch hdg) renum R2 LA</w:t>
      </w:r>
    </w:p>
    <w:p w:rsidR="00AF2508" w:rsidRDefault="00AF2508">
      <w:pPr>
        <w:pStyle w:val="AmdtsEntries"/>
      </w:pPr>
      <w:r>
        <w:t>sch 3</w:t>
      </w:r>
      <w:r>
        <w:tab/>
        <w:t>items renum R2 LA</w:t>
      </w:r>
    </w:p>
    <w:p w:rsidR="00AF2508" w:rsidRDefault="00AF2508">
      <w:pPr>
        <w:pStyle w:val="AmdtsEntryHd"/>
      </w:pPr>
      <w:r>
        <w:t>Processes to which regulation 73 (1) (o) applies</w:t>
      </w:r>
    </w:p>
    <w:p w:rsidR="00AF2508" w:rsidRDefault="00AF2508">
      <w:pPr>
        <w:pStyle w:val="AmdtsEntries"/>
      </w:pPr>
      <w:r>
        <w:t>sch 4 hdg</w:t>
      </w:r>
      <w:r>
        <w:tab/>
        <w:t>(prev fourth sch hdg) renum R2 LA</w:t>
      </w:r>
    </w:p>
    <w:p w:rsidR="00AF2508" w:rsidRDefault="00AF2508">
      <w:pPr>
        <w:pStyle w:val="AmdtsEntryHd"/>
      </w:pPr>
      <w:r>
        <w:t>Method of treatment of a lead compound for the purpose of determining the percentage of dry compound of lead</w:t>
      </w:r>
    </w:p>
    <w:p w:rsidR="00AF2508" w:rsidRDefault="00AF2508">
      <w:pPr>
        <w:pStyle w:val="AmdtsEntries"/>
      </w:pPr>
      <w:r>
        <w:t>sch 5 hdg</w:t>
      </w:r>
      <w:r>
        <w:tab/>
        <w:t>(prev fifth sch hdg) renum R2 LA</w:t>
      </w:r>
    </w:p>
    <w:p w:rsidR="00AF2508" w:rsidRDefault="00AF2508">
      <w:pPr>
        <w:pStyle w:val="AmdtsEntries"/>
      </w:pPr>
      <w:r>
        <w:t>sch 5</w:t>
      </w:r>
      <w:r>
        <w:tab/>
        <w:t>items renum R2 LA</w:t>
      </w:r>
    </w:p>
    <w:p w:rsidR="00AF2508" w:rsidRDefault="00AF2508">
      <w:pPr>
        <w:pStyle w:val="AmdtsEntryHd"/>
      </w:pPr>
    </w:p>
    <w:p w:rsidR="00AF2508" w:rsidRDefault="00AF2508">
      <w:pPr>
        <w:pStyle w:val="AmdtsEntries"/>
      </w:pPr>
      <w:r>
        <w:t>sch 6</w:t>
      </w:r>
      <w:r>
        <w:tab/>
        <w:t>om 1999 No 19 sch</w:t>
      </w:r>
    </w:p>
    <w:p w:rsidR="00AF2508" w:rsidRDefault="00AF2508">
      <w:pPr>
        <w:pStyle w:val="AmdtsEntryHd"/>
      </w:pPr>
    </w:p>
    <w:p w:rsidR="00AF2508" w:rsidRDefault="00AF2508">
      <w:pPr>
        <w:pStyle w:val="AmdtsEntries"/>
      </w:pPr>
      <w:r>
        <w:t>sch 7 hdg</w:t>
      </w:r>
      <w:r>
        <w:tab/>
        <w:t>(prev seventh sch hdg) renum R2 LA</w:t>
      </w:r>
    </w:p>
    <w:p w:rsidR="00AF2508" w:rsidRDefault="00AF2508">
      <w:pPr>
        <w:pStyle w:val="AmdtsEntryHd"/>
      </w:pPr>
      <w:r>
        <w:t>Medical standards and examination report for compressed air workers</w:t>
      </w:r>
    </w:p>
    <w:p w:rsidR="00AF2508" w:rsidRDefault="00AF2508">
      <w:pPr>
        <w:pStyle w:val="AmdtsEntries"/>
      </w:pPr>
      <w:r>
        <w:t>sch 8 hdg</w:t>
      </w:r>
      <w:r>
        <w:tab/>
        <w:t>(prev eighth sch hdg) renum R2 LA</w:t>
      </w:r>
    </w:p>
    <w:p w:rsidR="00AF2508" w:rsidRDefault="00AF2508">
      <w:pPr>
        <w:pStyle w:val="AmdtsEntries"/>
      </w:pPr>
      <w:r>
        <w:t>sch 8</w:t>
      </w:r>
      <w:r>
        <w:tab/>
        <w:t>pars renum R2 LA</w:t>
      </w:r>
    </w:p>
    <w:p w:rsidR="00AF2508" w:rsidRDefault="00AF2508">
      <w:pPr>
        <w:pStyle w:val="AmdtsEntryHd"/>
      </w:pPr>
      <w:r>
        <w:t>Symptoms and treatment of compressed air illness</w:t>
      </w:r>
    </w:p>
    <w:p w:rsidR="00AF2508" w:rsidRDefault="00AF2508">
      <w:pPr>
        <w:pStyle w:val="AmdtsEntries"/>
      </w:pPr>
      <w:r>
        <w:t>sch 9 hdg</w:t>
      </w:r>
      <w:r>
        <w:tab/>
        <w:t>(prev ninth sch hdg) renum R2 LA</w:t>
      </w:r>
    </w:p>
    <w:p w:rsidR="00AF2508" w:rsidRDefault="00AF2508">
      <w:pPr>
        <w:pStyle w:val="AmdtsEntries"/>
      </w:pPr>
      <w:r>
        <w:t>sch 9</w:t>
      </w:r>
      <w:r>
        <w:tab/>
        <w:t>cl etc renum R2 LA</w:t>
      </w:r>
    </w:p>
    <w:p w:rsidR="00AF2508" w:rsidRDefault="00AF2508">
      <w:pPr>
        <w:pStyle w:val="AmdtsEntryHd"/>
      </w:pPr>
      <w:r>
        <w:t>Dictionary</w:t>
      </w:r>
    </w:p>
    <w:p w:rsidR="00AF2508" w:rsidRDefault="00AF2508">
      <w:pPr>
        <w:pStyle w:val="AmdtsEntries"/>
      </w:pPr>
      <w:r>
        <w:t>dict</w:t>
      </w:r>
      <w:r>
        <w:tab/>
        <w:t>ins A2007-3 amdt 3.473</w:t>
      </w:r>
    </w:p>
    <w:p w:rsidR="00AF2508" w:rsidRDefault="00AF2508">
      <w:pPr>
        <w:pStyle w:val="AmdtsEntries"/>
      </w:pPr>
      <w:r>
        <w:tab/>
        <w:t xml:space="preserve">def </w:t>
      </w:r>
      <w:r>
        <w:rPr>
          <w:b/>
          <w:bCs/>
          <w:i/>
          <w:iCs/>
        </w:rPr>
        <w:t xml:space="preserve">analogous </w:t>
      </w:r>
      <w:r>
        <w:t>reloc from s 3 A2007-3 amdt 3.470</w:t>
      </w:r>
    </w:p>
    <w:p w:rsidR="00AF2508" w:rsidRDefault="00AF2508">
      <w:pPr>
        <w:pStyle w:val="AmdtsEntries"/>
      </w:pPr>
      <w:r>
        <w:tab/>
        <w:t xml:space="preserve">def </w:t>
      </w:r>
      <w:r>
        <w:rPr>
          <w:b/>
          <w:bCs/>
          <w:i/>
          <w:iCs/>
        </w:rPr>
        <w:t xml:space="preserve">approved </w:t>
      </w:r>
      <w:r>
        <w:t>reloc from s 3 A2007-3 amdt 3.470</w:t>
      </w:r>
    </w:p>
    <w:p w:rsidR="00AF2508" w:rsidRDefault="00AF2508">
      <w:pPr>
        <w:pStyle w:val="AmdtsEntries"/>
      </w:pPr>
      <w:r>
        <w:tab/>
        <w:t xml:space="preserve">def </w:t>
      </w:r>
      <w:r>
        <w:rPr>
          <w:b/>
          <w:bCs/>
          <w:i/>
          <w:iCs/>
        </w:rPr>
        <w:t xml:space="preserve">axial stress </w:t>
      </w:r>
      <w:r>
        <w:t>reloc from s 3 A2007-3 amdt 3.470</w:t>
      </w:r>
    </w:p>
    <w:p w:rsidR="00AF2508" w:rsidRDefault="00AF2508">
      <w:pPr>
        <w:pStyle w:val="AmdtsEntries"/>
      </w:pPr>
      <w:r>
        <w:tab/>
        <w:t xml:space="preserve">def </w:t>
      </w:r>
      <w:r>
        <w:rPr>
          <w:b/>
          <w:bCs/>
          <w:i/>
          <w:iCs/>
        </w:rPr>
        <w:t xml:space="preserve">bearing pressure </w:t>
      </w:r>
      <w:r>
        <w:t>reloc from s 3 A2007-3 amdt 3.470</w:t>
      </w:r>
    </w:p>
    <w:p w:rsidR="00AF2508" w:rsidRDefault="00AF2508">
      <w:pPr>
        <w:pStyle w:val="AmdtsEntries"/>
      </w:pPr>
      <w:r>
        <w:tab/>
        <w:t xml:space="preserve">def </w:t>
      </w:r>
      <w:r>
        <w:rPr>
          <w:b/>
          <w:bCs/>
          <w:i/>
          <w:iCs/>
        </w:rPr>
        <w:t xml:space="preserve">birdcage scaffolding </w:t>
      </w:r>
      <w:r>
        <w:t>ins A2007-3 amdt 3.473</w:t>
      </w:r>
    </w:p>
    <w:p w:rsidR="00AF2508" w:rsidRDefault="00AF2508">
      <w:pPr>
        <w:pStyle w:val="AmdtsEntries"/>
      </w:pPr>
      <w:r>
        <w:tab/>
        <w:t xml:space="preserve">def </w:t>
      </w:r>
      <w:r>
        <w:rPr>
          <w:b/>
          <w:bCs/>
          <w:i/>
          <w:iCs/>
        </w:rPr>
        <w:t xml:space="preserve">cantilever scaffolding </w:t>
      </w:r>
      <w:r>
        <w:t>ins A2007-3 amdt 3.473</w:t>
      </w:r>
    </w:p>
    <w:p w:rsidR="00AF2508" w:rsidRDefault="00AF2508">
      <w:pPr>
        <w:pStyle w:val="AmdtsEntries"/>
      </w:pPr>
      <w:r>
        <w:tab/>
        <w:t xml:space="preserve">def </w:t>
      </w:r>
      <w:r>
        <w:rPr>
          <w:b/>
          <w:bCs/>
          <w:i/>
          <w:iCs/>
        </w:rPr>
        <w:t xml:space="preserve">conveyor </w:t>
      </w:r>
      <w:r>
        <w:t>ins A2007-3 amdt 3.473</w:t>
      </w:r>
    </w:p>
    <w:p w:rsidR="00AF2508" w:rsidRDefault="00AF2508">
      <w:pPr>
        <w:pStyle w:val="AmdtsEntries"/>
      </w:pPr>
      <w:r>
        <w:tab/>
        <w:t xml:space="preserve">def </w:t>
      </w:r>
      <w:r>
        <w:rPr>
          <w:b/>
          <w:bCs/>
          <w:i/>
          <w:iCs/>
        </w:rPr>
        <w:t xml:space="preserve">dead loads </w:t>
      </w:r>
      <w:r>
        <w:t>reloc from s 3 A2007-3 amdt 3.470</w:t>
      </w:r>
    </w:p>
    <w:p w:rsidR="00AF2508" w:rsidRDefault="00AF2508">
      <w:pPr>
        <w:pStyle w:val="AmdtsEntries"/>
      </w:pPr>
      <w:r>
        <w:tab/>
        <w:t xml:space="preserve">def </w:t>
      </w:r>
      <w:r>
        <w:rPr>
          <w:b/>
          <w:bCs/>
          <w:i/>
          <w:iCs/>
        </w:rPr>
        <w:t xml:space="preserve">designed </w:t>
      </w:r>
      <w:r>
        <w:t>reloc from s 3 A2007-3 amdt 3.470</w:t>
      </w:r>
    </w:p>
    <w:p w:rsidR="00AF2508" w:rsidRDefault="00AF2508">
      <w:pPr>
        <w:pStyle w:val="AmdtsEntries"/>
      </w:pPr>
      <w:r>
        <w:tab/>
        <w:t xml:space="preserve">def </w:t>
      </w:r>
      <w:r>
        <w:rPr>
          <w:b/>
          <w:bCs/>
          <w:i/>
          <w:iCs/>
        </w:rPr>
        <w:t xml:space="preserve">drawings </w:t>
      </w:r>
      <w:r>
        <w:t>reloc from s 3 A2007-3 amdt 3.470</w:t>
      </w:r>
    </w:p>
    <w:p w:rsidR="00AF2508" w:rsidRDefault="00AF2508">
      <w:pPr>
        <w:pStyle w:val="AmdtsEntries"/>
      </w:pPr>
      <w:r>
        <w:tab/>
        <w:t xml:space="preserve">def </w:t>
      </w:r>
      <w:r>
        <w:rPr>
          <w:b/>
          <w:bCs/>
          <w:i/>
          <w:iCs/>
        </w:rPr>
        <w:t xml:space="preserve">dynamically irreversible </w:t>
      </w:r>
      <w:r>
        <w:t>reloc from s 3 A2007-3 amdt 3.470</w:t>
      </w:r>
    </w:p>
    <w:p w:rsidR="00AF2508" w:rsidRDefault="00AF2508">
      <w:pPr>
        <w:pStyle w:val="AmdtsEntries"/>
      </w:pPr>
      <w:r>
        <w:tab/>
        <w:t xml:space="preserve">def </w:t>
      </w:r>
      <w:r>
        <w:rPr>
          <w:b/>
          <w:bCs/>
          <w:i/>
          <w:iCs/>
        </w:rPr>
        <w:t xml:space="preserve">dynamically reversible </w:t>
      </w:r>
      <w:r>
        <w:t>reloc from s 3 A2007-3 amdt 3.470</w:t>
      </w:r>
    </w:p>
    <w:p w:rsidR="00AF2508" w:rsidRDefault="00AF2508">
      <w:pPr>
        <w:pStyle w:val="AmdtsEntries"/>
      </w:pPr>
      <w:r>
        <w:tab/>
        <w:t xml:space="preserve">def </w:t>
      </w:r>
      <w:r>
        <w:rPr>
          <w:b/>
          <w:bCs/>
          <w:i/>
          <w:iCs/>
        </w:rPr>
        <w:t xml:space="preserve">explosive-powered tool </w:t>
      </w:r>
      <w:r>
        <w:t>ins A2007-3 amdt 3.473</w:t>
      </w:r>
    </w:p>
    <w:p w:rsidR="00AF2508" w:rsidRDefault="00AF2508">
      <w:pPr>
        <w:pStyle w:val="AmdtsEntries"/>
      </w:pPr>
      <w:r>
        <w:tab/>
        <w:t xml:space="preserve">def </w:t>
      </w:r>
      <w:r>
        <w:rPr>
          <w:b/>
          <w:bCs/>
          <w:i/>
          <w:iCs/>
        </w:rPr>
        <w:t xml:space="preserve">fixed end </w:t>
      </w:r>
      <w:r>
        <w:t>reloc from s 3 A2007-3 amdt 3.470</w:t>
      </w:r>
    </w:p>
    <w:p w:rsidR="00AF2508" w:rsidRDefault="00AF2508">
      <w:pPr>
        <w:pStyle w:val="AmdtsEntries"/>
      </w:pPr>
      <w:r>
        <w:tab/>
        <w:t xml:space="preserve">def </w:t>
      </w:r>
      <w:r>
        <w:rPr>
          <w:b/>
          <w:bCs/>
          <w:i/>
          <w:iCs/>
        </w:rPr>
        <w:t xml:space="preserve">forged steel </w:t>
      </w:r>
      <w:r>
        <w:t>reloc from s 3 A2007-3 amdt 3.470</w:t>
      </w:r>
    </w:p>
    <w:p w:rsidR="00AF2508" w:rsidRDefault="00AF2508">
      <w:pPr>
        <w:pStyle w:val="AmdtsEntries"/>
      </w:pPr>
      <w:r>
        <w:tab/>
        <w:t xml:space="preserve">def </w:t>
      </w:r>
      <w:r>
        <w:rPr>
          <w:b/>
          <w:bCs/>
          <w:i/>
          <w:iCs/>
        </w:rPr>
        <w:t xml:space="preserve">free end </w:t>
      </w:r>
      <w:r>
        <w:t>reloc from s 3 A2007-3 amdt 3.470</w:t>
      </w:r>
    </w:p>
    <w:p w:rsidR="00AF2508" w:rsidRDefault="00AF2508">
      <w:pPr>
        <w:pStyle w:val="AmdtsEntries"/>
      </w:pPr>
      <w:r>
        <w:tab/>
        <w:t xml:space="preserve">def </w:t>
      </w:r>
      <w:r>
        <w:rPr>
          <w:b/>
          <w:bCs/>
          <w:i/>
          <w:iCs/>
        </w:rPr>
        <w:t xml:space="preserve">heavy duty scaffolding </w:t>
      </w:r>
      <w:r>
        <w:t>ins A2007-3 amdt 3.473</w:t>
      </w:r>
    </w:p>
    <w:p w:rsidR="00AF2508" w:rsidRDefault="00AF2508">
      <w:pPr>
        <w:pStyle w:val="AmdtsEntries"/>
      </w:pPr>
      <w:r>
        <w:tab/>
        <w:t xml:space="preserve">def </w:t>
      </w:r>
      <w:r>
        <w:rPr>
          <w:b/>
          <w:bCs/>
          <w:i/>
          <w:iCs/>
        </w:rPr>
        <w:t>high tensile structural steel</w:t>
      </w:r>
      <w:r>
        <w:t>reloc from s 3 A2007-3 amdt 3.470</w:t>
      </w:r>
    </w:p>
    <w:p w:rsidR="00AF2508" w:rsidRDefault="00AF2508">
      <w:pPr>
        <w:pStyle w:val="AmdtsEntries"/>
      </w:pPr>
      <w:r>
        <w:tab/>
        <w:t xml:space="preserve">def </w:t>
      </w:r>
      <w:r>
        <w:rPr>
          <w:b/>
          <w:bCs/>
          <w:i/>
          <w:iCs/>
        </w:rPr>
        <w:t xml:space="preserve">hinged end </w:t>
      </w:r>
      <w:r>
        <w:t>reloc from s 3 A2007-3 amdt 3.470</w:t>
      </w:r>
    </w:p>
    <w:p w:rsidR="00AF2508" w:rsidRDefault="00AF2508">
      <w:pPr>
        <w:pStyle w:val="AmdtsEntries"/>
      </w:pPr>
      <w:r>
        <w:tab/>
        <w:t xml:space="preserve">def </w:t>
      </w:r>
      <w:r>
        <w:rPr>
          <w:b/>
          <w:bCs/>
          <w:i/>
          <w:iCs/>
        </w:rPr>
        <w:t xml:space="preserve">in commission </w:t>
      </w:r>
      <w:r>
        <w:t>reloc from s 3 A2007-3 amdt 3.470</w:t>
      </w:r>
    </w:p>
    <w:p w:rsidR="00AF2508" w:rsidRDefault="00AF2508">
      <w:pPr>
        <w:pStyle w:val="AmdtsEntries"/>
      </w:pPr>
      <w:r>
        <w:tab/>
        <w:t xml:space="preserve">def </w:t>
      </w:r>
      <w:r>
        <w:rPr>
          <w:b/>
          <w:bCs/>
          <w:i/>
          <w:iCs/>
        </w:rPr>
        <w:t xml:space="preserve">independent pole scaffolding </w:t>
      </w:r>
      <w:r>
        <w:t>ins A2007-3 amdt 3.473</w:t>
      </w:r>
    </w:p>
    <w:p w:rsidR="00AF2508" w:rsidRDefault="00AF2508">
      <w:pPr>
        <w:pStyle w:val="AmdtsEntries"/>
      </w:pPr>
      <w:r>
        <w:tab/>
        <w:t xml:space="preserve">def </w:t>
      </w:r>
      <w:r>
        <w:rPr>
          <w:b/>
          <w:bCs/>
          <w:i/>
          <w:iCs/>
        </w:rPr>
        <w:t xml:space="preserve">light duty scaffolding </w:t>
      </w:r>
      <w:r>
        <w:t>ins A2007-3 amdt 3.473</w:t>
      </w:r>
    </w:p>
    <w:p w:rsidR="00AF2508" w:rsidRDefault="00AF2508">
      <w:pPr>
        <w:pStyle w:val="AmdtsEntries"/>
      </w:pPr>
      <w:r>
        <w:tab/>
        <w:t xml:space="preserve">def </w:t>
      </w:r>
      <w:r>
        <w:rPr>
          <w:b/>
          <w:bCs/>
          <w:i/>
          <w:iCs/>
        </w:rPr>
        <w:t xml:space="preserve">light swinging stage </w:t>
      </w:r>
      <w:r>
        <w:t>ins A2007-3 amdt 3.473</w:t>
      </w:r>
    </w:p>
    <w:p w:rsidR="00AF2508" w:rsidRDefault="00AF2508">
      <w:pPr>
        <w:pStyle w:val="AmdtsEntries"/>
      </w:pPr>
      <w:r>
        <w:tab/>
        <w:t xml:space="preserve">def </w:t>
      </w:r>
      <w:r>
        <w:rPr>
          <w:b/>
          <w:bCs/>
          <w:i/>
          <w:iCs/>
        </w:rPr>
        <w:t xml:space="preserve">limiting </w:t>
      </w:r>
      <w:r>
        <w:t>reloc from s 3 A2007-3 amdt 3.470</w:t>
      </w:r>
    </w:p>
    <w:p w:rsidR="00AF2508" w:rsidRDefault="00AF2508">
      <w:pPr>
        <w:pStyle w:val="AmdtsEntries"/>
      </w:pPr>
      <w:r>
        <w:tab/>
        <w:t xml:space="preserve">def </w:t>
      </w:r>
      <w:r>
        <w:rPr>
          <w:b/>
          <w:bCs/>
          <w:i/>
          <w:iCs/>
        </w:rPr>
        <w:t xml:space="preserve">live loads </w:t>
      </w:r>
      <w:r>
        <w:t>reloc from s 3 A2007-3 amdt 3.470</w:t>
      </w:r>
    </w:p>
    <w:p w:rsidR="00AF2508" w:rsidRDefault="00AF2508">
      <w:pPr>
        <w:pStyle w:val="AmdtsEntries"/>
      </w:pPr>
      <w:r>
        <w:tab/>
        <w:t xml:space="preserve">def </w:t>
      </w:r>
      <w:r>
        <w:rPr>
          <w:b/>
          <w:bCs/>
          <w:i/>
          <w:iCs/>
        </w:rPr>
        <w:t xml:space="preserve">mild steel </w:t>
      </w:r>
      <w:r>
        <w:t>reloc from s 3 A2007-3 amdt 3.470</w:t>
      </w:r>
    </w:p>
    <w:p w:rsidR="00AF2508" w:rsidRDefault="00AF2508">
      <w:pPr>
        <w:pStyle w:val="AmdtsEntries"/>
      </w:pPr>
      <w:r>
        <w:tab/>
        <w:t xml:space="preserve">def </w:t>
      </w:r>
      <w:r>
        <w:rPr>
          <w:b/>
          <w:bCs/>
          <w:i/>
          <w:iCs/>
        </w:rPr>
        <w:t xml:space="preserve">projectile </w:t>
      </w:r>
      <w:r>
        <w:t>ins A2007-3 amdt 3.473</w:t>
      </w:r>
    </w:p>
    <w:p w:rsidR="00AF2508" w:rsidRDefault="00AF2508">
      <w:pPr>
        <w:pStyle w:val="AmdtsEntries"/>
      </w:pPr>
      <w:r>
        <w:tab/>
        <w:t xml:space="preserve">def </w:t>
      </w:r>
      <w:r>
        <w:rPr>
          <w:b/>
          <w:bCs/>
          <w:i/>
          <w:iCs/>
        </w:rPr>
        <w:t xml:space="preserve">qualified operator </w:t>
      </w:r>
      <w:r>
        <w:t>ins A2007-3 amdt 3.473</w:t>
      </w:r>
    </w:p>
    <w:p w:rsidR="00AF2508" w:rsidRDefault="00AF2508">
      <w:pPr>
        <w:pStyle w:val="AmdtsEntries"/>
      </w:pPr>
      <w:r>
        <w:tab/>
        <w:t xml:space="preserve">def </w:t>
      </w:r>
      <w:r>
        <w:rPr>
          <w:b/>
          <w:bCs/>
          <w:i/>
          <w:iCs/>
        </w:rPr>
        <w:t xml:space="preserve">roller </w:t>
      </w:r>
      <w:r>
        <w:t>reloc from s 3 A2007-3 amdt 3.470</w:t>
      </w:r>
    </w:p>
    <w:p w:rsidR="00AF2508" w:rsidRDefault="00AF2508">
      <w:pPr>
        <w:pStyle w:val="AmdtsEntries"/>
      </w:pPr>
      <w:r>
        <w:tab/>
        <w:t xml:space="preserve">def </w:t>
      </w:r>
      <w:r>
        <w:rPr>
          <w:b/>
          <w:bCs/>
          <w:i/>
          <w:iCs/>
        </w:rPr>
        <w:t xml:space="preserve">run </w:t>
      </w:r>
      <w:r>
        <w:t>ins A2007-3 amdt 3.473</w:t>
      </w:r>
    </w:p>
    <w:p w:rsidR="00AF2508" w:rsidRDefault="00AF2508">
      <w:pPr>
        <w:pStyle w:val="AmdtsEntries"/>
      </w:pPr>
      <w:r>
        <w:tab/>
        <w:t xml:space="preserve">def </w:t>
      </w:r>
      <w:r>
        <w:rPr>
          <w:b/>
          <w:bCs/>
          <w:i/>
          <w:iCs/>
        </w:rPr>
        <w:t xml:space="preserve">S.A.A. Wiring Rules </w:t>
      </w:r>
      <w:r>
        <w:t>reloc from s 3 A2007-3 amdt 3.470</w:t>
      </w:r>
    </w:p>
    <w:p w:rsidR="00AF2508" w:rsidRDefault="00AF2508">
      <w:pPr>
        <w:pStyle w:val="AmdtsEntries"/>
      </w:pPr>
      <w:r>
        <w:tab/>
        <w:t xml:space="preserve">def </w:t>
      </w:r>
      <w:r>
        <w:rPr>
          <w:b/>
          <w:bCs/>
          <w:i/>
          <w:iCs/>
        </w:rPr>
        <w:t xml:space="preserve">safety gear </w:t>
      </w:r>
      <w:r>
        <w:t>ins A2007-3 amdt 3.473</w:t>
      </w:r>
    </w:p>
    <w:p w:rsidR="00AF2508" w:rsidRDefault="00AF2508">
      <w:pPr>
        <w:pStyle w:val="AmdtsEntries"/>
      </w:pPr>
      <w:r>
        <w:tab/>
        <w:t xml:space="preserve">def </w:t>
      </w:r>
      <w:r>
        <w:rPr>
          <w:b/>
          <w:bCs/>
          <w:i/>
          <w:iCs/>
        </w:rPr>
        <w:t xml:space="preserve">safe working load </w:t>
      </w:r>
      <w:r>
        <w:t xml:space="preserve">(or </w:t>
      </w:r>
      <w:r>
        <w:rPr>
          <w:b/>
          <w:bCs/>
          <w:i/>
          <w:iCs/>
        </w:rPr>
        <w:t>working load</w:t>
      </w:r>
      <w:r>
        <w:t>)</w:t>
      </w:r>
      <w:r>
        <w:rPr>
          <w:b/>
          <w:bCs/>
          <w:i/>
          <w:iCs/>
        </w:rPr>
        <w:t xml:space="preserve"> </w:t>
      </w:r>
      <w:r>
        <w:t>reloc from s 3 A2007-3 amdt 3.470</w:t>
      </w:r>
    </w:p>
    <w:p w:rsidR="00AF2508" w:rsidRDefault="00AF2508">
      <w:pPr>
        <w:pStyle w:val="AmdtsEntries"/>
      </w:pPr>
      <w:r>
        <w:tab/>
        <w:t xml:space="preserve">def </w:t>
      </w:r>
      <w:r>
        <w:rPr>
          <w:b/>
          <w:bCs/>
          <w:i/>
          <w:iCs/>
        </w:rPr>
        <w:t xml:space="preserve">second-hand </w:t>
      </w:r>
      <w:r>
        <w:t>reloc from s 3 A2007-3 amdt 3.470</w:t>
      </w:r>
    </w:p>
    <w:p w:rsidR="00AF2508" w:rsidRDefault="00AF2508">
      <w:pPr>
        <w:pStyle w:val="AmdtsEntries"/>
      </w:pPr>
      <w:r>
        <w:tab/>
        <w:t xml:space="preserve">def </w:t>
      </w:r>
      <w:r>
        <w:rPr>
          <w:b/>
          <w:bCs/>
          <w:i/>
          <w:iCs/>
        </w:rPr>
        <w:t xml:space="preserve">section </w:t>
      </w:r>
      <w:r>
        <w:t>reloc from s 3 A2007-3 amdt 3.470</w:t>
      </w:r>
    </w:p>
    <w:p w:rsidR="00AF2508" w:rsidRDefault="00AF2508">
      <w:pPr>
        <w:pStyle w:val="AmdtsEntries"/>
      </w:pPr>
      <w:r>
        <w:tab/>
        <w:t xml:space="preserve">def </w:t>
      </w:r>
      <w:r>
        <w:rPr>
          <w:b/>
          <w:bCs/>
          <w:i/>
          <w:iCs/>
        </w:rPr>
        <w:t xml:space="preserve">service lift </w:t>
      </w:r>
      <w:r>
        <w:t>ins A2007-3 amdt 3.473</w:t>
      </w:r>
    </w:p>
    <w:p w:rsidR="00AF2508" w:rsidRDefault="00AF2508">
      <w:pPr>
        <w:pStyle w:val="AmdtsEntries"/>
      </w:pPr>
      <w:r>
        <w:tab/>
        <w:t xml:space="preserve">def </w:t>
      </w:r>
      <w:r>
        <w:rPr>
          <w:b/>
          <w:bCs/>
          <w:i/>
          <w:iCs/>
        </w:rPr>
        <w:t xml:space="preserve">single pole scaffolding </w:t>
      </w:r>
      <w:r>
        <w:t>ins A2007-3 amdt 3.473</w:t>
      </w:r>
    </w:p>
    <w:p w:rsidR="00AF2508" w:rsidRDefault="00AF2508">
      <w:pPr>
        <w:pStyle w:val="AmdtsEntries"/>
      </w:pPr>
      <w:r>
        <w:tab/>
        <w:t xml:space="preserve">def </w:t>
      </w:r>
      <w:r>
        <w:rPr>
          <w:b/>
          <w:bCs/>
          <w:i/>
          <w:iCs/>
        </w:rPr>
        <w:t xml:space="preserve">static counterbalance weights </w:t>
      </w:r>
      <w:r>
        <w:t>reloc from s 3 A2007-3 amdt 3.470</w:t>
      </w:r>
    </w:p>
    <w:p w:rsidR="00AF2508" w:rsidRDefault="00AF2508">
      <w:pPr>
        <w:pStyle w:val="AmdtsEntries"/>
      </w:pPr>
      <w:r>
        <w:tab/>
        <w:t xml:space="preserve">def </w:t>
      </w:r>
      <w:r>
        <w:rPr>
          <w:b/>
          <w:bCs/>
          <w:i/>
          <w:iCs/>
        </w:rPr>
        <w:t xml:space="preserve">strength </w:t>
      </w:r>
      <w:r>
        <w:t>reloc from s 3 A2007-3 amdt 3.470</w:t>
      </w:r>
    </w:p>
    <w:p w:rsidR="00AF2508" w:rsidRDefault="00AF2508">
      <w:pPr>
        <w:pStyle w:val="AmdtsEntries"/>
      </w:pPr>
      <w:r>
        <w:tab/>
        <w:t xml:space="preserve">def </w:t>
      </w:r>
      <w:r>
        <w:rPr>
          <w:b/>
          <w:bCs/>
          <w:i/>
          <w:iCs/>
        </w:rPr>
        <w:t xml:space="preserve">stress </w:t>
      </w:r>
      <w:r>
        <w:t>reloc from s 3 A2007-3 amdt 3.470</w:t>
      </w:r>
    </w:p>
    <w:p w:rsidR="00AF2508" w:rsidRDefault="00AF2508">
      <w:pPr>
        <w:pStyle w:val="AmdtsEntries"/>
      </w:pPr>
      <w:r>
        <w:tab/>
        <w:t xml:space="preserve">def </w:t>
      </w:r>
      <w:r>
        <w:rPr>
          <w:b/>
          <w:bCs/>
          <w:i/>
          <w:iCs/>
        </w:rPr>
        <w:t xml:space="preserve">suspended scaffolding </w:t>
      </w:r>
      <w:r>
        <w:t>ins A2007-3 amdt 3.473</w:t>
      </w:r>
    </w:p>
    <w:p w:rsidR="00AF2508" w:rsidRDefault="00AF2508">
      <w:pPr>
        <w:pStyle w:val="AmdtsEntries"/>
      </w:pPr>
      <w:r>
        <w:tab/>
        <w:t xml:space="preserve">def </w:t>
      </w:r>
      <w:r>
        <w:rPr>
          <w:b/>
          <w:bCs/>
          <w:i/>
          <w:iCs/>
        </w:rPr>
        <w:t xml:space="preserve">toe board </w:t>
      </w:r>
      <w:r>
        <w:t>ins A2007-3 amdt 3.473</w:t>
      </w:r>
    </w:p>
    <w:p w:rsidR="00AF2508" w:rsidRDefault="00AF2508">
      <w:pPr>
        <w:pStyle w:val="AmdtsEntries"/>
      </w:pPr>
      <w:r>
        <w:tab/>
        <w:t xml:space="preserve">def </w:t>
      </w:r>
      <w:r>
        <w:rPr>
          <w:b/>
          <w:bCs/>
          <w:i/>
          <w:iCs/>
        </w:rPr>
        <w:t xml:space="preserve">tool </w:t>
      </w:r>
      <w:r>
        <w:t>ins A2007-3 amdt 3.473</w:t>
      </w:r>
    </w:p>
    <w:p w:rsidR="00AF2508" w:rsidRDefault="00AF2508">
      <w:pPr>
        <w:pStyle w:val="AmdtsEntries"/>
      </w:pPr>
      <w:r>
        <w:tab/>
        <w:t xml:space="preserve">def </w:t>
      </w:r>
      <w:r>
        <w:rPr>
          <w:b/>
          <w:bCs/>
          <w:i/>
          <w:iCs/>
        </w:rPr>
        <w:t xml:space="preserve">transverse stress </w:t>
      </w:r>
      <w:r>
        <w:t>reloc from s 3 A2007-3 amdt 3.470</w:t>
      </w:r>
    </w:p>
    <w:p w:rsidR="00AF2508" w:rsidRDefault="00AF2508">
      <w:pPr>
        <w:pStyle w:val="AmdtsEntries"/>
      </w:pPr>
      <w:r>
        <w:tab/>
        <w:t xml:space="preserve">def </w:t>
      </w:r>
      <w:r>
        <w:rPr>
          <w:b/>
          <w:bCs/>
          <w:i/>
          <w:iCs/>
        </w:rPr>
        <w:t xml:space="preserve">under power </w:t>
      </w:r>
      <w:r>
        <w:t>reloc from s 3 A2007-3 amdt 3.470</w:t>
      </w:r>
    </w:p>
    <w:p w:rsidR="00AF2508" w:rsidRDefault="00AF2508">
      <w:pPr>
        <w:pStyle w:val="AmdtsEntries"/>
      </w:pPr>
      <w:r>
        <w:tab/>
        <w:t xml:space="preserve">def </w:t>
      </w:r>
      <w:r>
        <w:rPr>
          <w:b/>
          <w:bCs/>
          <w:i/>
          <w:iCs/>
        </w:rPr>
        <w:t xml:space="preserve">use </w:t>
      </w:r>
      <w:r>
        <w:t>ins A2007-3 amdt 3.473</w:t>
      </w:r>
    </w:p>
    <w:p w:rsidR="00AF2508" w:rsidRDefault="00AF2508">
      <w:pPr>
        <w:pStyle w:val="AmdtsEntries"/>
      </w:pPr>
      <w:r>
        <w:tab/>
        <w:t xml:space="preserve">def </w:t>
      </w:r>
      <w:r>
        <w:rPr>
          <w:b/>
          <w:bCs/>
          <w:i/>
          <w:iCs/>
        </w:rPr>
        <w:t xml:space="preserve">work </w:t>
      </w:r>
      <w:r>
        <w:t>ins A2007-3 amdt 3.473</w:t>
      </w:r>
    </w:p>
    <w:p w:rsidR="00AF2508" w:rsidRDefault="00AF2508">
      <w:pPr>
        <w:pStyle w:val="AmdtsEntries"/>
      </w:pPr>
      <w:r>
        <w:tab/>
        <w:t xml:space="preserve">def </w:t>
      </w:r>
      <w:r>
        <w:rPr>
          <w:b/>
          <w:bCs/>
          <w:i/>
          <w:iCs/>
        </w:rPr>
        <w:t xml:space="preserve">working load </w:t>
      </w:r>
      <w:r>
        <w:t>reloc from s 3 A2007-3 amdt 3.470</w:t>
      </w:r>
    </w:p>
    <w:p w:rsidR="00AF2508" w:rsidRDefault="00AF2508">
      <w:pPr>
        <w:pStyle w:val="Endnote2"/>
      </w:pPr>
      <w:bookmarkStart w:id="341" w:name="_Toc161636972"/>
      <w:r>
        <w:rPr>
          <w:rStyle w:val="charTableNo"/>
        </w:rPr>
        <w:t>5</w:t>
      </w:r>
      <w:r>
        <w:tab/>
      </w:r>
      <w:r>
        <w:rPr>
          <w:rStyle w:val="charTableText"/>
        </w:rPr>
        <w:t>Earlier republications</w:t>
      </w:r>
      <w:bookmarkEnd w:id="341"/>
    </w:p>
    <w:p w:rsidR="00AF2508" w:rsidRDefault="00AF2508">
      <w:pPr>
        <w:pStyle w:val="EndNoteTextEPS"/>
        <w:keepNext/>
      </w:pPr>
      <w:r>
        <w:t xml:space="preserve">Some earlier republications were not numbered. The number in column 1 refers to the publication order.  </w:t>
      </w:r>
    </w:p>
    <w:p w:rsidR="00AF2508" w:rsidRDefault="00AF250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F2508" w:rsidRDefault="00AF2508">
      <w:pPr>
        <w:pStyle w:val="EndNoteTextEPS"/>
        <w:keepNext/>
      </w:pPr>
    </w:p>
    <w:tbl>
      <w:tblPr>
        <w:tblW w:w="0" w:type="auto"/>
        <w:tblInd w:w="1248" w:type="dxa"/>
        <w:tblLayout w:type="fixed"/>
        <w:tblLook w:val="0000" w:firstRow="0" w:lastRow="0" w:firstColumn="0" w:lastColumn="0" w:noHBand="0" w:noVBand="0"/>
      </w:tblPr>
      <w:tblGrid>
        <w:gridCol w:w="1930"/>
        <w:gridCol w:w="2350"/>
        <w:gridCol w:w="2350"/>
      </w:tblGrid>
      <w:tr w:rsidR="00AF2508">
        <w:tc>
          <w:tcPr>
            <w:tcW w:w="1930" w:type="dxa"/>
          </w:tcPr>
          <w:p w:rsidR="00AF2508" w:rsidRDefault="00AF2508">
            <w:pPr>
              <w:pStyle w:val="EarlierRepubHdg"/>
            </w:pPr>
            <w:r>
              <w:t>Republication No</w:t>
            </w:r>
          </w:p>
        </w:tc>
        <w:tc>
          <w:tcPr>
            <w:tcW w:w="2350" w:type="dxa"/>
          </w:tcPr>
          <w:p w:rsidR="00AF2508" w:rsidRDefault="00AF2508">
            <w:pPr>
              <w:pStyle w:val="EarlierRepubHdg"/>
            </w:pPr>
            <w:r>
              <w:t>Amendments to</w:t>
            </w:r>
          </w:p>
        </w:tc>
        <w:tc>
          <w:tcPr>
            <w:tcW w:w="2350" w:type="dxa"/>
          </w:tcPr>
          <w:p w:rsidR="00AF2508" w:rsidRDefault="00AF2508">
            <w:pPr>
              <w:pStyle w:val="EarlierRepubHdg"/>
            </w:pPr>
            <w:r>
              <w:t>Republication date</w:t>
            </w:r>
          </w:p>
        </w:tc>
      </w:tr>
      <w:tr w:rsidR="00AF2508">
        <w:tc>
          <w:tcPr>
            <w:tcW w:w="1930" w:type="dxa"/>
          </w:tcPr>
          <w:p w:rsidR="00AF2508" w:rsidRDefault="00AF2508">
            <w:pPr>
              <w:pStyle w:val="EarlierRepubEntries"/>
            </w:pPr>
            <w:r>
              <w:t>1</w:t>
            </w:r>
          </w:p>
        </w:tc>
        <w:tc>
          <w:tcPr>
            <w:tcW w:w="2350" w:type="dxa"/>
          </w:tcPr>
          <w:p w:rsidR="00AF2508" w:rsidRDefault="00AF2508">
            <w:pPr>
              <w:pStyle w:val="EarlierRepubEntries"/>
            </w:pPr>
            <w:r>
              <w:t>SL 1986 No 9</w:t>
            </w:r>
          </w:p>
        </w:tc>
        <w:tc>
          <w:tcPr>
            <w:tcW w:w="2350" w:type="dxa"/>
          </w:tcPr>
          <w:p w:rsidR="00AF2508" w:rsidRDefault="00AF2508">
            <w:pPr>
              <w:pStyle w:val="EarlierRepubEntries"/>
            </w:pPr>
            <w:r>
              <w:t>31 October 1993</w:t>
            </w:r>
          </w:p>
        </w:tc>
      </w:tr>
      <w:tr w:rsidR="00AF2508">
        <w:tc>
          <w:tcPr>
            <w:tcW w:w="1930" w:type="dxa"/>
          </w:tcPr>
          <w:p w:rsidR="00AF2508" w:rsidRDefault="00AF2508">
            <w:pPr>
              <w:pStyle w:val="EarlierRepubEntries"/>
            </w:pPr>
            <w:r>
              <w:t>2</w:t>
            </w:r>
          </w:p>
        </w:tc>
        <w:tc>
          <w:tcPr>
            <w:tcW w:w="2350" w:type="dxa"/>
          </w:tcPr>
          <w:p w:rsidR="00AF2508" w:rsidRDefault="00AF2508">
            <w:pPr>
              <w:pStyle w:val="EarlierRepubEntries"/>
            </w:pPr>
            <w:r>
              <w:t>A2001-44</w:t>
            </w:r>
          </w:p>
        </w:tc>
        <w:tc>
          <w:tcPr>
            <w:tcW w:w="2350" w:type="dxa"/>
          </w:tcPr>
          <w:p w:rsidR="00AF2508" w:rsidRDefault="00AF2508">
            <w:pPr>
              <w:pStyle w:val="EarlierRepubEntries"/>
            </w:pPr>
            <w:r>
              <w:t>11 September 2002</w:t>
            </w:r>
          </w:p>
        </w:tc>
      </w:tr>
      <w:tr w:rsidR="00AF2508">
        <w:tc>
          <w:tcPr>
            <w:tcW w:w="1930" w:type="dxa"/>
          </w:tcPr>
          <w:p w:rsidR="00AF2508" w:rsidRDefault="00AF2508">
            <w:pPr>
              <w:pStyle w:val="EarlierRepubEntries"/>
            </w:pPr>
            <w:r>
              <w:t>3</w:t>
            </w:r>
          </w:p>
        </w:tc>
        <w:tc>
          <w:tcPr>
            <w:tcW w:w="2350" w:type="dxa"/>
          </w:tcPr>
          <w:p w:rsidR="00AF2508" w:rsidRDefault="00AF2508">
            <w:pPr>
              <w:pStyle w:val="EarlierRepubEntries"/>
            </w:pPr>
            <w:r>
              <w:t>A2001-44</w:t>
            </w:r>
          </w:p>
        </w:tc>
        <w:tc>
          <w:tcPr>
            <w:tcW w:w="2350" w:type="dxa"/>
          </w:tcPr>
          <w:p w:rsidR="00AF2508" w:rsidRDefault="00AF2508">
            <w:pPr>
              <w:pStyle w:val="EarlierRepubEntries"/>
            </w:pPr>
            <w:r>
              <w:t>4 November 2004</w:t>
            </w:r>
          </w:p>
        </w:tc>
      </w:tr>
    </w:tbl>
    <w:p w:rsidR="00AF2508" w:rsidRDefault="00AF2508"/>
    <w:p w:rsidR="00AF2508" w:rsidRDefault="00AF2508">
      <w:pPr>
        <w:pStyle w:val="05EndNote"/>
        <w:sectPr w:rsidR="00AF2508">
          <w:headerReference w:type="even" r:id="rId207"/>
          <w:headerReference w:type="default" r:id="rId208"/>
          <w:footerReference w:type="even" r:id="rId209"/>
          <w:footerReference w:type="default" r:id="rId210"/>
          <w:pgSz w:w="11907" w:h="16839" w:code="9"/>
          <w:pgMar w:top="3000" w:right="1900" w:bottom="2500" w:left="2300" w:header="2480" w:footer="2100" w:gutter="0"/>
          <w:cols w:space="720"/>
          <w:docGrid w:linePitch="254"/>
        </w:sectPr>
      </w:pPr>
    </w:p>
    <w:p w:rsidR="00AF2508" w:rsidRDefault="00AF2508"/>
    <w:p w:rsidR="00AF2508" w:rsidRDefault="00AF2508"/>
    <w:p w:rsidR="00AF2508" w:rsidRDefault="00AF2508"/>
    <w:p w:rsidR="00AF2508" w:rsidRDefault="00AF2508">
      <w:pPr>
        <w:rPr>
          <w:color w:val="000000"/>
          <w:sz w:val="20"/>
        </w:rPr>
      </w:pPr>
    </w:p>
    <w:p w:rsidR="00AF2508" w:rsidRDefault="00AF2508">
      <w:pPr>
        <w:rPr>
          <w:color w:val="000000"/>
          <w:sz w:val="22"/>
        </w:rPr>
      </w:pPr>
    </w:p>
    <w:p w:rsidR="00AF2508" w:rsidRDefault="00AF2508">
      <w:pPr>
        <w:rPr>
          <w:color w:val="000000"/>
          <w:sz w:val="22"/>
        </w:rPr>
      </w:pPr>
    </w:p>
    <w:p w:rsidR="00AF2508" w:rsidRDefault="00AF2508">
      <w:pPr>
        <w:rPr>
          <w:color w:val="000000"/>
          <w:sz w:val="22"/>
        </w:rPr>
      </w:pPr>
      <w:r>
        <w:rPr>
          <w:color w:val="000000"/>
          <w:sz w:val="22"/>
        </w:rPr>
        <w:t xml:space="preserve">©  Australian Capital Territory </w:t>
      </w:r>
      <w:r>
        <w:rPr>
          <w:noProof/>
          <w:color w:val="000000"/>
          <w:sz w:val="22"/>
        </w:rPr>
        <w:t>2007</w:t>
      </w:r>
    </w:p>
    <w:p w:rsidR="00AF2508" w:rsidRDefault="00AF2508">
      <w:pPr>
        <w:rPr>
          <w:color w:val="000000"/>
          <w:sz w:val="22"/>
        </w:rPr>
      </w:pPr>
    </w:p>
    <w:p w:rsidR="00AF2508" w:rsidRDefault="00AF2508"/>
    <w:p w:rsidR="00AF2508" w:rsidRDefault="00AF2508">
      <w:pPr>
        <w:pStyle w:val="06Copyright"/>
        <w:sectPr w:rsidR="00AF2508">
          <w:headerReference w:type="even" r:id="rId211"/>
          <w:headerReference w:type="default" r:id="rId212"/>
          <w:footerReference w:type="even" r:id="rId213"/>
          <w:footerReference w:type="default" r:id="rId214"/>
          <w:headerReference w:type="first" r:id="rId215"/>
          <w:footerReference w:type="first" r:id="rId216"/>
          <w:type w:val="continuous"/>
          <w:pgSz w:w="11907" w:h="16839" w:code="9"/>
          <w:pgMar w:top="2999" w:right="1899" w:bottom="2500" w:left="2302" w:header="2478" w:footer="2098" w:gutter="0"/>
          <w:pgNumType w:fmt="lowerRoman"/>
          <w:cols w:space="720"/>
          <w:titlePg/>
          <w:docGrid w:linePitch="254"/>
        </w:sectPr>
      </w:pPr>
    </w:p>
    <w:p w:rsidR="00AF2508" w:rsidRDefault="00AF2508"/>
    <w:sectPr w:rsidR="00AF2508">
      <w:headerReference w:type="first" r:id="rId217"/>
      <w:footerReference w:type="first" r:id="rId218"/>
      <w:type w:val="continuous"/>
      <w:pgSz w:w="11907" w:h="16839" w:code="9"/>
      <w:pgMar w:top="3000" w:right="1900" w:bottom="2500" w:left="2300" w:header="2480" w:footer="2100" w:gutter="0"/>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E00" w:rsidRDefault="00F12E00" w:rsidP="00AF2508">
      <w:pPr>
        <w:pStyle w:val="Assectheading"/>
      </w:pPr>
      <w:r>
        <w:separator/>
      </w:r>
    </w:p>
  </w:endnote>
  <w:endnote w:type="continuationSeparator" w:id="0">
    <w:p w:rsidR="00F12E00" w:rsidRDefault="00F12E00" w:rsidP="00AF2508">
      <w:pPr>
        <w:pStyle w:val="Assecthead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Narrow">
    <w:altName w:val="Times New Roman"/>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Pr="003D2F20" w:rsidRDefault="00AF2508" w:rsidP="003D2F20">
    <w:pPr>
      <w:pStyle w:val="Footer"/>
      <w:jc w:val="center"/>
      <w:rPr>
        <w:rFonts w:cs="Arial"/>
        <w:sz w:val="14"/>
      </w:rPr>
    </w:pPr>
    <w:r w:rsidRPr="003D2F20">
      <w:rPr>
        <w:rFonts w:cs="Arial"/>
        <w:sz w:val="14"/>
      </w:rPr>
      <w:fldChar w:fldCharType="begin"/>
    </w:r>
    <w:r w:rsidRPr="003D2F20">
      <w:rPr>
        <w:rFonts w:cs="Arial"/>
        <w:sz w:val="14"/>
      </w:rPr>
      <w:instrText xml:space="preserve"> DOCPROPERTY "Status" </w:instrText>
    </w:r>
    <w:r w:rsidRPr="003D2F20">
      <w:rPr>
        <w:rFonts w:cs="Arial"/>
        <w:sz w:val="14"/>
      </w:rPr>
      <w:fldChar w:fldCharType="separate"/>
    </w:r>
    <w:r w:rsidR="00AA7BA7" w:rsidRPr="003D2F20">
      <w:rPr>
        <w:rFonts w:cs="Arial"/>
        <w:sz w:val="14"/>
      </w:rPr>
      <w:t xml:space="preserve"> </w:t>
    </w:r>
    <w:r w:rsidRPr="003D2F20">
      <w:rPr>
        <w:rFonts w:cs="Arial"/>
        <w:sz w:val="14"/>
      </w:rPr>
      <w:fldChar w:fldCharType="end"/>
    </w:r>
    <w:r w:rsidR="003D2F20" w:rsidRPr="003D2F2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166</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166</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166</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177</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w:instrText>
          </w:r>
          <w:r>
            <w:instrText xml:space="preserve">"Eff"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177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177</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190</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190</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190</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211</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w:instrText>
          </w:r>
          <w:r>
            <w:instrText xml:space="preserve">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Pr="003D2F20" w:rsidRDefault="00AF2508" w:rsidP="003D2F20">
    <w:pPr>
      <w:pStyle w:val="Footer"/>
      <w:jc w:val="center"/>
      <w:rPr>
        <w:rFonts w:cs="Arial"/>
        <w:sz w:val="14"/>
      </w:rPr>
    </w:pPr>
    <w:r w:rsidRPr="003D2F20">
      <w:rPr>
        <w:rFonts w:cs="Arial"/>
        <w:sz w:val="14"/>
      </w:rPr>
      <w:fldChar w:fldCharType="begin"/>
    </w:r>
    <w:r w:rsidRPr="003D2F20">
      <w:rPr>
        <w:rFonts w:cs="Arial"/>
        <w:sz w:val="14"/>
      </w:rPr>
      <w:instrText xml:space="preserve"> DOCPROPERTY "Status" </w:instrText>
    </w:r>
    <w:r w:rsidRPr="003D2F20">
      <w:rPr>
        <w:rFonts w:cs="Arial"/>
        <w:sz w:val="14"/>
      </w:rPr>
      <w:fldChar w:fldCharType="separate"/>
    </w:r>
    <w:r w:rsidR="00AA7BA7" w:rsidRPr="003D2F20">
      <w:rPr>
        <w:rFonts w:cs="Arial"/>
        <w:sz w:val="14"/>
      </w:rPr>
      <w:t xml:space="preserve"> </w:t>
    </w:r>
    <w:r w:rsidRPr="003D2F20">
      <w:rPr>
        <w:rFonts w:cs="Arial"/>
        <w:sz w:val="14"/>
      </w:rPr>
      <w:fldChar w:fldCharType="end"/>
    </w:r>
    <w:r w:rsidRPr="003D2F20">
      <w:rPr>
        <w:rFonts w:cs="Arial"/>
        <w:sz w:val="14"/>
      </w:rPr>
      <w:fldChar w:fldCharType="begin"/>
    </w:r>
    <w:r w:rsidRPr="003D2F20">
      <w:rPr>
        <w:rFonts w:cs="Arial"/>
        <w:sz w:val="14"/>
      </w:rPr>
      <w:instrText xml:space="preserve"> COMMENTS  \* MERGEFORMAT </w:instrText>
    </w:r>
    <w:r w:rsidRPr="003D2F20">
      <w:rPr>
        <w:rFonts w:cs="Arial"/>
        <w:sz w:val="14"/>
      </w:rPr>
      <w:fldChar w:fldCharType="end"/>
    </w:r>
    <w:r w:rsidR="003D2F20" w:rsidRPr="003D2F20">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211</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213</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213</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w:instrText>
          </w:r>
          <w:r>
            <w:instrText xml:space="preserve">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213</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267</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267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270</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270</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270</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273</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w:instrText>
    </w:r>
    <w:r w:rsidRPr="003D2F20">
      <w:rPr>
        <w:rFonts w:cs="Arial"/>
      </w:rPr>
      <w:instrText xml:space="preserve">"Status"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A7" w:rsidRPr="003D2F20" w:rsidRDefault="003D2F20" w:rsidP="003D2F20">
    <w:pPr>
      <w:pStyle w:val="Footer"/>
      <w:jc w:val="center"/>
      <w:rPr>
        <w:rFonts w:cs="Arial"/>
        <w:sz w:val="14"/>
      </w:rPr>
    </w:pPr>
    <w:r w:rsidRPr="003D2F20">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w:instrText>
          </w:r>
          <w:r>
            <w:instrText xml:space="preserve">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273</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275</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275</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275</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285</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285</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287</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287</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287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316</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w:instrText>
          </w:r>
          <w:r>
            <w:instrText xml:space="preserve">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F2508">
      <w:tc>
        <w:tcPr>
          <w:tcW w:w="846" w:type="pct"/>
        </w:tcPr>
        <w:p w:rsidR="00AF2508" w:rsidRDefault="00AF2508">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12</w:t>
          </w:r>
          <w:r>
            <w:rPr>
              <w:rStyle w:val="PageNumber"/>
            </w:rPr>
            <w:fldChar w:fldCharType="end"/>
          </w:r>
        </w:p>
      </w:tc>
      <w:tc>
        <w:tcPr>
          <w:tcW w:w="3093"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w:instrText>
          </w:r>
          <w:r>
            <w:fldChar w:fldCharType="separate"/>
          </w:r>
          <w:r w:rsidR="00AA7BA7">
            <w:t xml:space="preserve">Effective:  </w:t>
          </w:r>
          <w:r>
            <w:fldChar w:fldCharType="end"/>
          </w:r>
          <w:r>
            <w:fldChar w:fldCharType="begin"/>
          </w:r>
          <w:r>
            <w:instrText xml:space="preserve"> DOCPROPERTY "StartDt"   </w:instrText>
          </w:r>
          <w:r>
            <w:fldChar w:fldCharType="separate"/>
          </w:r>
          <w:r w:rsidR="00AA7BA7">
            <w:t>12/04/07</w:t>
          </w:r>
          <w:r>
            <w:fldChar w:fldCharType="end"/>
          </w:r>
          <w:r>
            <w:fldChar w:fldCharType="begin"/>
          </w:r>
          <w:r>
            <w:instrText xml:space="preserve"> DOCPROPERTY "EndDt"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w:instrText>
          </w:r>
          <w:r>
            <w:fldChar w:fldCharType="separate"/>
          </w:r>
          <w:r w:rsidR="00AA7BA7">
            <w:t>R4</w:t>
          </w:r>
          <w:r>
            <w:fldChar w:fldCharType="end"/>
          </w:r>
          <w:r w:rsidR="00AF2508">
            <w:br/>
          </w:r>
          <w:r>
            <w:fldChar w:fldCharType="begin"/>
          </w:r>
          <w:r>
            <w:instrText xml:space="preserve"> DOCPROPERTY "RepubDt"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w:instrText>
    </w:r>
    <w:r w:rsidRPr="003D2F20">
      <w:rPr>
        <w:rFonts w:cs="Arial"/>
      </w:rPr>
      <w:instrText xml:space="preserve">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316</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318</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318</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318</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350</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350</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356</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356</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356</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363</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F2508">
      <w:tc>
        <w:tcPr>
          <w:tcW w:w="1061" w:type="pct"/>
        </w:tcPr>
        <w:p w:rsidR="00AF2508" w:rsidRDefault="001A7146">
          <w:pPr>
            <w:pStyle w:val="Footer"/>
          </w:pPr>
          <w:r>
            <w:fldChar w:fldCharType="begin"/>
          </w:r>
          <w:r>
            <w:instrText xml:space="preserve"> DOCPROPERTY "Category"  </w:instrText>
          </w:r>
          <w:r>
            <w:fldChar w:fldCharType="separate"/>
          </w:r>
          <w:r w:rsidR="00AA7BA7">
            <w:t>R4</w:t>
          </w:r>
          <w:r>
            <w:fldChar w:fldCharType="end"/>
          </w:r>
          <w:r w:rsidR="00AF2508">
            <w:br/>
          </w:r>
          <w:r>
            <w:fldChar w:fldCharType="begin"/>
          </w:r>
          <w:r>
            <w:instrText xml:space="preserve"> DOCPROPERTY "RepubDt"  </w:instrText>
          </w:r>
          <w:r>
            <w:fldChar w:fldCharType="separate"/>
          </w:r>
          <w:r w:rsidR="00AA7BA7">
            <w:t>12/04/07</w:t>
          </w:r>
          <w:r>
            <w:fldChar w:fldCharType="end"/>
          </w:r>
        </w:p>
      </w:tc>
      <w:tc>
        <w:tcPr>
          <w:tcW w:w="3093"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w:instrText>
          </w:r>
          <w:r>
            <w:fldChar w:fldCharType="separate"/>
          </w:r>
          <w:r w:rsidR="00AA7BA7">
            <w:t xml:space="preserve">Effective:  </w:t>
          </w:r>
          <w:r>
            <w:fldChar w:fldCharType="end"/>
          </w:r>
          <w:r>
            <w:fldChar w:fldCharType="begin"/>
          </w:r>
          <w:r>
            <w:instrText xml:space="preserve"> DOCPROPERTY "StartDt"  </w:instrText>
          </w:r>
          <w:r>
            <w:fldChar w:fldCharType="separate"/>
          </w:r>
          <w:r w:rsidR="00AA7BA7">
            <w:t>12/04/07</w:t>
          </w:r>
          <w:r>
            <w:fldChar w:fldCharType="end"/>
          </w:r>
          <w:r>
            <w:fldChar w:fldCharType="begin"/>
          </w:r>
          <w:r>
            <w:instrText xml:space="preserve"> DOCPROPERTY "EndDt"  </w:instrText>
          </w:r>
          <w:r>
            <w:fldChar w:fldCharType="separate"/>
          </w:r>
          <w:r w:rsidR="00AA7BA7">
            <w:t>-30/09/09</w:t>
          </w:r>
          <w:r>
            <w:fldChar w:fldCharType="end"/>
          </w:r>
        </w:p>
      </w:tc>
      <w:tc>
        <w:tcPr>
          <w:tcW w:w="846" w:type="pct"/>
        </w:tcPr>
        <w:p w:rsidR="00AF2508" w:rsidRDefault="00AF250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13</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w:instrText>
          </w:r>
          <w:r>
            <w:instrText xml:space="preserve">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363</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p w:rsidR="00AF2508" w:rsidRDefault="00AF2508">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end"/>
    </w:r>
  </w:p>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392</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spacing w:before="0" w:after="0"/>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392</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407</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w:instrText>
          </w:r>
          <w:r>
            <w:instrText xml:space="preserve">"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407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407</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417</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w:instrText>
          </w:r>
          <w:r>
            <w:instrText xml:space="preserve">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417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482</w:t>
          </w:r>
          <w:r>
            <w:rPr>
              <w:rStyle w:val="PageNumber"/>
            </w:rPr>
            <w:fldChar w:fldCharType="end"/>
          </w:r>
        </w:p>
      </w:tc>
    </w:tr>
  </w:tbl>
  <w:p w:rsidR="00AF2508" w:rsidRDefault="001A7146">
    <w:pPr>
      <w:pStyle w:val="Status"/>
    </w:pPr>
    <w:r>
      <w:fldChar w:fldCharType="begin"/>
    </w:r>
    <w:r>
      <w:instrText xml:space="preserve"> DOCPROPERTY "Status" </w:instrText>
    </w:r>
    <w:r>
      <w:fldChar w:fldCharType="separate"/>
    </w:r>
    <w:r w:rsidR="00AA7BA7">
      <w:t xml:space="preserve"> </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F2508">
      <w:tc>
        <w:tcPr>
          <w:tcW w:w="1061" w:type="pct"/>
        </w:tcPr>
        <w:p w:rsidR="00AF2508" w:rsidRDefault="001A7146">
          <w:pPr>
            <w:pStyle w:val="Footer"/>
          </w:pPr>
          <w:r>
            <w:fldChar w:fldCharType="begin"/>
          </w:r>
          <w:r>
            <w:instrText xml:space="preserve"> DOCPROPERTY "Category"  </w:instrText>
          </w:r>
          <w:r>
            <w:fldChar w:fldCharType="separate"/>
          </w:r>
          <w:r w:rsidR="00AA7BA7">
            <w:t>R4</w:t>
          </w:r>
          <w:r>
            <w:fldChar w:fldCharType="end"/>
          </w:r>
          <w:r w:rsidR="00AF2508">
            <w:br/>
          </w:r>
          <w:r>
            <w:fldChar w:fldCharType="begin"/>
          </w:r>
          <w:r>
            <w:instrText xml:space="preserve"> DOCPROPERTY "RepubDt"  </w:instrText>
          </w:r>
          <w:r>
            <w:fldChar w:fldCharType="separate"/>
          </w:r>
          <w:r w:rsidR="00AA7BA7">
            <w:t>12/04/07</w:t>
          </w:r>
          <w:r>
            <w:fldChar w:fldCharType="end"/>
          </w:r>
        </w:p>
      </w:tc>
      <w:tc>
        <w:tcPr>
          <w:tcW w:w="3093"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w:instrText>
          </w:r>
          <w:r>
            <w:fldChar w:fldCharType="separate"/>
          </w:r>
          <w:r w:rsidR="00AA7BA7">
            <w:t xml:space="preserve">Effective:  </w:t>
          </w:r>
          <w:r>
            <w:fldChar w:fldCharType="end"/>
          </w:r>
          <w:r>
            <w:fldChar w:fldCharType="begin"/>
          </w:r>
          <w:r>
            <w:instrText xml:space="preserve"> DOCPROPERTY "StartDt"   </w:instrText>
          </w:r>
          <w:r>
            <w:fldChar w:fldCharType="separate"/>
          </w:r>
          <w:r w:rsidR="00AA7BA7">
            <w:t>12/04/07</w:t>
          </w:r>
          <w:r>
            <w:fldChar w:fldCharType="end"/>
          </w:r>
          <w:r>
            <w:fldChar w:fldCharType="begin"/>
          </w:r>
          <w:r>
            <w:instrText xml:space="preserve"> DOCPROPERTY "EndDt"  </w:instrText>
          </w:r>
          <w:r>
            <w:fldChar w:fldCharType="separate"/>
          </w:r>
          <w:r w:rsidR="00AA7BA7">
            <w:t>-30/09/09</w:t>
          </w:r>
          <w:r>
            <w:fldChar w:fldCharType="end"/>
          </w:r>
        </w:p>
      </w:tc>
      <w:tc>
        <w:tcPr>
          <w:tcW w:w="846" w:type="pct"/>
        </w:tcPr>
        <w:p w:rsidR="00AF2508" w:rsidRDefault="00AF250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420</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w:instrText>
          </w:r>
          <w:r>
            <w:instrText xml:space="preserve">"Eff"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420</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F2508">
      <w:tc>
        <w:tcPr>
          <w:tcW w:w="1240" w:type="dxa"/>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451</w:t>
          </w:r>
          <w:r>
            <w:rPr>
              <w:rStyle w:val="PageNumber"/>
            </w:rP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553" w:type="dxa"/>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F2508">
      <w:tc>
        <w:tcPr>
          <w:tcW w:w="1553" w:type="dxa"/>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8580" w:type="dxa"/>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
            <w:jc w:val="center"/>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240" w:type="dxa"/>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451</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454</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454</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457</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w:instrText>
          </w:r>
          <w:r>
            <w:instrText xml:space="preserve">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459</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459</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6</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w:instrText>
          </w:r>
          <w:r>
            <w:instrText xml:space="preserve">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465</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w:instrText>
          </w:r>
          <w:r>
            <w:instrText xml:space="preserve">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465</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F2508">
      <w:tc>
        <w:tcPr>
          <w:tcW w:w="847" w:type="pct"/>
        </w:tcPr>
        <w:p w:rsidR="00AF2508" w:rsidRDefault="00AF250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482</w:t>
          </w:r>
          <w:r>
            <w:rPr>
              <w:rStyle w:val="PageNumber"/>
            </w:rP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1061" w:type="pct"/>
        </w:tcPr>
        <w:p w:rsidR="00AF2508" w:rsidRDefault="001A7146">
          <w:pPr>
            <w:pStyle w:val="Footer"/>
            <w:jc w:val="right"/>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w:instrText>
          </w:r>
          <w:r>
            <w:instrText xml:space="preserve">"Eff"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482</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Pr="003D2F20" w:rsidRDefault="003D2F20" w:rsidP="003D2F20">
    <w:pPr>
      <w:pStyle w:val="Footer"/>
      <w:jc w:val="center"/>
      <w:rPr>
        <w:rFonts w:cs="Arial"/>
        <w:sz w:val="14"/>
      </w:rPr>
    </w:pPr>
    <w:r w:rsidRPr="003D2F20">
      <w:rPr>
        <w:rFonts w:cs="Arial"/>
        <w:sz w:val="14"/>
      </w:rPr>
      <w:t>Unauthorised version prepared by ACT Parliamentary Counsel’s Office</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Pr="003D2F20" w:rsidRDefault="00AF2508" w:rsidP="003D2F20">
    <w:pPr>
      <w:pStyle w:val="Footer"/>
      <w:jc w:val="center"/>
      <w:rPr>
        <w:rFonts w:cs="Arial"/>
        <w:sz w:val="14"/>
      </w:rPr>
    </w:pPr>
    <w:r w:rsidRPr="003D2F20">
      <w:rPr>
        <w:rFonts w:cs="Arial"/>
        <w:sz w:val="14"/>
      </w:rPr>
      <w:fldChar w:fldCharType="begin"/>
    </w:r>
    <w:r w:rsidRPr="003D2F20">
      <w:rPr>
        <w:rFonts w:cs="Arial"/>
        <w:sz w:val="14"/>
      </w:rPr>
      <w:instrText xml:space="preserve"> COMMENTS  \* MERGEFORMAT </w:instrText>
    </w:r>
    <w:r w:rsidRPr="003D2F20">
      <w:rPr>
        <w:rFonts w:cs="Arial"/>
        <w:sz w:val="14"/>
      </w:rPr>
      <w:fldChar w:fldCharType="end"/>
    </w:r>
    <w:r w:rsidR="003D2F20" w:rsidRPr="003D2F20">
      <w:rPr>
        <w:rFonts w:cs="Arial"/>
        <w:sz w:val="14"/>
      </w:rPr>
      <w:t>Unauthorised version prepared by ACT Parliamentary Counsel’s Office</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Pr="003D2F20" w:rsidRDefault="003D2F20" w:rsidP="003D2F20">
    <w:pPr>
      <w:pStyle w:val="Footer"/>
      <w:jc w:val="center"/>
      <w:rPr>
        <w:rFonts w:cs="Arial"/>
        <w:sz w:val="14"/>
      </w:rPr>
    </w:pPr>
    <w:r w:rsidRPr="003D2F20">
      <w:rPr>
        <w:rFonts w:cs="Arial"/>
        <w:sz w:val="14"/>
      </w:rPr>
      <w:t>Unauthorised version prepared by ACT Parliamentary Counsel’s Office</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Pr="003D2F20" w:rsidRDefault="003D2F20" w:rsidP="003D2F20">
    <w:pPr>
      <w:pStyle w:val="Footer"/>
      <w:jc w:val="center"/>
      <w:rPr>
        <w:rFonts w:cs="Arial"/>
        <w:sz w:val="14"/>
      </w:rPr>
    </w:pPr>
    <w:r w:rsidRPr="003D2F20">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37</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F2508">
      <w:tc>
        <w:tcPr>
          <w:tcW w:w="1061" w:type="pct"/>
        </w:tcPr>
        <w:p w:rsidR="00AF2508" w:rsidRDefault="001A7146">
          <w:pPr>
            <w:pStyle w:val="Footer"/>
          </w:pPr>
          <w:r>
            <w:fldChar w:fldCharType="begin"/>
          </w:r>
          <w:r>
            <w:instrText xml:space="preserve"> DOCPROPERTY "Category"  *\charformat  </w:instrText>
          </w:r>
          <w:r>
            <w:fldChar w:fldCharType="separate"/>
          </w:r>
          <w:r w:rsidR="00AA7BA7">
            <w:t>R4</w:t>
          </w:r>
          <w:r>
            <w:fldChar w:fldCharType="end"/>
          </w:r>
          <w:r w:rsidR="00AF2508">
            <w:br/>
          </w:r>
          <w:r>
            <w:fldChar w:fldCharType="begin"/>
          </w:r>
          <w:r>
            <w:instrText xml:space="preserve"> DOCPROPERTY "RepubDt"  *\charformat  </w:instrText>
          </w:r>
          <w:r>
            <w:fldChar w:fldCharType="separate"/>
          </w:r>
          <w:r w:rsidR="00AA7BA7">
            <w:t>12/04/07</w:t>
          </w:r>
          <w:r>
            <w:fldChar w:fldCharType="end"/>
          </w:r>
        </w:p>
      </w:tc>
      <w:tc>
        <w:tcPr>
          <w:tcW w:w="3092" w:type="pct"/>
        </w:tcPr>
        <w:p w:rsidR="00AF2508" w:rsidRDefault="001A7146">
          <w:pPr>
            <w:pStyle w:val="Footer"/>
            <w:jc w:val="center"/>
          </w:pPr>
          <w:r>
            <w:fldChar w:fldCharType="begin"/>
          </w:r>
          <w:r>
            <w:instrText xml:space="preserve"> REF Citation *\charformat </w:instrText>
          </w:r>
          <w:r>
            <w:fldChar w:fldCharType="separate"/>
          </w:r>
          <w:r w:rsidR="00AA7BA7">
            <w:t>Scaffolding and Lifts Regulation 1950</w:t>
          </w:r>
          <w:r>
            <w:fldChar w:fldCharType="end"/>
          </w:r>
        </w:p>
        <w:p w:rsidR="00AF2508" w:rsidRDefault="001A7146">
          <w:pPr>
            <w:pStyle w:val="FooterInfoCentre"/>
          </w:pPr>
          <w:r>
            <w:fldChar w:fldCharType="begin"/>
          </w:r>
          <w:r>
            <w:instrText xml:space="preserve"> DOCPROPERTY "Eff"  *\charformat </w:instrText>
          </w:r>
          <w:r>
            <w:fldChar w:fldCharType="separate"/>
          </w:r>
          <w:r w:rsidR="00AA7BA7">
            <w:t xml:space="preserve">Effective:  </w:t>
          </w:r>
          <w:r>
            <w:fldChar w:fldCharType="end"/>
          </w:r>
          <w:r>
            <w:fldChar w:fldCharType="begin"/>
          </w:r>
          <w:r>
            <w:instrText xml:space="preserve"> DOCPROPERTY "StartDt"  *\charformat </w:instrText>
          </w:r>
          <w:r>
            <w:fldChar w:fldCharType="separate"/>
          </w:r>
          <w:r w:rsidR="00AA7BA7">
            <w:t>12/04/07</w:t>
          </w:r>
          <w:r>
            <w:fldChar w:fldCharType="end"/>
          </w:r>
          <w:r>
            <w:fldChar w:fldCharType="begin"/>
          </w:r>
          <w:r>
            <w:instrText xml:space="preserve"> DOCPROPERTY "EndDt"  *\charformat </w:instrText>
          </w:r>
          <w:r>
            <w:fldChar w:fldCharType="separate"/>
          </w:r>
          <w:r w:rsidR="00AA7BA7">
            <w:t>-30/09/09</w:t>
          </w:r>
          <w:r>
            <w:fldChar w:fldCharType="end"/>
          </w:r>
        </w:p>
      </w:tc>
      <w:tc>
        <w:tcPr>
          <w:tcW w:w="847" w:type="pct"/>
        </w:tcPr>
        <w:p w:rsidR="00AF2508" w:rsidRDefault="00AF250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A7BA7">
            <w:rPr>
              <w:rStyle w:val="PageNumber"/>
              <w:noProof/>
            </w:rPr>
            <w:t>1</w:t>
          </w:r>
          <w:r>
            <w:rPr>
              <w:rStyle w:val="PageNumber"/>
            </w:rPr>
            <w:fldChar w:fldCharType="end"/>
          </w:r>
        </w:p>
      </w:tc>
    </w:tr>
  </w:tbl>
  <w:p w:rsidR="00AF2508" w:rsidRPr="003D2F20" w:rsidRDefault="001A7146" w:rsidP="003D2F20">
    <w:pPr>
      <w:pStyle w:val="Status"/>
      <w:rPr>
        <w:rFonts w:cs="Arial"/>
      </w:rPr>
    </w:pPr>
    <w:r w:rsidRPr="003D2F20">
      <w:rPr>
        <w:rFonts w:cs="Arial"/>
      </w:rPr>
      <w:fldChar w:fldCharType="begin"/>
    </w:r>
    <w:r w:rsidRPr="003D2F20">
      <w:rPr>
        <w:rFonts w:cs="Arial"/>
      </w:rPr>
      <w:instrText xml:space="preserve"> DOCPROPERTY "Status" </w:instrText>
    </w:r>
    <w:r w:rsidRPr="003D2F20">
      <w:rPr>
        <w:rFonts w:cs="Arial"/>
      </w:rPr>
      <w:fldChar w:fldCharType="separate"/>
    </w:r>
    <w:r w:rsidR="00AA7BA7" w:rsidRPr="003D2F20">
      <w:rPr>
        <w:rFonts w:cs="Arial"/>
      </w:rPr>
      <w:t xml:space="preserve"> </w:t>
    </w:r>
    <w:r w:rsidRPr="003D2F20">
      <w:rPr>
        <w:rFonts w:cs="Arial"/>
      </w:rPr>
      <w:fldChar w:fldCharType="end"/>
    </w:r>
    <w:r w:rsidR="003D2F20" w:rsidRPr="003D2F2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E00" w:rsidRDefault="00F12E00" w:rsidP="00AF2508">
      <w:pPr>
        <w:pStyle w:val="Assectheading"/>
      </w:pPr>
      <w:r>
        <w:separator/>
      </w:r>
    </w:p>
  </w:footnote>
  <w:footnote w:type="continuationSeparator" w:id="0">
    <w:p w:rsidR="00F12E00" w:rsidRDefault="00F12E00" w:rsidP="00AF2508">
      <w:pPr>
        <w:pStyle w:val="Assecthead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A7" w:rsidRDefault="00AA7BA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8</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w:instrText>
          </w:r>
          <w:r>
            <w:rPr>
              <w:noProof/>
            </w:rPr>
            <w:instrText xml:space="preserve">rformat </w:instrText>
          </w:r>
          <w:r>
            <w:rPr>
              <w:noProof/>
            </w:rPr>
            <w:fldChar w:fldCharType="separate"/>
          </w:r>
          <w:r w:rsidR="00AA7BA7">
            <w:rPr>
              <w:noProof/>
            </w:rPr>
            <w:t>Safeguards and measures to be taken for securing the safety and health of persons engaged in compressed air work</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separate"/>
          </w:r>
          <w:r w:rsidR="00AA7BA7">
            <w:rPr>
              <w:b/>
              <w:noProof/>
            </w:rPr>
            <w:t>Division 8.3</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CharDivText \*charformat </w:instrText>
          </w:r>
          <w:r>
            <w:rPr>
              <w:noProof/>
            </w:rPr>
            <w:fldChar w:fldCharType="separate"/>
          </w:r>
          <w:r w:rsidR="00AA7BA7">
            <w:rPr>
              <w:noProof/>
            </w:rPr>
            <w:t>Caissons</w:t>
          </w:r>
          <w:r>
            <w:rPr>
              <w:noProof/>
            </w:rP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101</w:t>
          </w:r>
          <w:r>
            <w:rPr>
              <w:noProof/>
            </w:rPr>
            <w:fldChar w:fldCharType="end"/>
          </w:r>
        </w:p>
      </w:tc>
    </w:tr>
  </w:tbl>
  <w:p w:rsidR="00AF2508" w:rsidRDefault="00AF250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Safeguards and measures to be taken for securing the safety and health of persons engaged in compressed air work</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8</w:t>
          </w:r>
          <w:r>
            <w:rPr>
              <w:b/>
            </w:rPr>
            <w:fldChar w:fldCharType="end"/>
          </w:r>
        </w:p>
      </w:tc>
    </w:tr>
    <w:tr w:rsidR="00AF2508">
      <w:tc>
        <w:tcPr>
          <w:tcW w:w="4100" w:type="pct"/>
        </w:tcPr>
        <w:p w:rsidR="00AF2508" w:rsidRDefault="001A7146">
          <w:pPr>
            <w:pStyle w:val="HeaderEven"/>
            <w:jc w:val="right"/>
          </w:pPr>
          <w:r>
            <w:rPr>
              <w:noProof/>
            </w:rPr>
            <w:fldChar w:fldCharType="begin"/>
          </w:r>
          <w:r>
            <w:rPr>
              <w:noProof/>
            </w:rPr>
            <w:instrText xml:space="preserve"> STYLEREF CharDivText \*charformat </w:instrText>
          </w:r>
          <w:r>
            <w:rPr>
              <w:noProof/>
            </w:rPr>
            <w:fldChar w:fldCharType="separate"/>
          </w:r>
          <w:r w:rsidR="00AA7BA7">
            <w:rPr>
              <w:noProof/>
            </w:rPr>
            <w:t>Caissons</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separate"/>
          </w:r>
          <w:r w:rsidR="00AA7BA7">
            <w:rPr>
              <w:b/>
              <w:noProof/>
            </w:rPr>
            <w:t>Division 8.3</w: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101</w:t>
          </w:r>
          <w:r>
            <w:rPr>
              <w:noProof/>
            </w:rPr>
            <w:fldChar w:fldCharType="end"/>
          </w:r>
        </w:p>
      </w:tc>
    </w:tr>
  </w:tbl>
  <w:p w:rsidR="00AF2508" w:rsidRDefault="00AF250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9A</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Explosive-powered tools—safety measures</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sidR="00AF2508">
            <w:fldChar w:fldCharType="begin"/>
          </w:r>
          <w:r w:rsidR="00AF2508">
            <w:instrText xml:space="preserve"> STYLEREF CharSectNo \*charformat </w:instrText>
          </w:r>
          <w:r w:rsidR="00AF2508">
            <w:fldChar w:fldCharType="end"/>
          </w:r>
        </w:p>
      </w:tc>
    </w:tr>
  </w:tbl>
  <w:p w:rsidR="00AF2508" w:rsidRDefault="00AF250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Explosive-powered tools—safety measures</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9A</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sidR="00AF2508">
            <w:fldChar w:fldCharType="begin"/>
          </w:r>
          <w:r w:rsidR="00AF2508">
            <w:instrText xml:space="preserve"> STYLEREF CharSectNo \*charformat </w:instrText>
          </w:r>
          <w:r w:rsidR="00AF2508">
            <w:fldChar w:fldCharType="end"/>
          </w:r>
        </w:p>
      </w:tc>
    </w:tr>
  </w:tbl>
  <w:p w:rsidR="00AF2508" w:rsidRDefault="00AF250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10</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w:instrText>
          </w:r>
          <w:r>
            <w:rPr>
              <w:noProof/>
            </w:rPr>
            <w:instrText xml:space="preserve">charformat </w:instrText>
          </w:r>
          <w:r>
            <w:rPr>
              <w:noProof/>
            </w:rPr>
            <w:fldChar w:fldCharType="separate"/>
          </w:r>
          <w:r w:rsidR="00AA7BA7">
            <w:rPr>
              <w:noProof/>
            </w:rPr>
            <w:t>Measures to be taken for securing the health of persons in building work, excavation work and compressed air work by provision of first-aid equipment, shelter, change and dining accommodation, sanitary conveniences and washing facilities</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separate"/>
          </w:r>
          <w:r w:rsidR="00AA7BA7">
            <w:rPr>
              <w:b/>
              <w:noProof/>
            </w:rPr>
            <w:t>Division 10.3</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CharDivText \*charformat </w:instrText>
          </w:r>
          <w:r>
            <w:rPr>
              <w:noProof/>
            </w:rPr>
            <w:fldChar w:fldCharType="separate"/>
          </w:r>
          <w:r w:rsidR="00AA7BA7">
            <w:rPr>
              <w:noProof/>
            </w:rPr>
            <w:t>Sanitary conveniences and washing facilities</w:t>
          </w:r>
          <w:r>
            <w:rPr>
              <w:noProof/>
            </w:rPr>
            <w:fldChar w:fldCharType="end"/>
          </w:r>
        </w:p>
      </w:tc>
    </w:tr>
    <w:tr w:rsidR="00AF2508">
      <w:trPr>
        <w:cantSplit/>
        <w:trHeight w:val="327"/>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121</w:t>
          </w:r>
          <w:r>
            <w:rPr>
              <w:noProof/>
            </w:rPr>
            <w:fldChar w:fldCharType="end"/>
          </w:r>
        </w:p>
      </w:tc>
    </w:tr>
  </w:tbl>
  <w:p w:rsidR="00AF2508" w:rsidRDefault="00AF250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Measures to be taken for securing the health of persons in building work, excavation work and compressed air work by provision of first-aid equipment, shelter, change and dining accommodation, sanitary conveniences and washing facilities</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10</w:t>
          </w:r>
          <w:r>
            <w:rPr>
              <w:b/>
            </w:rPr>
            <w:fldChar w:fldCharType="end"/>
          </w:r>
        </w:p>
      </w:tc>
    </w:tr>
    <w:tr w:rsidR="00AF2508">
      <w:tc>
        <w:tcPr>
          <w:tcW w:w="4100" w:type="pct"/>
        </w:tcPr>
        <w:p w:rsidR="00AF2508" w:rsidRDefault="001A7146">
          <w:pPr>
            <w:pStyle w:val="HeaderEven"/>
            <w:jc w:val="right"/>
          </w:pPr>
          <w:r>
            <w:rPr>
              <w:noProof/>
            </w:rPr>
            <w:fldChar w:fldCharType="begin"/>
          </w:r>
          <w:r>
            <w:rPr>
              <w:noProof/>
            </w:rPr>
            <w:instrText xml:space="preserve"> STYLEREF CharDivText \*charformat </w:instrText>
          </w:r>
          <w:r>
            <w:rPr>
              <w:noProof/>
            </w:rPr>
            <w:fldChar w:fldCharType="separate"/>
          </w:r>
          <w:r w:rsidR="00AA7BA7">
            <w:rPr>
              <w:noProof/>
            </w:rPr>
            <w:t>Sanitary conveniences and washing facilities</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separate"/>
          </w:r>
          <w:r w:rsidR="00AA7BA7">
            <w:rPr>
              <w:b/>
              <w:noProof/>
            </w:rPr>
            <w:t>Division 10.3</w: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121</w:t>
          </w:r>
          <w:r>
            <w:rPr>
              <w:noProof/>
            </w:rPr>
            <w:fldChar w:fldCharType="end"/>
          </w:r>
        </w:p>
      </w:tc>
    </w:tr>
  </w:tbl>
  <w:p w:rsidR="00AF2508" w:rsidRDefault="00AF250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126</w:t>
          </w:r>
          <w:r w:rsidR="001A7146">
            <w:rPr>
              <w:noProof/>
            </w:rPr>
            <w:fldChar w:fldCharType="end"/>
          </w:r>
        </w:p>
      </w:tc>
    </w:tr>
  </w:tbl>
  <w:p w:rsidR="00AF2508" w:rsidRDefault="00AF250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126</w:t>
          </w:r>
          <w:r w:rsidR="001A7146">
            <w:rPr>
              <w:noProof/>
            </w:rPr>
            <w:fldChar w:fldCharType="end"/>
          </w:r>
        </w:p>
      </w:tc>
    </w:tr>
  </w:tbl>
  <w:p w:rsidR="00AF2508" w:rsidRDefault="00AF250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w:instrText>
          </w:r>
          <w:r>
            <w:rPr>
              <w:noProof/>
            </w:rPr>
            <w:instrText xml:space="preserve">YLEREF CharSectNo \*charformat </w:instrText>
          </w:r>
          <w:r>
            <w:rPr>
              <w:noProof/>
            </w:rPr>
            <w:fldChar w:fldCharType="separate"/>
          </w:r>
          <w:r w:rsidR="00AA7BA7">
            <w:rPr>
              <w:noProof/>
            </w:rPr>
            <w:t>126</w:t>
          </w:r>
          <w:r>
            <w:rPr>
              <w:noProof/>
            </w:rPr>
            <w:fldChar w:fldCharType="end"/>
          </w:r>
        </w:p>
      </w:tc>
    </w:tr>
  </w:tbl>
  <w:p w:rsidR="00AF2508" w:rsidRDefault="00AF250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126</w:t>
          </w:r>
          <w:r>
            <w:rPr>
              <w:noProof/>
            </w:rPr>
            <w:fldChar w:fldCharType="end"/>
          </w:r>
        </w:p>
      </w:tc>
    </w:tr>
  </w:tbl>
  <w:p w:rsidR="00AF2508" w:rsidRDefault="00AF25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A7" w:rsidRDefault="00AA7BA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128</w:t>
          </w:r>
          <w:r w:rsidR="001A7146">
            <w:rPr>
              <w:noProof/>
            </w:rPr>
            <w:fldChar w:fldCharType="end"/>
          </w:r>
        </w:p>
      </w:tc>
    </w:tr>
  </w:tbl>
  <w:p w:rsidR="00AF2508" w:rsidRDefault="00AF250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128</w:t>
          </w:r>
          <w:r w:rsidR="001A7146">
            <w:rPr>
              <w:noProof/>
            </w:rPr>
            <w:fldChar w:fldCharType="end"/>
          </w:r>
        </w:p>
      </w:tc>
    </w:tr>
  </w:tbl>
  <w:p w:rsidR="00AF2508" w:rsidRDefault="00AF250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128</w:t>
          </w:r>
          <w:r>
            <w:rPr>
              <w:noProof/>
            </w:rPr>
            <w:fldChar w:fldCharType="end"/>
          </w:r>
        </w:p>
      </w:tc>
    </w:tr>
  </w:tbl>
  <w:p w:rsidR="00AF2508" w:rsidRDefault="00AF250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128</w:t>
          </w:r>
          <w:r>
            <w:rPr>
              <w:noProof/>
            </w:rPr>
            <w:fldChar w:fldCharType="end"/>
          </w:r>
        </w:p>
      </w:tc>
    </w:tr>
  </w:tbl>
  <w:p w:rsidR="00AF2508" w:rsidRDefault="00AF250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130</w:t>
          </w:r>
          <w:r w:rsidR="001A7146">
            <w:rPr>
              <w:noProof/>
            </w:rPr>
            <w:fldChar w:fldCharType="end"/>
          </w:r>
        </w:p>
      </w:tc>
    </w:tr>
  </w:tbl>
  <w:p w:rsidR="00AF2508" w:rsidRDefault="00AF250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130</w:t>
          </w:r>
          <w:r w:rsidR="001A7146">
            <w:rPr>
              <w:noProof/>
            </w:rPr>
            <w:fldChar w:fldCharType="end"/>
          </w:r>
        </w:p>
      </w:tc>
    </w:tr>
  </w:tbl>
  <w:p w:rsidR="00AF2508" w:rsidRDefault="00AF250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130</w:t>
          </w:r>
          <w:r>
            <w:rPr>
              <w:noProof/>
            </w:rPr>
            <w:fldChar w:fldCharType="end"/>
          </w:r>
        </w:p>
      </w:tc>
    </w:tr>
  </w:tbl>
  <w:p w:rsidR="00AF2508" w:rsidRDefault="00AF250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130</w:t>
          </w:r>
          <w:r>
            <w:rPr>
              <w:noProof/>
            </w:rPr>
            <w:fldChar w:fldCharType="end"/>
          </w:r>
        </w:p>
      </w:tc>
    </w:tr>
  </w:tbl>
  <w:p w:rsidR="00AF2508" w:rsidRDefault="00AF250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130</w:t>
          </w:r>
          <w:r w:rsidR="001A7146">
            <w:rPr>
              <w:noProof/>
            </w:rPr>
            <w:fldChar w:fldCharType="end"/>
          </w:r>
        </w:p>
      </w:tc>
    </w:tr>
  </w:tbl>
  <w:p w:rsidR="00AF2508" w:rsidRDefault="00AF250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w:instrText>
          </w:r>
          <w:r w:rsidR="001A7146">
            <w:rPr>
              <w:noProof/>
            </w:rPr>
            <w:instrText xml:space="preserve">ormat </w:instrText>
          </w:r>
          <w:r w:rsidR="001A7146">
            <w:rPr>
              <w:noProof/>
            </w:rPr>
            <w:fldChar w:fldCharType="separate"/>
          </w:r>
          <w:r w:rsidR="00AA7BA7">
            <w:rPr>
              <w:noProof/>
            </w:rPr>
            <w:t>130</w:t>
          </w:r>
          <w:r w:rsidR="001A7146">
            <w:rPr>
              <w:noProof/>
            </w:rPr>
            <w:fldChar w:fldCharType="end"/>
          </w:r>
        </w:p>
      </w:tc>
    </w:tr>
  </w:tbl>
  <w:p w:rsidR="00AF2508" w:rsidRDefault="00AF25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A7" w:rsidRDefault="00AA7BA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130</w:t>
          </w:r>
          <w:r>
            <w:rPr>
              <w:noProof/>
            </w:rPr>
            <w:fldChar w:fldCharType="end"/>
          </w:r>
        </w:p>
      </w:tc>
    </w:tr>
  </w:tbl>
  <w:p w:rsidR="00AF2508" w:rsidRDefault="00AF250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130</w:t>
          </w:r>
          <w:r>
            <w:rPr>
              <w:noProof/>
            </w:rPr>
            <w:fldChar w:fldCharType="end"/>
          </w:r>
        </w:p>
      </w:tc>
    </w:tr>
  </w:tbl>
  <w:p w:rsidR="00AF2508" w:rsidRDefault="00AF250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139</w:t>
          </w:r>
          <w:r w:rsidR="001A7146">
            <w:rPr>
              <w:noProof/>
            </w:rPr>
            <w:fldChar w:fldCharType="end"/>
          </w:r>
        </w:p>
      </w:tc>
    </w:tr>
  </w:tbl>
  <w:p w:rsidR="00AF2508" w:rsidRDefault="00AF250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w:instrText>
          </w:r>
          <w:r>
            <w:rPr>
              <w:noProof/>
            </w:rPr>
            <w:instrText xml:space="preserve">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139</w:t>
          </w:r>
          <w:r w:rsidR="001A7146">
            <w:rPr>
              <w:noProof/>
            </w:rPr>
            <w:fldChar w:fldCharType="end"/>
          </w:r>
        </w:p>
      </w:tc>
    </w:tr>
  </w:tbl>
  <w:p w:rsidR="00AF2508" w:rsidRDefault="00AF250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139</w:t>
          </w:r>
          <w:r>
            <w:rPr>
              <w:noProof/>
            </w:rPr>
            <w:fldChar w:fldCharType="end"/>
          </w:r>
        </w:p>
      </w:tc>
    </w:tr>
  </w:tbl>
  <w:p w:rsidR="00AF2508" w:rsidRDefault="00AF250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11</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139</w:t>
          </w:r>
          <w:r>
            <w:rPr>
              <w:noProof/>
            </w:rPr>
            <w:fldChar w:fldCharType="end"/>
          </w:r>
        </w:p>
      </w:tc>
    </w:tr>
  </w:tbl>
  <w:p w:rsidR="00AF2508" w:rsidRDefault="00AF250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143</w:t>
          </w:r>
          <w:r w:rsidR="001A7146">
            <w:rPr>
              <w:noProof/>
            </w:rPr>
            <w:fldChar w:fldCharType="end"/>
          </w:r>
        </w:p>
      </w:tc>
    </w:tr>
  </w:tbl>
  <w:p w:rsidR="00AF2508" w:rsidRDefault="00AF250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143</w:t>
          </w:r>
          <w:r w:rsidR="001A7146">
            <w:rPr>
              <w:noProof/>
            </w:rPr>
            <w:fldChar w:fldCharType="end"/>
          </w:r>
        </w:p>
      </w:tc>
    </w:tr>
  </w:tbl>
  <w:p w:rsidR="00AF2508" w:rsidRDefault="00AF250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143</w:t>
          </w:r>
          <w:r>
            <w:rPr>
              <w:noProof/>
            </w:rPr>
            <w:fldChar w:fldCharType="end"/>
          </w:r>
        </w:p>
      </w:tc>
    </w:tr>
  </w:tbl>
  <w:p w:rsidR="00AF2508" w:rsidRDefault="00AF250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143</w:t>
          </w:r>
          <w:r>
            <w:rPr>
              <w:noProof/>
            </w:rPr>
            <w:fldChar w:fldCharType="end"/>
          </w:r>
        </w:p>
      </w:tc>
    </w:tr>
  </w:tbl>
  <w:p w:rsidR="00AF2508" w:rsidRDefault="00AF25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pPr>
        </w:p>
      </w:tc>
      <w:tc>
        <w:tcPr>
          <w:tcW w:w="4100" w:type="pct"/>
        </w:tcPr>
        <w:p w:rsidR="00AF2508" w:rsidRDefault="00AF2508">
          <w:pPr>
            <w:pStyle w:val="HeaderEven"/>
          </w:pPr>
        </w:p>
      </w:tc>
    </w:tr>
    <w:tr w:rsidR="00AF2508">
      <w:tc>
        <w:tcPr>
          <w:tcW w:w="4100" w:type="pct"/>
          <w:gridSpan w:val="2"/>
          <w:tcBorders>
            <w:bottom w:val="single" w:sz="4" w:space="0" w:color="auto"/>
          </w:tcBorders>
        </w:tcPr>
        <w:p w:rsidR="00AF2508" w:rsidRDefault="001A7146">
          <w:pPr>
            <w:pStyle w:val="HeaderEven6"/>
          </w:pPr>
          <w:r>
            <w:rPr>
              <w:noProof/>
            </w:rPr>
            <w:fldChar w:fldCharType="begin"/>
          </w:r>
          <w:r>
            <w:rPr>
              <w:noProof/>
            </w:rPr>
            <w:instrText xml:space="preserve"> STYLEREF charContents \* MERGEFORMAT </w:instrText>
          </w:r>
          <w:r>
            <w:rPr>
              <w:noProof/>
            </w:rPr>
            <w:fldChar w:fldCharType="separate"/>
          </w:r>
          <w:r w:rsidR="00AA7BA7">
            <w:rPr>
              <w:noProof/>
            </w:rPr>
            <w:t>Contents</w:t>
          </w:r>
          <w:r>
            <w:rPr>
              <w:noProof/>
            </w:rPr>
            <w:fldChar w:fldCharType="end"/>
          </w:r>
        </w:p>
      </w:tc>
    </w:tr>
  </w:tbl>
  <w:p w:rsidR="00AF2508" w:rsidRDefault="00AF2508">
    <w:pPr>
      <w:pStyle w:val="N-9pt"/>
    </w:pPr>
    <w:r>
      <w:tab/>
    </w:r>
    <w:r w:rsidR="001A7146">
      <w:rPr>
        <w:noProof/>
      </w:rPr>
      <w:fldChar w:fldCharType="begin"/>
    </w:r>
    <w:r w:rsidR="001A7146">
      <w:rPr>
        <w:noProof/>
      </w:rPr>
      <w:instrText xml:space="preserve"> STYLEREF charPage \* MERGEFORMAT </w:instrText>
    </w:r>
    <w:r w:rsidR="001A7146">
      <w:rPr>
        <w:noProof/>
      </w:rPr>
      <w:fldChar w:fldCharType="separate"/>
    </w:r>
    <w:r w:rsidR="00AA7BA7">
      <w:rPr>
        <w:noProof/>
      </w:rPr>
      <w:t>Page</w:t>
    </w:r>
    <w:r w:rsidR="001A7146">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CharDivNo \*charformat </w:instrText>
          </w:r>
          <w:r>
            <w:rPr>
              <w:b/>
            </w:rPr>
            <w:fldChar w:fldCharType="end"/>
          </w:r>
        </w:p>
      </w:tc>
      <w:tc>
        <w:tcPr>
          <w:tcW w:w="9840" w:type="dxa"/>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144</w:t>
          </w:r>
          <w:r w:rsidR="001A7146">
            <w:rPr>
              <w:noProof/>
            </w:rPr>
            <w:fldChar w:fldCharType="end"/>
          </w:r>
        </w:p>
      </w:tc>
    </w:tr>
  </w:tbl>
  <w:p w:rsidR="00AF2508" w:rsidRDefault="00AF250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r>
    <w:tr w:rsidR="00AF2508">
      <w:tc>
        <w:tcPr>
          <w:tcW w:w="9840" w:type="dxa"/>
        </w:tcPr>
        <w:p w:rsidR="00AF2508" w:rsidRDefault="00AF2508">
          <w:pPr>
            <w:pStyle w:val="HeaderOdd"/>
          </w:pPr>
          <w:r>
            <w:fldChar w:fldCharType="begin"/>
          </w:r>
          <w:r>
            <w:instrText xml:space="preserve"> STYLEREF CharDivText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CharDivNo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r>
            <w:t xml:space="preserve">Section </w:t>
          </w:r>
          <w:r w:rsidR="001A7146">
            <w:rPr>
              <w:noProof/>
            </w:rPr>
            <w:fldChar w:fldCharType="begin"/>
          </w:r>
          <w:r w:rsidR="001A7146">
            <w:rPr>
              <w:noProof/>
            </w:rPr>
            <w:instrText xml:space="preserve"> STYLEREF CharSectNo \*charformat </w:instrText>
          </w:r>
          <w:r w:rsidR="001A7146">
            <w:rPr>
              <w:noProof/>
            </w:rPr>
            <w:fldChar w:fldCharType="separate"/>
          </w:r>
          <w:r w:rsidR="00AA7BA7">
            <w:rPr>
              <w:noProof/>
            </w:rPr>
            <w:t>144</w:t>
          </w:r>
          <w:r w:rsidR="001A7146">
            <w:rPr>
              <w:noProof/>
            </w:rPr>
            <w:fldChar w:fldCharType="end"/>
          </w:r>
        </w:p>
      </w:tc>
    </w:tr>
  </w:tbl>
  <w:p w:rsidR="00AF2508" w:rsidRDefault="00AF250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w:instrText>
          </w:r>
          <w:r>
            <w:rPr>
              <w:noProof/>
            </w:rPr>
            <w:instrText xml:space="preserve">STYLEREF CharSectNo \*charformat </w:instrText>
          </w:r>
          <w:r>
            <w:rPr>
              <w:noProof/>
            </w:rPr>
            <w:fldChar w:fldCharType="separate"/>
          </w:r>
          <w:r w:rsidR="00AA7BA7">
            <w:rPr>
              <w:noProof/>
            </w:rPr>
            <w:t>144</w:t>
          </w:r>
          <w:r>
            <w:rPr>
              <w:noProof/>
            </w:rPr>
            <w:fldChar w:fldCharType="end"/>
          </w:r>
        </w:p>
      </w:tc>
    </w:tr>
  </w:tbl>
  <w:p w:rsidR="00AF2508" w:rsidRDefault="00AF250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144</w:t>
          </w:r>
          <w:r>
            <w:rPr>
              <w:noProof/>
            </w:rPr>
            <w:fldChar w:fldCharType="end"/>
          </w:r>
        </w:p>
      </w:tc>
    </w:tr>
  </w:tbl>
  <w:p w:rsidR="00AF2508" w:rsidRDefault="00AF250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157</w:t>
          </w:r>
          <w:r>
            <w:rPr>
              <w:noProof/>
            </w:rPr>
            <w:fldChar w:fldCharType="end"/>
          </w:r>
        </w:p>
      </w:tc>
    </w:tr>
  </w:tbl>
  <w:p w:rsidR="00AF2508" w:rsidRDefault="00AF250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Plant and gear</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12</w:t>
          </w:r>
          <w:r>
            <w:rPr>
              <w:b/>
            </w:rPr>
            <w:fldChar w:fldCharType="end"/>
          </w:r>
        </w:p>
      </w:tc>
    </w:tr>
    <w:tr w:rsidR="00AF2508">
      <w:tc>
        <w:tcPr>
          <w:tcW w:w="4100" w:type="pct"/>
        </w:tcPr>
        <w:p w:rsidR="00AF2508" w:rsidRDefault="00AF2508">
          <w:pPr>
            <w:pStyle w:val="HeaderEven"/>
            <w:jc w:val="right"/>
          </w:pPr>
          <w:r>
            <w:fldChar w:fldCharType="begin"/>
          </w:r>
          <w:r>
            <w:instrText xml:space="preserve"> STYLEREF CharDivText \*charformat </w:instrText>
          </w:r>
          <w: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157</w:t>
          </w:r>
          <w:r>
            <w:rPr>
              <w:noProof/>
            </w:rPr>
            <w:fldChar w:fldCharType="end"/>
          </w:r>
        </w:p>
      </w:tc>
    </w:tr>
  </w:tbl>
  <w:p w:rsidR="00AF2508" w:rsidRDefault="00AF250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F2508">
      <w:trPr>
        <w:jc w:val="center"/>
      </w:trPr>
      <w:tc>
        <w:tcPr>
          <w:tcW w:w="1560" w:type="dxa"/>
        </w:tcPr>
        <w:p w:rsidR="00AF2508" w:rsidRDefault="00AF2508">
          <w:pPr>
            <w:pStyle w:val="HeaderEven"/>
            <w:rPr>
              <w:b/>
            </w:rPr>
          </w:pPr>
          <w:r>
            <w:rPr>
              <w:b/>
            </w:rPr>
            <w:fldChar w:fldCharType="begin"/>
          </w:r>
          <w:r>
            <w:rPr>
              <w:b/>
            </w:rPr>
            <w:instrText xml:space="preserve"> STYLEREF CharChapNo \*charformat </w:instrText>
          </w:r>
          <w:r>
            <w:rPr>
              <w:b/>
            </w:rPr>
            <w:fldChar w:fldCharType="end"/>
          </w:r>
        </w:p>
      </w:tc>
      <w:tc>
        <w:tcPr>
          <w:tcW w:w="5741" w:type="dxa"/>
        </w:tcPr>
        <w:p w:rsidR="00AF2508" w:rsidRDefault="00AF2508">
          <w:pPr>
            <w:pStyle w:val="HeaderEven"/>
          </w:pPr>
          <w:r>
            <w:fldChar w:fldCharType="begin"/>
          </w:r>
          <w:r>
            <w:instrText xml:space="preserve"> STYLEREF CharChapText \*charformat </w:instrText>
          </w:r>
          <w:r>
            <w:fldChar w:fldCharType="end"/>
          </w:r>
        </w:p>
      </w:tc>
    </w:tr>
    <w:tr w:rsidR="00AF2508">
      <w:trPr>
        <w:jc w:val="center"/>
      </w:trPr>
      <w:tc>
        <w:tcPr>
          <w:tcW w:w="1560" w:type="dxa"/>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16</w:t>
          </w:r>
          <w:r>
            <w:rPr>
              <w:b/>
            </w:rPr>
            <w:fldChar w:fldCharType="end"/>
          </w:r>
        </w:p>
      </w:tc>
      <w:tc>
        <w:tcPr>
          <w:tcW w:w="5741" w:type="dxa"/>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Miscellaneous and penalties</w:t>
          </w:r>
          <w:r>
            <w:rPr>
              <w:noProof/>
            </w:rPr>
            <w:fldChar w:fldCharType="end"/>
          </w:r>
        </w:p>
      </w:tc>
    </w:tr>
    <w:tr w:rsidR="00AF2508">
      <w:trPr>
        <w:jc w:val="center"/>
      </w:trPr>
      <w:tc>
        <w:tcPr>
          <w:tcW w:w="7296" w:type="dxa"/>
          <w:gridSpan w:val="2"/>
          <w:tcBorders>
            <w:bottom w:val="single" w:sz="4" w:space="0" w:color="auto"/>
          </w:tcBorders>
        </w:tcPr>
        <w:p w:rsidR="00AF2508" w:rsidRDefault="00AF2508">
          <w:pPr>
            <w:pStyle w:val="HeaderEven6"/>
          </w:pPr>
        </w:p>
      </w:tc>
    </w:tr>
  </w:tbl>
  <w:p w:rsidR="00AF2508" w:rsidRDefault="00AF250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F2508">
      <w:trPr>
        <w:jc w:val="center"/>
      </w:trPr>
      <w:tc>
        <w:tcPr>
          <w:tcW w:w="5741" w:type="dxa"/>
        </w:tcPr>
        <w:p w:rsidR="00AF2508" w:rsidRDefault="00AF2508">
          <w:pPr>
            <w:pStyle w:val="HeaderEven"/>
            <w:jc w:val="right"/>
          </w:pPr>
          <w:r>
            <w:fldChar w:fldCharType="begin"/>
          </w:r>
          <w:r>
            <w:instrText xml:space="preserve"> STYLEREF CharChapText \*charformat </w:instrText>
          </w:r>
          <w:r>
            <w:fldChar w:fldCharType="end"/>
          </w:r>
        </w:p>
      </w:tc>
      <w:tc>
        <w:tcPr>
          <w:tcW w:w="1560" w:type="dxa"/>
        </w:tcPr>
        <w:p w:rsidR="00AF2508" w:rsidRDefault="00AF2508">
          <w:pPr>
            <w:pStyle w:val="HeaderEven"/>
            <w:jc w:val="right"/>
            <w:rPr>
              <w:b/>
            </w:rPr>
          </w:pPr>
          <w:r>
            <w:rPr>
              <w:b/>
            </w:rPr>
            <w:fldChar w:fldCharType="begin"/>
          </w:r>
          <w:r>
            <w:rPr>
              <w:b/>
            </w:rPr>
            <w:instrText xml:space="preserve"> STYLEREF CharChapNo \*charformat </w:instrText>
          </w:r>
          <w:r>
            <w:rPr>
              <w:b/>
            </w:rPr>
            <w:fldChar w:fldCharType="end"/>
          </w:r>
        </w:p>
      </w:tc>
    </w:tr>
    <w:tr w:rsidR="00AF2508">
      <w:trPr>
        <w:jc w:val="center"/>
      </w:trPr>
      <w:tc>
        <w:tcPr>
          <w:tcW w:w="5741" w:type="dxa"/>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Miscellaneous and penalties</w:t>
          </w:r>
          <w:r>
            <w:rPr>
              <w:noProof/>
            </w:rPr>
            <w:fldChar w:fldCharType="end"/>
          </w:r>
        </w:p>
      </w:tc>
      <w:tc>
        <w:tcPr>
          <w:tcW w:w="1560" w:type="dxa"/>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16</w:t>
          </w:r>
          <w:r>
            <w:rPr>
              <w:b/>
            </w:rPr>
            <w:fldChar w:fldCharType="end"/>
          </w:r>
        </w:p>
      </w:tc>
    </w:tr>
    <w:tr w:rsidR="00AF2508">
      <w:trPr>
        <w:jc w:val="center"/>
      </w:trPr>
      <w:tc>
        <w:tcPr>
          <w:tcW w:w="7296" w:type="dxa"/>
          <w:gridSpan w:val="2"/>
          <w:tcBorders>
            <w:bottom w:val="single" w:sz="4" w:space="0" w:color="auto"/>
          </w:tcBorders>
        </w:tcPr>
        <w:p w:rsidR="00AF2508" w:rsidRDefault="00AF2508">
          <w:pPr>
            <w:pStyle w:val="HeaderOdd6"/>
          </w:pPr>
        </w:p>
      </w:tc>
    </w:tr>
  </w:tbl>
  <w:p w:rsidR="00AF2508" w:rsidRDefault="00AF250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F2508">
      <w:tc>
        <w:tcPr>
          <w:tcW w:w="1560" w:type="dxa"/>
        </w:tcPr>
        <w:p w:rsidR="00AF2508" w:rsidRDefault="00AF2508">
          <w:pPr>
            <w:pStyle w:val="HeaderEven"/>
          </w:pPr>
          <w:r>
            <w:rPr>
              <w:b/>
            </w:rPr>
            <w:fldChar w:fldCharType="begin"/>
          </w:r>
          <w:r>
            <w:rPr>
              <w:b/>
            </w:rPr>
            <w:instrText xml:space="preserve"> STYLEREF CharChapNo \*charformat  </w:instrText>
          </w:r>
          <w:r>
            <w:rPr>
              <w:b/>
            </w:rPr>
            <w:fldChar w:fldCharType="separate"/>
          </w:r>
          <w:r w:rsidR="00AA7BA7">
            <w:rPr>
              <w:b/>
              <w:noProof/>
            </w:rPr>
            <w:t>4</w:t>
          </w:r>
          <w:r w:rsidR="00AA7BA7">
            <w:rPr>
              <w:b/>
              <w:noProof/>
            </w:rPr>
            <w:tab/>
            <w:t>the lead salt contained in the clear filtrate is then to be precipitated as lead sulphide and weighed as lead sulphate</w:t>
          </w:r>
          <w:r w:rsidR="00AA7BA7">
            <w:rPr>
              <w:b/>
              <w:noProof/>
            </w:rPr>
            <w:cr/>
          </w:r>
          <w:r>
            <w:rPr>
              <w:b/>
            </w:rPr>
            <w:fldChar w:fldCharType="end"/>
          </w:r>
        </w:p>
      </w:tc>
      <w:tc>
        <w:tcPr>
          <w:tcW w:w="9840" w:type="dxa"/>
        </w:tcPr>
        <w:p w:rsidR="00AF2508" w:rsidRDefault="001A7146">
          <w:pPr>
            <w:pStyle w:val="HeaderEven"/>
          </w:pPr>
          <w:r>
            <w:rPr>
              <w:noProof/>
            </w:rPr>
            <w:fldChar w:fldCharType="begin"/>
          </w:r>
          <w:r>
            <w:rPr>
              <w:noProof/>
            </w:rPr>
            <w:instrText xml:space="preserve"> STYLEREF CharChapText \*charformat  </w:instrText>
          </w:r>
          <w:r>
            <w:rPr>
              <w:noProof/>
            </w:rPr>
            <w:fldChar w:fldCharType="separate"/>
          </w:r>
          <w:r w:rsidR="00AA7BA7">
            <w:rPr>
              <w:noProof/>
            </w:rPr>
            <w:t>Method of treatment of a lead compound for the purpose of determining the percentage of dry compound of lead</w:t>
          </w:r>
          <w:r>
            <w:rPr>
              <w:noProof/>
            </w:rPr>
            <w:fldChar w:fldCharType="end"/>
          </w:r>
        </w:p>
      </w:tc>
    </w:tr>
    <w:tr w:rsidR="00AF2508">
      <w:tc>
        <w:tcPr>
          <w:tcW w:w="1560" w:type="dxa"/>
        </w:tcPr>
        <w:p w:rsidR="00AF2508" w:rsidRDefault="00AF2508">
          <w:pPr>
            <w:pStyle w:val="HeaderEven"/>
          </w:pPr>
          <w:r>
            <w:rPr>
              <w:b/>
            </w:rPr>
            <w:fldChar w:fldCharType="begin"/>
          </w:r>
          <w:r>
            <w:rPr>
              <w:b/>
            </w:rPr>
            <w:instrText xml:space="preserve"> STYLEREF CharPartNo \*charformat </w:instrText>
          </w:r>
          <w:r>
            <w:rPr>
              <w:b/>
            </w:rPr>
            <w:fldChar w:fldCharType="end"/>
          </w:r>
        </w:p>
      </w:tc>
      <w:tc>
        <w:tcPr>
          <w:tcW w:w="9840" w:type="dxa"/>
        </w:tcPr>
        <w:p w:rsidR="00AF2508" w:rsidRDefault="00AF2508">
          <w:pPr>
            <w:pStyle w:val="HeaderEven"/>
          </w:pPr>
          <w:r>
            <w:fldChar w:fldCharType="begin"/>
          </w:r>
          <w:r>
            <w:instrText xml:space="preserve"> STYLEREF CharPartText \*charformat </w:instrText>
          </w:r>
          <w:r>
            <w:fldChar w:fldCharType="end"/>
          </w:r>
        </w:p>
      </w:tc>
    </w:tr>
    <w:tr w:rsidR="00AF2508">
      <w:trPr>
        <w:cantSplit/>
      </w:trPr>
      <w:tc>
        <w:tcPr>
          <w:tcW w:w="11400" w:type="dxa"/>
          <w:gridSpan w:val="2"/>
          <w:tcBorders>
            <w:bottom w:val="single" w:sz="4" w:space="0" w:color="auto"/>
          </w:tcBorders>
        </w:tcPr>
        <w:p w:rsidR="00AF2508" w:rsidRDefault="00AF2508">
          <w:pPr>
            <w:pStyle w:val="HeaderEven6"/>
          </w:pPr>
        </w:p>
      </w:tc>
    </w:tr>
  </w:tbl>
  <w:p w:rsidR="00AF2508" w:rsidRDefault="00AF250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F2508">
      <w:tc>
        <w:tcPr>
          <w:tcW w:w="9840" w:type="dxa"/>
        </w:tcPr>
        <w:p w:rsidR="00AF2508" w:rsidRDefault="001A7146">
          <w:pPr>
            <w:pStyle w:val="HeaderOdd"/>
          </w:pPr>
          <w:r>
            <w:rPr>
              <w:noProof/>
            </w:rPr>
            <w:fldChar w:fldCharType="begin"/>
          </w:r>
          <w:r>
            <w:rPr>
              <w:noProof/>
            </w:rPr>
            <w:instrText xml:space="preserve"> STYLEREF CharChapText \*charformat  </w:instrText>
          </w:r>
          <w:r>
            <w:rPr>
              <w:noProof/>
            </w:rPr>
            <w:fldChar w:fldCharType="separate"/>
          </w:r>
          <w:r w:rsidR="00AA7BA7">
            <w:rPr>
              <w:noProof/>
            </w:rPr>
            <w:t>Method of treatment of a lead compound for the purpose of determining the percentage of dry compound of lead</w:t>
          </w:r>
          <w:r>
            <w:rPr>
              <w:noProof/>
            </w:rPr>
            <w:fldChar w:fldCharType="end"/>
          </w:r>
        </w:p>
      </w:tc>
      <w:tc>
        <w:tcPr>
          <w:tcW w:w="1560" w:type="dxa"/>
        </w:tcPr>
        <w:p w:rsidR="00AF2508" w:rsidRDefault="00AF2508">
          <w:pPr>
            <w:pStyle w:val="HeaderOdd"/>
            <w:rPr>
              <w:b/>
            </w:rPr>
          </w:pPr>
          <w:r>
            <w:rPr>
              <w:b/>
            </w:rPr>
            <w:fldChar w:fldCharType="begin"/>
          </w:r>
          <w:r>
            <w:rPr>
              <w:b/>
            </w:rPr>
            <w:instrText xml:space="preserve"> STYLEREF CharChapNo \*charformat  </w:instrText>
          </w:r>
          <w:r>
            <w:rPr>
              <w:b/>
            </w:rPr>
            <w:fldChar w:fldCharType="separate"/>
          </w:r>
          <w:r w:rsidR="00AA7BA7">
            <w:rPr>
              <w:b/>
              <w:noProof/>
            </w:rPr>
            <w:t>4</w:t>
          </w:r>
          <w:r w:rsidR="00AA7BA7">
            <w:rPr>
              <w:b/>
              <w:noProof/>
            </w:rPr>
            <w:tab/>
            <w:t>the lead salt contained in the clear filtrate is then to be precipitated as lead sulphide and weighed as lead sulphate</w:t>
          </w:r>
          <w:r w:rsidR="00AA7BA7">
            <w:rPr>
              <w:b/>
              <w:noProof/>
            </w:rPr>
            <w:cr/>
          </w:r>
          <w:r>
            <w:rPr>
              <w:b/>
            </w:rPr>
            <w:fldChar w:fldCharType="end"/>
          </w:r>
        </w:p>
      </w:tc>
    </w:tr>
    <w:tr w:rsidR="00AF2508">
      <w:tc>
        <w:tcPr>
          <w:tcW w:w="9840" w:type="dxa"/>
        </w:tcPr>
        <w:p w:rsidR="00AF2508" w:rsidRDefault="00AF2508">
          <w:pPr>
            <w:pStyle w:val="HeaderOdd"/>
          </w:pPr>
          <w:r>
            <w:fldChar w:fldCharType="begin"/>
          </w:r>
          <w:r>
            <w:instrText xml:space="preserve"> STYLEREF CharPartText \*charformat </w:instrText>
          </w:r>
          <w:r>
            <w:fldChar w:fldCharType="end"/>
          </w:r>
        </w:p>
      </w:tc>
      <w:tc>
        <w:tcPr>
          <w:tcW w:w="1560" w:type="dxa"/>
        </w:tcPr>
        <w:p w:rsidR="00AF2508" w:rsidRDefault="00AF2508">
          <w:pPr>
            <w:pStyle w:val="HeaderOdd"/>
          </w:pPr>
          <w:r>
            <w:rPr>
              <w:b/>
            </w:rPr>
            <w:fldChar w:fldCharType="begin"/>
          </w:r>
          <w:r>
            <w:rPr>
              <w:b/>
            </w:rPr>
            <w:instrText xml:space="preserve"> STYLEREF CharPartNo \*charformat </w:instrText>
          </w:r>
          <w:r>
            <w:rPr>
              <w:b/>
            </w:rPr>
            <w:fldChar w:fldCharType="end"/>
          </w:r>
        </w:p>
      </w:tc>
    </w:tr>
    <w:tr w:rsidR="00AF2508">
      <w:trPr>
        <w:cantSplit/>
      </w:trPr>
      <w:tc>
        <w:tcPr>
          <w:tcW w:w="11400" w:type="dxa"/>
          <w:gridSpan w:val="2"/>
          <w:tcBorders>
            <w:bottom w:val="single" w:sz="4" w:space="0" w:color="auto"/>
          </w:tcBorders>
        </w:tcPr>
        <w:p w:rsidR="00AF2508" w:rsidRDefault="00AF2508">
          <w:pPr>
            <w:pStyle w:val="HeaderOdd6"/>
          </w:pPr>
        </w:p>
      </w:tc>
    </w:tr>
  </w:tbl>
  <w:p w:rsidR="00AF2508" w:rsidRDefault="00AF25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AF2508">
          <w:pPr>
            <w:pStyle w:val="HeaderOdd"/>
          </w:pPr>
        </w:p>
      </w:tc>
      <w:tc>
        <w:tcPr>
          <w:tcW w:w="900" w:type="pct"/>
        </w:tcPr>
        <w:p w:rsidR="00AF2508" w:rsidRDefault="00AF2508">
          <w:pPr>
            <w:pStyle w:val="HeaderOdd"/>
          </w:pPr>
        </w:p>
      </w:tc>
    </w:tr>
    <w:tr w:rsidR="00AF2508">
      <w:tc>
        <w:tcPr>
          <w:tcW w:w="900" w:type="pct"/>
          <w:gridSpan w:val="2"/>
          <w:tcBorders>
            <w:bottom w:val="single" w:sz="4" w:space="0" w:color="auto"/>
          </w:tcBorders>
        </w:tcPr>
        <w:p w:rsidR="00AF2508" w:rsidRDefault="001A7146">
          <w:pPr>
            <w:pStyle w:val="HeaderOdd6"/>
          </w:pPr>
          <w:r>
            <w:rPr>
              <w:noProof/>
            </w:rPr>
            <w:fldChar w:fldCharType="begin"/>
          </w:r>
          <w:r>
            <w:rPr>
              <w:noProof/>
            </w:rPr>
            <w:instrText xml:space="preserve"> STYLEREF charContents \* MERGEFORMAT </w:instrText>
          </w:r>
          <w:r>
            <w:rPr>
              <w:noProof/>
            </w:rPr>
            <w:fldChar w:fldCharType="separate"/>
          </w:r>
          <w:r w:rsidR="00AA7BA7">
            <w:rPr>
              <w:noProof/>
            </w:rPr>
            <w:t>Contents</w:t>
          </w:r>
          <w:r>
            <w:rPr>
              <w:noProof/>
            </w:rPr>
            <w:fldChar w:fldCharType="end"/>
          </w:r>
        </w:p>
      </w:tc>
    </w:tr>
  </w:tbl>
  <w:p w:rsidR="00AF2508" w:rsidRDefault="00AF2508">
    <w:pPr>
      <w:pStyle w:val="N-9pt"/>
    </w:pPr>
    <w:r>
      <w:tab/>
    </w:r>
    <w:r w:rsidR="001A7146">
      <w:rPr>
        <w:noProof/>
      </w:rPr>
      <w:fldChar w:fldCharType="begin"/>
    </w:r>
    <w:r w:rsidR="001A7146">
      <w:rPr>
        <w:noProof/>
      </w:rPr>
      <w:instrText xml:space="preserve"> STYLEREF charPage \* MERGEFORMAT </w:instrText>
    </w:r>
    <w:r w:rsidR="001A7146">
      <w:rPr>
        <w:noProof/>
      </w:rPr>
      <w:fldChar w:fldCharType="separate"/>
    </w:r>
    <w:r w:rsidR="00AA7BA7">
      <w:rPr>
        <w:noProof/>
      </w:rPr>
      <w:t>Page</w:t>
    </w:r>
    <w:r w:rsidR="001A7146">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F2508">
      <w:trPr>
        <w:jc w:val="center"/>
      </w:trPr>
      <w:tc>
        <w:tcPr>
          <w:tcW w:w="1560" w:type="dxa"/>
        </w:tcPr>
        <w:p w:rsidR="00AF2508" w:rsidRDefault="00AF2508">
          <w:pPr>
            <w:pStyle w:val="HeaderEven"/>
            <w:rPr>
              <w:b/>
            </w:rPr>
          </w:pPr>
          <w:r>
            <w:rPr>
              <w:b/>
            </w:rPr>
            <w:fldChar w:fldCharType="begin"/>
          </w:r>
          <w:r>
            <w:rPr>
              <w:b/>
            </w:rPr>
            <w:instrText xml:space="preserve"> STYLEREF CharChapNo \*charformat </w:instrText>
          </w:r>
          <w:r>
            <w:rPr>
              <w:b/>
            </w:rPr>
            <w:fldChar w:fldCharType="separate"/>
          </w:r>
          <w:r w:rsidR="00AA7BA7">
            <w:rPr>
              <w:b/>
              <w:noProof/>
            </w:rPr>
            <w:t>Schedule 7</w:t>
          </w:r>
          <w:r>
            <w:rPr>
              <w:b/>
            </w:rPr>
            <w:fldChar w:fldCharType="end"/>
          </w:r>
        </w:p>
      </w:tc>
      <w:tc>
        <w:tcPr>
          <w:tcW w:w="5741" w:type="dxa"/>
        </w:tcPr>
        <w:p w:rsidR="00AF2508" w:rsidRDefault="00AF2508">
          <w:pPr>
            <w:pStyle w:val="HeaderEven"/>
          </w:pPr>
          <w:r>
            <w:fldChar w:fldCharType="begin"/>
          </w:r>
          <w:r>
            <w:instrText xml:space="preserve"> STYLEREF CharChapText \*charformat </w:instrText>
          </w:r>
          <w:r>
            <w:fldChar w:fldCharType="end"/>
          </w:r>
        </w:p>
      </w:tc>
    </w:tr>
    <w:tr w:rsidR="00AF2508">
      <w:trPr>
        <w:jc w:val="center"/>
      </w:trPr>
      <w:tc>
        <w:tcPr>
          <w:tcW w:w="1560" w:type="dxa"/>
        </w:tcPr>
        <w:p w:rsidR="00AF2508" w:rsidRDefault="00AF250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F2508" w:rsidRDefault="00AF2508">
          <w:pPr>
            <w:pStyle w:val="HeaderEven"/>
          </w:pPr>
          <w:r>
            <w:fldChar w:fldCharType="begin"/>
          </w:r>
          <w:r>
            <w:instrText xml:space="preserve"> STYLEREF CharPartText \*charformat </w:instrText>
          </w:r>
          <w:r>
            <w:fldChar w:fldCharType="end"/>
          </w:r>
        </w:p>
      </w:tc>
    </w:tr>
    <w:tr w:rsidR="00AF2508">
      <w:trPr>
        <w:jc w:val="center"/>
      </w:trPr>
      <w:tc>
        <w:tcPr>
          <w:tcW w:w="7296" w:type="dxa"/>
          <w:gridSpan w:val="2"/>
          <w:tcBorders>
            <w:bottom w:val="single" w:sz="4" w:space="0" w:color="auto"/>
          </w:tcBorders>
        </w:tcPr>
        <w:p w:rsidR="00AF2508" w:rsidRDefault="00AF2508">
          <w:pPr>
            <w:pStyle w:val="HeaderEven6"/>
          </w:pPr>
        </w:p>
      </w:tc>
    </w:tr>
  </w:tbl>
  <w:p w:rsidR="00AF2508" w:rsidRDefault="00AF250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F2508">
      <w:trPr>
        <w:jc w:val="center"/>
      </w:trPr>
      <w:tc>
        <w:tcPr>
          <w:tcW w:w="5741" w:type="dxa"/>
        </w:tcPr>
        <w:p w:rsidR="00AF2508" w:rsidRDefault="00AF2508">
          <w:pPr>
            <w:pStyle w:val="HeaderEven"/>
            <w:jc w:val="right"/>
          </w:pPr>
          <w:r>
            <w:fldChar w:fldCharType="begin"/>
          </w:r>
          <w:r>
            <w:instrText xml:space="preserve"> STYLEREF CharChapText \*charformat </w:instrText>
          </w:r>
          <w:r>
            <w:fldChar w:fldCharType="end"/>
          </w:r>
        </w:p>
      </w:tc>
      <w:tc>
        <w:tcPr>
          <w:tcW w:w="1560" w:type="dxa"/>
        </w:tcPr>
        <w:p w:rsidR="00AF2508" w:rsidRDefault="00AF2508">
          <w:pPr>
            <w:pStyle w:val="HeaderEven"/>
            <w:jc w:val="right"/>
            <w:rPr>
              <w:b/>
            </w:rPr>
          </w:pPr>
          <w:r>
            <w:rPr>
              <w:b/>
            </w:rPr>
            <w:fldChar w:fldCharType="begin"/>
          </w:r>
          <w:r>
            <w:rPr>
              <w:b/>
            </w:rPr>
            <w:instrText xml:space="preserve"> STYLEREF CharChapNo \*charformat </w:instrText>
          </w:r>
          <w:r>
            <w:rPr>
              <w:b/>
            </w:rPr>
            <w:fldChar w:fldCharType="separate"/>
          </w:r>
          <w:r w:rsidR="00AA7BA7">
            <w:rPr>
              <w:b/>
              <w:noProof/>
            </w:rPr>
            <w:t>Schedule 7</w:t>
          </w:r>
          <w:r>
            <w:rPr>
              <w:b/>
            </w:rPr>
            <w:fldChar w:fldCharType="end"/>
          </w:r>
        </w:p>
      </w:tc>
    </w:tr>
    <w:tr w:rsidR="00AF2508">
      <w:trPr>
        <w:jc w:val="center"/>
      </w:trPr>
      <w:tc>
        <w:tcPr>
          <w:tcW w:w="5741" w:type="dxa"/>
        </w:tcPr>
        <w:p w:rsidR="00AF2508" w:rsidRDefault="00AF2508">
          <w:pPr>
            <w:pStyle w:val="HeaderEven"/>
            <w:jc w:val="right"/>
          </w:pPr>
          <w:r>
            <w:fldChar w:fldCharType="begin"/>
          </w:r>
          <w:r>
            <w:instrText xml:space="preserve"> STYLEREF CharPartText \*charformat </w:instrText>
          </w:r>
          <w:r>
            <w:fldChar w:fldCharType="end"/>
          </w:r>
        </w:p>
      </w:tc>
      <w:tc>
        <w:tcPr>
          <w:tcW w:w="1560" w:type="dxa"/>
        </w:tcPr>
        <w:p w:rsidR="00AF2508" w:rsidRDefault="00AF2508">
          <w:pPr>
            <w:pStyle w:val="HeaderEven"/>
            <w:jc w:val="right"/>
            <w:rPr>
              <w:b/>
            </w:rPr>
          </w:pPr>
          <w:r>
            <w:rPr>
              <w:b/>
            </w:rPr>
            <w:fldChar w:fldCharType="begin"/>
          </w:r>
          <w:r>
            <w:rPr>
              <w:b/>
            </w:rPr>
            <w:instrText xml:space="preserve"> STYLEREF CharPartNo \*charformat </w:instrText>
          </w:r>
          <w:r>
            <w:rPr>
              <w:b/>
            </w:rPr>
            <w:fldChar w:fldCharType="end"/>
          </w:r>
        </w:p>
      </w:tc>
    </w:tr>
    <w:tr w:rsidR="00AF2508">
      <w:trPr>
        <w:jc w:val="center"/>
      </w:trPr>
      <w:tc>
        <w:tcPr>
          <w:tcW w:w="7296" w:type="dxa"/>
          <w:gridSpan w:val="2"/>
          <w:tcBorders>
            <w:bottom w:val="single" w:sz="4" w:space="0" w:color="auto"/>
          </w:tcBorders>
        </w:tcPr>
        <w:p w:rsidR="00AF2508" w:rsidRDefault="00AF2508">
          <w:pPr>
            <w:pStyle w:val="HeaderOdd6"/>
          </w:pPr>
        </w:p>
      </w:tc>
    </w:tr>
  </w:tbl>
  <w:p w:rsidR="00AF2508" w:rsidRDefault="00AF2508">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F2508">
      <w:trPr>
        <w:jc w:val="center"/>
      </w:trPr>
      <w:tc>
        <w:tcPr>
          <w:tcW w:w="1560" w:type="dxa"/>
        </w:tcPr>
        <w:p w:rsidR="00AF2508" w:rsidRDefault="00AF2508">
          <w:pPr>
            <w:pStyle w:val="HeaderEven"/>
            <w:rPr>
              <w:b/>
            </w:rPr>
          </w:pPr>
          <w:r>
            <w:rPr>
              <w:b/>
            </w:rPr>
            <w:fldChar w:fldCharType="begin"/>
          </w:r>
          <w:r>
            <w:rPr>
              <w:b/>
            </w:rPr>
            <w:instrText xml:space="preserve"> STYLEREF CharChapNo \*charformat </w:instrText>
          </w:r>
          <w:r>
            <w:rPr>
              <w:b/>
            </w:rPr>
            <w:fldChar w:fldCharType="separate"/>
          </w:r>
          <w:r w:rsidR="00AA7BA7">
            <w:rPr>
              <w:b/>
              <w:noProof/>
            </w:rPr>
            <w:t>Schedule 7</w:t>
          </w:r>
          <w:r>
            <w:rPr>
              <w:b/>
            </w:rPr>
            <w:fldChar w:fldCharType="end"/>
          </w:r>
        </w:p>
      </w:tc>
      <w:tc>
        <w:tcPr>
          <w:tcW w:w="5741" w:type="dxa"/>
        </w:tcPr>
        <w:p w:rsidR="00AF2508" w:rsidRDefault="00AF2508">
          <w:pPr>
            <w:pStyle w:val="HeaderEven"/>
          </w:pPr>
          <w:r>
            <w:fldChar w:fldCharType="begin"/>
          </w:r>
          <w:r>
            <w:instrText xml:space="preserve"> STYLEREF CharChapText \*charformat </w:instrText>
          </w:r>
          <w:r>
            <w:fldChar w:fldCharType="end"/>
          </w:r>
        </w:p>
      </w:tc>
    </w:tr>
    <w:tr w:rsidR="00AF2508">
      <w:trPr>
        <w:jc w:val="center"/>
      </w:trPr>
      <w:tc>
        <w:tcPr>
          <w:tcW w:w="1560" w:type="dxa"/>
        </w:tcPr>
        <w:p w:rsidR="00AF2508" w:rsidRDefault="00AF250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F2508" w:rsidRDefault="00AF2508">
          <w:pPr>
            <w:pStyle w:val="HeaderEven"/>
          </w:pPr>
          <w:r>
            <w:fldChar w:fldCharType="begin"/>
          </w:r>
          <w:r>
            <w:instrText xml:space="preserve"> STYLEREF CharPartText \*charformat </w:instrText>
          </w:r>
          <w:r>
            <w:fldChar w:fldCharType="end"/>
          </w:r>
        </w:p>
      </w:tc>
    </w:tr>
    <w:tr w:rsidR="00AF2508">
      <w:trPr>
        <w:jc w:val="center"/>
      </w:trPr>
      <w:tc>
        <w:tcPr>
          <w:tcW w:w="7296" w:type="dxa"/>
          <w:gridSpan w:val="2"/>
          <w:tcBorders>
            <w:bottom w:val="single" w:sz="4" w:space="0" w:color="auto"/>
          </w:tcBorders>
        </w:tcPr>
        <w:p w:rsidR="00AF2508" w:rsidRDefault="00AF2508">
          <w:pPr>
            <w:pStyle w:val="HeaderEven6"/>
          </w:pPr>
        </w:p>
      </w:tc>
    </w:tr>
  </w:tbl>
  <w:p w:rsidR="00AF2508" w:rsidRDefault="00AF2508">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F2508">
      <w:trPr>
        <w:jc w:val="center"/>
      </w:trPr>
      <w:tc>
        <w:tcPr>
          <w:tcW w:w="5741" w:type="dxa"/>
        </w:tcPr>
        <w:p w:rsidR="00AF2508" w:rsidRDefault="00AF2508">
          <w:pPr>
            <w:pStyle w:val="HeaderEven"/>
            <w:jc w:val="right"/>
          </w:pPr>
          <w:r>
            <w:fldChar w:fldCharType="begin"/>
          </w:r>
          <w:r>
            <w:instrText xml:space="preserve"> STYLEREF CharChapText \*charformat </w:instrText>
          </w:r>
          <w:r>
            <w:fldChar w:fldCharType="end"/>
          </w:r>
        </w:p>
      </w:tc>
      <w:tc>
        <w:tcPr>
          <w:tcW w:w="1560" w:type="dxa"/>
        </w:tcPr>
        <w:p w:rsidR="00AF2508" w:rsidRDefault="00AF2508">
          <w:pPr>
            <w:pStyle w:val="HeaderEven"/>
            <w:jc w:val="right"/>
            <w:rPr>
              <w:b/>
            </w:rPr>
          </w:pPr>
          <w:r>
            <w:rPr>
              <w:b/>
            </w:rPr>
            <w:fldChar w:fldCharType="begin"/>
          </w:r>
          <w:r>
            <w:rPr>
              <w:b/>
            </w:rPr>
            <w:instrText xml:space="preserve"> STYLEREF CharChapNo \*charformat </w:instrText>
          </w:r>
          <w:r>
            <w:rPr>
              <w:b/>
            </w:rPr>
            <w:fldChar w:fldCharType="separate"/>
          </w:r>
          <w:r w:rsidR="00AA7BA7">
            <w:rPr>
              <w:b/>
              <w:noProof/>
            </w:rPr>
            <w:t>Schedule 7</w:t>
          </w:r>
          <w:r>
            <w:rPr>
              <w:b/>
            </w:rPr>
            <w:fldChar w:fldCharType="end"/>
          </w:r>
        </w:p>
      </w:tc>
    </w:tr>
    <w:tr w:rsidR="00AF2508">
      <w:trPr>
        <w:jc w:val="center"/>
      </w:trPr>
      <w:tc>
        <w:tcPr>
          <w:tcW w:w="5741" w:type="dxa"/>
        </w:tcPr>
        <w:p w:rsidR="00AF2508" w:rsidRDefault="00AF2508">
          <w:pPr>
            <w:pStyle w:val="HeaderEven"/>
            <w:jc w:val="right"/>
          </w:pPr>
          <w:r>
            <w:fldChar w:fldCharType="begin"/>
          </w:r>
          <w:r>
            <w:instrText xml:space="preserve"> STYLEREF CharPartText \*charformat </w:instrText>
          </w:r>
          <w:r>
            <w:fldChar w:fldCharType="end"/>
          </w:r>
        </w:p>
      </w:tc>
      <w:tc>
        <w:tcPr>
          <w:tcW w:w="1560" w:type="dxa"/>
        </w:tcPr>
        <w:p w:rsidR="00AF2508" w:rsidRDefault="00AF2508">
          <w:pPr>
            <w:pStyle w:val="HeaderEven"/>
            <w:jc w:val="right"/>
            <w:rPr>
              <w:b/>
            </w:rPr>
          </w:pPr>
          <w:r>
            <w:rPr>
              <w:b/>
            </w:rPr>
            <w:fldChar w:fldCharType="begin"/>
          </w:r>
          <w:r>
            <w:rPr>
              <w:b/>
            </w:rPr>
            <w:instrText xml:space="preserve"> STYLEREF CharPartNo \*charformat </w:instrText>
          </w:r>
          <w:r>
            <w:rPr>
              <w:b/>
            </w:rPr>
            <w:fldChar w:fldCharType="end"/>
          </w:r>
        </w:p>
      </w:tc>
    </w:tr>
    <w:tr w:rsidR="00AF2508">
      <w:trPr>
        <w:jc w:val="center"/>
      </w:trPr>
      <w:tc>
        <w:tcPr>
          <w:tcW w:w="7296" w:type="dxa"/>
          <w:gridSpan w:val="2"/>
          <w:tcBorders>
            <w:bottom w:val="single" w:sz="4" w:space="0" w:color="auto"/>
          </w:tcBorders>
        </w:tcPr>
        <w:p w:rsidR="00AF2508" w:rsidRDefault="00AF2508">
          <w:pPr>
            <w:pStyle w:val="HeaderOdd6"/>
          </w:pPr>
        </w:p>
      </w:tc>
    </w:tr>
  </w:tbl>
  <w:p w:rsidR="00AF2508" w:rsidRDefault="00AF2508">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F2508">
      <w:trPr>
        <w:jc w:val="center"/>
      </w:trPr>
      <w:tc>
        <w:tcPr>
          <w:tcW w:w="1560" w:type="dxa"/>
        </w:tcPr>
        <w:p w:rsidR="00AF2508" w:rsidRDefault="00AF2508">
          <w:pPr>
            <w:pStyle w:val="HeaderEven"/>
            <w:rPr>
              <w:b/>
            </w:rPr>
          </w:pPr>
          <w:r>
            <w:rPr>
              <w:b/>
            </w:rPr>
            <w:fldChar w:fldCharType="begin"/>
          </w:r>
          <w:r>
            <w:rPr>
              <w:b/>
            </w:rPr>
            <w:instrText xml:space="preserve"> STYLEREF CharChapNo \*charformat </w:instrText>
          </w:r>
          <w:r>
            <w:rPr>
              <w:b/>
            </w:rPr>
            <w:fldChar w:fldCharType="separate"/>
          </w:r>
          <w:r w:rsidR="00AA7BA7">
            <w:rPr>
              <w:b/>
              <w:noProof/>
            </w:rPr>
            <w:t>Schedule 8</w:t>
          </w:r>
          <w:r>
            <w:rPr>
              <w:b/>
            </w:rPr>
            <w:fldChar w:fldCharType="end"/>
          </w:r>
        </w:p>
      </w:tc>
      <w:tc>
        <w:tcPr>
          <w:tcW w:w="5741" w:type="dxa"/>
        </w:tcPr>
        <w:p w:rsidR="00AF2508" w:rsidRDefault="001A7146">
          <w:pPr>
            <w:pStyle w:val="HeaderEven"/>
          </w:pPr>
          <w:r>
            <w:rPr>
              <w:noProof/>
            </w:rPr>
            <w:fldChar w:fldCharType="begin"/>
          </w:r>
          <w:r>
            <w:rPr>
              <w:noProof/>
            </w:rPr>
            <w:instrText xml:space="preserve"> STYLEREF CharChapText \*charformat </w:instrText>
          </w:r>
          <w:r>
            <w:rPr>
              <w:noProof/>
            </w:rPr>
            <w:fldChar w:fldCharType="separate"/>
          </w:r>
          <w:r w:rsidR="00AA7BA7">
            <w:rPr>
              <w:noProof/>
            </w:rPr>
            <w:t>Medical standards and examination report for compressed air workers</w:t>
          </w:r>
          <w:r>
            <w:rPr>
              <w:noProof/>
            </w:rPr>
            <w:fldChar w:fldCharType="end"/>
          </w:r>
        </w:p>
      </w:tc>
    </w:tr>
    <w:tr w:rsidR="00AF2508">
      <w:trPr>
        <w:jc w:val="center"/>
      </w:trPr>
      <w:tc>
        <w:tcPr>
          <w:tcW w:w="1560" w:type="dxa"/>
        </w:tcPr>
        <w:p w:rsidR="00AF2508" w:rsidRDefault="00AF250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F2508" w:rsidRDefault="00AF2508">
          <w:pPr>
            <w:pStyle w:val="HeaderEven"/>
          </w:pPr>
          <w:r>
            <w:fldChar w:fldCharType="begin"/>
          </w:r>
          <w:r>
            <w:instrText xml:space="preserve"> STYLEREF CharPartText \*charformat </w:instrText>
          </w:r>
          <w:r>
            <w:fldChar w:fldCharType="end"/>
          </w:r>
        </w:p>
      </w:tc>
    </w:tr>
    <w:tr w:rsidR="00AF2508">
      <w:trPr>
        <w:jc w:val="center"/>
      </w:trPr>
      <w:tc>
        <w:tcPr>
          <w:tcW w:w="7296" w:type="dxa"/>
          <w:gridSpan w:val="2"/>
          <w:tcBorders>
            <w:bottom w:val="single" w:sz="4" w:space="0" w:color="auto"/>
          </w:tcBorders>
        </w:tcPr>
        <w:p w:rsidR="00AF2508" w:rsidRDefault="00AF2508">
          <w:pPr>
            <w:pStyle w:val="HeaderEven6"/>
          </w:pPr>
        </w:p>
      </w:tc>
    </w:tr>
  </w:tbl>
  <w:p w:rsidR="00AF2508" w:rsidRDefault="00AF2508">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F2508">
      <w:trPr>
        <w:jc w:val="center"/>
      </w:trPr>
      <w:tc>
        <w:tcPr>
          <w:tcW w:w="5741" w:type="dxa"/>
        </w:tcPr>
        <w:p w:rsidR="00AF2508" w:rsidRDefault="001A7146">
          <w:pPr>
            <w:pStyle w:val="HeaderEven"/>
            <w:jc w:val="right"/>
          </w:pPr>
          <w:r>
            <w:rPr>
              <w:noProof/>
            </w:rPr>
            <w:fldChar w:fldCharType="begin"/>
          </w:r>
          <w:r>
            <w:rPr>
              <w:noProof/>
            </w:rPr>
            <w:instrText xml:space="preserve"> STYLERE</w:instrText>
          </w:r>
          <w:r>
            <w:rPr>
              <w:noProof/>
            </w:rPr>
            <w:instrText xml:space="preserve">F CharChapText \*charformat </w:instrText>
          </w:r>
          <w:r>
            <w:rPr>
              <w:noProof/>
            </w:rPr>
            <w:fldChar w:fldCharType="separate"/>
          </w:r>
          <w:r w:rsidR="00AA7BA7">
            <w:rPr>
              <w:noProof/>
            </w:rPr>
            <w:t>Medical standards and examination report for compressed air workers</w:t>
          </w:r>
          <w:r>
            <w:rPr>
              <w:noProof/>
            </w:rPr>
            <w:fldChar w:fldCharType="end"/>
          </w:r>
        </w:p>
      </w:tc>
      <w:tc>
        <w:tcPr>
          <w:tcW w:w="1560" w:type="dxa"/>
        </w:tcPr>
        <w:p w:rsidR="00AF2508" w:rsidRDefault="00AF2508">
          <w:pPr>
            <w:pStyle w:val="HeaderEven"/>
            <w:jc w:val="right"/>
            <w:rPr>
              <w:b/>
            </w:rPr>
          </w:pPr>
          <w:r>
            <w:rPr>
              <w:b/>
            </w:rPr>
            <w:fldChar w:fldCharType="begin"/>
          </w:r>
          <w:r>
            <w:rPr>
              <w:b/>
            </w:rPr>
            <w:instrText xml:space="preserve"> STYLEREF CharChapNo \*charformat </w:instrText>
          </w:r>
          <w:r>
            <w:rPr>
              <w:b/>
            </w:rPr>
            <w:fldChar w:fldCharType="separate"/>
          </w:r>
          <w:r w:rsidR="00AA7BA7">
            <w:rPr>
              <w:b/>
              <w:noProof/>
            </w:rPr>
            <w:t>Schedule 8</w:t>
          </w:r>
          <w:r>
            <w:rPr>
              <w:b/>
            </w:rPr>
            <w:fldChar w:fldCharType="end"/>
          </w:r>
        </w:p>
      </w:tc>
    </w:tr>
    <w:tr w:rsidR="00AF2508">
      <w:trPr>
        <w:jc w:val="center"/>
      </w:trPr>
      <w:tc>
        <w:tcPr>
          <w:tcW w:w="5741" w:type="dxa"/>
        </w:tcPr>
        <w:p w:rsidR="00AF2508" w:rsidRDefault="00AF2508">
          <w:pPr>
            <w:pStyle w:val="HeaderEven"/>
            <w:jc w:val="right"/>
          </w:pPr>
          <w:r>
            <w:fldChar w:fldCharType="begin"/>
          </w:r>
          <w:r>
            <w:instrText xml:space="preserve"> STYLEREF CharPartText \*charformat </w:instrText>
          </w:r>
          <w:r>
            <w:fldChar w:fldCharType="end"/>
          </w:r>
        </w:p>
      </w:tc>
      <w:tc>
        <w:tcPr>
          <w:tcW w:w="1560" w:type="dxa"/>
        </w:tcPr>
        <w:p w:rsidR="00AF2508" w:rsidRDefault="00AF2508">
          <w:pPr>
            <w:pStyle w:val="HeaderEven"/>
            <w:jc w:val="right"/>
            <w:rPr>
              <w:b/>
            </w:rPr>
          </w:pPr>
          <w:r>
            <w:rPr>
              <w:b/>
            </w:rPr>
            <w:fldChar w:fldCharType="begin"/>
          </w:r>
          <w:r>
            <w:rPr>
              <w:b/>
            </w:rPr>
            <w:instrText xml:space="preserve"> STYLEREF CharPartNo \*charformat </w:instrText>
          </w:r>
          <w:r>
            <w:rPr>
              <w:b/>
            </w:rPr>
            <w:fldChar w:fldCharType="end"/>
          </w:r>
        </w:p>
      </w:tc>
    </w:tr>
    <w:tr w:rsidR="00AF2508">
      <w:trPr>
        <w:jc w:val="center"/>
      </w:trPr>
      <w:tc>
        <w:tcPr>
          <w:tcW w:w="7296" w:type="dxa"/>
          <w:gridSpan w:val="2"/>
          <w:tcBorders>
            <w:bottom w:val="single" w:sz="4" w:space="0" w:color="auto"/>
          </w:tcBorders>
        </w:tcPr>
        <w:p w:rsidR="00AF2508" w:rsidRDefault="00AF2508">
          <w:pPr>
            <w:pStyle w:val="HeaderOdd6"/>
          </w:pPr>
        </w:p>
      </w:tc>
    </w:tr>
  </w:tbl>
  <w:p w:rsidR="00AF2508" w:rsidRDefault="00AF2508">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AF2508">
      <w:trPr>
        <w:jc w:val="center"/>
      </w:trPr>
      <w:tc>
        <w:tcPr>
          <w:tcW w:w="1340" w:type="dxa"/>
        </w:tcPr>
        <w:p w:rsidR="00AF2508" w:rsidRDefault="00AF2508">
          <w:pPr>
            <w:pStyle w:val="HeaderEven"/>
          </w:pPr>
        </w:p>
      </w:tc>
      <w:tc>
        <w:tcPr>
          <w:tcW w:w="6583" w:type="dxa"/>
        </w:tcPr>
        <w:p w:rsidR="00AF2508" w:rsidRDefault="00AF2508">
          <w:pPr>
            <w:pStyle w:val="HeaderEven"/>
          </w:pPr>
        </w:p>
      </w:tc>
    </w:tr>
    <w:tr w:rsidR="00AF2508">
      <w:trPr>
        <w:jc w:val="center"/>
      </w:trPr>
      <w:tc>
        <w:tcPr>
          <w:tcW w:w="7923" w:type="dxa"/>
          <w:gridSpan w:val="2"/>
          <w:tcBorders>
            <w:bottom w:val="single" w:sz="4" w:space="0" w:color="auto"/>
          </w:tcBorders>
        </w:tcPr>
        <w:p w:rsidR="00AF2508" w:rsidRDefault="00AF2508">
          <w:pPr>
            <w:pStyle w:val="HeaderEven6"/>
          </w:pPr>
          <w:r>
            <w:t>Dictionary</w:t>
          </w:r>
        </w:p>
      </w:tc>
    </w:tr>
  </w:tbl>
  <w:p w:rsidR="00AF2508" w:rsidRDefault="00AF2508">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AF2508">
      <w:trPr>
        <w:jc w:val="center"/>
      </w:trPr>
      <w:tc>
        <w:tcPr>
          <w:tcW w:w="6583" w:type="dxa"/>
        </w:tcPr>
        <w:p w:rsidR="00AF2508" w:rsidRDefault="00AF2508">
          <w:pPr>
            <w:pStyle w:val="HeaderOdd"/>
          </w:pPr>
        </w:p>
      </w:tc>
      <w:tc>
        <w:tcPr>
          <w:tcW w:w="1340" w:type="dxa"/>
        </w:tcPr>
        <w:p w:rsidR="00AF2508" w:rsidRDefault="00AF2508">
          <w:pPr>
            <w:pStyle w:val="HeaderOdd"/>
          </w:pPr>
        </w:p>
      </w:tc>
    </w:tr>
    <w:tr w:rsidR="00AF2508">
      <w:trPr>
        <w:jc w:val="center"/>
      </w:trPr>
      <w:tc>
        <w:tcPr>
          <w:tcW w:w="7923" w:type="dxa"/>
          <w:gridSpan w:val="2"/>
          <w:tcBorders>
            <w:bottom w:val="single" w:sz="4" w:space="0" w:color="auto"/>
          </w:tcBorders>
        </w:tcPr>
        <w:p w:rsidR="00AF2508" w:rsidRDefault="00AF2508">
          <w:pPr>
            <w:pStyle w:val="HeaderOdd6"/>
          </w:pPr>
          <w:r>
            <w:t>Dictionary</w:t>
          </w:r>
        </w:p>
      </w:tc>
    </w:tr>
  </w:tbl>
  <w:p w:rsidR="00AF2508" w:rsidRDefault="00AF2508">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AF2508">
      <w:trPr>
        <w:jc w:val="center"/>
      </w:trPr>
      <w:tc>
        <w:tcPr>
          <w:tcW w:w="1234" w:type="dxa"/>
          <w:gridSpan w:val="2"/>
        </w:tcPr>
        <w:p w:rsidR="00AF2508" w:rsidRDefault="00AF2508">
          <w:pPr>
            <w:pStyle w:val="HeaderEven"/>
            <w:rPr>
              <w:b/>
            </w:rPr>
          </w:pPr>
          <w:r>
            <w:rPr>
              <w:b/>
            </w:rPr>
            <w:t>Endnotes</w:t>
          </w:r>
        </w:p>
      </w:tc>
      <w:tc>
        <w:tcPr>
          <w:tcW w:w="6062" w:type="dxa"/>
        </w:tcPr>
        <w:p w:rsidR="00AF2508" w:rsidRDefault="00AF2508">
          <w:pPr>
            <w:pStyle w:val="HeaderEven"/>
          </w:pPr>
        </w:p>
      </w:tc>
    </w:tr>
    <w:tr w:rsidR="00AF2508">
      <w:trPr>
        <w:cantSplit/>
        <w:jc w:val="center"/>
      </w:trPr>
      <w:tc>
        <w:tcPr>
          <w:tcW w:w="7296" w:type="dxa"/>
          <w:gridSpan w:val="3"/>
        </w:tcPr>
        <w:p w:rsidR="00AF2508" w:rsidRDefault="00AF2508">
          <w:pPr>
            <w:pStyle w:val="HeaderEven"/>
          </w:pPr>
        </w:p>
      </w:tc>
    </w:tr>
    <w:tr w:rsidR="00AF2508">
      <w:trPr>
        <w:cantSplit/>
        <w:jc w:val="center"/>
      </w:trPr>
      <w:tc>
        <w:tcPr>
          <w:tcW w:w="700" w:type="dxa"/>
          <w:tcBorders>
            <w:bottom w:val="single" w:sz="4" w:space="0" w:color="auto"/>
          </w:tcBorders>
        </w:tcPr>
        <w:p w:rsidR="00AF2508" w:rsidRDefault="001A7146">
          <w:pPr>
            <w:pStyle w:val="HeaderEven6"/>
          </w:pPr>
          <w:r>
            <w:rPr>
              <w:noProof/>
            </w:rPr>
            <w:fldChar w:fldCharType="begin"/>
          </w:r>
          <w:r>
            <w:rPr>
              <w:noProof/>
            </w:rPr>
            <w:instrText xml:space="preserve"> STYLEREF charTableNo \*charformat </w:instrText>
          </w:r>
          <w:r>
            <w:rPr>
              <w:noProof/>
            </w:rPr>
            <w:fldChar w:fldCharType="separate"/>
          </w:r>
          <w:r w:rsidR="00AA7BA7">
            <w:rPr>
              <w:noProof/>
            </w:rPr>
            <w:t>1</w:t>
          </w:r>
          <w:r>
            <w:rPr>
              <w:noProof/>
            </w:rPr>
            <w:fldChar w:fldCharType="end"/>
          </w:r>
        </w:p>
      </w:tc>
      <w:tc>
        <w:tcPr>
          <w:tcW w:w="6600" w:type="dxa"/>
          <w:gridSpan w:val="2"/>
          <w:tcBorders>
            <w:bottom w:val="single" w:sz="4" w:space="0" w:color="auto"/>
          </w:tcBorders>
        </w:tcPr>
        <w:p w:rsidR="00AF2508" w:rsidRDefault="001A7146">
          <w:pPr>
            <w:pStyle w:val="HeaderEven6"/>
          </w:pPr>
          <w:r>
            <w:rPr>
              <w:noProof/>
            </w:rPr>
            <w:fldChar w:fldCharType="begin"/>
          </w:r>
          <w:r>
            <w:rPr>
              <w:noProof/>
            </w:rPr>
            <w:instrText xml:space="preserve"> STYLEREF charTableText \*charformat </w:instrText>
          </w:r>
          <w:r>
            <w:rPr>
              <w:noProof/>
            </w:rPr>
            <w:fldChar w:fldCharType="separate"/>
          </w:r>
          <w:r w:rsidR="00AA7BA7">
            <w:rPr>
              <w:noProof/>
            </w:rPr>
            <w:t>About the endnotes</w:t>
          </w:r>
          <w:r>
            <w:rPr>
              <w:noProof/>
            </w:rPr>
            <w:fldChar w:fldCharType="end"/>
          </w:r>
        </w:p>
      </w:tc>
    </w:tr>
  </w:tbl>
  <w:p w:rsidR="00AF2508" w:rsidRDefault="00AF2508">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AF2508">
      <w:trPr>
        <w:jc w:val="center"/>
      </w:trPr>
      <w:tc>
        <w:tcPr>
          <w:tcW w:w="5741" w:type="dxa"/>
        </w:tcPr>
        <w:p w:rsidR="00AF2508" w:rsidRDefault="00AF2508">
          <w:pPr>
            <w:pStyle w:val="HeaderEven"/>
            <w:jc w:val="right"/>
          </w:pPr>
        </w:p>
      </w:tc>
      <w:tc>
        <w:tcPr>
          <w:tcW w:w="1560" w:type="dxa"/>
          <w:gridSpan w:val="2"/>
        </w:tcPr>
        <w:p w:rsidR="00AF2508" w:rsidRDefault="00AF2508">
          <w:pPr>
            <w:pStyle w:val="HeaderEven"/>
            <w:jc w:val="right"/>
            <w:rPr>
              <w:b/>
            </w:rPr>
          </w:pPr>
          <w:r>
            <w:rPr>
              <w:b/>
            </w:rPr>
            <w:t>Endnotes</w:t>
          </w:r>
        </w:p>
      </w:tc>
    </w:tr>
    <w:tr w:rsidR="00AF2508">
      <w:trPr>
        <w:jc w:val="center"/>
      </w:trPr>
      <w:tc>
        <w:tcPr>
          <w:tcW w:w="7301" w:type="dxa"/>
          <w:gridSpan w:val="3"/>
        </w:tcPr>
        <w:p w:rsidR="00AF2508" w:rsidRDefault="00AF2508">
          <w:pPr>
            <w:pStyle w:val="HeaderEven"/>
            <w:jc w:val="right"/>
            <w:rPr>
              <w:b/>
            </w:rPr>
          </w:pPr>
        </w:p>
      </w:tc>
    </w:tr>
    <w:tr w:rsidR="00AF2508">
      <w:trPr>
        <w:jc w:val="center"/>
      </w:trPr>
      <w:tc>
        <w:tcPr>
          <w:tcW w:w="6600" w:type="dxa"/>
          <w:gridSpan w:val="2"/>
          <w:tcBorders>
            <w:bottom w:val="single" w:sz="4" w:space="0" w:color="auto"/>
          </w:tcBorders>
        </w:tcPr>
        <w:p w:rsidR="00AF2508" w:rsidRDefault="001A7146">
          <w:pPr>
            <w:pStyle w:val="HeaderOdd6"/>
          </w:pPr>
          <w:r>
            <w:rPr>
              <w:noProof/>
            </w:rPr>
            <w:fldChar w:fldCharType="begin"/>
          </w:r>
          <w:r>
            <w:rPr>
              <w:noProof/>
            </w:rPr>
            <w:instrText xml:space="preserve"> STYLEREF charTableText \*charformat </w:instrText>
          </w:r>
          <w:r>
            <w:rPr>
              <w:noProof/>
            </w:rPr>
            <w:fldChar w:fldCharType="separate"/>
          </w:r>
          <w:r w:rsidR="00AA7BA7">
            <w:rPr>
              <w:noProof/>
            </w:rPr>
            <w:t>About the endnotes</w:t>
          </w:r>
          <w:r>
            <w:rPr>
              <w:noProof/>
            </w:rPr>
            <w:fldChar w:fldCharType="end"/>
          </w:r>
        </w:p>
      </w:tc>
      <w:tc>
        <w:tcPr>
          <w:tcW w:w="700" w:type="dxa"/>
          <w:tcBorders>
            <w:bottom w:val="single" w:sz="4" w:space="0" w:color="auto"/>
          </w:tcBorders>
        </w:tcPr>
        <w:p w:rsidR="00AF2508" w:rsidRDefault="001A7146">
          <w:pPr>
            <w:pStyle w:val="HeaderOdd6"/>
          </w:pPr>
          <w:r>
            <w:rPr>
              <w:noProof/>
            </w:rPr>
            <w:fldChar w:fldCharType="begin"/>
          </w:r>
          <w:r>
            <w:rPr>
              <w:noProof/>
            </w:rPr>
            <w:instrText xml:space="preserve"> STYLEREF charTableNo \*charformat </w:instrText>
          </w:r>
          <w:r>
            <w:rPr>
              <w:noProof/>
            </w:rPr>
            <w:fldChar w:fldCharType="separate"/>
          </w:r>
          <w:r w:rsidR="00AA7BA7">
            <w:rPr>
              <w:noProof/>
            </w:rPr>
            <w:t>1</w:t>
          </w:r>
          <w:r>
            <w:rPr>
              <w:noProof/>
            </w:rPr>
            <w:fldChar w:fldCharType="end"/>
          </w:r>
        </w:p>
      </w:tc>
    </w:tr>
  </w:tbl>
  <w:p w:rsidR="00AF2508" w:rsidRDefault="00AF25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2</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Qualifications, powers and duties of the chief inspector and inspectors</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AF2508" w:rsidRDefault="00AF2508">
          <w:pPr>
            <w:pStyle w:val="HeaderEven"/>
          </w:pPr>
          <w:r>
            <w:fldChar w:fldCharType="begin"/>
          </w:r>
          <w:r>
            <w:instrText xml:space="preserve"> STYLEREF CharDivText \*charformat </w:instrText>
          </w:r>
          <w: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14</w:t>
          </w:r>
          <w:r>
            <w:rPr>
              <w:noProof/>
            </w:rPr>
            <w:fldChar w:fldCharType="end"/>
          </w:r>
        </w:p>
      </w:tc>
    </w:tr>
  </w:tbl>
  <w:p w:rsidR="00AF2508" w:rsidRDefault="00AF2508">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508" w:rsidRDefault="00AF25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Safeguards and measures to be taken for securing the safety and health of persons engaged in building work</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5</w:t>
          </w:r>
          <w:r>
            <w:rPr>
              <w:b/>
            </w:rPr>
            <w:fldChar w:fldCharType="end"/>
          </w:r>
        </w:p>
      </w:tc>
    </w:tr>
    <w:tr w:rsidR="00AF2508">
      <w:tc>
        <w:tcPr>
          <w:tcW w:w="4100" w:type="pct"/>
        </w:tcPr>
        <w:p w:rsidR="00AF2508" w:rsidRDefault="001A7146">
          <w:pPr>
            <w:pStyle w:val="HeaderEven"/>
            <w:jc w:val="right"/>
          </w:pPr>
          <w:r>
            <w:rPr>
              <w:noProof/>
            </w:rPr>
            <w:fldChar w:fldCharType="begin"/>
          </w:r>
          <w:r>
            <w:rPr>
              <w:noProof/>
            </w:rPr>
            <w:instrText xml:space="preserve"> STYLEREF CharDivText \*charformat </w:instrText>
          </w:r>
          <w:r>
            <w:rPr>
              <w:noProof/>
            </w:rPr>
            <w:fldChar w:fldCharType="separate"/>
          </w:r>
          <w:r w:rsidR="00AA7BA7">
            <w:rPr>
              <w:noProof/>
            </w:rPr>
            <w:t>General</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separate"/>
          </w:r>
          <w:r w:rsidR="00AA7BA7">
            <w:rPr>
              <w:b/>
              <w:noProof/>
            </w:rPr>
            <w:t>Division 5.1</w: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73</w:t>
          </w:r>
          <w:r>
            <w:rPr>
              <w:noProof/>
            </w:rPr>
            <w:fldChar w:fldCharType="end"/>
          </w:r>
        </w:p>
      </w:tc>
    </w:tr>
  </w:tbl>
  <w:p w:rsidR="00AF2508" w:rsidRDefault="00AF25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F2508">
      <w:tc>
        <w:tcPr>
          <w:tcW w:w="900" w:type="pct"/>
        </w:tcPr>
        <w:p w:rsidR="00AF2508" w:rsidRDefault="00AF2508">
          <w:pPr>
            <w:pStyle w:val="HeaderEven"/>
            <w:rPr>
              <w:b/>
            </w:rPr>
          </w:pPr>
          <w:r>
            <w:rPr>
              <w:b/>
            </w:rPr>
            <w:fldChar w:fldCharType="begin"/>
          </w:r>
          <w:r>
            <w:rPr>
              <w:b/>
            </w:rPr>
            <w:instrText xml:space="preserve"> STYLEREF CharPartNo \*charformat </w:instrText>
          </w:r>
          <w:r>
            <w:rPr>
              <w:b/>
            </w:rPr>
            <w:fldChar w:fldCharType="separate"/>
          </w:r>
          <w:r w:rsidR="00AA7BA7">
            <w:rPr>
              <w:b/>
              <w:noProof/>
            </w:rPr>
            <w:t>Part 5</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CharPartText \*charformat </w:instrText>
          </w:r>
          <w:r>
            <w:rPr>
              <w:noProof/>
            </w:rPr>
            <w:fldChar w:fldCharType="separate"/>
          </w:r>
          <w:r w:rsidR="00AA7BA7">
            <w:rPr>
              <w:noProof/>
            </w:rPr>
            <w:t>Safeguards and measures to be taken for securing the safety and health of persons engaged in building work</w:t>
          </w:r>
          <w:r>
            <w:rPr>
              <w:noProof/>
            </w:rPr>
            <w:fldChar w:fldCharType="end"/>
          </w:r>
        </w:p>
      </w:tc>
    </w:tr>
    <w:tr w:rsidR="00AF2508">
      <w:tc>
        <w:tcPr>
          <w:tcW w:w="900" w:type="pct"/>
        </w:tcPr>
        <w:p w:rsidR="00AF2508" w:rsidRDefault="00AF2508">
          <w:pPr>
            <w:pStyle w:val="HeaderEven"/>
            <w:rPr>
              <w:b/>
            </w:rPr>
          </w:pPr>
          <w:r>
            <w:rPr>
              <w:b/>
            </w:rPr>
            <w:fldChar w:fldCharType="begin"/>
          </w:r>
          <w:r>
            <w:rPr>
              <w:b/>
            </w:rPr>
            <w:instrText xml:space="preserve"> STYLEREF CharDivNo \*charformat </w:instrText>
          </w:r>
          <w:r>
            <w:rPr>
              <w:b/>
            </w:rPr>
            <w:fldChar w:fldCharType="separate"/>
          </w:r>
          <w:r w:rsidR="00AA7BA7">
            <w:rPr>
              <w:b/>
              <w:noProof/>
            </w:rPr>
            <w:t>Division 5.1</w:t>
          </w:r>
          <w:r>
            <w:rPr>
              <w:b/>
            </w:rPr>
            <w:fldChar w:fldCharType="end"/>
          </w:r>
        </w:p>
      </w:tc>
      <w:tc>
        <w:tcPr>
          <w:tcW w:w="4100" w:type="pct"/>
        </w:tcPr>
        <w:p w:rsidR="00AF2508" w:rsidRDefault="001A7146">
          <w:pPr>
            <w:pStyle w:val="HeaderEven"/>
          </w:pPr>
          <w:r>
            <w:rPr>
              <w:noProof/>
            </w:rPr>
            <w:fldChar w:fldCharType="begin"/>
          </w:r>
          <w:r>
            <w:rPr>
              <w:noProof/>
            </w:rPr>
            <w:instrText xml:space="preserve"> STYLEREF CharDivText \*charformat </w:instrText>
          </w:r>
          <w:r>
            <w:rPr>
              <w:noProof/>
            </w:rPr>
            <w:fldChar w:fldCharType="separate"/>
          </w:r>
          <w:r w:rsidR="00AA7BA7">
            <w:rPr>
              <w:noProof/>
            </w:rPr>
            <w:t>General</w:t>
          </w:r>
          <w:r>
            <w:rPr>
              <w:noProof/>
            </w:rPr>
            <w:fldChar w:fldCharType="end"/>
          </w:r>
        </w:p>
      </w:tc>
    </w:tr>
    <w:tr w:rsidR="00AF2508">
      <w:trPr>
        <w:cantSplit/>
      </w:trPr>
      <w:tc>
        <w:tcPr>
          <w:tcW w:w="4997" w:type="pct"/>
          <w:gridSpan w:val="2"/>
          <w:tcBorders>
            <w:bottom w:val="single" w:sz="4" w:space="0" w:color="auto"/>
          </w:tcBorders>
        </w:tcPr>
        <w:p w:rsidR="00AF2508" w:rsidRDefault="001A7146">
          <w:pPr>
            <w:pStyle w:val="HeaderEven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75</w:t>
          </w:r>
          <w:r>
            <w:rPr>
              <w:noProof/>
            </w:rPr>
            <w:fldChar w:fldCharType="end"/>
          </w:r>
        </w:p>
      </w:tc>
    </w:tr>
  </w:tbl>
  <w:p w:rsidR="00AF2508" w:rsidRDefault="00AF250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F2508">
      <w:tc>
        <w:tcPr>
          <w:tcW w:w="4100" w:type="pct"/>
        </w:tcPr>
        <w:p w:rsidR="00AF2508" w:rsidRDefault="001A7146">
          <w:pPr>
            <w:pStyle w:val="HeaderEven"/>
            <w:jc w:val="right"/>
          </w:pPr>
          <w:r>
            <w:rPr>
              <w:noProof/>
            </w:rPr>
            <w:fldChar w:fldCharType="begin"/>
          </w:r>
          <w:r>
            <w:rPr>
              <w:noProof/>
            </w:rPr>
            <w:instrText xml:space="preserve"> STYLEREF CharPartText \*charformat </w:instrText>
          </w:r>
          <w:r>
            <w:rPr>
              <w:noProof/>
            </w:rPr>
            <w:fldChar w:fldCharType="separate"/>
          </w:r>
          <w:r w:rsidR="00AA7BA7">
            <w:rPr>
              <w:noProof/>
            </w:rPr>
            <w:t>Safeguards and measures to be taken for securing the safety and health of persons engaged in building work</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CharPartNo \*charformat </w:instrText>
          </w:r>
          <w:r>
            <w:rPr>
              <w:b/>
            </w:rPr>
            <w:fldChar w:fldCharType="separate"/>
          </w:r>
          <w:r w:rsidR="00AA7BA7">
            <w:rPr>
              <w:b/>
              <w:noProof/>
            </w:rPr>
            <w:t>Part 5</w:t>
          </w:r>
          <w:r>
            <w:rPr>
              <w:b/>
            </w:rPr>
            <w:fldChar w:fldCharType="end"/>
          </w:r>
        </w:p>
      </w:tc>
    </w:tr>
    <w:tr w:rsidR="00AF2508">
      <w:tc>
        <w:tcPr>
          <w:tcW w:w="4100" w:type="pct"/>
        </w:tcPr>
        <w:p w:rsidR="00AF2508" w:rsidRDefault="001A7146">
          <w:pPr>
            <w:pStyle w:val="HeaderEven"/>
            <w:jc w:val="right"/>
          </w:pPr>
          <w:r>
            <w:rPr>
              <w:noProof/>
            </w:rPr>
            <w:fldChar w:fldCharType="begin"/>
          </w:r>
          <w:r>
            <w:rPr>
              <w:noProof/>
            </w:rPr>
            <w:instrText xml:space="preserve"> STYLEREF CharDivText \*charformat </w:instrText>
          </w:r>
          <w:r>
            <w:rPr>
              <w:noProof/>
            </w:rPr>
            <w:fldChar w:fldCharType="separate"/>
          </w:r>
          <w:r w:rsidR="00AA7BA7">
            <w:rPr>
              <w:noProof/>
            </w:rPr>
            <w:t>General</w:t>
          </w:r>
          <w:r>
            <w:rPr>
              <w:noProof/>
            </w:rPr>
            <w:fldChar w:fldCharType="end"/>
          </w:r>
        </w:p>
      </w:tc>
      <w:tc>
        <w:tcPr>
          <w:tcW w:w="900" w:type="pct"/>
        </w:tcPr>
        <w:p w:rsidR="00AF2508" w:rsidRDefault="00AF2508">
          <w:pPr>
            <w:pStyle w:val="HeaderEven"/>
            <w:jc w:val="right"/>
            <w:rPr>
              <w:b/>
            </w:rPr>
          </w:pPr>
          <w:r>
            <w:rPr>
              <w:b/>
            </w:rPr>
            <w:fldChar w:fldCharType="begin"/>
          </w:r>
          <w:r>
            <w:rPr>
              <w:b/>
            </w:rPr>
            <w:instrText xml:space="preserve"> STYLEREF CharDivNo \*charformat </w:instrText>
          </w:r>
          <w:r>
            <w:rPr>
              <w:b/>
            </w:rPr>
            <w:fldChar w:fldCharType="separate"/>
          </w:r>
          <w:r w:rsidR="00AA7BA7">
            <w:rPr>
              <w:b/>
              <w:noProof/>
            </w:rPr>
            <w:t>Division 5.1</w:t>
          </w:r>
          <w:r>
            <w:rPr>
              <w:b/>
            </w:rPr>
            <w:fldChar w:fldCharType="end"/>
          </w:r>
        </w:p>
      </w:tc>
    </w:tr>
    <w:tr w:rsidR="00AF2508">
      <w:trPr>
        <w:cantSplit/>
      </w:trPr>
      <w:tc>
        <w:tcPr>
          <w:tcW w:w="5000" w:type="pct"/>
          <w:gridSpan w:val="2"/>
          <w:tcBorders>
            <w:bottom w:val="single" w:sz="4" w:space="0" w:color="auto"/>
          </w:tcBorders>
        </w:tcPr>
        <w:p w:rsidR="00AF2508" w:rsidRDefault="001A7146">
          <w:pPr>
            <w:pStyle w:val="HeaderOdd6"/>
          </w:pPr>
          <w:r>
            <w:fldChar w:fldCharType="begin"/>
          </w:r>
          <w:r>
            <w:instrText xml:space="preserve"> DOCPROPERTY "Company"  \* MERGEFORMAT </w:instrText>
          </w:r>
          <w:r>
            <w:fldChar w:fldCharType="separate"/>
          </w:r>
          <w:r w:rsidR="00AA7BA7">
            <w:t>Section</w:t>
          </w:r>
          <w:r>
            <w:fldChar w:fldCharType="end"/>
          </w:r>
          <w:r w:rsidR="00AF2508">
            <w:t xml:space="preserve"> </w:t>
          </w:r>
          <w:r>
            <w:rPr>
              <w:noProof/>
            </w:rPr>
            <w:fldChar w:fldCharType="begin"/>
          </w:r>
          <w:r>
            <w:rPr>
              <w:noProof/>
            </w:rPr>
            <w:instrText xml:space="preserve"> STYLEREF CharSectNo \*charformat </w:instrText>
          </w:r>
          <w:r>
            <w:rPr>
              <w:noProof/>
            </w:rPr>
            <w:fldChar w:fldCharType="separate"/>
          </w:r>
          <w:r w:rsidR="00AA7BA7">
            <w:rPr>
              <w:noProof/>
            </w:rPr>
            <w:t>75</w:t>
          </w:r>
          <w:r>
            <w:rPr>
              <w:noProof/>
            </w:rPr>
            <w:fldChar w:fldCharType="end"/>
          </w:r>
        </w:p>
      </w:tc>
    </w:tr>
  </w:tbl>
  <w:p w:rsidR="00AF2508" w:rsidRDefault="00AF25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F68C0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85002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385E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3481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FEF2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27C4EBF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9921B08"/>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66E98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EA61D6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144B2F01"/>
    <w:multiLevelType w:val="singleLevel"/>
    <w:tmpl w:val="98D46A76"/>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15"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6" w15:restartNumberingAfterBreak="0">
    <w:nsid w:val="35123B54"/>
    <w:multiLevelType w:val="multilevel"/>
    <w:tmpl w:val="B0124224"/>
    <w:name w:val="Schedule"/>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7"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65418E3"/>
    <w:multiLevelType w:val="multilevel"/>
    <w:tmpl w:val="EAFEB598"/>
    <w:name w:val="SchClaus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9E325CC"/>
    <w:multiLevelType w:val="multilevel"/>
    <w:tmpl w:val="155A5DE0"/>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8639AD"/>
    <w:multiLevelType w:val="multilevel"/>
    <w:tmpl w:val="87044F96"/>
    <w:name w:val="Lower"/>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Letter"/>
      <w:suff w:val="nothing"/>
      <w:lvlText w:val="(%5)"/>
      <w:lvlJc w:val="left"/>
      <w:pPr>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800AF9"/>
    <w:multiLevelType w:val="multilevel"/>
    <w:tmpl w:val="3A843A0A"/>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2BF1189"/>
    <w:multiLevelType w:val="multilevel"/>
    <w:tmpl w:val="4150EC4C"/>
    <w:name w:val="SchClaus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8"/>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508"/>
    <w:rsid w:val="000B2C1F"/>
    <w:rsid w:val="00136775"/>
    <w:rsid w:val="001B73D0"/>
    <w:rsid w:val="0021194C"/>
    <w:rsid w:val="003D2F20"/>
    <w:rsid w:val="00994003"/>
    <w:rsid w:val="00AA7BA7"/>
    <w:rsid w:val="00AF2508"/>
    <w:rsid w:val="00E5176C"/>
    <w:rsid w:val="00EC5C8E"/>
    <w:rsid w:val="00F12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456202C5-D6BE-4E4B-979E-5BB0F119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pPr>
      <w:keepNext/>
      <w:shd w:val="clear" w:color="auto" w:fill="E0E0E0"/>
      <w:spacing w:before="320" w:after="60"/>
      <w:outlineLvl w:val="1"/>
    </w:pPr>
    <w:rPr>
      <w:rFonts w:ascii="Arial" w:hAnsi="Arial" w:cs="Arial"/>
      <w:b/>
      <w:bCs/>
      <w:iCs/>
      <w:sz w:val="28"/>
      <w:szCs w:val="28"/>
    </w:rPr>
  </w:style>
  <w:style w:type="paragraph" w:styleId="Heading4">
    <w:name w:val="heading 4"/>
    <w:basedOn w:val="Normal"/>
    <w:next w:val="Normal"/>
    <w:qFormat/>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style>
  <w:style w:type="paragraph" w:customStyle="1" w:styleId="00ClientCover">
    <w:name w:val="00ClientCover"/>
    <w:basedOn w:val="Normal"/>
  </w:style>
  <w:style w:type="paragraph" w:customStyle="1" w:styleId="02Text">
    <w:name w:val="02Text"/>
    <w:basedOn w:val="Normal"/>
  </w:style>
  <w:style w:type="paragraph" w:customStyle="1" w:styleId="BillBasic">
    <w:name w:val="BillBasic"/>
    <w:pPr>
      <w:spacing w:before="80" w:after="60"/>
      <w:jc w:val="both"/>
    </w:pPr>
    <w:rPr>
      <w:sz w:val="24"/>
      <w:lang w:eastAsia="en-US"/>
    </w:rPr>
  </w:style>
  <w:style w:type="paragraph" w:styleId="Header">
    <w:name w:val="header"/>
    <w:basedOn w:val="Normal"/>
    <w:pPr>
      <w:tabs>
        <w:tab w:val="center" w:pos="4153"/>
        <w:tab w:val="right" w:pos="8306"/>
      </w:tabs>
    </w:pPr>
  </w:style>
  <w:style w:type="paragraph" w:styleId="Footer">
    <w:name w:val="footer"/>
    <w:basedOn w:val="Normal"/>
    <w:pPr>
      <w:spacing w:before="120" w:after="60" w:line="240" w:lineRule="exact"/>
    </w:pPr>
    <w:rPr>
      <w:rFonts w:ascii="Arial" w:hAnsi="Arial"/>
      <w:sz w:val="18"/>
    </w:rPr>
  </w:style>
  <w:style w:type="paragraph" w:customStyle="1" w:styleId="Billname">
    <w:name w:val="Billname"/>
    <w:basedOn w:val="Normal"/>
    <w:pPr>
      <w:spacing w:before="1220" w:after="100"/>
    </w:pPr>
    <w:rPr>
      <w:rFonts w:ascii="Arial" w:hAnsi="Arial"/>
      <w:b/>
      <w:sz w:val="40"/>
    </w:rPr>
  </w:style>
  <w:style w:type="paragraph" w:customStyle="1" w:styleId="BillBasicHeading">
    <w:name w:val="BillBasicHeading"/>
    <w:basedOn w:val="BillBasic"/>
    <w:pPr>
      <w:keepNext/>
      <w:tabs>
        <w:tab w:val="left" w:pos="2600"/>
      </w:tabs>
      <w:jc w:val="left"/>
    </w:pPr>
    <w:rPr>
      <w:rFonts w:ascii="Arial" w:hAnsi="Arial"/>
      <w:b/>
    </w:rPr>
  </w:style>
  <w:style w:type="paragraph" w:customStyle="1" w:styleId="draft">
    <w:name w:val="draft"/>
    <w:basedOn w:val="Normal"/>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pPr>
      <w:tabs>
        <w:tab w:val="right" w:pos="900"/>
        <w:tab w:val="left" w:pos="1100"/>
      </w:tabs>
      <w:ind w:left="1100" w:hanging="1100"/>
      <w:outlineLvl w:val="5"/>
    </w:pPr>
  </w:style>
  <w:style w:type="paragraph" w:customStyle="1" w:styleId="Amainreturn">
    <w:name w:val="A main return"/>
    <w:basedOn w:val="BillBasic"/>
    <w:pPr>
      <w:ind w:left="1100"/>
    </w:pPr>
  </w:style>
  <w:style w:type="paragraph" w:customStyle="1" w:styleId="Apara">
    <w:name w:val="A para"/>
    <w:basedOn w:val="BillBasic"/>
    <w:pPr>
      <w:tabs>
        <w:tab w:val="right" w:pos="1400"/>
        <w:tab w:val="left" w:pos="1600"/>
      </w:tabs>
      <w:ind w:left="1600" w:hanging="1600"/>
      <w:outlineLvl w:val="6"/>
    </w:pPr>
  </w:style>
  <w:style w:type="paragraph" w:customStyle="1" w:styleId="Asubpara">
    <w:name w:val="A subpara"/>
    <w:basedOn w:val="BillBasic"/>
    <w:pPr>
      <w:tabs>
        <w:tab w:val="right" w:pos="1900"/>
        <w:tab w:val="left" w:pos="2100"/>
      </w:tabs>
      <w:ind w:left="2100" w:hanging="2100"/>
      <w:outlineLvl w:val="7"/>
    </w:pPr>
  </w:style>
  <w:style w:type="paragraph" w:customStyle="1" w:styleId="Asubsubpara">
    <w:name w:val="A subsubpara"/>
    <w:basedOn w:val="BillBasic"/>
    <w:pPr>
      <w:tabs>
        <w:tab w:val="right" w:pos="2400"/>
        <w:tab w:val="left" w:pos="2600"/>
      </w:tabs>
      <w:ind w:left="2600" w:hanging="2600"/>
      <w:outlineLvl w:val="8"/>
    </w:pPr>
  </w:style>
  <w:style w:type="paragraph" w:customStyle="1" w:styleId="aDef">
    <w:name w:val="aDef"/>
    <w:basedOn w:val="BillBasic"/>
    <w:pPr>
      <w:ind w:left="1100"/>
    </w:pPr>
  </w:style>
  <w:style w:type="paragraph" w:customStyle="1" w:styleId="aExamHead">
    <w:name w:val="aExam Head"/>
    <w:basedOn w:val="BillBasicHeading"/>
    <w:next w:val="aExam"/>
    <w:pPr>
      <w:tabs>
        <w:tab w:val="clear" w:pos="2600"/>
      </w:tabs>
      <w:ind w:left="1100"/>
    </w:pPr>
    <w:rPr>
      <w:sz w:val="18"/>
    </w:rPr>
  </w:style>
  <w:style w:type="paragraph" w:customStyle="1" w:styleId="aExam">
    <w:name w:val="aExam"/>
    <w:basedOn w:val="aNote"/>
    <w:pPr>
      <w:spacing w:before="0"/>
      <w:ind w:left="1100" w:firstLine="0"/>
    </w:pPr>
  </w:style>
  <w:style w:type="paragraph" w:customStyle="1" w:styleId="aNote">
    <w:name w:val="aNote"/>
    <w:basedOn w:val="BillBasic"/>
    <w:pPr>
      <w:ind w:left="1900" w:hanging="800"/>
    </w:pPr>
    <w:rPr>
      <w:sz w:val="20"/>
    </w:rPr>
  </w:style>
  <w:style w:type="paragraph" w:customStyle="1" w:styleId="HeaderEven">
    <w:name w:val="HeaderEven"/>
    <w:basedOn w:val="Normal"/>
    <w:rPr>
      <w:rFonts w:ascii="Arial" w:hAnsi="Arial"/>
      <w:sz w:val="18"/>
    </w:rPr>
  </w:style>
  <w:style w:type="paragraph" w:customStyle="1" w:styleId="HeaderEven6">
    <w:name w:val="HeaderEven6"/>
    <w:basedOn w:val="HeaderEven"/>
    <w:pPr>
      <w:spacing w:before="120" w:after="60"/>
    </w:pPr>
  </w:style>
  <w:style w:type="paragraph" w:customStyle="1" w:styleId="HeaderOdd6">
    <w:name w:val="HeaderOdd6"/>
    <w:basedOn w:val="HeaderEven6"/>
    <w:pPr>
      <w:jc w:val="right"/>
    </w:pPr>
  </w:style>
  <w:style w:type="paragraph" w:customStyle="1" w:styleId="HeaderOdd">
    <w:name w:val="HeaderOdd"/>
    <w:basedOn w:val="HeaderEven"/>
    <w:pPr>
      <w:jc w:val="right"/>
    </w:pPr>
  </w:style>
  <w:style w:type="paragraph" w:customStyle="1" w:styleId="BillNo">
    <w:name w:val="BillNo"/>
    <w:basedOn w:val="BillBasicHeading"/>
    <w:pPr>
      <w:keepNext w:val="0"/>
      <w:spacing w:before="240"/>
      <w:jc w:val="both"/>
    </w:pPr>
  </w:style>
  <w:style w:type="paragraph" w:customStyle="1" w:styleId="N-TOCheading">
    <w:name w:val="N-TOCheading"/>
    <w:basedOn w:val="BillBasicHeading"/>
    <w:next w:val="N-9pt"/>
    <w:pPr>
      <w:keepNext w:val="0"/>
      <w:pBdr>
        <w:bottom w:val="single" w:sz="4" w:space="1" w:color="auto"/>
      </w:pBdr>
      <w:spacing w:before="800" w:after="20"/>
    </w:pPr>
    <w:rPr>
      <w:sz w:val="32"/>
    </w:rPr>
  </w:style>
  <w:style w:type="paragraph" w:customStyle="1" w:styleId="N-9pt">
    <w:name w:val="N-9pt"/>
    <w:basedOn w:val="BillBasic"/>
    <w:next w:val="BillBasic"/>
    <w:pPr>
      <w:tabs>
        <w:tab w:val="right" w:pos="7707"/>
      </w:tabs>
      <w:spacing w:before="120" w:after="20"/>
    </w:pPr>
    <w:rPr>
      <w:rFonts w:ascii="Arial" w:hAnsi="Arial"/>
      <w:sz w:val="18"/>
    </w:rPr>
  </w:style>
  <w:style w:type="paragraph" w:customStyle="1" w:styleId="N-14pt">
    <w:name w:val="N-14pt"/>
    <w:basedOn w:val="BillBasic"/>
    <w:pPr>
      <w:spacing w:before="0"/>
    </w:pPr>
    <w:rPr>
      <w:b/>
      <w:sz w:val="28"/>
    </w:rPr>
  </w:style>
  <w:style w:type="paragraph" w:customStyle="1" w:styleId="N-16pt">
    <w:name w:val="N-16pt"/>
    <w:basedOn w:val="BillBasic"/>
    <w:pPr>
      <w:spacing w:before="800"/>
    </w:pPr>
    <w:rPr>
      <w:b/>
      <w:sz w:val="32"/>
    </w:rPr>
  </w:style>
  <w:style w:type="paragraph" w:customStyle="1" w:styleId="N-line3">
    <w:name w:val="N-line3"/>
    <w:basedOn w:val="BillBasic"/>
    <w:next w:val="BillBasic"/>
    <w:pPr>
      <w:pBdr>
        <w:bottom w:val="single" w:sz="12" w:space="1" w:color="auto"/>
      </w:pBdr>
      <w:spacing w:before="0" w:after="0"/>
    </w:pPr>
  </w:style>
  <w:style w:type="paragraph" w:customStyle="1" w:styleId="EnactingWords">
    <w:name w:val="EnactingWords"/>
    <w:basedOn w:val="BillBasic"/>
    <w:pPr>
      <w:spacing w:before="60"/>
    </w:pPr>
  </w:style>
  <w:style w:type="paragraph" w:customStyle="1" w:styleId="Comment">
    <w:name w:val="Comment"/>
    <w:basedOn w:val="BillBasic"/>
    <w:pPr>
      <w:tabs>
        <w:tab w:val="left" w:pos="1800"/>
      </w:tabs>
      <w:ind w:left="1300"/>
      <w:jc w:val="left"/>
    </w:pPr>
    <w:rPr>
      <w:b/>
      <w:sz w:val="18"/>
    </w:rPr>
  </w:style>
  <w:style w:type="paragraph" w:customStyle="1" w:styleId="FooterInfo">
    <w:name w:val="FooterInfo"/>
    <w:basedOn w:val="Normal"/>
    <w:pPr>
      <w:tabs>
        <w:tab w:val="right" w:pos="7707"/>
      </w:tabs>
    </w:pPr>
    <w:rPr>
      <w:rFonts w:ascii="Arial" w:hAnsi="Arial"/>
      <w:sz w:val="18"/>
    </w:rPr>
  </w:style>
  <w:style w:type="paragraph" w:customStyle="1" w:styleId="AH1Chapter">
    <w:name w:val="A H1 Chapter"/>
    <w:basedOn w:val="BillBasicHeading"/>
    <w:next w:val="AH2Part"/>
    <w:pPr>
      <w:spacing w:before="320"/>
      <w:ind w:left="2600" w:hanging="2600"/>
      <w:outlineLvl w:val="0"/>
    </w:pPr>
    <w:rPr>
      <w:sz w:val="34"/>
    </w:rPr>
  </w:style>
  <w:style w:type="paragraph" w:customStyle="1" w:styleId="AH2Part">
    <w:name w:val="A H2 Part"/>
    <w:basedOn w:val="BillBasicHeading"/>
    <w:next w:val="AH3Div"/>
    <w:pPr>
      <w:spacing w:before="320"/>
      <w:ind w:left="2600" w:hanging="2600"/>
      <w:outlineLvl w:val="1"/>
    </w:pPr>
    <w:rPr>
      <w:sz w:val="32"/>
    </w:rPr>
  </w:style>
  <w:style w:type="paragraph" w:customStyle="1" w:styleId="AH3Div">
    <w:name w:val="A H3 Div"/>
    <w:basedOn w:val="BillBasicHeading"/>
    <w:next w:val="AH5Sec"/>
    <w:pPr>
      <w:spacing w:before="180"/>
      <w:ind w:left="2600" w:hanging="2600"/>
      <w:outlineLvl w:val="2"/>
    </w:pPr>
    <w:rPr>
      <w:sz w:val="28"/>
    </w:rPr>
  </w:style>
  <w:style w:type="paragraph" w:customStyle="1" w:styleId="AH5Sec">
    <w:name w:val="A H5 Sec"/>
    <w:basedOn w:val="BillBasicHeading"/>
    <w:next w:val="Amain"/>
    <w:pPr>
      <w:tabs>
        <w:tab w:val="clear" w:pos="2600"/>
        <w:tab w:val="left" w:pos="1100"/>
      </w:tabs>
      <w:spacing w:before="180"/>
      <w:ind w:left="1100" w:hanging="1100"/>
      <w:outlineLvl w:val="4"/>
    </w:pPr>
  </w:style>
  <w:style w:type="paragraph" w:customStyle="1" w:styleId="AH4SubDiv">
    <w:name w:val="A H4 SubDiv"/>
    <w:basedOn w:val="BillBasicHeading"/>
    <w:next w:val="AH5Sec"/>
    <w:pPr>
      <w:spacing w:before="180"/>
      <w:ind w:left="2600" w:hanging="2600"/>
      <w:outlineLvl w:val="3"/>
    </w:pPr>
    <w:rPr>
      <w:sz w:val="26"/>
    </w:rPr>
  </w:style>
  <w:style w:type="paragraph" w:customStyle="1" w:styleId="Sched-heading">
    <w:name w:val="Sched-heading"/>
    <w:basedOn w:val="BillBasicHeading"/>
    <w:next w:val="ref"/>
    <w:pPr>
      <w:spacing w:before="320"/>
      <w:ind w:left="2600" w:hanging="2600"/>
      <w:outlineLvl w:val="0"/>
    </w:pPr>
    <w:rPr>
      <w:sz w:val="34"/>
    </w:rPr>
  </w:style>
  <w:style w:type="paragraph" w:customStyle="1" w:styleId="ref">
    <w:name w:val="ref"/>
    <w:basedOn w:val="BillBasic"/>
    <w:next w:val="Normal"/>
    <w:pPr>
      <w:spacing w:before="0"/>
    </w:pPr>
    <w:rPr>
      <w:sz w:val="18"/>
    </w:rPr>
  </w:style>
  <w:style w:type="paragraph" w:customStyle="1" w:styleId="Sched-Part">
    <w:name w:val="Sched-Part"/>
    <w:basedOn w:val="BillBasicHeading"/>
    <w:next w:val="Sched-Form"/>
    <w:pPr>
      <w:spacing w:before="320"/>
      <w:ind w:left="2600" w:hanging="2600"/>
      <w:outlineLvl w:val="1"/>
    </w:pPr>
    <w:rPr>
      <w:sz w:val="32"/>
    </w:rPr>
  </w:style>
  <w:style w:type="paragraph" w:customStyle="1" w:styleId="Sched-Form">
    <w:name w:val="Sched-Form"/>
    <w:basedOn w:val="BillBasicHeading"/>
    <w:next w:val="Schclauseheading"/>
    <w:pPr>
      <w:tabs>
        <w:tab w:val="right" w:pos="7200"/>
      </w:tabs>
      <w:spacing w:before="180"/>
      <w:ind w:left="2600" w:hanging="2600"/>
      <w:outlineLvl w:val="2"/>
    </w:pPr>
    <w:rPr>
      <w:sz w:val="28"/>
    </w:rPr>
  </w:style>
  <w:style w:type="paragraph" w:customStyle="1" w:styleId="Schclauseheading">
    <w:name w:val="Sch clause heading"/>
    <w:basedOn w:val="BillBasic"/>
    <w:next w:val="SchAmain"/>
    <w:pPr>
      <w:keepNext/>
      <w:tabs>
        <w:tab w:val="left" w:pos="1100"/>
      </w:tabs>
      <w:spacing w:before="160" w:after="0"/>
      <w:ind w:left="1100" w:hanging="1100"/>
      <w:jc w:val="left"/>
      <w:outlineLvl w:val="4"/>
    </w:pPr>
    <w:rPr>
      <w:rFonts w:ascii="Arial" w:hAnsi="Arial"/>
      <w:b/>
    </w:rPr>
  </w:style>
  <w:style w:type="paragraph" w:customStyle="1" w:styleId="Dict-Heading">
    <w:name w:val="Dict-Heading"/>
    <w:basedOn w:val="BillBasicHeading"/>
    <w:next w:val="Normal"/>
    <w:pPr>
      <w:spacing w:before="320"/>
      <w:ind w:left="2600" w:hanging="2600"/>
      <w:jc w:val="both"/>
      <w:outlineLvl w:val="0"/>
    </w:pPr>
    <w:rPr>
      <w:sz w:val="34"/>
    </w:rPr>
  </w:style>
  <w:style w:type="paragraph" w:customStyle="1" w:styleId="Sched-Form-18Space">
    <w:name w:val="Sched-Form-18Space"/>
    <w:basedOn w:val="Normal"/>
    <w:pPr>
      <w:spacing w:before="360" w:after="60"/>
    </w:pPr>
    <w:rPr>
      <w:sz w:val="22"/>
    </w:rPr>
  </w:style>
  <w:style w:type="paragraph" w:customStyle="1" w:styleId="Endnote1">
    <w:name w:val="Endnote1"/>
    <w:basedOn w:val="BillBasic"/>
    <w:next w:val="Normal"/>
    <w:pPr>
      <w:keepNext/>
      <w:tabs>
        <w:tab w:val="left" w:pos="400"/>
      </w:tabs>
      <w:spacing w:before="0" w:after="0"/>
      <w:jc w:val="left"/>
    </w:pPr>
    <w:rPr>
      <w:rFonts w:ascii="Arial" w:hAnsi="Arial"/>
      <w:b/>
      <w:sz w:val="28"/>
    </w:rPr>
  </w:style>
  <w:style w:type="paragraph" w:customStyle="1" w:styleId="Endnote2">
    <w:name w:val="Endnote2"/>
    <w:basedOn w:val="Normal"/>
    <w:pPr>
      <w:keepNext/>
      <w:tabs>
        <w:tab w:val="left" w:pos="1100"/>
      </w:tabs>
      <w:spacing w:before="320" w:after="60"/>
    </w:pPr>
    <w:rPr>
      <w:rFonts w:ascii="Arial" w:hAnsi="Arial"/>
      <w:b/>
    </w:rPr>
  </w:style>
  <w:style w:type="paragraph" w:customStyle="1" w:styleId="AH1ChapterSymb">
    <w:name w:val="A H1 Chapter Symb"/>
    <w:basedOn w:val="AH1Chapter"/>
    <w:next w:val="AH2Part"/>
    <w:pPr>
      <w:tabs>
        <w:tab w:val="clear" w:pos="2600"/>
        <w:tab w:val="left" w:pos="0"/>
      </w:tabs>
      <w:ind w:left="2480" w:hanging="2960"/>
    </w:pPr>
  </w:style>
  <w:style w:type="paragraph" w:customStyle="1" w:styleId="IH1Chap">
    <w:name w:val="I H1 Chap"/>
    <w:basedOn w:val="BillBasicHeading"/>
    <w:next w:val="Normal"/>
    <w:pPr>
      <w:spacing w:before="320"/>
      <w:ind w:left="2600" w:hanging="2600"/>
    </w:pPr>
    <w:rPr>
      <w:sz w:val="34"/>
    </w:rPr>
  </w:style>
  <w:style w:type="paragraph" w:customStyle="1" w:styleId="IH2Part">
    <w:name w:val="I H2 Part"/>
    <w:basedOn w:val="BillBasicHeading"/>
    <w:next w:val="Normal"/>
    <w:pPr>
      <w:spacing w:before="320"/>
      <w:ind w:left="2600" w:hanging="2600"/>
    </w:pPr>
    <w:rPr>
      <w:sz w:val="32"/>
    </w:rPr>
  </w:style>
  <w:style w:type="paragraph" w:customStyle="1" w:styleId="IH3Div">
    <w:name w:val="I H3 Div"/>
    <w:basedOn w:val="BillBasicHeading"/>
    <w:next w:val="Normal"/>
    <w:pPr>
      <w:spacing w:before="180"/>
      <w:ind w:left="2600" w:hanging="2600"/>
    </w:pPr>
    <w:rPr>
      <w:sz w:val="28"/>
    </w:rPr>
  </w:style>
  <w:style w:type="paragraph" w:customStyle="1" w:styleId="IH5Sec">
    <w:name w:val="I H5 Sec"/>
    <w:basedOn w:val="BillBasicHeading"/>
    <w:next w:val="Normal"/>
    <w:pPr>
      <w:tabs>
        <w:tab w:val="clear" w:pos="2600"/>
        <w:tab w:val="left" w:pos="1100"/>
      </w:tabs>
      <w:spacing w:before="180"/>
      <w:ind w:left="1100" w:hanging="1100"/>
    </w:pPr>
  </w:style>
  <w:style w:type="paragraph" w:customStyle="1" w:styleId="IMain">
    <w:name w:val="I Main"/>
    <w:basedOn w:val="Amain"/>
  </w:style>
  <w:style w:type="paragraph" w:customStyle="1" w:styleId="IH4SubDiv">
    <w:name w:val="I H4 SubDiv"/>
    <w:basedOn w:val="BillBasicHeading"/>
    <w:next w:val="Normal"/>
    <w:pPr>
      <w:spacing w:before="180"/>
      <w:ind w:left="2600" w:hanging="2600"/>
      <w:jc w:val="both"/>
    </w:pPr>
    <w:rPr>
      <w:sz w:val="26"/>
    </w:rPr>
  </w:style>
  <w:style w:type="character" w:styleId="LineNumber">
    <w:name w:val="line number"/>
    <w:rPr>
      <w:rFonts w:ascii="Arial" w:hAnsi="Arial"/>
      <w:sz w:val="16"/>
    </w:rPr>
  </w:style>
  <w:style w:type="paragraph" w:customStyle="1" w:styleId="PageBreak">
    <w:name w:val="PageBreak"/>
    <w:basedOn w:val="Normal"/>
    <w:rPr>
      <w:sz w:val="4"/>
    </w:rPr>
  </w:style>
  <w:style w:type="paragraph" w:customStyle="1" w:styleId="04Dictionary">
    <w:name w:val="04Dictionary"/>
    <w:basedOn w:val="Normal"/>
  </w:style>
  <w:style w:type="paragraph" w:customStyle="1" w:styleId="N-line1">
    <w:name w:val="N-line1"/>
    <w:basedOn w:val="BillBasic"/>
    <w:pPr>
      <w:pBdr>
        <w:bottom w:val="single" w:sz="4" w:space="0" w:color="auto"/>
      </w:pBdr>
      <w:spacing w:before="100" w:after="200"/>
      <w:ind w:left="2980" w:right="3020"/>
      <w:jc w:val="center"/>
    </w:pPr>
  </w:style>
  <w:style w:type="paragraph" w:customStyle="1" w:styleId="N-line2">
    <w:name w:val="N-line2"/>
    <w:basedOn w:val="Normal"/>
    <w:pPr>
      <w:pBdr>
        <w:bottom w:val="single" w:sz="8" w:space="0" w:color="auto"/>
      </w:pBdr>
    </w:pPr>
  </w:style>
  <w:style w:type="paragraph" w:customStyle="1" w:styleId="EndNote">
    <w:name w:val="EndNote"/>
    <w:basedOn w:val="BillBasicHeading"/>
    <w:pPr>
      <w:keepNext w:val="0"/>
      <w:tabs>
        <w:tab w:val="clear" w:pos="2600"/>
        <w:tab w:val="left" w:pos="1100"/>
      </w:tabs>
      <w:spacing w:before="160" w:after="160"/>
      <w:ind w:left="1100" w:hanging="1100"/>
      <w:jc w:val="both"/>
    </w:pPr>
  </w:style>
  <w:style w:type="paragraph" w:customStyle="1" w:styleId="EndnotesAbbrev">
    <w:name w:val="EndnotesAbbrev"/>
    <w:basedOn w:val="Normal"/>
    <w:pPr>
      <w:spacing w:before="20"/>
    </w:pPr>
    <w:rPr>
      <w:rFonts w:ascii="Arial" w:hAnsi="Arial"/>
      <w:color w:val="000000"/>
      <w:sz w:val="16"/>
    </w:rPr>
  </w:style>
  <w:style w:type="paragraph" w:customStyle="1" w:styleId="PenaltyHeading">
    <w:name w:val="PenaltyHeading"/>
    <w:basedOn w:val="Normal"/>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style>
  <w:style w:type="paragraph" w:customStyle="1" w:styleId="ISched-heading">
    <w:name w:val="I Sched-heading"/>
    <w:basedOn w:val="BillBasicHeading"/>
    <w:next w:val="Normal"/>
    <w:pPr>
      <w:spacing w:before="320"/>
      <w:ind w:left="2600" w:hanging="2600"/>
    </w:pPr>
    <w:rPr>
      <w:sz w:val="34"/>
    </w:rPr>
  </w:style>
  <w:style w:type="paragraph" w:customStyle="1" w:styleId="ISched-Part">
    <w:name w:val="I Sched-Part"/>
    <w:basedOn w:val="BillBasicHeading"/>
    <w:pPr>
      <w:spacing w:before="320"/>
      <w:ind w:left="2600" w:hanging="2600"/>
    </w:pPr>
    <w:rPr>
      <w:sz w:val="32"/>
    </w:rPr>
  </w:style>
  <w:style w:type="paragraph" w:customStyle="1" w:styleId="ISched-form">
    <w:name w:val="I Sched-form"/>
    <w:basedOn w:val="BillBasicHeading"/>
    <w:pPr>
      <w:tabs>
        <w:tab w:val="right" w:pos="7200"/>
      </w:tabs>
      <w:spacing w:before="180"/>
      <w:ind w:left="2600" w:hanging="2600"/>
    </w:pPr>
    <w:rPr>
      <w:sz w:val="28"/>
    </w:rPr>
  </w:style>
  <w:style w:type="paragraph" w:customStyle="1" w:styleId="ISchclauseheading">
    <w:name w:val="I Sch clause heading"/>
    <w:basedOn w:val="BillBasic"/>
    <w:pPr>
      <w:keepNext/>
      <w:tabs>
        <w:tab w:val="left" w:pos="1100"/>
      </w:tabs>
      <w:spacing w:before="160" w:after="0"/>
      <w:ind w:left="1100" w:hanging="1100"/>
      <w:jc w:val="left"/>
    </w:pPr>
    <w:rPr>
      <w:rFonts w:ascii="Arial" w:hAnsi="Arial"/>
      <w:b/>
    </w:rPr>
  </w:style>
  <w:style w:type="paragraph" w:customStyle="1" w:styleId="Ipara">
    <w:name w:val="I para"/>
    <w:basedOn w:val="Apara"/>
    <w:pPr>
      <w:outlineLvl w:val="9"/>
    </w:pPr>
  </w:style>
  <w:style w:type="paragraph" w:customStyle="1" w:styleId="Isubpara">
    <w:name w:val="I subpara"/>
    <w:basedOn w:val="Asubpara"/>
    <w:pPr>
      <w:tabs>
        <w:tab w:val="clear" w:pos="1900"/>
        <w:tab w:val="clear" w:pos="2100"/>
        <w:tab w:val="right" w:pos="1940"/>
        <w:tab w:val="left" w:pos="2140"/>
      </w:tabs>
      <w:ind w:left="2140" w:hanging="2140"/>
      <w:outlineLvl w:val="9"/>
    </w:pPr>
  </w:style>
  <w:style w:type="paragraph" w:customStyle="1" w:styleId="Isubsubpara">
    <w:name w:val="I subsubpara"/>
    <w:basedOn w:val="Asubsubpara"/>
    <w:pPr>
      <w:tabs>
        <w:tab w:val="clear" w:pos="2400"/>
        <w:tab w:val="clear" w:pos="2600"/>
        <w:tab w:val="right" w:pos="2460"/>
        <w:tab w:val="left" w:pos="2660"/>
      </w:tabs>
      <w:ind w:left="2660" w:hanging="2660"/>
    </w:pPr>
  </w:style>
  <w:style w:type="character" w:customStyle="1" w:styleId="CharSectNo">
    <w:name w:val="CharSectNo"/>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PartNo">
    <w:name w:val="CharPartNo"/>
    <w:basedOn w:val="DefaultParagraphFont"/>
  </w:style>
  <w:style w:type="paragraph" w:customStyle="1" w:styleId="Placeholder">
    <w:name w:val="Placeholder"/>
    <w:basedOn w:val="Normal"/>
    <w:rPr>
      <w:sz w:val="10"/>
    </w:rPr>
  </w:style>
  <w:style w:type="paragraph" w:styleId="PlainText">
    <w:name w:val="Plain Text"/>
    <w:basedOn w:val="Normal"/>
    <w:rPr>
      <w:rFonts w:ascii="Courier New" w:hAnsi="Courier New"/>
      <w:sz w:val="20"/>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PartText">
    <w:name w:val="CharPartText"/>
    <w:basedOn w:val="DefaultParagraphFont"/>
  </w:style>
  <w:style w:type="paragraph" w:styleId="TOC1">
    <w:name w:val="toc 1"/>
    <w:basedOn w:val="Normal"/>
    <w:next w:val="Normal"/>
    <w:autoRedefine/>
    <w:semiHidden/>
    <w:pPr>
      <w:keepNext/>
      <w:tabs>
        <w:tab w:val="left" w:pos="1800"/>
        <w:tab w:val="right" w:pos="7672"/>
      </w:tabs>
      <w:spacing w:before="480" w:after="20"/>
      <w:ind w:left="1800" w:right="360" w:hanging="1800"/>
    </w:pPr>
    <w:rPr>
      <w:rFonts w:ascii="Arial" w:hAnsi="Arial"/>
      <w:b/>
      <w:noProof/>
    </w:rPr>
  </w:style>
  <w:style w:type="paragraph" w:styleId="TOC2">
    <w:name w:val="toc 2"/>
    <w:basedOn w:val="Normal"/>
    <w:next w:val="Normal"/>
    <w:autoRedefine/>
    <w:semiHidden/>
    <w:pPr>
      <w:keepNext/>
      <w:tabs>
        <w:tab w:val="left" w:pos="1800"/>
        <w:tab w:val="right" w:pos="7672"/>
      </w:tabs>
      <w:spacing w:before="240" w:after="20"/>
      <w:ind w:left="1800" w:right="360" w:hanging="1800"/>
    </w:pPr>
    <w:rPr>
      <w:rFonts w:ascii="Arial" w:hAnsi="Arial"/>
      <w:b/>
      <w:noProof/>
    </w:rPr>
  </w:style>
  <w:style w:type="paragraph" w:styleId="TOC3">
    <w:name w:val="toc 3"/>
    <w:basedOn w:val="Normal"/>
    <w:next w:val="Normal"/>
    <w:autoRedefine/>
    <w:semiHidden/>
    <w:pPr>
      <w:keepNext/>
      <w:tabs>
        <w:tab w:val="left" w:pos="1800"/>
        <w:tab w:val="right" w:pos="7672"/>
      </w:tabs>
      <w:spacing w:before="120" w:after="40"/>
      <w:ind w:left="1800" w:right="360" w:hanging="1800"/>
    </w:pPr>
    <w:rPr>
      <w:rFonts w:ascii="Arial" w:hAnsi="Arial"/>
      <w:b/>
      <w:noProof/>
      <w:sz w:val="20"/>
    </w:rPr>
  </w:style>
  <w:style w:type="paragraph" w:styleId="TOC4">
    <w:name w:val="toc 4"/>
    <w:basedOn w:val="Normal"/>
    <w:next w:val="Normal"/>
    <w:autoRedefine/>
    <w:semiHidden/>
    <w:pPr>
      <w:keepNext/>
      <w:tabs>
        <w:tab w:val="left" w:pos="1800"/>
        <w:tab w:val="right" w:pos="7672"/>
      </w:tabs>
      <w:spacing w:before="80" w:after="40"/>
      <w:ind w:left="1800" w:right="360" w:hanging="1800"/>
    </w:pPr>
    <w:rPr>
      <w:rFonts w:ascii="Arial" w:hAnsi="Arial"/>
      <w:b/>
      <w:noProof/>
      <w:sz w:val="20"/>
    </w:rPr>
  </w:style>
  <w:style w:type="paragraph" w:styleId="TOC5">
    <w:name w:val="toc 5"/>
    <w:basedOn w:val="Normal"/>
    <w:next w:val="Normal"/>
    <w:autoRedefine/>
    <w:semiHidden/>
    <w:pPr>
      <w:tabs>
        <w:tab w:val="right" w:pos="400"/>
        <w:tab w:val="left" w:pos="1000"/>
        <w:tab w:val="right" w:pos="7672"/>
      </w:tabs>
      <w:spacing w:before="40" w:after="20"/>
      <w:ind w:left="1000" w:right="360" w:hanging="1000"/>
    </w:pPr>
    <w:rPr>
      <w:rFonts w:ascii="Arial" w:hAnsi="Arial"/>
      <w:noProof/>
      <w:sz w:val="20"/>
    </w:rPr>
  </w:style>
  <w:style w:type="paragraph" w:styleId="TOC6">
    <w:name w:val="toc 6"/>
    <w:basedOn w:val="TOC1"/>
    <w:next w:val="Normal"/>
    <w:autoRedefine/>
    <w:semiHidden/>
    <w:pPr>
      <w:keepNext w:val="0"/>
    </w:pPr>
  </w:style>
  <w:style w:type="paragraph" w:customStyle="1" w:styleId="RepubNo">
    <w:name w:val="RepubNo"/>
    <w:basedOn w:val="BillBasicHeading"/>
    <w:pPr>
      <w:keepNext w:val="0"/>
      <w:spacing w:before="600"/>
      <w:jc w:val="both"/>
    </w:pPr>
    <w:rPr>
      <w:sz w:val="26"/>
    </w:rPr>
  </w:style>
  <w:style w:type="paragraph" w:styleId="Signature">
    <w:name w:val="Signature"/>
    <w:basedOn w:val="Normal"/>
    <w:pPr>
      <w:ind w:left="4252"/>
    </w:pPr>
  </w:style>
  <w:style w:type="paragraph" w:customStyle="1" w:styleId="direction">
    <w:name w:val="direction"/>
    <w:basedOn w:val="BillBasic"/>
    <w:next w:val="Amainreturn"/>
    <w:pPr>
      <w:ind w:left="1100"/>
    </w:pPr>
    <w:rPr>
      <w:i/>
    </w:rPr>
  </w:style>
  <w:style w:type="paragraph" w:customStyle="1" w:styleId="ActNo">
    <w:name w:val="ActNo"/>
    <w:basedOn w:val="BillBasicHeading"/>
    <w:pPr>
      <w:keepNext w:val="0"/>
      <w:tabs>
        <w:tab w:val="clear" w:pos="2600"/>
      </w:tabs>
      <w:spacing w:before="120"/>
    </w:pPr>
  </w:style>
  <w:style w:type="paragraph" w:customStyle="1" w:styleId="aParaNote">
    <w:name w:val="aParaNote"/>
    <w:basedOn w:val="BillBasic"/>
    <w:pPr>
      <w:ind w:left="2840" w:hanging="1240"/>
    </w:pPr>
    <w:rPr>
      <w:sz w:val="20"/>
    </w:rPr>
  </w:style>
  <w:style w:type="paragraph" w:customStyle="1" w:styleId="aExamNum">
    <w:name w:val="aExamNum"/>
    <w:basedOn w:val="aExam"/>
    <w:pPr>
      <w:ind w:left="1500" w:hanging="400"/>
    </w:pPr>
  </w:style>
  <w:style w:type="paragraph" w:customStyle="1" w:styleId="ShadedSchClause">
    <w:name w:val="Shaded Sch Clause"/>
    <w:basedOn w:val="Schclauseheading"/>
    <w:next w:val="direction"/>
    <w:pPr>
      <w:shd w:val="pct25" w:color="auto" w:fill="auto"/>
      <w:outlineLvl w:val="3"/>
    </w:pPr>
  </w:style>
  <w:style w:type="paragraph" w:styleId="TOC7">
    <w:name w:val="toc 7"/>
    <w:basedOn w:val="TOC2"/>
    <w:next w:val="Normal"/>
    <w:autoRedefine/>
    <w:semiHidden/>
    <w:pPr>
      <w:keepNext w:val="0"/>
      <w:spacing w:before="120"/>
    </w:pPr>
    <w:rPr>
      <w:sz w:val="20"/>
    </w:rPr>
  </w:style>
  <w:style w:type="paragraph" w:customStyle="1" w:styleId="Minister">
    <w:name w:val="Minister"/>
    <w:basedOn w:val="BillBasic"/>
    <w:pPr>
      <w:spacing w:before="880"/>
      <w:jc w:val="right"/>
    </w:pPr>
    <w:rPr>
      <w:caps/>
    </w:rPr>
  </w:style>
  <w:style w:type="paragraph" w:customStyle="1" w:styleId="DateLine">
    <w:name w:val="DateLine"/>
    <w:basedOn w:val="BillBasic"/>
    <w:pPr>
      <w:tabs>
        <w:tab w:val="left" w:pos="4320"/>
      </w:tabs>
    </w:pPr>
  </w:style>
  <w:style w:type="paragraph" w:customStyle="1" w:styleId="madeunder">
    <w:name w:val="made under"/>
    <w:basedOn w:val="BillBasic"/>
    <w:pPr>
      <w:spacing w:before="180"/>
    </w:pPr>
  </w:style>
  <w:style w:type="paragraph" w:customStyle="1" w:styleId="NewAct">
    <w:name w:val="New Act"/>
    <w:basedOn w:val="Normal"/>
    <w:next w:val="Actdetails"/>
    <w:pPr>
      <w:keepNext/>
      <w:spacing w:before="180"/>
      <w:ind w:left="1100"/>
    </w:pPr>
    <w:rPr>
      <w:rFonts w:ascii="Arial" w:hAnsi="Arial"/>
      <w:b/>
      <w:sz w:val="20"/>
    </w:rPr>
  </w:style>
  <w:style w:type="paragraph" w:customStyle="1" w:styleId="Actdetails">
    <w:name w:val="Act details"/>
    <w:basedOn w:val="Normal"/>
    <w:pPr>
      <w:spacing w:before="20"/>
      <w:ind w:left="1400"/>
    </w:pPr>
    <w:rPr>
      <w:rFonts w:ascii="Arial" w:hAnsi="Arial"/>
      <w:sz w:val="20"/>
    </w:rPr>
  </w:style>
  <w:style w:type="paragraph" w:customStyle="1" w:styleId="EndNoteText">
    <w:name w:val="EndNoteText"/>
    <w:basedOn w:val="BillBasic"/>
    <w:pPr>
      <w:tabs>
        <w:tab w:val="left" w:pos="700"/>
        <w:tab w:val="right" w:pos="6160"/>
      </w:tabs>
      <w:ind w:left="700" w:hanging="700"/>
    </w:pPr>
    <w:rPr>
      <w:sz w:val="20"/>
    </w:rPr>
  </w:style>
  <w:style w:type="paragraph" w:customStyle="1" w:styleId="BillBasicItalics">
    <w:name w:val="BillBasicItalics"/>
    <w:basedOn w:val="BillBasic"/>
    <w:rPr>
      <w:i/>
    </w:rPr>
  </w:style>
  <w:style w:type="paragraph" w:customStyle="1" w:styleId="00SigningPage">
    <w:name w:val="00SigningPage"/>
    <w:basedOn w:val="Normal"/>
  </w:style>
  <w:style w:type="paragraph" w:customStyle="1" w:styleId="Aparareturn">
    <w:name w:val="A para return"/>
    <w:basedOn w:val="BillBasic"/>
    <w:pPr>
      <w:ind w:left="1600"/>
    </w:pPr>
  </w:style>
  <w:style w:type="paragraph" w:customStyle="1" w:styleId="Asubparareturn">
    <w:name w:val="A subpara return"/>
    <w:basedOn w:val="BillBasic"/>
    <w:pPr>
      <w:ind w:left="2100"/>
    </w:pPr>
  </w:style>
  <w:style w:type="paragraph" w:customStyle="1" w:styleId="CommentNum">
    <w:name w:val="CommentNum"/>
    <w:basedOn w:val="Comment"/>
    <w:pPr>
      <w:ind w:left="1800" w:hanging="1800"/>
    </w:pPr>
  </w:style>
  <w:style w:type="paragraph" w:styleId="TOC8">
    <w:name w:val="toc 8"/>
    <w:basedOn w:val="TOC3"/>
    <w:next w:val="Normal"/>
    <w:autoRedefine/>
    <w:semiHidden/>
    <w:pPr>
      <w:keepNext w:val="0"/>
    </w:pPr>
  </w:style>
  <w:style w:type="paragraph" w:customStyle="1" w:styleId="Amainbullet">
    <w:name w:val="A main bullet"/>
    <w:basedOn w:val="BillBasic"/>
    <w:pPr>
      <w:spacing w:before="0" w:after="40"/>
      <w:ind w:left="1500" w:hanging="400"/>
    </w:pPr>
  </w:style>
  <w:style w:type="paragraph" w:customStyle="1" w:styleId="Aparabullet">
    <w:name w:val="A para bullet"/>
    <w:basedOn w:val="BillBasic"/>
    <w:pPr>
      <w:spacing w:before="0" w:after="40"/>
      <w:ind w:left="2000" w:hanging="400"/>
    </w:pPr>
  </w:style>
  <w:style w:type="paragraph" w:customStyle="1" w:styleId="Asubparabullet">
    <w:name w:val="A subpara bullet"/>
    <w:basedOn w:val="BillBasic"/>
    <w:pPr>
      <w:spacing w:before="0" w:after="40"/>
      <w:ind w:left="2540" w:hanging="400"/>
    </w:pPr>
  </w:style>
  <w:style w:type="paragraph" w:customStyle="1" w:styleId="aDefpara">
    <w:name w:val="aDef para"/>
    <w:basedOn w:val="Apara"/>
  </w:style>
  <w:style w:type="paragraph" w:customStyle="1" w:styleId="aDefsubpara">
    <w:name w:val="aDef subpara"/>
    <w:basedOn w:val="Asubpara"/>
  </w:style>
  <w:style w:type="paragraph" w:customStyle="1" w:styleId="BillFor">
    <w:name w:val="BillFor"/>
    <w:basedOn w:val="BillBasicHeading"/>
    <w:pPr>
      <w:keepNext w:val="0"/>
      <w:spacing w:before="320"/>
      <w:jc w:val="both"/>
    </w:pPr>
    <w:rPr>
      <w:sz w:val="28"/>
    </w:rPr>
  </w:style>
  <w:style w:type="paragraph" w:customStyle="1" w:styleId="EnactingWordsRules">
    <w:name w:val="EnactingWordsRules"/>
    <w:basedOn w:val="EnactingWords"/>
    <w:pPr>
      <w:spacing w:before="240"/>
    </w:pPr>
  </w:style>
  <w:style w:type="paragraph" w:customStyle="1" w:styleId="Formula">
    <w:name w:val="Formula"/>
    <w:basedOn w:val="BillBasic"/>
    <w:pPr>
      <w:spacing w:line="260" w:lineRule="atLeast"/>
      <w:jc w:val="center"/>
    </w:pPr>
  </w:style>
  <w:style w:type="paragraph" w:customStyle="1" w:styleId="Idefpara">
    <w:name w:val="I def para"/>
    <w:basedOn w:val="Ipara"/>
  </w:style>
  <w:style w:type="paragraph" w:customStyle="1" w:styleId="Idefsubpara">
    <w:name w:val="I def subpara"/>
    <w:basedOn w:val="Isubpara"/>
  </w:style>
  <w:style w:type="paragraph" w:customStyle="1" w:styleId="Judges">
    <w:name w:val="Judges"/>
    <w:basedOn w:val="Minister"/>
    <w:pPr>
      <w:spacing w:before="180" w:after="40"/>
    </w:pPr>
  </w:style>
  <w:style w:type="paragraph" w:customStyle="1" w:styleId="CoverInForce">
    <w:name w:val="CoverInForce"/>
    <w:basedOn w:val="BillBasicHeading"/>
    <w:pPr>
      <w:keepNext w:val="0"/>
      <w:spacing w:before="200"/>
    </w:pPr>
    <w:rPr>
      <w:rFonts w:ascii="Arial (W1)" w:hAnsi="Arial (W1)"/>
      <w:b w:val="0"/>
    </w:rPr>
  </w:style>
  <w:style w:type="paragraph" w:customStyle="1" w:styleId="LongTitle">
    <w:name w:val="LongTitle"/>
    <w:basedOn w:val="BillBasic"/>
    <w:pPr>
      <w:spacing w:before="240"/>
    </w:pPr>
  </w:style>
  <w:style w:type="paragraph" w:styleId="Subtitle">
    <w:name w:val="Subtitle"/>
    <w:basedOn w:val="Normal"/>
    <w:qFormat/>
    <w:pPr>
      <w:spacing w:after="60"/>
      <w:jc w:val="center"/>
      <w:outlineLvl w:val="1"/>
    </w:pPr>
    <w:rPr>
      <w:rFonts w:ascii="Arial" w:hAnsi="Arial"/>
    </w:rPr>
  </w:style>
  <w:style w:type="paragraph" w:customStyle="1" w:styleId="CoverActName">
    <w:name w:val="CoverActName"/>
    <w:basedOn w:val="BillBasicHeading"/>
    <w:pPr>
      <w:keepNext w:val="0"/>
      <w:spacing w:before="200"/>
    </w:pPr>
  </w:style>
  <w:style w:type="paragraph" w:customStyle="1" w:styleId="FormRule">
    <w:name w:val="FormRule"/>
    <w:basedOn w:val="Normal"/>
    <w:pPr>
      <w:pBdr>
        <w:top w:val="single" w:sz="4" w:space="1" w:color="auto"/>
      </w:pBdr>
      <w:spacing w:before="160" w:after="40"/>
      <w:ind w:left="3220" w:right="3260"/>
    </w:pPr>
    <w:rPr>
      <w:sz w:val="8"/>
    </w:rPr>
  </w:style>
  <w:style w:type="paragraph" w:customStyle="1" w:styleId="Notified">
    <w:name w:val="Notified"/>
    <w:basedOn w:val="BillBasic"/>
    <w:pPr>
      <w:spacing w:before="360"/>
      <w:jc w:val="right"/>
    </w:pPr>
    <w:rPr>
      <w:i/>
    </w:rPr>
  </w:style>
  <w:style w:type="paragraph" w:customStyle="1" w:styleId="IDict-Heading">
    <w:name w:val="I Dict-Heading"/>
    <w:basedOn w:val="BillBasicHeading"/>
    <w:pPr>
      <w:spacing w:before="320"/>
      <w:ind w:left="2600" w:hanging="2600"/>
      <w:jc w:val="both"/>
    </w:pPr>
    <w:rPr>
      <w:sz w:val="34"/>
    </w:rPr>
  </w:style>
  <w:style w:type="paragraph" w:customStyle="1" w:styleId="03ScheduleLandscape">
    <w:name w:val="03ScheduleLandscape"/>
    <w:basedOn w:val="Normal"/>
  </w:style>
  <w:style w:type="paragraph" w:customStyle="1" w:styleId="aNoteBullet">
    <w:name w:val="aNoteBullet"/>
    <w:basedOn w:val="aNote"/>
    <w:pPr>
      <w:tabs>
        <w:tab w:val="left" w:pos="2200"/>
      </w:tabs>
      <w:spacing w:before="0" w:after="40"/>
      <w:ind w:left="2600" w:hanging="700"/>
    </w:pPr>
  </w:style>
  <w:style w:type="paragraph" w:customStyle="1" w:styleId="aParaNoteBullet">
    <w:name w:val="aParaNoteBullet"/>
    <w:basedOn w:val="aParaNote"/>
    <w:pPr>
      <w:tabs>
        <w:tab w:val="left" w:pos="2700"/>
      </w:tabs>
      <w:spacing w:before="0" w:after="40"/>
      <w:ind w:left="3100" w:hanging="700"/>
    </w:pPr>
  </w:style>
  <w:style w:type="paragraph" w:customStyle="1" w:styleId="SchSubClause">
    <w:name w:val="Sch SubClause"/>
    <w:basedOn w:val="Schclauseheading"/>
    <w:rPr>
      <w:b w:val="0"/>
    </w:rPr>
  </w:style>
  <w:style w:type="paragraph" w:customStyle="1" w:styleId="Asamby">
    <w:name w:val="As am by"/>
    <w:basedOn w:val="Normal"/>
    <w:next w:val="Normal"/>
    <w:pPr>
      <w:spacing w:before="240"/>
      <w:ind w:left="1100"/>
    </w:pPr>
    <w:rPr>
      <w:rFonts w:ascii="Arial" w:hAnsi="Arial"/>
      <w:sz w:val="20"/>
    </w:rPr>
  </w:style>
  <w:style w:type="paragraph" w:customStyle="1" w:styleId="AmdtsEntries">
    <w:name w:val="AmdtsEntries"/>
    <w:basedOn w:val="BillBasicHeading"/>
    <w:pPr>
      <w:keepNext w:val="0"/>
      <w:tabs>
        <w:tab w:val="clear" w:pos="2600"/>
        <w:tab w:val="left" w:pos="2700"/>
      </w:tabs>
      <w:spacing w:before="0" w:after="0"/>
      <w:ind w:left="2800" w:hanging="1700"/>
    </w:pPr>
    <w:rPr>
      <w:rFonts w:ascii="Arial (W1)" w:hAnsi="Arial (W1)"/>
      <w:b w:val="0"/>
      <w:sz w:val="18"/>
    </w:rPr>
  </w:style>
  <w:style w:type="paragraph" w:customStyle="1" w:styleId="AH2PartSymb">
    <w:name w:val="A H2 Part Symb"/>
    <w:basedOn w:val="AH2Part"/>
    <w:next w:val="AH3Div"/>
    <w:pPr>
      <w:tabs>
        <w:tab w:val="clear" w:pos="2600"/>
        <w:tab w:val="left" w:pos="0"/>
      </w:tabs>
      <w:ind w:left="2480" w:hanging="2960"/>
    </w:pPr>
  </w:style>
  <w:style w:type="character" w:customStyle="1" w:styleId="charBold">
    <w:name w:val="charBold"/>
    <w:rPr>
      <w:b/>
    </w:rPr>
  </w:style>
  <w:style w:type="paragraph" w:customStyle="1" w:styleId="AmdtsEntryHd">
    <w:name w:val="AmdtsEntryHd"/>
    <w:basedOn w:val="BillBasicHeading"/>
    <w:next w:val="AmdtsEntries"/>
    <w:pPr>
      <w:tabs>
        <w:tab w:val="clear" w:pos="2600"/>
      </w:tabs>
      <w:spacing w:before="120" w:after="0"/>
      <w:ind w:left="1100"/>
    </w:pPr>
    <w:rPr>
      <w:sz w:val="18"/>
    </w:rPr>
  </w:style>
  <w:style w:type="paragraph" w:customStyle="1" w:styleId="EndNoteParas">
    <w:name w:val="EndNoteParas"/>
    <w:basedOn w:val="EndNoteTextEPS"/>
    <w:pPr>
      <w:tabs>
        <w:tab w:val="right" w:pos="1432"/>
      </w:tabs>
      <w:spacing w:after="0"/>
      <w:ind w:left="1840" w:hanging="1840"/>
    </w:pPr>
  </w:style>
  <w:style w:type="paragraph" w:customStyle="1" w:styleId="EndNoteTextEPS">
    <w:name w:val="EndNoteTextEPS"/>
    <w:basedOn w:val="Normal"/>
    <w:pPr>
      <w:spacing w:after="40"/>
      <w:ind w:left="1100"/>
      <w:jc w:val="both"/>
    </w:pPr>
    <w:rPr>
      <w:sz w:val="20"/>
    </w:rPr>
  </w:style>
  <w:style w:type="paragraph" w:customStyle="1" w:styleId="NewReg">
    <w:name w:val="New Reg"/>
    <w:basedOn w:val="NewAct"/>
    <w:next w:val="Actdetails"/>
  </w:style>
  <w:style w:type="paragraph" w:customStyle="1" w:styleId="aExamPara">
    <w:name w:val="aExamPara"/>
    <w:basedOn w:val="aExam"/>
    <w:pPr>
      <w:tabs>
        <w:tab w:val="right" w:pos="1720"/>
        <w:tab w:val="left" w:pos="2000"/>
        <w:tab w:val="left" w:pos="2300"/>
      </w:tabs>
      <w:ind w:left="2400" w:hanging="1300"/>
    </w:pPr>
  </w:style>
  <w:style w:type="paragraph" w:customStyle="1" w:styleId="Endnote3">
    <w:name w:val="Endnote3"/>
    <w:basedOn w:val="Normal"/>
    <w:pPr>
      <w:keepNext/>
      <w:tabs>
        <w:tab w:val="left" w:pos="1100"/>
      </w:tabs>
      <w:spacing w:before="280"/>
      <w:ind w:left="1100" w:hanging="1100"/>
    </w:pPr>
    <w:rPr>
      <w:rFonts w:ascii="Arial" w:hAnsi="Arial"/>
      <w:b/>
      <w:color w:val="000000"/>
      <w:sz w:val="22"/>
    </w:rPr>
  </w:style>
  <w:style w:type="character" w:customStyle="1" w:styleId="charTableNo">
    <w:name w:val="charTableNo"/>
    <w:basedOn w:val="DefaultParagraphFont"/>
  </w:style>
  <w:style w:type="character" w:customStyle="1" w:styleId="charTableText">
    <w:name w:val="charTableText"/>
    <w:basedOn w:val="DefaultParagraphFont"/>
  </w:style>
  <w:style w:type="paragraph" w:customStyle="1" w:styleId="TLegEntries">
    <w:name w:val="TLegEntries"/>
    <w:basedOn w:val="Normal"/>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pPr>
      <w:tabs>
        <w:tab w:val="clear" w:pos="2600"/>
        <w:tab w:val="left" w:leader="dot" w:pos="2700"/>
      </w:tabs>
      <w:spacing w:after="0"/>
      <w:ind w:left="2700" w:hanging="2000"/>
    </w:pPr>
    <w:rPr>
      <w:sz w:val="18"/>
    </w:rPr>
  </w:style>
  <w:style w:type="character" w:customStyle="1" w:styleId="charItals">
    <w:name w:val="charItals"/>
    <w:rPr>
      <w:i/>
    </w:rPr>
  </w:style>
  <w:style w:type="character" w:customStyle="1" w:styleId="charBoldItals">
    <w:name w:val="charBoldItals"/>
    <w:rPr>
      <w:b/>
      <w:i/>
    </w:rPr>
  </w:style>
  <w:style w:type="character" w:customStyle="1" w:styleId="charUnderline">
    <w:name w:val="charUnderline"/>
    <w:rPr>
      <w:u w:val="single"/>
    </w:rPr>
  </w:style>
  <w:style w:type="paragraph" w:customStyle="1" w:styleId="CoverText">
    <w:name w:val="CoverText"/>
    <w:basedOn w:val="Normal"/>
    <w:pPr>
      <w:spacing w:before="40" w:after="40"/>
      <w:jc w:val="both"/>
    </w:pPr>
    <w:rPr>
      <w:sz w:val="20"/>
    </w:rPr>
  </w:style>
  <w:style w:type="paragraph" w:customStyle="1" w:styleId="CoverHeading">
    <w:name w:val="CoverHeading"/>
    <w:basedOn w:val="Normal"/>
    <w:pPr>
      <w:spacing w:after="60"/>
    </w:pPr>
    <w:rPr>
      <w:rFonts w:ascii="Arial" w:hAnsi="Arial"/>
      <w:b/>
    </w:rPr>
  </w:style>
  <w:style w:type="paragraph" w:customStyle="1" w:styleId="TableHd">
    <w:name w:val="TableHd"/>
    <w:basedOn w:val="Normal"/>
    <w:pPr>
      <w:keepNext/>
      <w:spacing w:before="240" w:after="120"/>
      <w:ind w:left="1200" w:hanging="1200"/>
    </w:pPr>
    <w:rPr>
      <w:rFonts w:ascii="Arial" w:hAnsi="Arial"/>
      <w:b/>
      <w:sz w:val="20"/>
    </w:rPr>
  </w:style>
  <w:style w:type="paragraph" w:customStyle="1" w:styleId="OldAmdt2ndLine">
    <w:name w:val="OldAmdt2ndLine"/>
    <w:basedOn w:val="OldAmdtsEntries"/>
    <w:pPr>
      <w:tabs>
        <w:tab w:val="left" w:pos="2700"/>
      </w:tabs>
      <w:spacing w:before="0"/>
    </w:pPr>
  </w:style>
  <w:style w:type="paragraph" w:customStyle="1" w:styleId="EarlierRepubEntries">
    <w:name w:val="EarlierRepubEntries"/>
    <w:basedOn w:val="Normal"/>
    <w:pPr>
      <w:spacing w:before="60" w:after="60"/>
    </w:pPr>
    <w:rPr>
      <w:rFonts w:ascii="Arial" w:hAnsi="Arial"/>
      <w:sz w:val="18"/>
    </w:rPr>
  </w:style>
  <w:style w:type="paragraph" w:customStyle="1" w:styleId="RenumProvEntries">
    <w:name w:val="RenumProvEntries"/>
    <w:basedOn w:val="Normal"/>
    <w:pPr>
      <w:spacing w:before="60"/>
    </w:pPr>
    <w:rPr>
      <w:rFonts w:ascii="Arial" w:hAnsi="Arial"/>
      <w:sz w:val="20"/>
    </w:rPr>
  </w:style>
  <w:style w:type="paragraph" w:customStyle="1" w:styleId="aExamNumText">
    <w:name w:val="aExamNumText"/>
    <w:basedOn w:val="aExam"/>
    <w:pPr>
      <w:ind w:left="1500"/>
    </w:pPr>
  </w:style>
  <w:style w:type="paragraph" w:customStyle="1" w:styleId="aNotePara">
    <w:name w:val="aNotePara"/>
    <w:basedOn w:val="aNote"/>
    <w:pPr>
      <w:tabs>
        <w:tab w:val="right" w:pos="2140"/>
        <w:tab w:val="left" w:pos="2400"/>
      </w:tabs>
      <w:spacing w:before="0" w:after="40"/>
      <w:ind w:left="2800" w:hanging="1700"/>
    </w:pPr>
  </w:style>
  <w:style w:type="paragraph" w:customStyle="1" w:styleId="aParaNotePara">
    <w:name w:val="aParaNotePara"/>
    <w:basedOn w:val="aNotePara"/>
    <w:pPr>
      <w:tabs>
        <w:tab w:val="clear" w:pos="2140"/>
        <w:tab w:val="clear" w:pos="2400"/>
        <w:tab w:val="right" w:pos="2644"/>
      </w:tabs>
      <w:ind w:left="3320" w:hanging="1720"/>
    </w:pPr>
  </w:style>
  <w:style w:type="paragraph" w:customStyle="1" w:styleId="aExamBullet">
    <w:name w:val="aExamBullet"/>
    <w:basedOn w:val="aExam"/>
    <w:pPr>
      <w:tabs>
        <w:tab w:val="left" w:pos="1500"/>
        <w:tab w:val="left" w:pos="2300"/>
      </w:tabs>
      <w:spacing w:before="40"/>
      <w:ind w:left="1900" w:hanging="800"/>
    </w:pPr>
  </w:style>
  <w:style w:type="paragraph" w:customStyle="1" w:styleId="CoverSubHdg">
    <w:name w:val="CoverSubHdg"/>
    <w:basedOn w:val="CoverHeading"/>
    <w:pPr>
      <w:spacing w:before="60"/>
    </w:pPr>
    <w:rPr>
      <w:sz w:val="20"/>
    </w:rPr>
  </w:style>
  <w:style w:type="paragraph" w:customStyle="1" w:styleId="CoverTextPara">
    <w:name w:val="CoverTextPara"/>
    <w:basedOn w:val="CoverText"/>
    <w:pPr>
      <w:tabs>
        <w:tab w:val="right" w:pos="600"/>
        <w:tab w:val="left" w:pos="840"/>
      </w:tabs>
      <w:ind w:left="840" w:hanging="840"/>
    </w:pPr>
  </w:style>
  <w:style w:type="paragraph" w:customStyle="1" w:styleId="AH5SecSymb">
    <w:name w:val="A H5 Sec Symb"/>
    <w:basedOn w:val="AH5Sec"/>
    <w:next w:val="Amain"/>
    <w:pPr>
      <w:tabs>
        <w:tab w:val="clear" w:pos="1100"/>
        <w:tab w:val="left" w:pos="0"/>
      </w:tabs>
      <w:ind w:hanging="1580"/>
    </w:pPr>
  </w:style>
  <w:style w:type="character" w:customStyle="1" w:styleId="charSymb">
    <w:name w:val="charSymb"/>
    <w:rPr>
      <w:rFonts w:ascii="Arial" w:hAnsi="Arial"/>
      <w:sz w:val="24"/>
      <w:bdr w:val="single" w:sz="4" w:space="0" w:color="auto"/>
    </w:rPr>
  </w:style>
  <w:style w:type="paragraph" w:customStyle="1" w:styleId="AH3DivSymb">
    <w:name w:val="A H3 Div Symb"/>
    <w:basedOn w:val="AH3Div"/>
    <w:next w:val="AH5Sec"/>
    <w:pPr>
      <w:tabs>
        <w:tab w:val="clear" w:pos="2600"/>
        <w:tab w:val="left" w:pos="0"/>
      </w:tabs>
      <w:ind w:left="2480" w:hanging="2960"/>
    </w:pPr>
  </w:style>
  <w:style w:type="paragraph" w:customStyle="1" w:styleId="AH4SubDivSymb">
    <w:name w:val="A H4 SubDiv Symb"/>
    <w:basedOn w:val="AH4SubDiv"/>
    <w:next w:val="AH5Sec"/>
    <w:pPr>
      <w:tabs>
        <w:tab w:val="clear" w:pos="2600"/>
        <w:tab w:val="left" w:pos="0"/>
      </w:tabs>
      <w:ind w:left="2480" w:hanging="2960"/>
    </w:pPr>
  </w:style>
  <w:style w:type="paragraph" w:customStyle="1" w:styleId="Dict-HeadingSymb">
    <w:name w:val="Dict-Heading Symb"/>
    <w:basedOn w:val="Dict-Heading"/>
    <w:pPr>
      <w:tabs>
        <w:tab w:val="left" w:pos="0"/>
      </w:tabs>
      <w:ind w:left="2480" w:hanging="2960"/>
    </w:pPr>
  </w:style>
  <w:style w:type="paragraph" w:customStyle="1" w:styleId="Sched-headingSymb">
    <w:name w:val="Sched-heading Symb"/>
    <w:basedOn w:val="Sched-heading"/>
    <w:pPr>
      <w:tabs>
        <w:tab w:val="left" w:pos="0"/>
      </w:tabs>
      <w:ind w:left="2480" w:hanging="2960"/>
    </w:pPr>
  </w:style>
  <w:style w:type="paragraph" w:customStyle="1" w:styleId="Sched-PartSymb">
    <w:name w:val="Sched-Part Symb"/>
    <w:basedOn w:val="Sched-Part"/>
    <w:pPr>
      <w:tabs>
        <w:tab w:val="left" w:pos="0"/>
      </w:tabs>
      <w:ind w:left="2480" w:hanging="2960"/>
    </w:pPr>
  </w:style>
  <w:style w:type="paragraph" w:customStyle="1" w:styleId="Sched-FormSymb">
    <w:name w:val="Sched-Form Symb"/>
    <w:basedOn w:val="Sched-Form"/>
    <w:pPr>
      <w:tabs>
        <w:tab w:val="left" w:pos="0"/>
      </w:tabs>
      <w:ind w:left="2480" w:hanging="2960"/>
    </w:pPr>
  </w:style>
  <w:style w:type="paragraph" w:customStyle="1" w:styleId="SchclauseheadingSymb">
    <w:name w:val="Sch clause heading Symb"/>
    <w:basedOn w:val="Schclauseheading"/>
    <w:pPr>
      <w:tabs>
        <w:tab w:val="left" w:pos="0"/>
      </w:tabs>
      <w:ind w:left="980" w:hanging="1460"/>
    </w:pPr>
  </w:style>
  <w:style w:type="paragraph" w:customStyle="1" w:styleId="TLegAsAmBy">
    <w:name w:val="TLegAsAmBy"/>
    <w:basedOn w:val="TLegEntries"/>
    <w:pPr>
      <w:ind w:firstLine="0"/>
    </w:pPr>
    <w:rPr>
      <w:b/>
    </w:rPr>
  </w:style>
  <w:style w:type="paragraph" w:customStyle="1" w:styleId="MinisterWord">
    <w:name w:val="MinisterWord"/>
    <w:basedOn w:val="Normal"/>
    <w:pPr>
      <w:jc w:val="right"/>
    </w:pPr>
  </w:style>
  <w:style w:type="paragraph" w:customStyle="1" w:styleId="TableColHd">
    <w:name w:val="TableColHd"/>
    <w:basedOn w:val="Normal"/>
    <w:pPr>
      <w:keepNext/>
      <w:spacing w:after="60"/>
    </w:pPr>
    <w:rPr>
      <w:rFonts w:ascii="Arial" w:hAnsi="Arial"/>
      <w:b/>
      <w:sz w:val="18"/>
    </w:rPr>
  </w:style>
  <w:style w:type="paragraph" w:customStyle="1" w:styleId="00Spine">
    <w:name w:val="00Spine"/>
    <w:basedOn w:val="Normal"/>
  </w:style>
  <w:style w:type="paragraph" w:customStyle="1" w:styleId="AuthorisedBlock">
    <w:name w:val="AuthorisedBlock"/>
    <w:basedOn w:val="Normal"/>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semiHidden/>
    <w:pPr>
      <w:ind w:left="1920" w:right="600"/>
    </w:pPr>
  </w:style>
  <w:style w:type="paragraph" w:customStyle="1" w:styleId="AmdtsEntriesDefL2">
    <w:name w:val="AmdtsEntriesDefL2"/>
    <w:basedOn w:val="AmdtEntries"/>
    <w:pPr>
      <w:tabs>
        <w:tab w:val="left" w:pos="3000"/>
      </w:tabs>
      <w:ind w:left="3100" w:hanging="2000"/>
    </w:pPr>
    <w:rPr>
      <w:rFonts w:ascii="Arial (W1)" w:hAnsi="Arial (W1)"/>
      <w:b w:val="0"/>
    </w:rPr>
  </w:style>
  <w:style w:type="paragraph" w:customStyle="1" w:styleId="PenaltyPara">
    <w:name w:val="PenaltyPara"/>
    <w:basedOn w:val="Normal"/>
    <w:pPr>
      <w:tabs>
        <w:tab w:val="right" w:pos="1360"/>
      </w:tabs>
      <w:spacing w:after="40"/>
      <w:ind w:left="1600" w:hanging="1600"/>
      <w:jc w:val="both"/>
    </w:pPr>
  </w:style>
  <w:style w:type="paragraph" w:customStyle="1" w:styleId="06Copyright">
    <w:name w:val="06Copyright"/>
    <w:basedOn w:val="Normal"/>
  </w:style>
  <w:style w:type="paragraph" w:customStyle="1" w:styleId="AFHdg">
    <w:name w:val="AFHdg"/>
    <w:basedOn w:val="BillBasicHeading"/>
    <w:rPr>
      <w:b w:val="0"/>
      <w:sz w:val="32"/>
    </w:rPr>
  </w:style>
  <w:style w:type="paragraph" w:customStyle="1" w:styleId="LegHistNote">
    <w:name w:val="LegHistNote"/>
    <w:basedOn w:val="Actdetails"/>
    <w:pPr>
      <w:spacing w:before="60"/>
      <w:ind w:left="2700" w:right="-60" w:hanging="1300"/>
    </w:pPr>
    <w:rPr>
      <w:sz w:val="18"/>
    </w:rPr>
  </w:style>
  <w:style w:type="paragraph" w:customStyle="1" w:styleId="MH1Chapter">
    <w:name w:val="M H1 Chapter"/>
    <w:basedOn w:val="AH1Chapter"/>
    <w:pPr>
      <w:tabs>
        <w:tab w:val="clear" w:pos="2600"/>
        <w:tab w:val="left" w:pos="2720"/>
      </w:tabs>
      <w:ind w:left="4000" w:hanging="3300"/>
    </w:pPr>
  </w:style>
  <w:style w:type="paragraph" w:customStyle="1" w:styleId="ModH1Chapter">
    <w:name w:val="Mod H1 Chapter"/>
    <w:basedOn w:val="IH1Chap"/>
    <w:pPr>
      <w:tabs>
        <w:tab w:val="clear" w:pos="2600"/>
        <w:tab w:val="left" w:pos="3300"/>
      </w:tabs>
      <w:ind w:left="3300"/>
    </w:pPr>
  </w:style>
  <w:style w:type="paragraph" w:customStyle="1" w:styleId="ModH2Part">
    <w:name w:val="Mod H2 Part"/>
    <w:basedOn w:val="IH2Part"/>
    <w:pPr>
      <w:tabs>
        <w:tab w:val="clear" w:pos="2600"/>
        <w:tab w:val="left" w:pos="3300"/>
      </w:tabs>
      <w:ind w:left="3300"/>
    </w:pPr>
  </w:style>
  <w:style w:type="paragraph" w:customStyle="1" w:styleId="ModH3Div">
    <w:name w:val="Mod H3 Div"/>
    <w:basedOn w:val="IH3Div"/>
    <w:pPr>
      <w:tabs>
        <w:tab w:val="clear" w:pos="2600"/>
        <w:tab w:val="left" w:pos="3300"/>
      </w:tabs>
      <w:ind w:left="3300"/>
    </w:pPr>
  </w:style>
  <w:style w:type="paragraph" w:customStyle="1" w:styleId="ModH4SubDiv">
    <w:name w:val="Mod H4 SubDiv"/>
    <w:basedOn w:val="IH4SubDiv"/>
    <w:pPr>
      <w:tabs>
        <w:tab w:val="clear" w:pos="2600"/>
        <w:tab w:val="left" w:pos="3300"/>
      </w:tabs>
      <w:ind w:left="3300"/>
    </w:pPr>
  </w:style>
  <w:style w:type="paragraph" w:customStyle="1" w:styleId="ModH5Sec">
    <w:name w:val="Mod H5 Sec"/>
    <w:basedOn w:val="IH5Sec"/>
    <w:pPr>
      <w:tabs>
        <w:tab w:val="clear" w:pos="1100"/>
        <w:tab w:val="left" w:pos="1800"/>
      </w:tabs>
      <w:ind w:left="2200"/>
    </w:pPr>
  </w:style>
  <w:style w:type="paragraph" w:customStyle="1" w:styleId="Modmain">
    <w:name w:val="Mod main"/>
    <w:basedOn w:val="Amain"/>
    <w:pPr>
      <w:tabs>
        <w:tab w:val="clear" w:pos="900"/>
        <w:tab w:val="clear" w:pos="1100"/>
        <w:tab w:val="right" w:pos="1600"/>
        <w:tab w:val="left" w:pos="1800"/>
      </w:tabs>
      <w:ind w:left="2200"/>
    </w:pPr>
  </w:style>
  <w:style w:type="paragraph" w:customStyle="1" w:styleId="Modpara">
    <w:name w:val="Mod para"/>
    <w:basedOn w:val="BillBasic"/>
    <w:pPr>
      <w:tabs>
        <w:tab w:val="right" w:pos="2100"/>
        <w:tab w:val="left" w:pos="2300"/>
      </w:tabs>
      <w:ind w:left="2700" w:hanging="1600"/>
      <w:outlineLvl w:val="6"/>
    </w:pPr>
  </w:style>
  <w:style w:type="paragraph" w:customStyle="1" w:styleId="Modsubpara">
    <w:name w:val="Mod subpara"/>
    <w:basedOn w:val="Asubpara"/>
    <w:pPr>
      <w:tabs>
        <w:tab w:val="clear" w:pos="1900"/>
        <w:tab w:val="clear" w:pos="2100"/>
        <w:tab w:val="right" w:pos="2640"/>
        <w:tab w:val="left" w:pos="2840"/>
      </w:tabs>
      <w:ind w:left="3240" w:hanging="2140"/>
    </w:pPr>
  </w:style>
  <w:style w:type="paragraph" w:customStyle="1" w:styleId="Modsubsubpara">
    <w:name w:val="Mod subsubpara"/>
    <w:basedOn w:val="Asubsubpara"/>
    <w:pPr>
      <w:tabs>
        <w:tab w:val="clear" w:pos="2400"/>
        <w:tab w:val="clear" w:pos="2600"/>
        <w:tab w:val="right" w:pos="3160"/>
        <w:tab w:val="left" w:pos="3360"/>
      </w:tabs>
      <w:ind w:left="3760" w:hanging="2660"/>
    </w:pPr>
  </w:style>
  <w:style w:type="paragraph" w:customStyle="1" w:styleId="Modmainreturn">
    <w:name w:val="Mod main return"/>
    <w:basedOn w:val="Amainreturn"/>
    <w:pPr>
      <w:ind w:left="1800"/>
    </w:pPr>
  </w:style>
  <w:style w:type="paragraph" w:customStyle="1" w:styleId="Modparareturn">
    <w:name w:val="Mod para return"/>
    <w:basedOn w:val="Aparareturn"/>
    <w:pPr>
      <w:ind w:left="2300"/>
    </w:pPr>
  </w:style>
  <w:style w:type="paragraph" w:customStyle="1" w:styleId="Modsubparareturn">
    <w:name w:val="Mod subpara return"/>
    <w:basedOn w:val="Asubparareturn"/>
    <w:pPr>
      <w:ind w:left="3040"/>
    </w:pPr>
  </w:style>
  <w:style w:type="paragraph" w:customStyle="1" w:styleId="Modref">
    <w:name w:val="Mod ref"/>
    <w:basedOn w:val="ref"/>
    <w:pPr>
      <w:ind w:left="1100"/>
    </w:pPr>
  </w:style>
  <w:style w:type="paragraph" w:customStyle="1" w:styleId="ModaNote">
    <w:name w:val="Mod aNote"/>
    <w:basedOn w:val="aNote"/>
    <w:pPr>
      <w:tabs>
        <w:tab w:val="left" w:pos="2600"/>
      </w:tabs>
      <w:ind w:left="2600"/>
    </w:pPr>
  </w:style>
  <w:style w:type="paragraph" w:customStyle="1" w:styleId="ModNote">
    <w:name w:val="Mod Note"/>
    <w:basedOn w:val="aNote"/>
    <w:pPr>
      <w:tabs>
        <w:tab w:val="left" w:pos="2600"/>
      </w:tabs>
      <w:ind w:left="2600"/>
    </w:pPr>
  </w:style>
  <w:style w:type="paragraph" w:customStyle="1" w:styleId="ApprFormHd">
    <w:name w:val="ApprFormHd"/>
    <w:basedOn w:val="Sched-heading"/>
    <w:pPr>
      <w:ind w:left="0" w:firstLine="0"/>
    </w:pPr>
  </w:style>
  <w:style w:type="paragraph" w:customStyle="1" w:styleId="Status">
    <w:name w:val="Status"/>
    <w:basedOn w:val="Normal"/>
    <w:pPr>
      <w:spacing w:before="280"/>
      <w:jc w:val="center"/>
    </w:pPr>
    <w:rPr>
      <w:rFonts w:ascii="Arial" w:hAnsi="Arial"/>
      <w:sz w:val="14"/>
    </w:rPr>
  </w:style>
  <w:style w:type="paragraph" w:customStyle="1" w:styleId="EarlierRepubHdg">
    <w:name w:val="EarlierRepubHdg"/>
    <w:basedOn w:val="Normal"/>
    <w:pPr>
      <w:keepNext/>
      <w:spacing w:before="120" w:after="120"/>
    </w:pPr>
    <w:rPr>
      <w:rFonts w:ascii="Arial" w:hAnsi="Arial"/>
      <w:b/>
      <w:sz w:val="20"/>
    </w:rPr>
  </w:style>
  <w:style w:type="paragraph" w:customStyle="1" w:styleId="RenumProvHdg">
    <w:name w:val="RenumProvHdg"/>
    <w:basedOn w:val="Normal"/>
    <w:rPr>
      <w:rFonts w:ascii="Arial" w:hAnsi="Arial"/>
      <w:b/>
      <w:sz w:val="22"/>
    </w:rPr>
  </w:style>
  <w:style w:type="paragraph" w:customStyle="1" w:styleId="RenumProvHeader">
    <w:name w:val="RenumProvHeader"/>
    <w:basedOn w:val="Normal"/>
    <w:rPr>
      <w:rFonts w:ascii="Arial" w:hAnsi="Arial"/>
      <w:b/>
      <w:sz w:val="22"/>
    </w:rPr>
  </w:style>
  <w:style w:type="paragraph" w:customStyle="1" w:styleId="RenumTableHdg">
    <w:name w:val="RenumTableHdg"/>
    <w:basedOn w:val="Normal"/>
    <w:pPr>
      <w:spacing w:before="120"/>
    </w:pPr>
    <w:rPr>
      <w:rFonts w:ascii="Arial" w:hAnsi="Arial"/>
      <w:b/>
      <w:sz w:val="20"/>
    </w:rPr>
  </w:style>
  <w:style w:type="paragraph" w:customStyle="1" w:styleId="EPSCoverTop">
    <w:name w:val="EPSCoverTop"/>
    <w:basedOn w:val="Normal"/>
    <w:pPr>
      <w:jc w:val="right"/>
    </w:pPr>
    <w:rPr>
      <w:rFonts w:ascii="Arial" w:hAnsi="Arial"/>
      <w:sz w:val="20"/>
    </w:rPr>
  </w:style>
  <w:style w:type="paragraph" w:customStyle="1" w:styleId="AmainSymb">
    <w:name w:val="A main Symb"/>
    <w:basedOn w:val="Amain"/>
    <w:pPr>
      <w:tabs>
        <w:tab w:val="right" w:pos="480"/>
      </w:tabs>
      <w:ind w:left="1120" w:hanging="1600"/>
    </w:pPr>
  </w:style>
  <w:style w:type="paragraph" w:customStyle="1" w:styleId="AparaSymb">
    <w:name w:val="A para Symb"/>
    <w:basedOn w:val="Apara"/>
    <w:pPr>
      <w:tabs>
        <w:tab w:val="right" w:pos="0"/>
      </w:tabs>
      <w:ind w:hanging="2080"/>
    </w:pPr>
  </w:style>
  <w:style w:type="paragraph" w:customStyle="1" w:styleId="AsubparaSymb">
    <w:name w:val="A subpara Symb"/>
    <w:basedOn w:val="Asubpara"/>
    <w:pPr>
      <w:tabs>
        <w:tab w:val="left" w:pos="0"/>
      </w:tabs>
      <w:ind w:left="1620"/>
    </w:pPr>
  </w:style>
  <w:style w:type="paragraph" w:customStyle="1" w:styleId="TableText">
    <w:name w:val="TableText"/>
    <w:basedOn w:val="Normal"/>
    <w:pPr>
      <w:spacing w:before="60" w:after="60"/>
    </w:pPr>
  </w:style>
  <w:style w:type="paragraph" w:customStyle="1" w:styleId="tablepara">
    <w:name w:val="table para"/>
    <w:basedOn w:val="Normal"/>
    <w:pPr>
      <w:tabs>
        <w:tab w:val="right" w:pos="800"/>
        <w:tab w:val="left" w:pos="1100"/>
      </w:tabs>
      <w:spacing w:before="80" w:after="60"/>
      <w:ind w:left="1100" w:hanging="1100"/>
    </w:pPr>
  </w:style>
  <w:style w:type="paragraph" w:customStyle="1" w:styleId="tablesubpara">
    <w:name w:val="table subpara"/>
    <w:basedOn w:val="Normal"/>
    <w:pPr>
      <w:tabs>
        <w:tab w:val="right" w:pos="1500"/>
        <w:tab w:val="left" w:pos="1800"/>
      </w:tabs>
      <w:spacing w:before="80" w:after="60"/>
      <w:ind w:left="1800" w:hanging="1800"/>
    </w:pPr>
  </w:style>
  <w:style w:type="paragraph" w:customStyle="1" w:styleId="RenumProvSubsectEntries">
    <w:name w:val="RenumProvSubsectEntries"/>
    <w:basedOn w:val="RenumProvEntries"/>
    <w:pPr>
      <w:ind w:left="252"/>
    </w:pPr>
  </w:style>
  <w:style w:type="paragraph" w:customStyle="1" w:styleId="IshadedSchClause">
    <w:name w:val="I shaded Sch Clause"/>
    <w:basedOn w:val="ShadedSchClause"/>
    <w:pPr>
      <w:outlineLvl w:val="9"/>
    </w:pPr>
  </w:style>
  <w:style w:type="paragraph" w:customStyle="1" w:styleId="IshadedH5Sec">
    <w:name w:val="I shaded H5 Sec"/>
    <w:basedOn w:val="AH5Sec"/>
    <w:pPr>
      <w:shd w:val="pct25" w:color="auto" w:fill="auto"/>
      <w:outlineLvl w:val="9"/>
    </w:pPr>
  </w:style>
  <w:style w:type="paragraph" w:customStyle="1" w:styleId="Endnote4">
    <w:name w:val="Endnote4"/>
    <w:basedOn w:val="Endnote2"/>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pPr>
      <w:tabs>
        <w:tab w:val="left" w:pos="2880"/>
      </w:tabs>
      <w:spacing w:after="60"/>
      <w:ind w:left="2800"/>
    </w:pPr>
    <w:rPr>
      <w:rFonts w:ascii="ACTCrest" w:hAnsi="ACTCrest"/>
      <w:sz w:val="216"/>
    </w:rPr>
  </w:style>
  <w:style w:type="character" w:styleId="PageNumber">
    <w:name w:val="page number"/>
    <w:basedOn w:val="DefaultParagraphFont"/>
  </w:style>
  <w:style w:type="paragraph" w:customStyle="1" w:styleId="AH1Part">
    <w:name w:val="A H1 Part"/>
    <w:basedOn w:val="Normal"/>
    <w:next w:val="Normal"/>
    <w:pPr>
      <w:keepNext/>
      <w:spacing w:before="320" w:after="60"/>
      <w:jc w:val="center"/>
      <w:outlineLvl w:val="0"/>
    </w:pPr>
    <w:rPr>
      <w:b/>
      <w:caps/>
    </w:rPr>
  </w:style>
  <w:style w:type="paragraph" w:customStyle="1" w:styleId="AH2Div">
    <w:name w:val="A H2 Div"/>
    <w:basedOn w:val="Normal"/>
    <w:next w:val="Normal"/>
    <w:pPr>
      <w:keepNext/>
      <w:spacing w:before="180" w:after="60"/>
      <w:jc w:val="center"/>
      <w:outlineLvl w:val="2"/>
    </w:pPr>
    <w:rPr>
      <w:b/>
      <w:i/>
    </w:rPr>
  </w:style>
  <w:style w:type="paragraph" w:styleId="ListBullet">
    <w:name w:val="List Bullet"/>
    <w:basedOn w:val="Normal"/>
    <w:autoRedefine/>
    <w:pPr>
      <w:numPr>
        <w:numId w:val="3"/>
      </w:numPr>
      <w:spacing w:before="80" w:after="60"/>
      <w:jc w:val="both"/>
    </w:pPr>
  </w:style>
  <w:style w:type="paragraph" w:styleId="ListBullet2">
    <w:name w:val="List Bullet 2"/>
    <w:basedOn w:val="Normal"/>
    <w:autoRedefine/>
    <w:pPr>
      <w:numPr>
        <w:numId w:val="4"/>
      </w:numPr>
      <w:spacing w:before="80" w:after="60"/>
      <w:jc w:val="both"/>
    </w:pPr>
  </w:style>
  <w:style w:type="paragraph" w:styleId="ListBullet3">
    <w:name w:val="List Bullet 3"/>
    <w:basedOn w:val="Normal"/>
    <w:autoRedefine/>
    <w:pPr>
      <w:numPr>
        <w:numId w:val="5"/>
      </w:numPr>
      <w:spacing w:before="80" w:after="60"/>
      <w:jc w:val="both"/>
    </w:pPr>
  </w:style>
  <w:style w:type="paragraph" w:styleId="ListBullet5">
    <w:name w:val="List Bullet 5"/>
    <w:basedOn w:val="Normal"/>
    <w:autoRedefine/>
    <w:pPr>
      <w:numPr>
        <w:numId w:val="6"/>
      </w:numPr>
      <w:spacing w:before="80" w:after="60"/>
      <w:jc w:val="both"/>
    </w:pPr>
  </w:style>
  <w:style w:type="paragraph" w:styleId="ListNumber">
    <w:name w:val="List Number"/>
    <w:basedOn w:val="Normal"/>
    <w:pPr>
      <w:numPr>
        <w:numId w:val="7"/>
      </w:numPr>
      <w:spacing w:before="80" w:after="60"/>
      <w:jc w:val="both"/>
    </w:pPr>
  </w:style>
  <w:style w:type="paragraph" w:styleId="ListNumber2">
    <w:name w:val="List Number 2"/>
    <w:basedOn w:val="Normal"/>
    <w:pPr>
      <w:numPr>
        <w:numId w:val="8"/>
      </w:numPr>
      <w:spacing w:before="80" w:after="60"/>
      <w:jc w:val="both"/>
    </w:pPr>
  </w:style>
  <w:style w:type="paragraph" w:styleId="ListNumber3">
    <w:name w:val="List Number 3"/>
    <w:basedOn w:val="Normal"/>
    <w:pPr>
      <w:numPr>
        <w:numId w:val="9"/>
      </w:numPr>
      <w:spacing w:before="80" w:after="60"/>
      <w:jc w:val="both"/>
    </w:pPr>
  </w:style>
  <w:style w:type="paragraph" w:styleId="ListNumber4">
    <w:name w:val="List Number 4"/>
    <w:basedOn w:val="Normal"/>
    <w:pPr>
      <w:numPr>
        <w:numId w:val="10"/>
      </w:numPr>
      <w:spacing w:before="80" w:after="60"/>
      <w:jc w:val="both"/>
    </w:pPr>
  </w:style>
  <w:style w:type="paragraph" w:styleId="ListNumber5">
    <w:name w:val="List Number 5"/>
    <w:basedOn w:val="Normal"/>
    <w:pPr>
      <w:numPr>
        <w:numId w:val="11"/>
      </w:numPr>
      <w:spacing w:before="80" w:after="60"/>
      <w:jc w:val="both"/>
    </w:pPr>
  </w:style>
  <w:style w:type="paragraph" w:customStyle="1" w:styleId="fullout">
    <w:name w:val="full out"/>
    <w:pPr>
      <w:spacing w:before="80" w:after="80"/>
      <w:jc w:val="both"/>
    </w:pPr>
    <w:rPr>
      <w:rFonts w:ascii="Times" w:hAnsi="Times"/>
      <w:sz w:val="24"/>
      <w:lang w:eastAsia="en-US"/>
    </w:rPr>
  </w:style>
  <w:style w:type="paragraph" w:customStyle="1" w:styleId="allsections">
    <w:name w:val="all sections"/>
    <w:pPr>
      <w:spacing w:before="80" w:after="80"/>
      <w:ind w:firstLine="400"/>
      <w:jc w:val="both"/>
    </w:pPr>
    <w:rPr>
      <w:rFonts w:ascii="Times" w:hAnsi="Times"/>
      <w:sz w:val="24"/>
      <w:lang w:eastAsia="en-U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02TextLandscape">
    <w:name w:val="02TextLandscape"/>
    <w:basedOn w:val="Normal"/>
  </w:style>
  <w:style w:type="paragraph" w:customStyle="1" w:styleId="Assectheading">
    <w:name w:val="A ssect heading"/>
    <w:basedOn w:val="Amain"/>
    <w:pPr>
      <w:keepNext/>
      <w:tabs>
        <w:tab w:val="clear" w:pos="900"/>
        <w:tab w:val="clear" w:pos="1100"/>
      </w:tabs>
      <w:spacing w:before="240"/>
      <w:ind w:left="0" w:firstLine="0"/>
      <w:outlineLvl w:val="9"/>
    </w:pPr>
    <w:rPr>
      <w:i/>
    </w:rPr>
  </w:style>
  <w:style w:type="paragraph" w:customStyle="1" w:styleId="Penalty">
    <w:name w:val="Penalty"/>
    <w:basedOn w:val="Amainreturn"/>
  </w:style>
  <w:style w:type="paragraph" w:customStyle="1" w:styleId="bulletregs">
    <w:name w:val="bullet regs"/>
    <w:basedOn w:val="Normal"/>
    <w:pPr>
      <w:keepNext/>
      <w:numPr>
        <w:numId w:val="1"/>
      </w:numPr>
      <w:tabs>
        <w:tab w:val="right" w:pos="660"/>
        <w:tab w:val="right" w:leader="dot" w:pos="6612"/>
      </w:tabs>
      <w:ind w:left="640" w:right="-60"/>
    </w:pPr>
    <w:rPr>
      <w:rFonts w:ascii="Arial" w:hAnsi="Arial"/>
      <w:sz w:val="18"/>
    </w:rPr>
  </w:style>
  <w:style w:type="paragraph" w:customStyle="1" w:styleId="details">
    <w:name w:val="details"/>
    <w:basedOn w:val="Normal"/>
    <w:pPr>
      <w:tabs>
        <w:tab w:val="right" w:leader="dot" w:pos="6612"/>
      </w:tabs>
      <w:ind w:left="660" w:right="-60"/>
    </w:pPr>
    <w:rPr>
      <w:rFonts w:ascii="Arial" w:hAnsi="Arial"/>
      <w:sz w:val="18"/>
    </w:rPr>
  </w:style>
  <w:style w:type="paragraph" w:customStyle="1" w:styleId="Actbullet">
    <w:name w:val="Act bullet"/>
    <w:basedOn w:val="Normal"/>
    <w:pPr>
      <w:numPr>
        <w:numId w:val="12"/>
      </w:numPr>
      <w:tabs>
        <w:tab w:val="left" w:pos="900"/>
      </w:tabs>
      <w:spacing w:before="20"/>
      <w:ind w:right="-60"/>
    </w:pPr>
    <w:rPr>
      <w:rFonts w:ascii="Arial" w:hAnsi="Arial"/>
      <w:sz w:val="18"/>
      <w:lang w:val="en-US"/>
    </w:rPr>
  </w:style>
  <w:style w:type="paragraph" w:customStyle="1" w:styleId="05Endnote0">
    <w:name w:val="05Endnote"/>
    <w:basedOn w:val="Normal"/>
  </w:style>
  <w:style w:type="paragraph" w:customStyle="1" w:styleId="EffectiveDate">
    <w:name w:val="EffectiveDate"/>
    <w:basedOn w:val="Normal"/>
    <w:pPr>
      <w:spacing w:before="40" w:after="200"/>
    </w:pPr>
    <w:rPr>
      <w:rFonts w:ascii="Arial" w:hAnsi="Arial"/>
      <w:b/>
      <w:sz w:val="26"/>
    </w:rPr>
  </w:style>
  <w:style w:type="paragraph" w:customStyle="1" w:styleId="AmdtEntries">
    <w:name w:val="AmdtEntries"/>
    <w:basedOn w:val="BillBasicHeading"/>
    <w:pPr>
      <w:keepNext w:val="0"/>
      <w:tabs>
        <w:tab w:val="clear" w:pos="2600"/>
      </w:tabs>
      <w:spacing w:before="0" w:after="0"/>
      <w:ind w:left="3200" w:hanging="2100"/>
    </w:pPr>
    <w:rPr>
      <w:sz w:val="18"/>
    </w:rPr>
  </w:style>
  <w:style w:type="paragraph" w:customStyle="1" w:styleId="AmdtEntriesDefL2">
    <w:name w:val="AmdtEntriesDefL2"/>
    <w:basedOn w:val="AmdtEntries"/>
    <w:pPr>
      <w:tabs>
        <w:tab w:val="left" w:pos="3000"/>
      </w:tabs>
      <w:ind w:left="3600" w:hanging="2500"/>
    </w:pPr>
  </w:style>
  <w:style w:type="paragraph" w:customStyle="1" w:styleId="aNoteText">
    <w:name w:val="aNoteText"/>
    <w:basedOn w:val="aNote"/>
    <w:pPr>
      <w:spacing w:before="20"/>
      <w:ind w:firstLine="0"/>
    </w:pPr>
  </w:style>
  <w:style w:type="character" w:customStyle="1" w:styleId="charContents">
    <w:name w:val="charContents"/>
    <w:basedOn w:val="DefaultParagraphFont"/>
  </w:style>
  <w:style w:type="character" w:customStyle="1" w:styleId="charPage">
    <w:name w:val="charPage"/>
    <w:basedOn w:val="DefaultParagraphFont"/>
  </w:style>
  <w:style w:type="paragraph" w:customStyle="1" w:styleId="FooterInfoCentre">
    <w:name w:val="FooterInfoCentre"/>
    <w:basedOn w:val="FooterInfo"/>
    <w:pPr>
      <w:jc w:val="center"/>
    </w:pPr>
  </w:style>
  <w:style w:type="paragraph" w:customStyle="1" w:styleId="LongTitleSymb">
    <w:name w:val="LongTitleSymb"/>
    <w:basedOn w:val="LongTitle"/>
    <w:pPr>
      <w:ind w:hanging="48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pPr>
      <w:spacing w:after="40"/>
      <w:ind w:left="1100"/>
      <w:jc w:val="both"/>
    </w:pPr>
    <w:rPr>
      <w:sz w:val="20"/>
    </w:rPr>
  </w:style>
  <w:style w:type="paragraph" w:customStyle="1" w:styleId="aExamHdgss">
    <w:name w:val="aExamHdgss"/>
    <w:basedOn w:val="BillBasicHeading"/>
    <w:next w:val="Normal"/>
    <w:pPr>
      <w:tabs>
        <w:tab w:val="clear" w:pos="2600"/>
      </w:tabs>
      <w:ind w:left="1100"/>
    </w:pPr>
    <w:rPr>
      <w:sz w:val="18"/>
    </w:rPr>
  </w:style>
  <w:style w:type="paragraph" w:customStyle="1" w:styleId="aExamss">
    <w:name w:val="aExamss"/>
    <w:basedOn w:val="aNote"/>
    <w:pPr>
      <w:spacing w:before="0"/>
      <w:ind w:left="1100" w:firstLine="0"/>
    </w:pPr>
  </w:style>
  <w:style w:type="paragraph" w:customStyle="1" w:styleId="aExamINumss">
    <w:name w:val="aExamINumss"/>
    <w:basedOn w:val="aExamss"/>
    <w:pPr>
      <w:tabs>
        <w:tab w:val="left" w:pos="1500"/>
      </w:tabs>
      <w:ind w:left="1500" w:hanging="400"/>
    </w:pPr>
  </w:style>
  <w:style w:type="paragraph" w:customStyle="1" w:styleId="aExamNumTextss">
    <w:name w:val="aExamNumTextss"/>
    <w:basedOn w:val="aExamss"/>
    <w:pPr>
      <w:ind w:left="1500"/>
    </w:pPr>
  </w:style>
  <w:style w:type="paragraph" w:customStyle="1" w:styleId="AExamIPara">
    <w:name w:val="AExamIPara"/>
    <w:basedOn w:val="aExam"/>
    <w:pPr>
      <w:tabs>
        <w:tab w:val="right" w:pos="1720"/>
        <w:tab w:val="left" w:pos="2000"/>
      </w:tabs>
      <w:ind w:left="2000" w:hanging="900"/>
    </w:pPr>
  </w:style>
  <w:style w:type="paragraph" w:customStyle="1" w:styleId="aNoteTextss">
    <w:name w:val="aNoteTextss"/>
    <w:basedOn w:val="Normal"/>
    <w:pPr>
      <w:spacing w:after="60"/>
      <w:ind w:left="1900"/>
      <w:jc w:val="both"/>
    </w:pPr>
    <w:rPr>
      <w:sz w:val="20"/>
    </w:rPr>
  </w:style>
  <w:style w:type="paragraph" w:customStyle="1" w:styleId="aNoteParass">
    <w:name w:val="aNoteParass"/>
    <w:basedOn w:val="Normal"/>
    <w:pPr>
      <w:tabs>
        <w:tab w:val="right" w:pos="2140"/>
        <w:tab w:val="left" w:pos="2400"/>
      </w:tabs>
      <w:spacing w:after="60"/>
      <w:ind w:left="2400" w:hanging="1300"/>
      <w:jc w:val="both"/>
    </w:pPr>
    <w:rPr>
      <w:sz w:val="20"/>
    </w:rPr>
  </w:style>
  <w:style w:type="paragraph" w:customStyle="1" w:styleId="aExamHdgpar">
    <w:name w:val="aExamHdgpar"/>
    <w:basedOn w:val="aExamHdgss"/>
    <w:next w:val="Normal"/>
    <w:pPr>
      <w:ind w:left="1600"/>
    </w:pPr>
  </w:style>
  <w:style w:type="paragraph" w:customStyle="1" w:styleId="aExampar">
    <w:name w:val="aExampar"/>
    <w:basedOn w:val="aExamss"/>
    <w:pPr>
      <w:ind w:left="1600"/>
    </w:pPr>
  </w:style>
  <w:style w:type="paragraph" w:customStyle="1" w:styleId="aNotepar">
    <w:name w:val="aNotepar"/>
    <w:basedOn w:val="BillBasic"/>
    <w:next w:val="Normal"/>
    <w:pPr>
      <w:ind w:left="2400" w:hanging="800"/>
    </w:pPr>
    <w:rPr>
      <w:rFonts w:ascii="Times New (W1)" w:hAnsi="Times New (W1)"/>
      <w:sz w:val="20"/>
    </w:rPr>
  </w:style>
  <w:style w:type="paragraph" w:customStyle="1" w:styleId="aNoteTextpar">
    <w:name w:val="aNoteTextpar"/>
    <w:basedOn w:val="aNotepar"/>
    <w:pPr>
      <w:spacing w:before="0"/>
      <w:ind w:firstLine="0"/>
    </w:pPr>
  </w:style>
  <w:style w:type="paragraph" w:customStyle="1" w:styleId="aNoteParapar">
    <w:name w:val="aNoteParapar"/>
    <w:basedOn w:val="aNotepar"/>
    <w:pPr>
      <w:tabs>
        <w:tab w:val="right" w:pos="2640"/>
      </w:tabs>
      <w:spacing w:before="0"/>
      <w:ind w:left="2920" w:hanging="1320"/>
    </w:pPr>
  </w:style>
  <w:style w:type="paragraph" w:customStyle="1" w:styleId="aExamHdgsubpar">
    <w:name w:val="aExamHdgsubpar"/>
    <w:basedOn w:val="aExamHdgss"/>
    <w:next w:val="Normal"/>
    <w:pPr>
      <w:ind w:left="2140"/>
    </w:pPr>
  </w:style>
  <w:style w:type="paragraph" w:customStyle="1" w:styleId="aExamsubpar">
    <w:name w:val="aExamsubpar"/>
    <w:basedOn w:val="aExamss"/>
    <w:pPr>
      <w:ind w:left="2140"/>
    </w:pPr>
  </w:style>
  <w:style w:type="paragraph" w:customStyle="1" w:styleId="aNotesubpar">
    <w:name w:val="aNotesubpar"/>
    <w:basedOn w:val="BillBasic"/>
    <w:next w:val="Normal"/>
    <w:pPr>
      <w:ind w:left="2940" w:hanging="800"/>
    </w:pPr>
    <w:rPr>
      <w:sz w:val="20"/>
    </w:rPr>
  </w:style>
  <w:style w:type="paragraph" w:customStyle="1" w:styleId="aNoteTextsubpar">
    <w:name w:val="aNoteTextsubpar"/>
    <w:basedOn w:val="aNotesubpar"/>
    <w:pPr>
      <w:spacing w:before="0"/>
      <w:ind w:firstLine="0"/>
    </w:pPr>
  </w:style>
  <w:style w:type="paragraph" w:customStyle="1" w:styleId="aExamBulletss">
    <w:name w:val="aExamBulletss"/>
    <w:basedOn w:val="aExamss"/>
    <w:pPr>
      <w:ind w:left="1500" w:hanging="400"/>
    </w:pPr>
  </w:style>
  <w:style w:type="paragraph" w:customStyle="1" w:styleId="aNoteBulletss">
    <w:name w:val="aNoteBulletss"/>
    <w:basedOn w:val="Normal"/>
    <w:pPr>
      <w:spacing w:after="60"/>
      <w:ind w:left="2300" w:hanging="400"/>
      <w:jc w:val="both"/>
    </w:pPr>
    <w:rPr>
      <w:sz w:val="20"/>
    </w:rPr>
  </w:style>
  <w:style w:type="paragraph" w:customStyle="1" w:styleId="aExamBulletpar">
    <w:name w:val="aExamBulletpar"/>
    <w:basedOn w:val="aExampar"/>
    <w:pPr>
      <w:ind w:left="2000" w:hanging="400"/>
    </w:pPr>
  </w:style>
  <w:style w:type="paragraph" w:customStyle="1" w:styleId="aNoteBulletpar">
    <w:name w:val="aNoteBulletpar"/>
    <w:basedOn w:val="aNotepar"/>
    <w:pPr>
      <w:spacing w:before="0"/>
      <w:ind w:left="2800" w:hanging="400"/>
    </w:pPr>
  </w:style>
  <w:style w:type="paragraph" w:customStyle="1" w:styleId="aExplanHeading">
    <w:name w:val="aExplanHeading"/>
    <w:basedOn w:val="BillBasicHeading"/>
    <w:next w:val="Normal"/>
    <w:rPr>
      <w:rFonts w:ascii="Arial (W1)" w:hAnsi="Arial (W1)"/>
      <w:sz w:val="18"/>
    </w:rPr>
  </w:style>
  <w:style w:type="paragraph" w:customStyle="1" w:styleId="EndNoteHeading">
    <w:name w:val="EndNoteHeading"/>
    <w:basedOn w:val="BillBasicHeading"/>
    <w:pPr>
      <w:tabs>
        <w:tab w:val="left" w:pos="700"/>
      </w:tabs>
      <w:spacing w:before="160" w:after="160"/>
      <w:ind w:left="700" w:hanging="700"/>
    </w:pPr>
    <w:rPr>
      <w:rFonts w:ascii="Arial (W1)" w:hAnsi="Arial (W1)"/>
    </w:rPr>
  </w:style>
  <w:style w:type="paragraph" w:customStyle="1" w:styleId="aExplanBullet">
    <w:name w:val="aExplanBullet"/>
    <w:basedOn w:val="Normal"/>
    <w:pPr>
      <w:spacing w:before="80" w:after="60"/>
      <w:ind w:left="400" w:hanging="400"/>
      <w:jc w:val="both"/>
    </w:pPr>
    <w:rPr>
      <w:snapToGrid w:val="0"/>
      <w:sz w:val="20"/>
    </w:rPr>
  </w:style>
  <w:style w:type="paragraph" w:customStyle="1" w:styleId="SchAmain">
    <w:name w:val="Sch A main"/>
    <w:basedOn w:val="Amain"/>
  </w:style>
  <w:style w:type="paragraph" w:customStyle="1" w:styleId="SchApara">
    <w:name w:val="Sch A para"/>
    <w:basedOn w:val="Apara"/>
  </w:style>
  <w:style w:type="paragraph" w:customStyle="1" w:styleId="SchAsubpara">
    <w:name w:val="Sch A subpara"/>
    <w:basedOn w:val="Asubpara"/>
  </w:style>
  <w:style w:type="paragraph" w:customStyle="1" w:styleId="SchAsubsubpara">
    <w:name w:val="Sch A subsubpara"/>
    <w:basedOn w:val="Asubsubpar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footer" Target="footer7.xml"/><Relationship Id="rId42" Type="http://schemas.openxmlformats.org/officeDocument/2006/relationships/header" Target="header15.xml"/><Relationship Id="rId63" Type="http://schemas.openxmlformats.org/officeDocument/2006/relationships/oleObject" Target="embeddings/oleObject8.bin"/><Relationship Id="rId84" Type="http://schemas.openxmlformats.org/officeDocument/2006/relationships/oleObject" Target="embeddings/oleObject17.bin"/><Relationship Id="rId138" Type="http://schemas.openxmlformats.org/officeDocument/2006/relationships/footer" Target="footer43.xml"/><Relationship Id="rId159" Type="http://schemas.openxmlformats.org/officeDocument/2006/relationships/footer" Target="footer51.xml"/><Relationship Id="rId170" Type="http://schemas.openxmlformats.org/officeDocument/2006/relationships/footer" Target="footer54.xml"/><Relationship Id="rId191" Type="http://schemas.openxmlformats.org/officeDocument/2006/relationships/footer" Target="footer64.xml"/><Relationship Id="rId205" Type="http://schemas.openxmlformats.org/officeDocument/2006/relationships/footer" Target="footer70.xml"/><Relationship Id="rId107" Type="http://schemas.openxmlformats.org/officeDocument/2006/relationships/oleObject" Target="embeddings/oleObject21.bin"/><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oleObject" Target="embeddings/oleObject3.bin"/><Relationship Id="rId74" Type="http://schemas.openxmlformats.org/officeDocument/2006/relationships/oleObject" Target="embeddings/oleObject14.bin"/><Relationship Id="rId128" Type="http://schemas.openxmlformats.org/officeDocument/2006/relationships/image" Target="media/image28.wmf"/><Relationship Id="rId149" Type="http://schemas.openxmlformats.org/officeDocument/2006/relationships/header" Target="header36.xml"/><Relationship Id="rId5" Type="http://schemas.openxmlformats.org/officeDocument/2006/relationships/footnotes" Target="footnotes.xml"/><Relationship Id="rId90" Type="http://schemas.openxmlformats.org/officeDocument/2006/relationships/header" Target="header21.xml"/><Relationship Id="rId95" Type="http://schemas.openxmlformats.org/officeDocument/2006/relationships/footer" Target="footer29.xml"/><Relationship Id="rId160" Type="http://schemas.openxmlformats.org/officeDocument/2006/relationships/header" Target="header40.xml"/><Relationship Id="rId165" Type="http://schemas.openxmlformats.org/officeDocument/2006/relationships/oleObject" Target="embeddings/oleObject30.bin"/><Relationship Id="rId181" Type="http://schemas.openxmlformats.org/officeDocument/2006/relationships/footer" Target="footer61.xml"/><Relationship Id="rId186" Type="http://schemas.openxmlformats.org/officeDocument/2006/relationships/image" Target="media/image37.jpeg"/><Relationship Id="rId216" Type="http://schemas.openxmlformats.org/officeDocument/2006/relationships/footer" Target="footer76.xml"/><Relationship Id="rId211" Type="http://schemas.openxmlformats.org/officeDocument/2006/relationships/header" Target="header60.xml"/><Relationship Id="rId22" Type="http://schemas.openxmlformats.org/officeDocument/2006/relationships/footer" Target="footer8.xml"/><Relationship Id="rId27" Type="http://schemas.openxmlformats.org/officeDocument/2006/relationships/header" Target="header9.xml"/><Relationship Id="rId43" Type="http://schemas.openxmlformats.org/officeDocument/2006/relationships/footer" Target="footer19.xml"/><Relationship Id="rId48" Type="http://schemas.openxmlformats.org/officeDocument/2006/relationships/footer" Target="footer22.xml"/><Relationship Id="rId64" Type="http://schemas.openxmlformats.org/officeDocument/2006/relationships/image" Target="media/image10.wmf"/><Relationship Id="rId69" Type="http://schemas.openxmlformats.org/officeDocument/2006/relationships/oleObject" Target="embeddings/oleObject11.bin"/><Relationship Id="rId113" Type="http://schemas.openxmlformats.org/officeDocument/2006/relationships/footer" Target="footer35.xml"/><Relationship Id="rId118" Type="http://schemas.openxmlformats.org/officeDocument/2006/relationships/oleObject" Target="embeddings/oleObject25.bin"/><Relationship Id="rId134" Type="http://schemas.openxmlformats.org/officeDocument/2006/relationships/footer" Target="footer41.xml"/><Relationship Id="rId139" Type="http://schemas.openxmlformats.org/officeDocument/2006/relationships/header" Target="header34.xml"/><Relationship Id="rId80" Type="http://schemas.openxmlformats.org/officeDocument/2006/relationships/footer" Target="footer24.xml"/><Relationship Id="rId85" Type="http://schemas.openxmlformats.org/officeDocument/2006/relationships/image" Target="media/image17.wmf"/><Relationship Id="rId150" Type="http://schemas.openxmlformats.org/officeDocument/2006/relationships/header" Target="header37.xml"/><Relationship Id="rId155" Type="http://schemas.openxmlformats.org/officeDocument/2006/relationships/header" Target="header38.xml"/><Relationship Id="rId171" Type="http://schemas.openxmlformats.org/officeDocument/2006/relationships/footer" Target="footer55.xml"/><Relationship Id="rId176" Type="http://schemas.openxmlformats.org/officeDocument/2006/relationships/footer" Target="footer58.xml"/><Relationship Id="rId192" Type="http://schemas.openxmlformats.org/officeDocument/2006/relationships/footer" Target="footer65.xml"/><Relationship Id="rId197" Type="http://schemas.openxmlformats.org/officeDocument/2006/relationships/footer" Target="footer66.xml"/><Relationship Id="rId206" Type="http://schemas.openxmlformats.org/officeDocument/2006/relationships/footer" Target="footer71.xml"/><Relationship Id="rId201" Type="http://schemas.openxmlformats.org/officeDocument/2006/relationships/footer" Target="footer68.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oter" Target="footer16.xml"/><Relationship Id="rId59" Type="http://schemas.openxmlformats.org/officeDocument/2006/relationships/oleObject" Target="embeddings/oleObject6.bin"/><Relationship Id="rId103" Type="http://schemas.openxmlformats.org/officeDocument/2006/relationships/footer" Target="footer32.xml"/><Relationship Id="rId108" Type="http://schemas.openxmlformats.org/officeDocument/2006/relationships/image" Target="media/image23.wmf"/><Relationship Id="rId124" Type="http://schemas.openxmlformats.org/officeDocument/2006/relationships/image" Target="media/image25.wmf"/><Relationship Id="rId129" Type="http://schemas.openxmlformats.org/officeDocument/2006/relationships/oleObject" Target="embeddings/oleObject28.bin"/><Relationship Id="rId54" Type="http://schemas.openxmlformats.org/officeDocument/2006/relationships/image" Target="media/image5.wmf"/><Relationship Id="rId70" Type="http://schemas.openxmlformats.org/officeDocument/2006/relationships/image" Target="media/image13.wmf"/><Relationship Id="rId75" Type="http://schemas.openxmlformats.org/officeDocument/2006/relationships/oleObject" Target="embeddings/oleObject15.bin"/><Relationship Id="rId91" Type="http://schemas.openxmlformats.org/officeDocument/2006/relationships/footer" Target="footer27.xml"/><Relationship Id="rId96" Type="http://schemas.openxmlformats.org/officeDocument/2006/relationships/footer" Target="footer30.xml"/><Relationship Id="rId140" Type="http://schemas.openxmlformats.org/officeDocument/2006/relationships/header" Target="header35.xml"/><Relationship Id="rId145" Type="http://schemas.openxmlformats.org/officeDocument/2006/relationships/image" Target="media/image30.png"/><Relationship Id="rId161" Type="http://schemas.openxmlformats.org/officeDocument/2006/relationships/header" Target="header41.xml"/><Relationship Id="rId166" Type="http://schemas.openxmlformats.org/officeDocument/2006/relationships/image" Target="media/image36.wmf"/><Relationship Id="rId182" Type="http://schemas.openxmlformats.org/officeDocument/2006/relationships/header" Target="header48.xml"/><Relationship Id="rId187" Type="http://schemas.openxmlformats.org/officeDocument/2006/relationships/image" Target="media/image38.jpeg"/><Relationship Id="rId217" Type="http://schemas.openxmlformats.org/officeDocument/2006/relationships/header" Target="header6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61.xml"/><Relationship Id="rId23" Type="http://schemas.openxmlformats.org/officeDocument/2006/relationships/footer" Target="footer9.xml"/><Relationship Id="rId28" Type="http://schemas.openxmlformats.org/officeDocument/2006/relationships/footer" Target="footer10.xml"/><Relationship Id="rId49" Type="http://schemas.openxmlformats.org/officeDocument/2006/relationships/footer" Target="footer23.xml"/><Relationship Id="rId114" Type="http://schemas.openxmlformats.org/officeDocument/2006/relationships/footer" Target="footer36.xml"/><Relationship Id="rId119" Type="http://schemas.openxmlformats.org/officeDocument/2006/relationships/oleObject" Target="embeddings/oleObject26.bin"/><Relationship Id="rId44" Type="http://schemas.openxmlformats.org/officeDocument/2006/relationships/footer" Target="footer20.xml"/><Relationship Id="rId60" Type="http://schemas.openxmlformats.org/officeDocument/2006/relationships/image" Target="media/image8.wmf"/><Relationship Id="rId65" Type="http://schemas.openxmlformats.org/officeDocument/2006/relationships/oleObject" Target="embeddings/oleObject9.bin"/><Relationship Id="rId81" Type="http://schemas.openxmlformats.org/officeDocument/2006/relationships/footer" Target="footer25.xml"/><Relationship Id="rId86" Type="http://schemas.openxmlformats.org/officeDocument/2006/relationships/oleObject" Target="embeddings/oleObject18.bin"/><Relationship Id="rId130" Type="http://schemas.openxmlformats.org/officeDocument/2006/relationships/header" Target="header30.xml"/><Relationship Id="rId135" Type="http://schemas.openxmlformats.org/officeDocument/2006/relationships/header" Target="header32.xml"/><Relationship Id="rId151" Type="http://schemas.openxmlformats.org/officeDocument/2006/relationships/footer" Target="footer47.xml"/><Relationship Id="rId156" Type="http://schemas.openxmlformats.org/officeDocument/2006/relationships/header" Target="header39.xml"/><Relationship Id="rId177" Type="http://schemas.openxmlformats.org/officeDocument/2006/relationships/footer" Target="footer59.xml"/><Relationship Id="rId198" Type="http://schemas.openxmlformats.org/officeDocument/2006/relationships/footer" Target="footer67.xml"/><Relationship Id="rId172" Type="http://schemas.openxmlformats.org/officeDocument/2006/relationships/footer" Target="footer56.xml"/><Relationship Id="rId193" Type="http://schemas.openxmlformats.org/officeDocument/2006/relationships/image" Target="media/image40.wmf"/><Relationship Id="rId202" Type="http://schemas.openxmlformats.org/officeDocument/2006/relationships/footer" Target="footer69.xml"/><Relationship Id="rId207" Type="http://schemas.openxmlformats.org/officeDocument/2006/relationships/header" Target="header58.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7.xml"/><Relationship Id="rId109" Type="http://schemas.openxmlformats.org/officeDocument/2006/relationships/oleObject" Target="embeddings/oleObject22.bin"/><Relationship Id="rId34" Type="http://schemas.openxmlformats.org/officeDocument/2006/relationships/footer" Target="footer14.xml"/><Relationship Id="rId50" Type="http://schemas.openxmlformats.org/officeDocument/2006/relationships/image" Target="media/image3.wmf"/><Relationship Id="rId55" Type="http://schemas.openxmlformats.org/officeDocument/2006/relationships/oleObject" Target="embeddings/oleObject4.bin"/><Relationship Id="rId76" Type="http://schemas.openxmlformats.org/officeDocument/2006/relationships/oleObject" Target="embeddings/oleObject16.bin"/><Relationship Id="rId97" Type="http://schemas.openxmlformats.org/officeDocument/2006/relationships/footer" Target="footer31.xml"/><Relationship Id="rId104" Type="http://schemas.openxmlformats.org/officeDocument/2006/relationships/footer" Target="footer33.xml"/><Relationship Id="rId120" Type="http://schemas.openxmlformats.org/officeDocument/2006/relationships/header" Target="header28.xml"/><Relationship Id="rId125" Type="http://schemas.openxmlformats.org/officeDocument/2006/relationships/image" Target="media/image26.wmf"/><Relationship Id="rId141" Type="http://schemas.openxmlformats.org/officeDocument/2006/relationships/footer" Target="footer44.xml"/><Relationship Id="rId146" Type="http://schemas.openxmlformats.org/officeDocument/2006/relationships/image" Target="media/image31.png"/><Relationship Id="rId167" Type="http://schemas.openxmlformats.org/officeDocument/2006/relationships/oleObject" Target="embeddings/oleObject31.bin"/><Relationship Id="rId188" Type="http://schemas.openxmlformats.org/officeDocument/2006/relationships/image" Target="media/image39.jpeg"/><Relationship Id="rId7" Type="http://schemas.openxmlformats.org/officeDocument/2006/relationships/image" Target="media/image1.png"/><Relationship Id="rId71" Type="http://schemas.openxmlformats.org/officeDocument/2006/relationships/oleObject" Target="embeddings/oleObject12.bin"/><Relationship Id="rId92" Type="http://schemas.openxmlformats.org/officeDocument/2006/relationships/footer" Target="footer28.xml"/><Relationship Id="rId162" Type="http://schemas.openxmlformats.org/officeDocument/2006/relationships/footer" Target="footer52.xml"/><Relationship Id="rId183" Type="http://schemas.openxmlformats.org/officeDocument/2006/relationships/header" Target="header49.xml"/><Relationship Id="rId213" Type="http://schemas.openxmlformats.org/officeDocument/2006/relationships/footer" Target="footer74.xml"/><Relationship Id="rId218" Type="http://schemas.openxmlformats.org/officeDocument/2006/relationships/footer" Target="footer77.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image" Target="media/image2.png"/><Relationship Id="rId40" Type="http://schemas.openxmlformats.org/officeDocument/2006/relationships/footer" Target="footer18.xml"/><Relationship Id="rId45" Type="http://schemas.openxmlformats.org/officeDocument/2006/relationships/footer" Target="footer21.xml"/><Relationship Id="rId66" Type="http://schemas.openxmlformats.org/officeDocument/2006/relationships/image" Target="media/image11.wmf"/><Relationship Id="rId87" Type="http://schemas.openxmlformats.org/officeDocument/2006/relationships/image" Target="media/image18.wmf"/><Relationship Id="rId110" Type="http://schemas.openxmlformats.org/officeDocument/2006/relationships/header" Target="header26.xml"/><Relationship Id="rId115" Type="http://schemas.openxmlformats.org/officeDocument/2006/relationships/image" Target="media/image24.wmf"/><Relationship Id="rId131" Type="http://schemas.openxmlformats.org/officeDocument/2006/relationships/header" Target="header31.xml"/><Relationship Id="rId136" Type="http://schemas.openxmlformats.org/officeDocument/2006/relationships/header" Target="header33.xml"/><Relationship Id="rId157" Type="http://schemas.openxmlformats.org/officeDocument/2006/relationships/footer" Target="footer49.xml"/><Relationship Id="rId178" Type="http://schemas.openxmlformats.org/officeDocument/2006/relationships/header" Target="header46.xml"/><Relationship Id="rId61" Type="http://schemas.openxmlformats.org/officeDocument/2006/relationships/oleObject" Target="embeddings/oleObject7.bin"/><Relationship Id="rId82" Type="http://schemas.openxmlformats.org/officeDocument/2006/relationships/footer" Target="footer26.xml"/><Relationship Id="rId152" Type="http://schemas.openxmlformats.org/officeDocument/2006/relationships/footer" Target="footer48.xml"/><Relationship Id="rId173" Type="http://schemas.openxmlformats.org/officeDocument/2006/relationships/header" Target="header44.xml"/><Relationship Id="rId194" Type="http://schemas.openxmlformats.org/officeDocument/2006/relationships/oleObject" Target="embeddings/oleObject32.bin"/><Relationship Id="rId199" Type="http://schemas.openxmlformats.org/officeDocument/2006/relationships/header" Target="header54.xml"/><Relationship Id="rId203" Type="http://schemas.openxmlformats.org/officeDocument/2006/relationships/header" Target="header56.xml"/><Relationship Id="rId208" Type="http://schemas.openxmlformats.org/officeDocument/2006/relationships/header" Target="header59.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image" Target="media/image6.wmf"/><Relationship Id="rId77" Type="http://schemas.openxmlformats.org/officeDocument/2006/relationships/image" Target="media/image15.png"/><Relationship Id="rId100" Type="http://schemas.openxmlformats.org/officeDocument/2006/relationships/image" Target="media/image20.png"/><Relationship Id="rId105" Type="http://schemas.openxmlformats.org/officeDocument/2006/relationships/image" Target="media/image21.png"/><Relationship Id="rId126" Type="http://schemas.openxmlformats.org/officeDocument/2006/relationships/image" Target="media/image27.wmf"/><Relationship Id="rId147" Type="http://schemas.openxmlformats.org/officeDocument/2006/relationships/image" Target="media/image32.png"/><Relationship Id="rId168" Type="http://schemas.openxmlformats.org/officeDocument/2006/relationships/header" Target="header42.xml"/><Relationship Id="rId8" Type="http://schemas.openxmlformats.org/officeDocument/2006/relationships/header" Target="header1.xml"/><Relationship Id="rId51" Type="http://schemas.openxmlformats.org/officeDocument/2006/relationships/oleObject" Target="embeddings/oleObject2.bin"/><Relationship Id="rId72" Type="http://schemas.openxmlformats.org/officeDocument/2006/relationships/oleObject" Target="embeddings/oleObject13.bin"/><Relationship Id="rId93" Type="http://schemas.openxmlformats.org/officeDocument/2006/relationships/header" Target="header22.xml"/><Relationship Id="rId98" Type="http://schemas.openxmlformats.org/officeDocument/2006/relationships/image" Target="media/image19.wmf"/><Relationship Id="rId121" Type="http://schemas.openxmlformats.org/officeDocument/2006/relationships/header" Target="header29.xml"/><Relationship Id="rId142" Type="http://schemas.openxmlformats.org/officeDocument/2006/relationships/footer" Target="footer45.xml"/><Relationship Id="rId163" Type="http://schemas.openxmlformats.org/officeDocument/2006/relationships/footer" Target="footer53.xml"/><Relationship Id="rId184" Type="http://schemas.openxmlformats.org/officeDocument/2006/relationships/footer" Target="footer62.xml"/><Relationship Id="rId189" Type="http://schemas.openxmlformats.org/officeDocument/2006/relationships/header" Target="header50.xml"/><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footer" Target="footer75.xml"/><Relationship Id="rId25" Type="http://schemas.openxmlformats.org/officeDocument/2006/relationships/oleObject" Target="embeddings/oleObject1.bin"/><Relationship Id="rId46" Type="http://schemas.openxmlformats.org/officeDocument/2006/relationships/header" Target="header16.xml"/><Relationship Id="rId67" Type="http://schemas.openxmlformats.org/officeDocument/2006/relationships/oleObject" Target="embeddings/oleObject10.bin"/><Relationship Id="rId116" Type="http://schemas.openxmlformats.org/officeDocument/2006/relationships/oleObject" Target="embeddings/oleObject23.bin"/><Relationship Id="rId137" Type="http://schemas.openxmlformats.org/officeDocument/2006/relationships/footer" Target="footer42.xml"/><Relationship Id="rId158" Type="http://schemas.openxmlformats.org/officeDocument/2006/relationships/footer" Target="footer50.xml"/><Relationship Id="rId20" Type="http://schemas.openxmlformats.org/officeDocument/2006/relationships/header" Target="header7.xml"/><Relationship Id="rId41" Type="http://schemas.openxmlformats.org/officeDocument/2006/relationships/header" Target="header14.xml"/><Relationship Id="rId62" Type="http://schemas.openxmlformats.org/officeDocument/2006/relationships/image" Target="media/image9.wmf"/><Relationship Id="rId83" Type="http://schemas.openxmlformats.org/officeDocument/2006/relationships/image" Target="media/image16.wmf"/><Relationship Id="rId88" Type="http://schemas.openxmlformats.org/officeDocument/2006/relationships/oleObject" Target="embeddings/oleObject19.bin"/><Relationship Id="rId111" Type="http://schemas.openxmlformats.org/officeDocument/2006/relationships/header" Target="header27.xml"/><Relationship Id="rId132" Type="http://schemas.openxmlformats.org/officeDocument/2006/relationships/footer" Target="footer39.xml"/><Relationship Id="rId153" Type="http://schemas.openxmlformats.org/officeDocument/2006/relationships/image" Target="media/image34.wmf"/><Relationship Id="rId174" Type="http://schemas.openxmlformats.org/officeDocument/2006/relationships/header" Target="header45.xml"/><Relationship Id="rId179" Type="http://schemas.openxmlformats.org/officeDocument/2006/relationships/header" Target="header47.xml"/><Relationship Id="rId195" Type="http://schemas.openxmlformats.org/officeDocument/2006/relationships/header" Target="header52.xml"/><Relationship Id="rId209" Type="http://schemas.openxmlformats.org/officeDocument/2006/relationships/footer" Target="footer72.xml"/><Relationship Id="rId190" Type="http://schemas.openxmlformats.org/officeDocument/2006/relationships/header" Target="header51.xml"/><Relationship Id="rId204" Type="http://schemas.openxmlformats.org/officeDocument/2006/relationships/header" Target="header57.xml"/><Relationship Id="rId220"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12.xml"/><Relationship Id="rId57" Type="http://schemas.openxmlformats.org/officeDocument/2006/relationships/oleObject" Target="embeddings/oleObject5.bin"/><Relationship Id="rId106" Type="http://schemas.openxmlformats.org/officeDocument/2006/relationships/image" Target="media/image22.wmf"/><Relationship Id="rId127" Type="http://schemas.openxmlformats.org/officeDocument/2006/relationships/oleObject" Target="embeddings/oleObject27.bin"/><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image" Target="media/image4.wmf"/><Relationship Id="rId73" Type="http://schemas.openxmlformats.org/officeDocument/2006/relationships/image" Target="media/image14.wmf"/><Relationship Id="rId78" Type="http://schemas.openxmlformats.org/officeDocument/2006/relationships/header" Target="header18.xml"/><Relationship Id="rId94" Type="http://schemas.openxmlformats.org/officeDocument/2006/relationships/header" Target="header23.xml"/><Relationship Id="rId99" Type="http://schemas.openxmlformats.org/officeDocument/2006/relationships/oleObject" Target="embeddings/oleObject20.bin"/><Relationship Id="rId101" Type="http://schemas.openxmlformats.org/officeDocument/2006/relationships/header" Target="header24.xml"/><Relationship Id="rId122" Type="http://schemas.openxmlformats.org/officeDocument/2006/relationships/footer" Target="footer37.xml"/><Relationship Id="rId143" Type="http://schemas.openxmlformats.org/officeDocument/2006/relationships/footer" Target="footer46.xml"/><Relationship Id="rId148" Type="http://schemas.openxmlformats.org/officeDocument/2006/relationships/image" Target="media/image33.png"/><Relationship Id="rId164" Type="http://schemas.openxmlformats.org/officeDocument/2006/relationships/image" Target="media/image35.wmf"/><Relationship Id="rId169" Type="http://schemas.openxmlformats.org/officeDocument/2006/relationships/header" Target="header43.xml"/><Relationship Id="rId185" Type="http://schemas.openxmlformats.org/officeDocument/2006/relationships/footer" Target="footer63.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60.xml"/><Relationship Id="rId210" Type="http://schemas.openxmlformats.org/officeDocument/2006/relationships/footer" Target="footer73.xml"/><Relationship Id="rId215" Type="http://schemas.openxmlformats.org/officeDocument/2006/relationships/header" Target="header62.xml"/><Relationship Id="rId26" Type="http://schemas.openxmlformats.org/officeDocument/2006/relationships/header" Target="header8.xml"/><Relationship Id="rId47" Type="http://schemas.openxmlformats.org/officeDocument/2006/relationships/header" Target="header17.xml"/><Relationship Id="rId68" Type="http://schemas.openxmlformats.org/officeDocument/2006/relationships/image" Target="media/image12.wmf"/><Relationship Id="rId89" Type="http://schemas.openxmlformats.org/officeDocument/2006/relationships/header" Target="header20.xml"/><Relationship Id="rId112" Type="http://schemas.openxmlformats.org/officeDocument/2006/relationships/footer" Target="footer34.xml"/><Relationship Id="rId133" Type="http://schemas.openxmlformats.org/officeDocument/2006/relationships/footer" Target="footer40.xml"/><Relationship Id="rId154" Type="http://schemas.openxmlformats.org/officeDocument/2006/relationships/oleObject" Target="embeddings/oleObject29.bin"/><Relationship Id="rId175" Type="http://schemas.openxmlformats.org/officeDocument/2006/relationships/footer" Target="footer57.xml"/><Relationship Id="rId196" Type="http://schemas.openxmlformats.org/officeDocument/2006/relationships/header" Target="header53.xml"/><Relationship Id="rId200" Type="http://schemas.openxmlformats.org/officeDocument/2006/relationships/header" Target="header55.xml"/><Relationship Id="rId16" Type="http://schemas.openxmlformats.org/officeDocument/2006/relationships/footer" Target="footer4.xml"/><Relationship Id="rId37" Type="http://schemas.openxmlformats.org/officeDocument/2006/relationships/header" Target="header13.xml"/><Relationship Id="rId58" Type="http://schemas.openxmlformats.org/officeDocument/2006/relationships/image" Target="media/image7.wmf"/><Relationship Id="rId79" Type="http://schemas.openxmlformats.org/officeDocument/2006/relationships/header" Target="header19.xml"/><Relationship Id="rId102" Type="http://schemas.openxmlformats.org/officeDocument/2006/relationships/header" Target="header25.xml"/><Relationship Id="rId123" Type="http://schemas.openxmlformats.org/officeDocument/2006/relationships/footer" Target="footer38.xml"/><Relationship Id="rId14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104006</Words>
  <Characters>476189</Characters>
  <Application>Microsoft Office Word</Application>
  <DocSecurity>0</DocSecurity>
  <Lines>20389</Lines>
  <Paragraphs>13592</Paragraphs>
  <ScaleCrop>false</ScaleCrop>
  <HeadingPairs>
    <vt:vector size="2" baseType="variant">
      <vt:variant>
        <vt:lpstr>Title</vt:lpstr>
      </vt:variant>
      <vt:variant>
        <vt:i4>1</vt:i4>
      </vt:variant>
    </vt:vector>
  </HeadingPairs>
  <TitlesOfParts>
    <vt:vector size="1" baseType="lpstr">
      <vt:lpstr>Scaffolding and Lifts Regulation 1950</vt:lpstr>
    </vt:vector>
  </TitlesOfParts>
  <Company>Section</Company>
  <LinksUpToDate>false</LinksUpToDate>
  <CharactersWithSpaces>570143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Scaffolding and Lifts Regulation 1950</dc:title>
  <dc:subject/>
  <dc:creator>ACT Government</dc:creator>
  <cp:keywords/>
  <dc:description/>
  <cp:lastModifiedBy>Moxon, Ann</cp:lastModifiedBy>
  <cp:revision>5</cp:revision>
  <cp:lastPrinted>2007-03-14T02:45:00Z</cp:lastPrinted>
  <dcterms:created xsi:type="dcterms:W3CDTF">2018-08-16T05:37:00Z</dcterms:created>
  <dcterms:modified xsi:type="dcterms:W3CDTF">2018-08-16T05:37:00Z</dcterms:modified>
  <cp:category>R4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ge">
    <vt:lpwstr> </vt:lpwstr>
  </property>
  <property fmtid="{D5CDD505-2E9C-101B-9397-08002B2CF9AE}" pid="3" name="Check">
    <vt:lpwstr> </vt:lpwstr>
  </property>
  <property fmtid="{D5CDD505-2E9C-101B-9397-08002B2CF9AE}" pid="4" name="Status">
    <vt:lpwstr> </vt:lpwstr>
  </property>
  <property fmtid="{D5CDD505-2E9C-101B-9397-08002B2CF9AE}" pid="5" name="RepubDt">
    <vt:lpwstr>12/04/07</vt:lpwstr>
  </property>
  <property fmtid="{D5CDD505-2E9C-101B-9397-08002B2CF9AE}" pid="6" name="Eff">
    <vt:lpwstr>Effective:  </vt:lpwstr>
  </property>
  <property fmtid="{D5CDD505-2E9C-101B-9397-08002B2CF9AE}" pid="7" name="StartDt">
    <vt:lpwstr>12/04/07</vt:lpwstr>
  </property>
  <property fmtid="{D5CDD505-2E9C-101B-9397-08002B2CF9AE}" pid="8" name="EndDt">
    <vt:lpwstr>-30/09/09</vt:lpwstr>
  </property>
  <property fmtid="{D5CDD505-2E9C-101B-9397-08002B2CF9AE}" pid="9" name="DMSID">
    <vt:lpwstr>625940</vt:lpwstr>
  </property>
  <property fmtid="{D5CDD505-2E9C-101B-9397-08002B2CF9AE}" pid="10" name="CHECKEDOUTFROMJMS">
    <vt:lpwstr/>
  </property>
  <property fmtid="{D5CDD505-2E9C-101B-9397-08002B2CF9AE}" pid="11" name="JMSREQUIREDCHECKIN">
    <vt:lpwstr/>
  </property>
</Properties>
</file>