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AC0A" w14:textId="77777777" w:rsidR="00633701" w:rsidRDefault="00633701" w:rsidP="00633701">
      <w:pPr>
        <w:jc w:val="center"/>
      </w:pPr>
      <w:r>
        <w:rPr>
          <w:noProof/>
        </w:rPr>
        <w:drawing>
          <wp:inline distT="0" distB="0" distL="0" distR="0" wp14:anchorId="7AE8238F" wp14:editId="36A92B4C">
            <wp:extent cx="1339850" cy="1178560"/>
            <wp:effectExtent l="0" t="0" r="0" b="2540"/>
            <wp:docPr id="649534058" name="Picture 649534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568CC4FD" w14:textId="77777777" w:rsidR="00633701" w:rsidRDefault="00633701" w:rsidP="00633701">
      <w:pPr>
        <w:jc w:val="center"/>
        <w:rPr>
          <w:rFonts w:ascii="Arial" w:hAnsi="Arial"/>
        </w:rPr>
      </w:pPr>
      <w:r>
        <w:rPr>
          <w:rFonts w:ascii="Arial" w:hAnsi="Arial"/>
        </w:rPr>
        <w:t>Australian Capital Territory</w:t>
      </w:r>
    </w:p>
    <w:p w14:paraId="716DF114" w14:textId="4E2C68B1" w:rsidR="00633701" w:rsidRDefault="00B22472" w:rsidP="00633701">
      <w:pPr>
        <w:pStyle w:val="citation"/>
      </w:pPr>
      <w:bookmarkStart w:id="0" w:name="Citation"/>
      <w:r w:rsidRPr="00B22472">
        <w:t>Epidemiological Studies (Confidentiality) Regulation</w:t>
      </w:r>
      <w:r w:rsidR="00484178">
        <w:t>s</w:t>
      </w:r>
      <w:r w:rsidRPr="00B22472">
        <w:t xml:space="preserve"> 1992</w:t>
      </w:r>
      <w:bookmarkEnd w:id="0"/>
      <w:r w:rsidR="00633701">
        <w:t xml:space="preserve"> </w:t>
      </w:r>
    </w:p>
    <w:p w14:paraId="21C67DEF" w14:textId="2F5434CE" w:rsidR="00633701" w:rsidRDefault="00633701" w:rsidP="00633701">
      <w:pPr>
        <w:pStyle w:val="ActNo"/>
      </w:pPr>
      <w:r>
        <w:t>SL19</w:t>
      </w:r>
      <w:r w:rsidR="00B22472">
        <w:t>92-24</w:t>
      </w:r>
    </w:p>
    <w:p w14:paraId="56DA026E" w14:textId="77777777" w:rsidR="00633701" w:rsidRDefault="00633701" w:rsidP="00633701">
      <w:pPr>
        <w:pStyle w:val="CoverInForce"/>
      </w:pPr>
      <w:r>
        <w:t>made under the</w:t>
      </w:r>
    </w:p>
    <w:p w14:paraId="1FA6804B" w14:textId="77777777" w:rsidR="00B22472" w:rsidRPr="00B22472" w:rsidRDefault="00B22472" w:rsidP="00B22472">
      <w:pPr>
        <w:pStyle w:val="CoverActName"/>
        <w:rPr>
          <w:rFonts w:ascii="Helvetica" w:hAnsi="Helvetica"/>
          <w:color w:val="000000"/>
        </w:rPr>
      </w:pPr>
      <w:r w:rsidRPr="00B22472">
        <w:rPr>
          <w:rFonts w:ascii="Helvetica" w:hAnsi="Helvetica"/>
          <w:color w:val="000000"/>
        </w:rPr>
        <w:t>Epidemiological Studies (Confidentiality) Act 1992</w:t>
      </w:r>
    </w:p>
    <w:p w14:paraId="72255C7F" w14:textId="386C9BE7" w:rsidR="00633701" w:rsidRDefault="00633701" w:rsidP="00633701">
      <w:pPr>
        <w:pStyle w:val="RepubNo"/>
      </w:pPr>
      <w:r>
        <w:t xml:space="preserve">Republication No </w:t>
      </w:r>
      <w:r w:rsidR="00B22472">
        <w:t>0</w:t>
      </w:r>
      <w:r>
        <w:t>A</w:t>
      </w:r>
    </w:p>
    <w:p w14:paraId="1E5A5F49" w14:textId="0A20EFE4" w:rsidR="00633701" w:rsidRDefault="00633701" w:rsidP="00633701">
      <w:pPr>
        <w:pStyle w:val="EffectiveDate"/>
      </w:pPr>
      <w:r>
        <w:t xml:space="preserve">Effective:  </w:t>
      </w:r>
      <w:r w:rsidR="00B22472">
        <w:t>3 November 1999</w:t>
      </w:r>
      <w:r>
        <w:t xml:space="preserve"> – </w:t>
      </w:r>
      <w:r w:rsidR="00B22472">
        <w:t>26 April</w:t>
      </w:r>
      <w:r>
        <w:t xml:space="preserve"> 2000</w:t>
      </w:r>
    </w:p>
    <w:p w14:paraId="0C0643C5" w14:textId="6DD8B747" w:rsidR="00633701" w:rsidRDefault="00633701" w:rsidP="00633701">
      <w:pPr>
        <w:pStyle w:val="CoverInForce"/>
      </w:pPr>
      <w:r>
        <w:t xml:space="preserve">Republication date: </w:t>
      </w:r>
      <w:r w:rsidR="00884980">
        <w:t xml:space="preserve">4 November </w:t>
      </w:r>
      <w:r w:rsidR="00B22472">
        <w:t>2024</w:t>
      </w:r>
      <w:r>
        <w:br/>
      </w:r>
    </w:p>
    <w:p w14:paraId="6762A4A5" w14:textId="342A1C9D" w:rsidR="00633701" w:rsidRDefault="00633701" w:rsidP="00633701">
      <w:pPr>
        <w:pStyle w:val="CoverInForce"/>
      </w:pPr>
      <w:r>
        <w:t>Last amendment made by SL</w:t>
      </w:r>
      <w:r w:rsidR="00B22472">
        <w:t>1999-28</w:t>
      </w:r>
    </w:p>
    <w:p w14:paraId="4E53441A" w14:textId="77777777" w:rsidR="00633701" w:rsidRDefault="00633701" w:rsidP="00633701"/>
    <w:p w14:paraId="6B688471" w14:textId="77777777" w:rsidR="00633701" w:rsidRDefault="00633701" w:rsidP="00633701"/>
    <w:p w14:paraId="23ADCB94" w14:textId="77777777" w:rsidR="00633701" w:rsidRDefault="00633701" w:rsidP="00633701">
      <w:pPr>
        <w:pStyle w:val="CoverHeading"/>
      </w:pPr>
      <w:r>
        <w:br w:type="page"/>
      </w:r>
      <w:r>
        <w:lastRenderedPageBreak/>
        <w:t>About this republication</w:t>
      </w:r>
    </w:p>
    <w:p w14:paraId="5D67AF3A" w14:textId="77777777" w:rsidR="00633701" w:rsidRDefault="00633701" w:rsidP="00633701">
      <w:pPr>
        <w:pStyle w:val="CoverSubHdg"/>
      </w:pPr>
      <w:r>
        <w:t>The republished law</w:t>
      </w:r>
    </w:p>
    <w:p w14:paraId="6DBA2254" w14:textId="18B9407F" w:rsidR="00633701" w:rsidRDefault="00633701" w:rsidP="00633701">
      <w:pPr>
        <w:pStyle w:val="CoverText"/>
      </w:pPr>
      <w:r>
        <w:t xml:space="preserve">This is a republication of the </w:t>
      </w:r>
      <w:r w:rsidR="00B22472" w:rsidRPr="00B22472">
        <w:rPr>
          <w:i/>
          <w:iCs/>
        </w:rPr>
        <w:t>Epidemiological Studies (Confidentiality) Regulation</w:t>
      </w:r>
      <w:r w:rsidR="00484178">
        <w:rPr>
          <w:i/>
          <w:iCs/>
        </w:rPr>
        <w:t>s</w:t>
      </w:r>
      <w:r w:rsidR="00B22472" w:rsidRPr="00B22472">
        <w:rPr>
          <w:i/>
          <w:iCs/>
        </w:rPr>
        <w:t xml:space="preserve"> 1992</w:t>
      </w:r>
      <w:r>
        <w:t xml:space="preserve"> effective from </w:t>
      </w:r>
      <w:r w:rsidR="00B22472">
        <w:t>3 November 1999</w:t>
      </w:r>
      <w:r>
        <w:t xml:space="preserve"> to </w:t>
      </w:r>
      <w:r w:rsidR="00E05FD9">
        <w:t>26 April</w:t>
      </w:r>
      <w:r>
        <w:t> 2000.</w:t>
      </w:r>
    </w:p>
    <w:p w14:paraId="18C3DDB0" w14:textId="77777777" w:rsidR="00633701" w:rsidRDefault="00633701" w:rsidP="00633701">
      <w:pPr>
        <w:pStyle w:val="CoverSubHdg"/>
      </w:pPr>
      <w:r>
        <w:t>Kinds of republications</w:t>
      </w:r>
    </w:p>
    <w:p w14:paraId="2D1C7571" w14:textId="77777777" w:rsidR="00633701" w:rsidRDefault="00633701" w:rsidP="00633701">
      <w:pPr>
        <w:pStyle w:val="CoverText"/>
      </w:pPr>
      <w:r>
        <w:t>The Parliamentary Counsel’s Office prepares 2 kinds of republications of ACT laws (see the ACT legislation register at www.legislation.act.gov.au):</w:t>
      </w:r>
    </w:p>
    <w:p w14:paraId="37D234FC" w14:textId="77777777" w:rsidR="00633701" w:rsidRDefault="00633701" w:rsidP="00633701">
      <w:pPr>
        <w:pStyle w:val="CoverText"/>
        <w:numPr>
          <w:ilvl w:val="0"/>
          <w:numId w:val="6"/>
        </w:numPr>
      </w:pPr>
      <w:r>
        <w:t xml:space="preserve">authorised republications to which the </w:t>
      </w:r>
      <w:r>
        <w:rPr>
          <w:i/>
        </w:rPr>
        <w:t>Legislation Act 2001</w:t>
      </w:r>
      <w:r>
        <w:t xml:space="preserve"> applies</w:t>
      </w:r>
    </w:p>
    <w:p w14:paraId="16478596" w14:textId="77777777" w:rsidR="00633701" w:rsidRDefault="00633701" w:rsidP="00633701">
      <w:pPr>
        <w:pStyle w:val="CoverText"/>
        <w:numPr>
          <w:ilvl w:val="0"/>
          <w:numId w:val="6"/>
        </w:numPr>
      </w:pPr>
      <w:r>
        <w:t>unauthorised republications.</w:t>
      </w:r>
    </w:p>
    <w:p w14:paraId="50DC7D65" w14:textId="77777777" w:rsidR="00633701" w:rsidRDefault="00633701" w:rsidP="00633701">
      <w:pPr>
        <w:pStyle w:val="CoverText"/>
      </w:pPr>
      <w:r>
        <w:t>The status of this republication appears on the bottom of each page.</w:t>
      </w:r>
    </w:p>
    <w:p w14:paraId="35C3647B" w14:textId="77777777" w:rsidR="00633701" w:rsidRDefault="00633701" w:rsidP="00633701">
      <w:pPr>
        <w:pStyle w:val="CoverSubHdg"/>
      </w:pPr>
      <w:r>
        <w:t>Editorial changes</w:t>
      </w:r>
    </w:p>
    <w:p w14:paraId="23F2A5E4" w14:textId="77777777" w:rsidR="00633701" w:rsidRDefault="00633701" w:rsidP="00633701">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14:paraId="2ED2E230" w14:textId="77777777" w:rsidR="00633701" w:rsidRDefault="00633701" w:rsidP="00633701">
      <w:pPr>
        <w:pStyle w:val="CoverText"/>
      </w:pPr>
    </w:p>
    <w:p w14:paraId="6B3C146A" w14:textId="77777777" w:rsidR="00633701" w:rsidRDefault="00633701" w:rsidP="00633701">
      <w:pPr>
        <w:pStyle w:val="00SigningPage"/>
        <w:sectPr w:rsidR="00633701" w:rsidSect="00633701">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3000" w:right="1900" w:bottom="2500" w:left="2300" w:header="2480" w:footer="2100" w:gutter="0"/>
          <w:pgNumType w:fmt="lowerRoman" w:start="1"/>
          <w:cols w:space="720"/>
          <w:titlePg/>
          <w:docGrid w:linePitch="254"/>
        </w:sectPr>
      </w:pPr>
    </w:p>
    <w:p w14:paraId="0C6558C1" w14:textId="77777777" w:rsidR="00E05FD9" w:rsidRDefault="00E05FD9" w:rsidP="00E05FD9">
      <w:pPr>
        <w:jc w:val="center"/>
      </w:pPr>
      <w:r>
        <w:rPr>
          <w:noProof/>
        </w:rPr>
        <w:lastRenderedPageBreak/>
        <w:drawing>
          <wp:inline distT="0" distB="0" distL="0" distR="0" wp14:anchorId="5C3E1AD7" wp14:editId="55987F1C">
            <wp:extent cx="1339850" cy="1178560"/>
            <wp:effectExtent l="0" t="0" r="0" b="2540"/>
            <wp:docPr id="1687484648" name="Picture 1687484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270A968B" w14:textId="77777777" w:rsidR="00E05FD9" w:rsidRDefault="00E05FD9" w:rsidP="00E05FD9">
      <w:pPr>
        <w:jc w:val="center"/>
        <w:rPr>
          <w:rFonts w:ascii="Arial" w:hAnsi="Arial"/>
        </w:rPr>
      </w:pPr>
      <w:r>
        <w:rPr>
          <w:rFonts w:ascii="Arial" w:hAnsi="Arial"/>
        </w:rPr>
        <w:t>Australian Capital Territory</w:t>
      </w:r>
    </w:p>
    <w:p w14:paraId="298DE657" w14:textId="77777777" w:rsidR="00AE6947" w:rsidRDefault="00AE6947">
      <w:pPr>
        <w:spacing w:after="300"/>
        <w:jc w:val="center"/>
        <w:rPr>
          <w:rFonts w:ascii="Helvetica" w:hAnsi="Helvetica"/>
          <w:b/>
          <w:caps/>
          <w:color w:val="000000"/>
          <w:sz w:val="28"/>
        </w:rPr>
      </w:pPr>
      <w:r>
        <w:rPr>
          <w:rFonts w:ascii="Helvetica" w:hAnsi="Helvetica"/>
          <w:b/>
          <w:caps/>
          <w:color w:val="000000"/>
          <w:sz w:val="28"/>
        </w:rPr>
        <w:t>epidemiological studies (confidentiality) regulations 1992</w:t>
      </w:r>
    </w:p>
    <w:p w14:paraId="43CA4E74" w14:textId="77777777" w:rsidR="00AE6947" w:rsidRPr="00484178" w:rsidRDefault="00AE6947">
      <w:pPr>
        <w:spacing w:after="200"/>
        <w:jc w:val="center"/>
        <w:rPr>
          <w:rFonts w:ascii="Arial" w:hAnsi="Arial" w:cs="Arial"/>
          <w:color w:val="000000"/>
          <w:sz w:val="20"/>
        </w:rPr>
      </w:pPr>
      <w:r w:rsidRPr="00484178">
        <w:rPr>
          <w:rFonts w:ascii="Arial" w:hAnsi="Arial" w:cs="Arial"/>
          <w:color w:val="000000"/>
          <w:sz w:val="20"/>
        </w:rPr>
        <w:t>This consolidation has been prepared by the ACT Parliamentary Counsel’s Office</w:t>
      </w:r>
    </w:p>
    <w:p w14:paraId="4330907B" w14:textId="77777777" w:rsidR="00AE6947" w:rsidRPr="00484178" w:rsidRDefault="00AE6947">
      <w:pPr>
        <w:spacing w:before="100" w:after="300"/>
        <w:jc w:val="center"/>
        <w:rPr>
          <w:rFonts w:ascii="Arial" w:hAnsi="Arial" w:cs="Arial"/>
          <w:caps/>
          <w:color w:val="000000"/>
          <w:sz w:val="20"/>
        </w:rPr>
      </w:pPr>
      <w:r w:rsidRPr="00484178">
        <w:rPr>
          <w:rFonts w:ascii="Arial" w:hAnsi="Arial" w:cs="Arial"/>
          <w:color w:val="000000"/>
          <w:sz w:val="20"/>
        </w:rPr>
        <w:t>Updated as at 3 November 1999</w:t>
      </w:r>
    </w:p>
    <w:p w14:paraId="39239E71" w14:textId="77777777" w:rsidR="00AE6947" w:rsidRPr="00484178" w:rsidRDefault="00AE6947">
      <w:pPr>
        <w:jc w:val="center"/>
        <w:rPr>
          <w:rFonts w:ascii="Arial" w:hAnsi="Arial" w:cs="Arial"/>
          <w:b/>
          <w:color w:val="000000"/>
          <w:sz w:val="20"/>
        </w:rPr>
      </w:pPr>
      <w:r w:rsidRPr="00484178">
        <w:rPr>
          <w:rFonts w:ascii="Arial" w:hAnsi="Arial" w:cs="Arial"/>
          <w:b/>
          <w:color w:val="000000"/>
          <w:sz w:val="20"/>
        </w:rPr>
        <w:t>TABLE OF PROVISIONS</w:t>
      </w:r>
    </w:p>
    <w:p w14:paraId="26823423" w14:textId="77777777" w:rsidR="00AE6947" w:rsidRPr="00484178" w:rsidRDefault="00AE6947">
      <w:pPr>
        <w:spacing w:before="200"/>
        <w:rPr>
          <w:rFonts w:ascii="Arial" w:hAnsi="Arial" w:cs="Arial"/>
          <w:color w:val="000000"/>
          <w:sz w:val="18"/>
        </w:rPr>
      </w:pPr>
      <w:r w:rsidRPr="00484178">
        <w:rPr>
          <w:rFonts w:ascii="Arial" w:hAnsi="Arial" w:cs="Arial"/>
          <w:color w:val="000000"/>
          <w:sz w:val="18"/>
        </w:rPr>
        <w:t>Regulation</w:t>
      </w:r>
    </w:p>
    <w:p w14:paraId="6C16E972" w14:textId="565144F7" w:rsidR="00AE6947" w:rsidRDefault="00AE6947">
      <w:pPr>
        <w:pStyle w:val="TOC3"/>
        <w:tabs>
          <w:tab w:val="left" w:pos="1120"/>
          <w:tab w:val="right" w:leader="dot" w:pos="6900"/>
        </w:tabs>
        <w:rPr>
          <w:noProof/>
          <w:color w:val="000000"/>
        </w:rPr>
      </w:pPr>
      <w:r>
        <w:rPr>
          <w:noProof/>
          <w:color w:val="000000"/>
        </w:rPr>
        <w:tab/>
        <w:t>1</w:t>
      </w:r>
      <w:r>
        <w:rPr>
          <w:noProof/>
          <w:color w:val="000000"/>
        </w:rPr>
        <w:tab/>
        <w:t>Name of regulations</w:t>
      </w:r>
    </w:p>
    <w:p w14:paraId="4606A63C" w14:textId="06CF91DF" w:rsidR="00AE6947" w:rsidRDefault="00AE6947">
      <w:pPr>
        <w:pStyle w:val="TOC3"/>
        <w:tabs>
          <w:tab w:val="left" w:pos="1120"/>
          <w:tab w:val="right" w:leader="dot" w:pos="6900"/>
        </w:tabs>
        <w:rPr>
          <w:noProof/>
          <w:color w:val="000000"/>
        </w:rPr>
      </w:pPr>
      <w:r>
        <w:rPr>
          <w:noProof/>
          <w:color w:val="000000"/>
        </w:rPr>
        <w:tab/>
        <w:t>2</w:t>
      </w:r>
      <w:r>
        <w:rPr>
          <w:noProof/>
          <w:color w:val="000000"/>
        </w:rPr>
        <w:tab/>
        <w:t>Commencement</w:t>
      </w:r>
    </w:p>
    <w:p w14:paraId="08243453" w14:textId="641BDF31" w:rsidR="00AE6947" w:rsidRDefault="00AE6947">
      <w:pPr>
        <w:pStyle w:val="TOC3"/>
        <w:tabs>
          <w:tab w:val="left" w:pos="1120"/>
          <w:tab w:val="right" w:leader="dot" w:pos="6900"/>
        </w:tabs>
        <w:rPr>
          <w:noProof/>
          <w:color w:val="000000"/>
        </w:rPr>
      </w:pPr>
      <w:r>
        <w:rPr>
          <w:noProof/>
          <w:color w:val="000000"/>
        </w:rPr>
        <w:tab/>
        <w:t>3</w:t>
      </w:r>
      <w:r>
        <w:rPr>
          <w:noProof/>
          <w:color w:val="000000"/>
        </w:rPr>
        <w:tab/>
        <w:t>Interpretation</w:t>
      </w:r>
    </w:p>
    <w:p w14:paraId="6FF81689" w14:textId="1C4E4A12" w:rsidR="00AE6947" w:rsidRDefault="00AE6947">
      <w:pPr>
        <w:pStyle w:val="TOC3"/>
        <w:tabs>
          <w:tab w:val="left" w:pos="1120"/>
          <w:tab w:val="right" w:leader="dot" w:pos="6900"/>
        </w:tabs>
        <w:rPr>
          <w:noProof/>
          <w:color w:val="000000"/>
        </w:rPr>
      </w:pPr>
      <w:r>
        <w:rPr>
          <w:noProof/>
          <w:color w:val="000000"/>
        </w:rPr>
        <w:tab/>
        <w:t>4</w:t>
      </w:r>
      <w:r>
        <w:rPr>
          <w:noProof/>
          <w:color w:val="000000"/>
        </w:rPr>
        <w:tab/>
        <w:t>Prescribed study—</w:t>
      </w:r>
      <w:r>
        <w:rPr>
          <w:color w:val="000000"/>
        </w:rPr>
        <w:t>controlled availability of opioids</w:t>
      </w:r>
    </w:p>
    <w:p w14:paraId="1B85836D" w14:textId="027C6444" w:rsidR="00AE6947" w:rsidRDefault="00AE6947">
      <w:pPr>
        <w:pStyle w:val="TOC3"/>
        <w:tabs>
          <w:tab w:val="left" w:pos="1120"/>
          <w:tab w:val="right" w:leader="dot" w:pos="6900"/>
        </w:tabs>
        <w:rPr>
          <w:color w:val="000000"/>
        </w:rPr>
      </w:pPr>
      <w:r>
        <w:rPr>
          <w:color w:val="000000"/>
        </w:rPr>
        <w:tab/>
        <w:t>5</w:t>
      </w:r>
      <w:r>
        <w:rPr>
          <w:color w:val="000000"/>
        </w:rPr>
        <w:tab/>
        <w:t>Prescribed study—parenting practices of drug users</w:t>
      </w:r>
    </w:p>
    <w:p w14:paraId="6C0FB799" w14:textId="791F425E" w:rsidR="00AE6947" w:rsidRDefault="00AE6947">
      <w:pPr>
        <w:pStyle w:val="TOC3"/>
        <w:tabs>
          <w:tab w:val="left" w:pos="1120"/>
          <w:tab w:val="right" w:leader="dot" w:pos="6900"/>
        </w:tabs>
        <w:rPr>
          <w:noProof/>
          <w:color w:val="000000"/>
        </w:rPr>
      </w:pPr>
      <w:r>
        <w:rPr>
          <w:color w:val="000000"/>
        </w:rPr>
        <w:tab/>
        <w:t>6</w:t>
      </w:r>
      <w:r>
        <w:rPr>
          <w:color w:val="000000"/>
        </w:rPr>
        <w:tab/>
        <w:t>Prescribed study—combating child abuse by drug users</w:t>
      </w:r>
    </w:p>
    <w:p w14:paraId="320361F8" w14:textId="77777777" w:rsidR="00AE6947" w:rsidRDefault="00AE6947">
      <w:pPr>
        <w:pBdr>
          <w:top w:val="single" w:sz="6" w:space="0" w:color="auto"/>
        </w:pBdr>
        <w:spacing w:before="240" w:after="0"/>
        <w:ind w:left="3000" w:right="3020"/>
        <w:rPr>
          <w:b/>
          <w:color w:val="000000"/>
        </w:rPr>
      </w:pPr>
    </w:p>
    <w:p w14:paraId="46D22476" w14:textId="77777777" w:rsidR="00AE6947" w:rsidRDefault="00AE6947">
      <w:pPr>
        <w:pStyle w:val="IH6sec"/>
        <w:rPr>
          <w:color w:val="000000"/>
        </w:rPr>
      </w:pPr>
      <w:bookmarkStart w:id="1" w:name="_Toc466429142"/>
      <w:r>
        <w:rPr>
          <w:color w:val="000000"/>
        </w:rPr>
        <w:t>1</w:t>
      </w:r>
      <w:r>
        <w:rPr>
          <w:color w:val="000000"/>
        </w:rPr>
        <w:tab/>
        <w:t>Name of regulations</w:t>
      </w:r>
    </w:p>
    <w:p w14:paraId="06CD93A5" w14:textId="77777777" w:rsidR="00AE6947" w:rsidRDefault="00AE6947">
      <w:pPr>
        <w:pStyle w:val="Amain"/>
        <w:rPr>
          <w:color w:val="000000"/>
        </w:rPr>
      </w:pPr>
      <w:r>
        <w:rPr>
          <w:color w:val="000000"/>
        </w:rPr>
        <w:tab/>
        <w:t xml:space="preserve">These regulations are the </w:t>
      </w:r>
      <w:r>
        <w:rPr>
          <w:i/>
          <w:color w:val="000000"/>
        </w:rPr>
        <w:t>Epidemiological Studies (Confidentiality) Regulations 1992</w:t>
      </w:r>
      <w:r>
        <w:rPr>
          <w:color w:val="000000"/>
        </w:rPr>
        <w:t>.</w:t>
      </w:r>
    </w:p>
    <w:p w14:paraId="17A5CD14" w14:textId="77777777" w:rsidR="00AE6947" w:rsidRDefault="00AE6947">
      <w:pPr>
        <w:pStyle w:val="AH3sec"/>
        <w:rPr>
          <w:color w:val="000000"/>
        </w:rPr>
      </w:pPr>
      <w:r>
        <w:rPr>
          <w:color w:val="000000"/>
        </w:rPr>
        <w:t>2</w:t>
      </w:r>
      <w:r>
        <w:rPr>
          <w:color w:val="000000"/>
        </w:rPr>
        <w:tab/>
        <w:t>Commencement</w:t>
      </w:r>
      <w:bookmarkEnd w:id="1"/>
    </w:p>
    <w:p w14:paraId="4EB92B37" w14:textId="77777777" w:rsidR="00AE6947" w:rsidRDefault="00AE6947">
      <w:pPr>
        <w:pStyle w:val="Amain"/>
        <w:rPr>
          <w:color w:val="000000"/>
        </w:rPr>
      </w:pPr>
      <w:r>
        <w:rPr>
          <w:color w:val="000000"/>
        </w:rPr>
        <w:tab/>
        <w:t xml:space="preserve">These Regulations commence on the day on which they are notified in the </w:t>
      </w:r>
      <w:r>
        <w:rPr>
          <w:i/>
          <w:color w:val="000000"/>
        </w:rPr>
        <w:t>Gazette</w:t>
      </w:r>
      <w:r>
        <w:rPr>
          <w:color w:val="000000"/>
        </w:rPr>
        <w:t>.</w:t>
      </w:r>
      <w:r>
        <w:rPr>
          <w:color w:val="000000"/>
          <w:position w:val="10"/>
          <w:sz w:val="12"/>
        </w:rPr>
        <w:t>1</w:t>
      </w:r>
    </w:p>
    <w:p w14:paraId="30BBCA9A" w14:textId="77777777" w:rsidR="00AE6947" w:rsidRDefault="00AE6947">
      <w:pPr>
        <w:pStyle w:val="AH3sec"/>
        <w:rPr>
          <w:color w:val="000000"/>
        </w:rPr>
      </w:pPr>
      <w:bookmarkStart w:id="2" w:name="_Toc466429143"/>
      <w:r>
        <w:rPr>
          <w:color w:val="000000"/>
        </w:rPr>
        <w:t>3</w:t>
      </w:r>
      <w:r>
        <w:rPr>
          <w:color w:val="000000"/>
        </w:rPr>
        <w:tab/>
        <w:t>Interpretation</w:t>
      </w:r>
      <w:bookmarkEnd w:id="2"/>
    </w:p>
    <w:p w14:paraId="2F5845D2" w14:textId="77777777" w:rsidR="00AE6947" w:rsidRDefault="00AE6947">
      <w:pPr>
        <w:pStyle w:val="Amain"/>
        <w:rPr>
          <w:color w:val="000000"/>
        </w:rPr>
      </w:pPr>
      <w:r>
        <w:rPr>
          <w:color w:val="000000"/>
        </w:rPr>
        <w:tab/>
        <w:t>In these Regulations, unless the contrary intention appears—</w:t>
      </w:r>
    </w:p>
    <w:p w14:paraId="687B54E4" w14:textId="77777777" w:rsidR="00AE6947" w:rsidRDefault="00AE6947">
      <w:pPr>
        <w:pStyle w:val="def"/>
        <w:rPr>
          <w:color w:val="000000"/>
        </w:rPr>
      </w:pPr>
      <w:r>
        <w:rPr>
          <w:b/>
          <w:i/>
          <w:color w:val="000000"/>
        </w:rPr>
        <w:t>the Act</w:t>
      </w:r>
      <w:r>
        <w:rPr>
          <w:color w:val="000000"/>
        </w:rPr>
        <w:t xml:space="preserve"> means the </w:t>
      </w:r>
      <w:r>
        <w:rPr>
          <w:i/>
          <w:color w:val="000000"/>
        </w:rPr>
        <w:t>Epidemiological Studies (Confidentiality) Act 1992</w:t>
      </w:r>
      <w:r>
        <w:rPr>
          <w:color w:val="000000"/>
        </w:rPr>
        <w:t>.</w:t>
      </w:r>
    </w:p>
    <w:p w14:paraId="5E74933B" w14:textId="77777777" w:rsidR="00AE6947" w:rsidRDefault="00AE6947">
      <w:pPr>
        <w:pStyle w:val="AH3sec"/>
        <w:rPr>
          <w:color w:val="000000"/>
        </w:rPr>
      </w:pPr>
      <w:bookmarkStart w:id="3" w:name="_Toc466429144"/>
      <w:r>
        <w:rPr>
          <w:color w:val="000000"/>
        </w:rPr>
        <w:lastRenderedPageBreak/>
        <w:t>4</w:t>
      </w:r>
      <w:r>
        <w:rPr>
          <w:color w:val="000000"/>
        </w:rPr>
        <w:tab/>
      </w:r>
      <w:bookmarkEnd w:id="3"/>
      <w:r>
        <w:rPr>
          <w:color w:val="000000"/>
        </w:rPr>
        <w:t>Prescribed study—controlled availability of opioids</w:t>
      </w:r>
    </w:p>
    <w:p w14:paraId="3941278F" w14:textId="77777777" w:rsidR="00AE6947" w:rsidRDefault="00AE6947">
      <w:pPr>
        <w:pStyle w:val="Amain"/>
        <w:rPr>
          <w:color w:val="000000"/>
        </w:rPr>
      </w:pPr>
      <w:r>
        <w:rPr>
          <w:b/>
          <w:color w:val="000000"/>
        </w:rPr>
        <w:t>(1)</w:t>
      </w:r>
      <w:r>
        <w:rPr>
          <w:color w:val="000000"/>
        </w:rPr>
        <w:tab/>
        <w:t xml:space="preserve">For the purposes of paragraph (b) of the definition of </w:t>
      </w:r>
      <w:r>
        <w:rPr>
          <w:b/>
          <w:i/>
          <w:color w:val="000000"/>
        </w:rPr>
        <w:t>prescribed study</w:t>
      </w:r>
      <w:r>
        <w:rPr>
          <w:color w:val="000000"/>
        </w:rPr>
        <w:t xml:space="preserve"> in subsection 3 (1) of the Act, the Territory epidemiological study known as the Feasibility Research into the Controlled Availability of Opioids, being the study—</w:t>
      </w:r>
    </w:p>
    <w:p w14:paraId="13976CB9" w14:textId="77777777" w:rsidR="00AE6947" w:rsidRPr="00E05FD9" w:rsidRDefault="00AE6947">
      <w:pPr>
        <w:pStyle w:val="aindent"/>
        <w:rPr>
          <w:rFonts w:ascii="Times New Roman" w:hAnsi="Times New Roman"/>
          <w:color w:val="000000"/>
          <w:sz w:val="24"/>
          <w:szCs w:val="24"/>
        </w:rPr>
      </w:pPr>
      <w:r w:rsidRPr="00E05FD9">
        <w:rPr>
          <w:rFonts w:ascii="Times New Roman" w:hAnsi="Times New Roman"/>
          <w:color w:val="000000"/>
          <w:sz w:val="24"/>
          <w:szCs w:val="24"/>
        </w:rPr>
        <w:tab/>
        <w:t>(a)</w:t>
      </w:r>
      <w:r w:rsidRPr="00E05FD9">
        <w:rPr>
          <w:rFonts w:ascii="Times New Roman" w:hAnsi="Times New Roman"/>
          <w:color w:val="000000"/>
          <w:sz w:val="24"/>
          <w:szCs w:val="24"/>
        </w:rPr>
        <w:tab/>
        <w:t>in relation to the feasibility of a trial of providing opioids in a controlled manner to users of opioids in the Territory;</w:t>
      </w:r>
    </w:p>
    <w:p w14:paraId="3332AB88" w14:textId="77777777" w:rsidR="00AE6947" w:rsidRPr="00E05FD9" w:rsidRDefault="00AE6947">
      <w:pPr>
        <w:pStyle w:val="aindent"/>
        <w:rPr>
          <w:rFonts w:ascii="Times New Roman" w:hAnsi="Times New Roman"/>
          <w:color w:val="000000"/>
          <w:sz w:val="24"/>
          <w:szCs w:val="24"/>
        </w:rPr>
      </w:pPr>
      <w:r w:rsidRPr="00E05FD9">
        <w:rPr>
          <w:rFonts w:ascii="Times New Roman" w:hAnsi="Times New Roman"/>
          <w:color w:val="000000"/>
          <w:sz w:val="24"/>
          <w:szCs w:val="24"/>
        </w:rPr>
        <w:tab/>
        <w:t>(b)</w:t>
      </w:r>
      <w:r w:rsidRPr="00E05FD9">
        <w:rPr>
          <w:rFonts w:ascii="Times New Roman" w:hAnsi="Times New Roman"/>
          <w:color w:val="000000"/>
          <w:sz w:val="24"/>
          <w:szCs w:val="24"/>
        </w:rPr>
        <w:tab/>
        <w:t>that is conducted jointly by the National Centre for Epidemiology and Population Health and the Australian Institute of Criminology; and</w:t>
      </w:r>
    </w:p>
    <w:p w14:paraId="39EB4E55" w14:textId="77777777" w:rsidR="00AE6947" w:rsidRPr="00E05FD9" w:rsidRDefault="00AE6947">
      <w:pPr>
        <w:pStyle w:val="aindent"/>
        <w:rPr>
          <w:rFonts w:ascii="Times New Roman" w:hAnsi="Times New Roman"/>
          <w:color w:val="000000"/>
          <w:sz w:val="24"/>
          <w:szCs w:val="24"/>
        </w:rPr>
      </w:pPr>
      <w:r w:rsidRPr="00E05FD9">
        <w:rPr>
          <w:rFonts w:ascii="Times New Roman" w:hAnsi="Times New Roman"/>
          <w:color w:val="000000"/>
          <w:sz w:val="24"/>
          <w:szCs w:val="24"/>
        </w:rPr>
        <w:tab/>
        <w:t>(c)</w:t>
      </w:r>
      <w:r w:rsidRPr="00E05FD9">
        <w:rPr>
          <w:rFonts w:ascii="Times New Roman" w:hAnsi="Times New Roman"/>
          <w:color w:val="000000"/>
          <w:sz w:val="24"/>
          <w:szCs w:val="24"/>
        </w:rPr>
        <w:tab/>
        <w:t>that commenced in May 1991;</w:t>
      </w:r>
    </w:p>
    <w:p w14:paraId="1328E920" w14:textId="77777777" w:rsidR="00AE6947" w:rsidRDefault="00AE6947">
      <w:pPr>
        <w:pStyle w:val="fullout"/>
        <w:rPr>
          <w:color w:val="000000"/>
        </w:rPr>
      </w:pPr>
      <w:r>
        <w:rPr>
          <w:color w:val="000000"/>
        </w:rPr>
        <w:t>is declared to be a study to which the Act applies.</w:t>
      </w:r>
    </w:p>
    <w:p w14:paraId="238426BA" w14:textId="77777777" w:rsidR="00AE6947" w:rsidRDefault="00AE6947">
      <w:pPr>
        <w:pStyle w:val="allsections"/>
        <w:ind w:firstLine="0"/>
        <w:rPr>
          <w:color w:val="000000"/>
        </w:rPr>
      </w:pPr>
      <w:r>
        <w:rPr>
          <w:b/>
          <w:color w:val="000000"/>
        </w:rPr>
        <w:t>(2)</w:t>
      </w:r>
      <w:r>
        <w:rPr>
          <w:color w:val="000000"/>
        </w:rPr>
        <w:tab/>
        <w:t xml:space="preserve">In </w:t>
      </w:r>
      <w:proofErr w:type="spellStart"/>
      <w:r>
        <w:rPr>
          <w:color w:val="000000"/>
        </w:rPr>
        <w:t>subregulation</w:t>
      </w:r>
      <w:proofErr w:type="spellEnd"/>
      <w:r>
        <w:rPr>
          <w:color w:val="000000"/>
        </w:rPr>
        <w:t xml:space="preserve"> (1)—</w:t>
      </w:r>
      <w:bookmarkStart w:id="4" w:name="qStart"/>
      <w:bookmarkStart w:id="5" w:name="qEnd"/>
      <w:bookmarkEnd w:id="4"/>
      <w:bookmarkEnd w:id="5"/>
      <w:r>
        <w:rPr>
          <w:color w:val="000000"/>
        </w:rPr>
        <w:t xml:space="preserve"> </w:t>
      </w:r>
    </w:p>
    <w:p w14:paraId="1FCE6698" w14:textId="77777777" w:rsidR="00AE6947" w:rsidRDefault="00AE6947">
      <w:pPr>
        <w:pStyle w:val="def"/>
        <w:rPr>
          <w:color w:val="000000"/>
        </w:rPr>
      </w:pPr>
      <w:r>
        <w:rPr>
          <w:b/>
          <w:i/>
          <w:color w:val="000000"/>
        </w:rPr>
        <w:t>opioid</w:t>
      </w:r>
      <w:r>
        <w:rPr>
          <w:color w:val="000000"/>
        </w:rPr>
        <w:t xml:space="preserve"> means—</w:t>
      </w:r>
    </w:p>
    <w:p w14:paraId="4C429176" w14:textId="77777777" w:rsidR="00AE6947" w:rsidRDefault="00AE6947">
      <w:pPr>
        <w:pStyle w:val="defaindent"/>
        <w:rPr>
          <w:color w:val="000000"/>
        </w:rPr>
      </w:pPr>
      <w:r>
        <w:rPr>
          <w:color w:val="000000"/>
        </w:rPr>
        <w:tab/>
        <w:t>(a)</w:t>
      </w:r>
      <w:r>
        <w:rPr>
          <w:color w:val="000000"/>
        </w:rPr>
        <w:tab/>
        <w:t>opium; or</w:t>
      </w:r>
    </w:p>
    <w:p w14:paraId="30D33735" w14:textId="77777777" w:rsidR="00AE6947" w:rsidRDefault="00AE6947">
      <w:pPr>
        <w:pStyle w:val="defaindent"/>
        <w:rPr>
          <w:color w:val="000000"/>
        </w:rPr>
      </w:pPr>
      <w:r>
        <w:rPr>
          <w:color w:val="000000"/>
        </w:rPr>
        <w:tab/>
        <w:t>(b)</w:t>
      </w:r>
      <w:r>
        <w:rPr>
          <w:color w:val="000000"/>
        </w:rPr>
        <w:tab/>
        <w:t>a drug that has a morphine-like pharmacological effect, being a synthetic or semi-synthetic drug or an opium derivative.</w:t>
      </w:r>
    </w:p>
    <w:p w14:paraId="31F9AFD7" w14:textId="77777777" w:rsidR="00AE6947" w:rsidRDefault="00AE6947">
      <w:pPr>
        <w:pStyle w:val="IH6sec"/>
        <w:rPr>
          <w:color w:val="000000"/>
        </w:rPr>
      </w:pPr>
      <w:r>
        <w:rPr>
          <w:color w:val="000000"/>
        </w:rPr>
        <w:t>5</w:t>
      </w:r>
      <w:r>
        <w:rPr>
          <w:color w:val="000000"/>
        </w:rPr>
        <w:tab/>
        <w:t>Prescribed study—parenting practices of drug users</w:t>
      </w:r>
    </w:p>
    <w:p w14:paraId="52DB9ECD" w14:textId="77777777" w:rsidR="00AE6947" w:rsidRDefault="00AE6947">
      <w:pPr>
        <w:pStyle w:val="Amain"/>
        <w:rPr>
          <w:color w:val="000000"/>
        </w:rPr>
      </w:pPr>
      <w:r>
        <w:rPr>
          <w:color w:val="000000"/>
        </w:rPr>
        <w:tab/>
        <w:t xml:space="preserve">For paragraph (b) of the definition of </w:t>
      </w:r>
      <w:r>
        <w:rPr>
          <w:b/>
          <w:i/>
          <w:color w:val="000000"/>
        </w:rPr>
        <w:t>prescribed study</w:t>
      </w:r>
      <w:r>
        <w:rPr>
          <w:color w:val="000000"/>
        </w:rPr>
        <w:t xml:space="preserve"> in subsection 3 (1) of the Act, the Territory epidemiological study known as </w:t>
      </w:r>
      <w:r>
        <w:rPr>
          <w:i/>
          <w:color w:val="000000"/>
        </w:rPr>
        <w:t>Parenting in the Socio-cultural Context of Illicit Drug or Harmful Alcohol Use</w:t>
      </w:r>
      <w:r>
        <w:rPr>
          <w:color w:val="000000"/>
        </w:rPr>
        <w:t xml:space="preserve"> that—</w:t>
      </w:r>
    </w:p>
    <w:p w14:paraId="4E67F431" w14:textId="77777777" w:rsidR="00AE6947" w:rsidRDefault="00AE6947">
      <w:pPr>
        <w:pStyle w:val="Apara"/>
        <w:rPr>
          <w:color w:val="000000"/>
        </w:rPr>
      </w:pPr>
      <w:r>
        <w:rPr>
          <w:color w:val="000000"/>
        </w:rPr>
        <w:tab/>
        <w:t>(a)</w:t>
      </w:r>
      <w:r>
        <w:rPr>
          <w:color w:val="000000"/>
        </w:rPr>
        <w:tab/>
        <w:t>relates to the parenting ideas and practices of different groups of women, including illicit drug users; and</w:t>
      </w:r>
    </w:p>
    <w:p w14:paraId="050FCDDA" w14:textId="77777777" w:rsidR="00AE6947" w:rsidRDefault="00AE6947">
      <w:pPr>
        <w:pStyle w:val="Apara"/>
        <w:rPr>
          <w:color w:val="000000"/>
        </w:rPr>
      </w:pPr>
      <w:r>
        <w:rPr>
          <w:color w:val="000000"/>
        </w:rPr>
        <w:tab/>
        <w:t>(b)</w:t>
      </w:r>
      <w:r>
        <w:rPr>
          <w:color w:val="000000"/>
        </w:rPr>
        <w:tab/>
        <w:t>is conducted by the National Centre for Epidemiology and Population Health; and</w:t>
      </w:r>
    </w:p>
    <w:p w14:paraId="4A58D3B3" w14:textId="77777777" w:rsidR="00AE6947" w:rsidRDefault="00AE6947">
      <w:pPr>
        <w:pStyle w:val="Apara"/>
        <w:rPr>
          <w:color w:val="000000"/>
        </w:rPr>
      </w:pPr>
      <w:r>
        <w:rPr>
          <w:color w:val="000000"/>
        </w:rPr>
        <w:tab/>
        <w:t>(c)</w:t>
      </w:r>
      <w:r>
        <w:rPr>
          <w:color w:val="000000"/>
        </w:rPr>
        <w:tab/>
        <w:t>began in September 1998;</w:t>
      </w:r>
    </w:p>
    <w:p w14:paraId="4CBE5A03" w14:textId="77777777" w:rsidR="00AE6947" w:rsidRDefault="00AE6947">
      <w:pPr>
        <w:pStyle w:val="Amain"/>
        <w:rPr>
          <w:color w:val="000000"/>
        </w:rPr>
      </w:pPr>
      <w:r>
        <w:rPr>
          <w:color w:val="000000"/>
        </w:rPr>
        <w:t xml:space="preserve">is declared to be a study to which the Act applies. </w:t>
      </w:r>
    </w:p>
    <w:p w14:paraId="3D8FF2B7" w14:textId="77777777" w:rsidR="00AE6947" w:rsidRDefault="00AE6947">
      <w:pPr>
        <w:pStyle w:val="IH6sec"/>
        <w:rPr>
          <w:color w:val="000000"/>
        </w:rPr>
      </w:pPr>
      <w:r>
        <w:rPr>
          <w:color w:val="000000"/>
        </w:rPr>
        <w:lastRenderedPageBreak/>
        <w:t>6</w:t>
      </w:r>
      <w:r>
        <w:rPr>
          <w:color w:val="000000"/>
        </w:rPr>
        <w:tab/>
        <w:t>Prescribed study—combating child abuse by drug users</w:t>
      </w:r>
    </w:p>
    <w:p w14:paraId="565F3736" w14:textId="77777777" w:rsidR="00AE6947" w:rsidRDefault="00AE6947" w:rsidP="00AE6947">
      <w:pPr>
        <w:pStyle w:val="Amain"/>
        <w:keepNext/>
        <w:keepLines/>
        <w:rPr>
          <w:color w:val="000000"/>
        </w:rPr>
      </w:pPr>
      <w:r>
        <w:rPr>
          <w:color w:val="000000"/>
        </w:rPr>
        <w:tab/>
        <w:t xml:space="preserve">For paragraph (b) of the definition of </w:t>
      </w:r>
      <w:r>
        <w:rPr>
          <w:b/>
          <w:i/>
          <w:color w:val="000000"/>
        </w:rPr>
        <w:t>prescribed study</w:t>
      </w:r>
      <w:r>
        <w:rPr>
          <w:color w:val="000000"/>
        </w:rPr>
        <w:t xml:space="preserve"> in subsection 3 (1) of the Act, the Territory epidemiological study known as </w:t>
      </w:r>
      <w:r>
        <w:rPr>
          <w:i/>
          <w:color w:val="000000"/>
        </w:rPr>
        <w:t>An Evaluation of an Intervention Program to Combat Child Abuse and Neglect and to Provide Health Promotion for Children of Drug Users</w:t>
      </w:r>
      <w:r>
        <w:rPr>
          <w:color w:val="000000"/>
        </w:rPr>
        <w:t xml:space="preserve"> that—</w:t>
      </w:r>
    </w:p>
    <w:p w14:paraId="1DD5FF91" w14:textId="77777777" w:rsidR="00AE6947" w:rsidRDefault="00AE6947">
      <w:pPr>
        <w:pStyle w:val="Apara"/>
        <w:rPr>
          <w:color w:val="000000"/>
        </w:rPr>
      </w:pPr>
      <w:r>
        <w:rPr>
          <w:color w:val="000000"/>
        </w:rPr>
        <w:tab/>
        <w:t>(a)</w:t>
      </w:r>
      <w:r>
        <w:rPr>
          <w:color w:val="000000"/>
        </w:rPr>
        <w:tab/>
        <w:t>relates to—</w:t>
      </w:r>
    </w:p>
    <w:p w14:paraId="35BA1533" w14:textId="77777777" w:rsidR="00AE6947" w:rsidRDefault="00AE6947">
      <w:pPr>
        <w:pStyle w:val="Asubpara"/>
        <w:rPr>
          <w:color w:val="000000"/>
        </w:rPr>
      </w:pPr>
      <w:r>
        <w:rPr>
          <w:color w:val="000000"/>
        </w:rPr>
        <w:tab/>
        <w:t>(</w:t>
      </w:r>
      <w:proofErr w:type="spellStart"/>
      <w:r>
        <w:rPr>
          <w:color w:val="000000"/>
        </w:rPr>
        <w:t>i</w:t>
      </w:r>
      <w:proofErr w:type="spellEnd"/>
      <w:r>
        <w:rPr>
          <w:color w:val="000000"/>
        </w:rPr>
        <w:t>)</w:t>
      </w:r>
      <w:r>
        <w:rPr>
          <w:color w:val="000000"/>
        </w:rPr>
        <w:tab/>
        <w:t>the factors responsible for the incidence and distribution of child abuse among drug users; and</w:t>
      </w:r>
    </w:p>
    <w:p w14:paraId="3ECC0FDB" w14:textId="77777777" w:rsidR="00AE6947" w:rsidRDefault="00AE6947">
      <w:pPr>
        <w:pStyle w:val="Asubpara"/>
        <w:rPr>
          <w:color w:val="000000"/>
        </w:rPr>
      </w:pPr>
      <w:r>
        <w:rPr>
          <w:color w:val="000000"/>
        </w:rPr>
        <w:tab/>
        <w:t>(ii)</w:t>
      </w:r>
      <w:r>
        <w:rPr>
          <w:color w:val="000000"/>
        </w:rPr>
        <w:tab/>
        <w:t>the effectiveness of a program to combat child abuse and neglect by drug users and to provide health promotion for the children of drug users; and</w:t>
      </w:r>
    </w:p>
    <w:p w14:paraId="35892597" w14:textId="77777777" w:rsidR="00AE6947" w:rsidRDefault="00AE6947">
      <w:pPr>
        <w:pStyle w:val="Apara"/>
        <w:rPr>
          <w:color w:val="000000"/>
        </w:rPr>
      </w:pPr>
      <w:r>
        <w:rPr>
          <w:color w:val="000000"/>
        </w:rPr>
        <w:tab/>
        <w:t>(b)</w:t>
      </w:r>
      <w:r>
        <w:rPr>
          <w:color w:val="000000"/>
        </w:rPr>
        <w:tab/>
        <w:t>is conducted by the National Centre for Epidemiology and Population Health; and</w:t>
      </w:r>
    </w:p>
    <w:p w14:paraId="6973F44F" w14:textId="77777777" w:rsidR="00AE6947" w:rsidRDefault="00AE6947">
      <w:pPr>
        <w:pStyle w:val="Apara"/>
        <w:rPr>
          <w:color w:val="000000"/>
        </w:rPr>
      </w:pPr>
      <w:r>
        <w:rPr>
          <w:color w:val="000000"/>
        </w:rPr>
        <w:tab/>
        <w:t>(c)</w:t>
      </w:r>
      <w:r>
        <w:rPr>
          <w:color w:val="000000"/>
        </w:rPr>
        <w:tab/>
        <w:t>began in December 1998;</w:t>
      </w:r>
    </w:p>
    <w:p w14:paraId="20706E77" w14:textId="77777777" w:rsidR="00AE6947" w:rsidRDefault="00AE6947">
      <w:pPr>
        <w:pStyle w:val="Amain"/>
        <w:rPr>
          <w:color w:val="000000"/>
        </w:rPr>
      </w:pPr>
      <w:r>
        <w:rPr>
          <w:color w:val="000000"/>
        </w:rPr>
        <w:t>is declared to be a study to which the Act applies.</w:t>
      </w:r>
    </w:p>
    <w:p w14:paraId="144A9710" w14:textId="77777777" w:rsidR="00AE6947" w:rsidRDefault="00AE6947">
      <w:pPr>
        <w:keepNext/>
        <w:tabs>
          <w:tab w:val="right" w:pos="7200"/>
        </w:tabs>
        <w:rPr>
          <w:color w:val="000000"/>
          <w:sz w:val="20"/>
        </w:rPr>
      </w:pPr>
      <w:r>
        <w:rPr>
          <w:color w:val="000000"/>
          <w:sz w:val="20"/>
          <w:u w:val="single"/>
        </w:rPr>
        <w:tab/>
      </w:r>
    </w:p>
    <w:p w14:paraId="771D2516" w14:textId="77777777" w:rsidR="00AE6947" w:rsidRDefault="00AE6947">
      <w:pPr>
        <w:spacing w:after="0" w:line="240" w:lineRule="auto"/>
        <w:rPr>
          <w:rFonts w:ascii="Helvetica" w:hAnsi="Helvetica"/>
          <w:b/>
          <w:color w:val="000000"/>
          <w:sz w:val="20"/>
        </w:rPr>
      </w:pPr>
      <w:r>
        <w:rPr>
          <w:rFonts w:ascii="Helvetica" w:hAnsi="Helvetica"/>
          <w:b/>
          <w:color w:val="000000"/>
          <w:sz w:val="20"/>
        </w:rPr>
        <w:br w:type="page"/>
      </w:r>
    </w:p>
    <w:p w14:paraId="0C91ED66" w14:textId="170A098D" w:rsidR="00AE6947" w:rsidRDefault="00AE6947">
      <w:pPr>
        <w:jc w:val="center"/>
        <w:rPr>
          <w:rFonts w:ascii="Helvetica" w:hAnsi="Helvetica"/>
          <w:b/>
          <w:color w:val="000000"/>
          <w:sz w:val="20"/>
        </w:rPr>
      </w:pPr>
      <w:r>
        <w:rPr>
          <w:rFonts w:ascii="Helvetica" w:hAnsi="Helvetica"/>
          <w:b/>
          <w:color w:val="000000"/>
          <w:sz w:val="20"/>
        </w:rPr>
        <w:lastRenderedPageBreak/>
        <w:t>NOTE</w:t>
      </w:r>
    </w:p>
    <w:p w14:paraId="554D1874" w14:textId="77777777" w:rsidR="00AE6947" w:rsidRDefault="00AE6947">
      <w:pPr>
        <w:tabs>
          <w:tab w:val="right" w:pos="7220"/>
        </w:tabs>
        <w:ind w:left="400" w:hanging="400"/>
        <w:rPr>
          <w:color w:val="000000"/>
          <w:sz w:val="20"/>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Epidemiological Studies (Confidentiality) Regulations 1992 (in force under the Epidemiological Studies (Confidentiality) Act 1992</w:t>
      </w:r>
      <w:r>
        <w:rPr>
          <w:rFonts w:ascii="Helvetica" w:hAnsi="Helvetica"/>
          <w:color w:val="000000"/>
          <w:sz w:val="18"/>
        </w:rPr>
        <w:t>) as shown in this reprint comprise Subordinate Law No. 24, 1992 amended as indicated in the Tables below.</w:t>
      </w:r>
    </w:p>
    <w:p w14:paraId="09AFEF0A" w14:textId="77777777" w:rsidR="00AE6947" w:rsidRDefault="00AE6947">
      <w:pPr>
        <w:spacing w:before="200" w:after="120"/>
        <w:ind w:right="20"/>
        <w:jc w:val="center"/>
        <w:rPr>
          <w:rFonts w:ascii="Helvetica" w:hAnsi="Helvetica"/>
          <w:b/>
          <w:color w:val="000000"/>
          <w:sz w:val="20"/>
        </w:rPr>
      </w:pPr>
      <w:r>
        <w:rPr>
          <w:rFonts w:ascii="Helvetica" w:hAnsi="Helvetica"/>
          <w:b/>
          <w:color w:val="000000"/>
          <w:sz w:val="20"/>
        </w:rPr>
        <w:t>Table of Subordinate Laws</w:t>
      </w:r>
    </w:p>
    <w:tbl>
      <w:tblPr>
        <w:tblW w:w="0" w:type="auto"/>
        <w:tblInd w:w="100" w:type="dxa"/>
        <w:tblLayout w:type="fixed"/>
        <w:tblCellMar>
          <w:left w:w="80" w:type="dxa"/>
          <w:right w:w="80" w:type="dxa"/>
        </w:tblCellMar>
        <w:tblLook w:val="0000" w:firstRow="0" w:lastRow="0" w:firstColumn="0" w:lastColumn="0" w:noHBand="0" w:noVBand="0"/>
      </w:tblPr>
      <w:tblGrid>
        <w:gridCol w:w="1500"/>
        <w:gridCol w:w="1680"/>
        <w:gridCol w:w="1560"/>
        <w:gridCol w:w="1300"/>
        <w:gridCol w:w="1100"/>
      </w:tblGrid>
      <w:tr w:rsidR="00183002" w14:paraId="5196EE5C" w14:textId="77777777">
        <w:trPr>
          <w:cantSplit/>
        </w:trPr>
        <w:tc>
          <w:tcPr>
            <w:tcW w:w="1500" w:type="dxa"/>
            <w:tcBorders>
              <w:top w:val="single" w:sz="6" w:space="0" w:color="auto"/>
              <w:bottom w:val="single" w:sz="6" w:space="0" w:color="auto"/>
            </w:tcBorders>
          </w:tcPr>
          <w:p w14:paraId="3D71FE64" w14:textId="77777777" w:rsidR="00AE6947" w:rsidRDefault="00AE6947">
            <w:pPr>
              <w:spacing w:before="480" w:after="0"/>
              <w:ind w:left="-40"/>
              <w:rPr>
                <w:rFonts w:ascii="Helvetica" w:hAnsi="Helvetica"/>
                <w:color w:val="000000"/>
                <w:sz w:val="16"/>
              </w:rPr>
            </w:pPr>
            <w:r>
              <w:rPr>
                <w:rFonts w:ascii="Helvetica" w:hAnsi="Helvetica"/>
                <w:color w:val="000000"/>
                <w:sz w:val="16"/>
              </w:rPr>
              <w:t>Regulation</w:t>
            </w:r>
          </w:p>
          <w:p w14:paraId="59391F2A" w14:textId="77777777" w:rsidR="00AE6947" w:rsidRDefault="00AE6947">
            <w:pPr>
              <w:spacing w:after="100"/>
              <w:ind w:left="-40"/>
              <w:rPr>
                <w:rFonts w:ascii="Helvetica" w:hAnsi="Helvetica"/>
                <w:color w:val="000000"/>
                <w:sz w:val="16"/>
              </w:rPr>
            </w:pPr>
            <w:r>
              <w:rPr>
                <w:rFonts w:ascii="Helvetica" w:hAnsi="Helvetica"/>
                <w:color w:val="000000"/>
                <w:sz w:val="16"/>
              </w:rPr>
              <w:t>No.</w:t>
            </w:r>
          </w:p>
        </w:tc>
        <w:tc>
          <w:tcPr>
            <w:tcW w:w="1680" w:type="dxa"/>
            <w:tcBorders>
              <w:top w:val="single" w:sz="6" w:space="0" w:color="auto"/>
              <w:bottom w:val="single" w:sz="6" w:space="0" w:color="auto"/>
            </w:tcBorders>
          </w:tcPr>
          <w:p w14:paraId="7F6D6A1E" w14:textId="77777777" w:rsidR="00AE6947" w:rsidRDefault="00AE6947">
            <w:pPr>
              <w:spacing w:before="660" w:after="0"/>
              <w:rPr>
                <w:rFonts w:ascii="Helvetica" w:hAnsi="Helvetica"/>
                <w:color w:val="000000"/>
                <w:sz w:val="16"/>
              </w:rPr>
            </w:pPr>
            <w:r>
              <w:rPr>
                <w:rFonts w:ascii="Helvetica" w:hAnsi="Helvetica"/>
                <w:color w:val="000000"/>
                <w:sz w:val="16"/>
              </w:rPr>
              <w:t>Date of making</w:t>
            </w:r>
          </w:p>
        </w:tc>
        <w:tc>
          <w:tcPr>
            <w:tcW w:w="1560" w:type="dxa"/>
            <w:tcBorders>
              <w:top w:val="single" w:sz="6" w:space="0" w:color="auto"/>
              <w:bottom w:val="single" w:sz="6" w:space="0" w:color="auto"/>
            </w:tcBorders>
          </w:tcPr>
          <w:p w14:paraId="238CF544" w14:textId="77777777" w:rsidR="00AE6947" w:rsidRDefault="00AE6947">
            <w:pPr>
              <w:spacing w:before="320" w:after="0"/>
              <w:rPr>
                <w:rFonts w:ascii="Helvetica" w:hAnsi="Helvetica"/>
                <w:color w:val="000000"/>
                <w:sz w:val="16"/>
              </w:rPr>
            </w:pPr>
            <w:r>
              <w:rPr>
                <w:rFonts w:ascii="Helvetica" w:hAnsi="Helvetica"/>
                <w:color w:val="000000"/>
                <w:sz w:val="16"/>
              </w:rPr>
              <w:t xml:space="preserve">Date of </w:t>
            </w:r>
          </w:p>
          <w:p w14:paraId="71A9E89F" w14:textId="77777777" w:rsidR="00AE6947" w:rsidRDefault="00AE6947">
            <w:pPr>
              <w:spacing w:after="0"/>
              <w:rPr>
                <w:rFonts w:ascii="Helvetica" w:hAnsi="Helvetica"/>
                <w:color w:val="000000"/>
                <w:sz w:val="16"/>
              </w:rPr>
            </w:pPr>
            <w:r>
              <w:rPr>
                <w:rFonts w:ascii="Helvetica" w:hAnsi="Helvetica"/>
                <w:color w:val="000000"/>
                <w:sz w:val="16"/>
              </w:rPr>
              <w:t xml:space="preserve">notification </w:t>
            </w:r>
          </w:p>
          <w:p w14:paraId="1E4E2170" w14:textId="77777777" w:rsidR="00AE6947" w:rsidRDefault="00AE6947">
            <w:pPr>
              <w:spacing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00" w:type="dxa"/>
            <w:tcBorders>
              <w:top w:val="single" w:sz="6" w:space="0" w:color="auto"/>
              <w:bottom w:val="single" w:sz="6" w:space="0" w:color="auto"/>
            </w:tcBorders>
          </w:tcPr>
          <w:p w14:paraId="36657AF6" w14:textId="77777777" w:rsidR="00AE6947" w:rsidRDefault="00AE6947">
            <w:pPr>
              <w:spacing w:before="480" w:after="0"/>
              <w:rPr>
                <w:rFonts w:ascii="Helvetica" w:hAnsi="Helvetica"/>
                <w:color w:val="000000"/>
                <w:sz w:val="16"/>
              </w:rPr>
            </w:pPr>
            <w:r>
              <w:rPr>
                <w:rFonts w:ascii="Helvetica" w:hAnsi="Helvetica"/>
                <w:color w:val="000000"/>
                <w:sz w:val="16"/>
              </w:rPr>
              <w:t xml:space="preserve">Date of </w:t>
            </w:r>
          </w:p>
          <w:p w14:paraId="6E2B0ED3" w14:textId="77777777" w:rsidR="00AE6947" w:rsidRDefault="00AE6947">
            <w:pPr>
              <w:spacing w:after="0"/>
              <w:rPr>
                <w:rFonts w:ascii="Helvetica" w:hAnsi="Helvetica"/>
                <w:color w:val="000000"/>
                <w:sz w:val="16"/>
              </w:rPr>
            </w:pPr>
            <w:r>
              <w:rPr>
                <w:rFonts w:ascii="Helvetica" w:hAnsi="Helvetica"/>
                <w:color w:val="000000"/>
                <w:sz w:val="16"/>
              </w:rPr>
              <w:t>commencement</w:t>
            </w:r>
          </w:p>
        </w:tc>
        <w:tc>
          <w:tcPr>
            <w:tcW w:w="1100" w:type="dxa"/>
            <w:tcBorders>
              <w:top w:val="single" w:sz="6" w:space="0" w:color="auto"/>
              <w:bottom w:val="single" w:sz="6" w:space="0" w:color="auto"/>
            </w:tcBorders>
          </w:tcPr>
          <w:p w14:paraId="04E49E3B" w14:textId="77777777" w:rsidR="00AE6947" w:rsidRDefault="00AE6947">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264330B7" w14:textId="77777777" w:rsidR="00AE6947" w:rsidRDefault="00AE6947">
      <w:pPr>
        <w:spacing w:after="0"/>
        <w:ind w:left="140" w:right="20"/>
        <w:rPr>
          <w:rFonts w:ascii="Helvetica" w:hAnsi="Helvetica"/>
          <w:color w:val="000000"/>
          <w:sz w:val="8"/>
        </w:rPr>
        <w:sectPr w:rsidR="00AE6947" w:rsidSect="00633701">
          <w:headerReference w:type="default" r:id="rId14"/>
          <w:footerReference w:type="default" r:id="rId15"/>
          <w:headerReference w:type="first" r:id="rId16"/>
          <w:footerReference w:type="first" r:id="rId17"/>
          <w:type w:val="continuous"/>
          <w:pgSz w:w="11906" w:h="16838"/>
          <w:pgMar w:top="2999" w:right="1899" w:bottom="2500" w:left="2302" w:header="2477" w:footer="2098" w:gutter="0"/>
          <w:cols w:space="720"/>
          <w:titlePg/>
          <w:docGrid w:linePitch="299"/>
        </w:sectPr>
      </w:pPr>
    </w:p>
    <w:p w14:paraId="7AB0A888" w14:textId="77777777" w:rsidR="00AE6947" w:rsidRDefault="00AE6947">
      <w:pPr>
        <w:spacing w:after="0"/>
        <w:ind w:left="140" w:right="20"/>
        <w:rPr>
          <w:rFonts w:ascii="Helvetica" w:hAnsi="Helvetica"/>
          <w:color w:val="000000"/>
          <w:sz w:val="8"/>
        </w:rPr>
      </w:pPr>
    </w:p>
    <w:tbl>
      <w:tblPr>
        <w:tblW w:w="0" w:type="auto"/>
        <w:tblInd w:w="100" w:type="dxa"/>
        <w:tblLayout w:type="fixed"/>
        <w:tblCellMar>
          <w:left w:w="80" w:type="dxa"/>
          <w:right w:w="80" w:type="dxa"/>
        </w:tblCellMar>
        <w:tblLook w:val="0000" w:firstRow="0" w:lastRow="0" w:firstColumn="0" w:lastColumn="0" w:noHBand="0" w:noVBand="0"/>
      </w:tblPr>
      <w:tblGrid>
        <w:gridCol w:w="1520"/>
        <w:gridCol w:w="1680"/>
        <w:gridCol w:w="1560"/>
        <w:gridCol w:w="1280"/>
        <w:gridCol w:w="1100"/>
      </w:tblGrid>
      <w:tr w:rsidR="00183002" w14:paraId="3EB5DC5A" w14:textId="77777777">
        <w:trPr>
          <w:cantSplit/>
        </w:trPr>
        <w:tc>
          <w:tcPr>
            <w:tcW w:w="1520" w:type="dxa"/>
          </w:tcPr>
          <w:p w14:paraId="663E5141" w14:textId="77777777" w:rsidR="00AE6947" w:rsidRDefault="00AE6947">
            <w:pPr>
              <w:spacing w:after="0"/>
              <w:rPr>
                <w:rFonts w:ascii="Helvetica" w:hAnsi="Helvetica"/>
                <w:color w:val="000000"/>
                <w:sz w:val="16"/>
              </w:rPr>
            </w:pPr>
            <w:r>
              <w:rPr>
                <w:rFonts w:ascii="Helvetica" w:hAnsi="Helvetica"/>
                <w:color w:val="000000"/>
                <w:sz w:val="16"/>
              </w:rPr>
              <w:t>No 24, 1992</w:t>
            </w:r>
          </w:p>
        </w:tc>
        <w:tc>
          <w:tcPr>
            <w:tcW w:w="1680" w:type="dxa"/>
          </w:tcPr>
          <w:p w14:paraId="7FC02185" w14:textId="77777777" w:rsidR="00AE6947" w:rsidRDefault="00AE6947">
            <w:pPr>
              <w:spacing w:after="0"/>
              <w:rPr>
                <w:rFonts w:ascii="Helvetica" w:hAnsi="Helvetica"/>
                <w:color w:val="000000"/>
                <w:sz w:val="16"/>
              </w:rPr>
            </w:pPr>
          </w:p>
        </w:tc>
        <w:tc>
          <w:tcPr>
            <w:tcW w:w="1560" w:type="dxa"/>
          </w:tcPr>
          <w:p w14:paraId="08D2F5A3" w14:textId="77777777" w:rsidR="00AE6947" w:rsidRDefault="00AE6947">
            <w:pPr>
              <w:spacing w:after="0"/>
              <w:rPr>
                <w:rFonts w:ascii="Helvetica" w:hAnsi="Helvetica"/>
                <w:color w:val="000000"/>
                <w:sz w:val="16"/>
              </w:rPr>
            </w:pPr>
            <w:r>
              <w:rPr>
                <w:rFonts w:ascii="Helvetica" w:hAnsi="Helvetica"/>
                <w:color w:val="000000"/>
                <w:sz w:val="16"/>
              </w:rPr>
              <w:t>9 Nov 1992</w:t>
            </w:r>
          </w:p>
        </w:tc>
        <w:tc>
          <w:tcPr>
            <w:tcW w:w="1280" w:type="dxa"/>
          </w:tcPr>
          <w:p w14:paraId="20262DAE" w14:textId="77777777" w:rsidR="00AE6947" w:rsidRDefault="00AE6947">
            <w:pPr>
              <w:spacing w:after="0"/>
              <w:rPr>
                <w:rFonts w:ascii="Helvetica" w:hAnsi="Helvetica"/>
                <w:color w:val="000000"/>
                <w:sz w:val="16"/>
              </w:rPr>
            </w:pPr>
            <w:r>
              <w:rPr>
                <w:rFonts w:ascii="Helvetica" w:hAnsi="Helvetica"/>
                <w:color w:val="000000"/>
                <w:sz w:val="16"/>
              </w:rPr>
              <w:t>9 Nov 1992</w:t>
            </w:r>
          </w:p>
        </w:tc>
        <w:tc>
          <w:tcPr>
            <w:tcW w:w="1100" w:type="dxa"/>
          </w:tcPr>
          <w:p w14:paraId="73B34047" w14:textId="77777777" w:rsidR="00AE6947" w:rsidRDefault="00AE6947">
            <w:pPr>
              <w:spacing w:after="0"/>
              <w:jc w:val="right"/>
              <w:rPr>
                <w:rFonts w:ascii="Helvetica" w:hAnsi="Helvetica"/>
                <w:color w:val="000000"/>
                <w:sz w:val="16"/>
              </w:rPr>
            </w:pPr>
          </w:p>
        </w:tc>
      </w:tr>
      <w:tr w:rsidR="00183002" w14:paraId="47FE68C1" w14:textId="77777777">
        <w:trPr>
          <w:cantSplit/>
        </w:trPr>
        <w:tc>
          <w:tcPr>
            <w:tcW w:w="1520" w:type="dxa"/>
            <w:tcBorders>
              <w:bottom w:val="single" w:sz="4" w:space="0" w:color="auto"/>
            </w:tcBorders>
          </w:tcPr>
          <w:p w14:paraId="61D34C93" w14:textId="77777777" w:rsidR="00AE6947" w:rsidRDefault="00AE6947">
            <w:pPr>
              <w:spacing w:after="0"/>
              <w:rPr>
                <w:rFonts w:ascii="Helvetica" w:hAnsi="Helvetica"/>
                <w:color w:val="000000"/>
                <w:sz w:val="16"/>
              </w:rPr>
            </w:pPr>
            <w:r>
              <w:rPr>
                <w:rFonts w:ascii="Helvetica" w:hAnsi="Helvetica"/>
                <w:color w:val="000000"/>
                <w:sz w:val="16"/>
              </w:rPr>
              <w:t>1999 No 28</w:t>
            </w:r>
          </w:p>
        </w:tc>
        <w:tc>
          <w:tcPr>
            <w:tcW w:w="1680" w:type="dxa"/>
            <w:tcBorders>
              <w:bottom w:val="single" w:sz="4" w:space="0" w:color="auto"/>
            </w:tcBorders>
          </w:tcPr>
          <w:p w14:paraId="022D821E" w14:textId="77777777" w:rsidR="00AE6947" w:rsidRDefault="00AE6947">
            <w:pPr>
              <w:spacing w:after="0"/>
              <w:rPr>
                <w:rFonts w:ascii="Helvetica" w:hAnsi="Helvetica"/>
                <w:color w:val="000000"/>
                <w:sz w:val="16"/>
              </w:rPr>
            </w:pPr>
          </w:p>
        </w:tc>
        <w:tc>
          <w:tcPr>
            <w:tcW w:w="1560" w:type="dxa"/>
            <w:tcBorders>
              <w:bottom w:val="single" w:sz="4" w:space="0" w:color="auto"/>
            </w:tcBorders>
          </w:tcPr>
          <w:p w14:paraId="26E55CCA" w14:textId="77777777" w:rsidR="00AE6947" w:rsidRDefault="00AE6947">
            <w:pPr>
              <w:spacing w:after="0"/>
              <w:rPr>
                <w:rFonts w:ascii="Helvetica" w:hAnsi="Helvetica"/>
                <w:color w:val="000000"/>
                <w:sz w:val="16"/>
              </w:rPr>
            </w:pPr>
            <w:r>
              <w:rPr>
                <w:rFonts w:ascii="Helvetica" w:hAnsi="Helvetica"/>
                <w:color w:val="000000"/>
                <w:sz w:val="16"/>
              </w:rPr>
              <w:t>3 Nov 1999</w:t>
            </w:r>
          </w:p>
        </w:tc>
        <w:tc>
          <w:tcPr>
            <w:tcW w:w="1280" w:type="dxa"/>
            <w:tcBorders>
              <w:bottom w:val="single" w:sz="4" w:space="0" w:color="auto"/>
            </w:tcBorders>
          </w:tcPr>
          <w:p w14:paraId="48258B73" w14:textId="77777777" w:rsidR="00AE6947" w:rsidRDefault="00AE6947">
            <w:pPr>
              <w:spacing w:after="0"/>
              <w:rPr>
                <w:rFonts w:ascii="Helvetica" w:hAnsi="Helvetica"/>
                <w:color w:val="000000"/>
                <w:sz w:val="16"/>
              </w:rPr>
            </w:pPr>
            <w:r>
              <w:rPr>
                <w:rFonts w:ascii="Helvetica" w:hAnsi="Helvetica"/>
                <w:color w:val="000000"/>
                <w:sz w:val="16"/>
              </w:rPr>
              <w:t>3 Nov 1999</w:t>
            </w:r>
          </w:p>
          <w:p w14:paraId="636391FE" w14:textId="77777777" w:rsidR="00AE6947" w:rsidRDefault="00AE6947">
            <w:pPr>
              <w:spacing w:after="0"/>
              <w:rPr>
                <w:rFonts w:ascii="Helvetica" w:hAnsi="Helvetica"/>
                <w:color w:val="000000"/>
                <w:sz w:val="16"/>
              </w:rPr>
            </w:pPr>
          </w:p>
        </w:tc>
        <w:tc>
          <w:tcPr>
            <w:tcW w:w="1100" w:type="dxa"/>
            <w:tcBorders>
              <w:bottom w:val="single" w:sz="4" w:space="0" w:color="auto"/>
            </w:tcBorders>
          </w:tcPr>
          <w:p w14:paraId="7DE4A798" w14:textId="77777777" w:rsidR="00AE6947" w:rsidRDefault="00AE6947">
            <w:pPr>
              <w:spacing w:after="0"/>
              <w:jc w:val="right"/>
              <w:rPr>
                <w:rFonts w:ascii="Helvetica" w:hAnsi="Helvetica"/>
                <w:color w:val="000000"/>
                <w:sz w:val="16"/>
              </w:rPr>
            </w:pPr>
            <w:r>
              <w:rPr>
                <w:rFonts w:ascii="Helvetica" w:hAnsi="Helvetica"/>
                <w:color w:val="000000"/>
                <w:sz w:val="16"/>
              </w:rPr>
              <w:t>—</w:t>
            </w:r>
          </w:p>
        </w:tc>
      </w:tr>
    </w:tbl>
    <w:p w14:paraId="06059BBE" w14:textId="77777777" w:rsidR="00AE6947" w:rsidRDefault="00AE6947">
      <w:pPr>
        <w:spacing w:before="20"/>
        <w:ind w:left="140" w:right="20"/>
        <w:jc w:val="center"/>
        <w:rPr>
          <w:rFonts w:ascii="Helvetica" w:hAnsi="Helvetica"/>
          <w:b/>
          <w:color w:val="000000"/>
          <w:sz w:val="20"/>
        </w:rPr>
      </w:pPr>
    </w:p>
    <w:p w14:paraId="20348385" w14:textId="77777777" w:rsidR="00AE6947" w:rsidRDefault="00AE6947">
      <w:pPr>
        <w:spacing w:before="20"/>
        <w:ind w:right="20"/>
        <w:jc w:val="center"/>
        <w:rPr>
          <w:rFonts w:ascii="Helvetica" w:hAnsi="Helvetica"/>
          <w:b/>
          <w:color w:val="000000"/>
          <w:sz w:val="20"/>
        </w:rPr>
      </w:pPr>
      <w:r>
        <w:rPr>
          <w:rFonts w:ascii="Helvetica" w:hAnsi="Helvetica"/>
          <w:b/>
          <w:color w:val="000000"/>
          <w:sz w:val="20"/>
        </w:rPr>
        <w:t>Table of Amendments</w:t>
      </w:r>
    </w:p>
    <w:p w14:paraId="19A64156" w14:textId="77777777" w:rsidR="00AE6947" w:rsidRDefault="00AE6947">
      <w:pPr>
        <w:spacing w:before="20"/>
        <w:ind w:left="240" w:right="20"/>
        <w:rPr>
          <w:rFonts w:ascii="Helvetica" w:hAnsi="Helvetica"/>
          <w:b/>
          <w:color w:val="000000"/>
          <w:sz w:val="16"/>
        </w:rPr>
      </w:pPr>
      <w:r>
        <w:rPr>
          <w:rFonts w:ascii="Helvetica" w:hAnsi="Helvetica"/>
          <w:color w:val="000000"/>
          <w:sz w:val="16"/>
        </w:rPr>
        <w:t xml:space="preserve">ad. = added or inserted      am. = amended     rep. = repealed      </w:t>
      </w:r>
      <w:proofErr w:type="spellStart"/>
      <w:r>
        <w:rPr>
          <w:rFonts w:ascii="Helvetica" w:hAnsi="Helvetica"/>
          <w:color w:val="000000"/>
          <w:sz w:val="16"/>
        </w:rPr>
        <w:t>rs</w:t>
      </w:r>
      <w:proofErr w:type="spellEnd"/>
      <w:r>
        <w:rPr>
          <w:rFonts w:ascii="Helvetica" w:hAnsi="Helvetica"/>
          <w:color w:val="000000"/>
          <w:sz w:val="16"/>
        </w:rPr>
        <w:t>. = repealed and substituted</w:t>
      </w:r>
    </w:p>
    <w:p w14:paraId="1A2546AD" w14:textId="77777777" w:rsidR="00AE6947" w:rsidRDefault="00AE6947">
      <w:pPr>
        <w:pBdr>
          <w:top w:val="single" w:sz="6" w:space="0" w:color="auto"/>
        </w:pBdr>
        <w:tabs>
          <w:tab w:val="left" w:pos="2200"/>
        </w:tabs>
        <w:spacing w:before="20" w:after="20"/>
        <w:ind w:left="260" w:right="20"/>
        <w:rPr>
          <w:rFonts w:ascii="Helvetica" w:hAnsi="Helvetica"/>
          <w:color w:val="000000"/>
          <w:sz w:val="8"/>
        </w:rPr>
      </w:pPr>
    </w:p>
    <w:p w14:paraId="23152ACC" w14:textId="77777777" w:rsidR="00AE6947" w:rsidRDefault="00AE6947">
      <w:pPr>
        <w:pBdr>
          <w:top w:val="single" w:sz="6" w:space="0" w:color="auto"/>
        </w:pBdr>
        <w:tabs>
          <w:tab w:val="left" w:pos="2200"/>
        </w:tabs>
        <w:spacing w:before="20" w:after="2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7E17A6AD" w14:textId="77777777" w:rsidR="00AE6947" w:rsidRDefault="00AE6947">
      <w:pPr>
        <w:pBdr>
          <w:bottom w:val="single" w:sz="6" w:space="0" w:color="auto"/>
        </w:pBdr>
        <w:tabs>
          <w:tab w:val="left" w:pos="2200"/>
        </w:tabs>
        <w:spacing w:before="20" w:after="20"/>
        <w:ind w:left="260" w:right="20"/>
        <w:rPr>
          <w:rFonts w:ascii="Helvetica" w:hAnsi="Helvetica"/>
          <w:color w:val="000000"/>
          <w:sz w:val="16"/>
        </w:rPr>
      </w:pPr>
    </w:p>
    <w:p w14:paraId="6C62417E" w14:textId="77777777" w:rsidR="00AE6947" w:rsidRDefault="00AE6947">
      <w:pPr>
        <w:tabs>
          <w:tab w:val="left" w:leader="dot" w:pos="2200"/>
        </w:tabs>
        <w:spacing w:before="20" w:after="20"/>
        <w:ind w:left="260" w:right="20"/>
        <w:rPr>
          <w:rFonts w:ascii="Helvetica" w:hAnsi="Helvetica"/>
          <w:color w:val="000000"/>
          <w:sz w:val="8"/>
        </w:rPr>
      </w:pPr>
    </w:p>
    <w:p w14:paraId="1077685A" w14:textId="77777777" w:rsidR="00AE6947" w:rsidRDefault="00AE6947">
      <w:pPr>
        <w:tabs>
          <w:tab w:val="left" w:leader="dot" w:pos="2200"/>
        </w:tabs>
        <w:spacing w:before="20" w:after="20"/>
        <w:ind w:left="260" w:right="20"/>
        <w:rPr>
          <w:rFonts w:ascii="Helvetica" w:hAnsi="Helvetica"/>
          <w:color w:val="000000"/>
          <w:sz w:val="16"/>
        </w:rPr>
      </w:pPr>
      <w:r>
        <w:rPr>
          <w:rFonts w:ascii="Helvetica" w:hAnsi="Helvetica"/>
          <w:color w:val="000000"/>
          <w:sz w:val="16"/>
        </w:rPr>
        <w:t>reg 1</w:t>
      </w:r>
      <w:r>
        <w:rPr>
          <w:rFonts w:ascii="Helvetica" w:hAnsi="Helvetica"/>
          <w:color w:val="000000"/>
          <w:sz w:val="16"/>
        </w:rPr>
        <w:tab/>
        <w:t>sub 1999 No 28 reg 3</w:t>
      </w:r>
    </w:p>
    <w:p w14:paraId="4FEAF59F" w14:textId="77777777" w:rsidR="00AE6947" w:rsidRDefault="00AE6947">
      <w:pPr>
        <w:tabs>
          <w:tab w:val="left" w:leader="dot" w:pos="2200"/>
        </w:tabs>
        <w:spacing w:before="20" w:after="20"/>
        <w:ind w:left="260" w:right="20"/>
        <w:rPr>
          <w:rFonts w:ascii="Helvetica" w:hAnsi="Helvetica"/>
          <w:color w:val="000000"/>
          <w:sz w:val="16"/>
        </w:rPr>
      </w:pPr>
      <w:r>
        <w:rPr>
          <w:rFonts w:ascii="Helvetica" w:hAnsi="Helvetica"/>
          <w:color w:val="000000"/>
          <w:sz w:val="16"/>
        </w:rPr>
        <w:t>regs 5, 6</w:t>
      </w:r>
      <w:r>
        <w:rPr>
          <w:rFonts w:ascii="Helvetica" w:hAnsi="Helvetica"/>
          <w:color w:val="000000"/>
          <w:sz w:val="16"/>
        </w:rPr>
        <w:tab/>
        <w:t>ins 1999 No 28 reg 4</w:t>
      </w:r>
    </w:p>
    <w:p w14:paraId="03DDC60F" w14:textId="77777777" w:rsidR="00AE6947" w:rsidRDefault="00AE6947">
      <w:pPr>
        <w:pBdr>
          <w:bottom w:val="single" w:sz="4" w:space="1" w:color="auto"/>
        </w:pBdr>
        <w:rPr>
          <w:color w:val="000000"/>
        </w:rPr>
      </w:pPr>
    </w:p>
    <w:p w14:paraId="6E03D323" w14:textId="77777777" w:rsidR="00AE6947" w:rsidRDefault="00AE6947">
      <w:pPr>
        <w:rPr>
          <w:color w:val="000000"/>
        </w:rPr>
        <w:sectPr w:rsidR="00AE6947" w:rsidSect="00633701">
          <w:type w:val="continuous"/>
          <w:pgSz w:w="11906" w:h="16838"/>
          <w:pgMar w:top="2999" w:right="1899" w:bottom="2500" w:left="2302" w:header="2477" w:footer="2098" w:gutter="0"/>
          <w:cols w:space="720"/>
          <w:docGrid w:linePitch="299"/>
        </w:sectPr>
      </w:pPr>
    </w:p>
    <w:p w14:paraId="402AF786" w14:textId="77777777" w:rsidR="00AA10EF" w:rsidRDefault="00AA10EF" w:rsidP="00AA10EF"/>
    <w:p w14:paraId="4B66AA1E" w14:textId="77777777" w:rsidR="00AA10EF" w:rsidRDefault="00AA10EF" w:rsidP="00AA10EF"/>
    <w:p w14:paraId="3C9923F4" w14:textId="77777777" w:rsidR="00AA10EF" w:rsidRDefault="00AA10EF" w:rsidP="00AA10EF"/>
    <w:p w14:paraId="5A05266C" w14:textId="77777777" w:rsidR="00AA10EF" w:rsidRDefault="00AA10EF" w:rsidP="00AA10EF"/>
    <w:p w14:paraId="129FF4D3" w14:textId="77777777" w:rsidR="00AA10EF" w:rsidRDefault="00AA10EF" w:rsidP="00AA10EF"/>
    <w:p w14:paraId="1D7FF23C" w14:textId="77777777" w:rsidR="00AA10EF" w:rsidRPr="00AE6947" w:rsidRDefault="00AA10EF" w:rsidP="00AA10EF">
      <w:pPr>
        <w:rPr>
          <w:rFonts w:ascii="Times" w:hAnsi="Times" w:cs="Times"/>
          <w:color w:val="000000"/>
        </w:rPr>
      </w:pPr>
      <w:r w:rsidRPr="00AE6947">
        <w:rPr>
          <w:rFonts w:ascii="Times" w:hAnsi="Times" w:cs="Times"/>
          <w:color w:val="000000"/>
        </w:rPr>
        <w:t>©  Australian Capital Territory 2024</w:t>
      </w:r>
    </w:p>
    <w:p w14:paraId="507CA862" w14:textId="77777777" w:rsidR="00AA10EF" w:rsidRDefault="00AA10EF" w:rsidP="00AA10EF">
      <w:pPr>
        <w:tabs>
          <w:tab w:val="left" w:leader="dot" w:pos="2200"/>
        </w:tabs>
        <w:spacing w:before="20" w:after="20"/>
        <w:ind w:left="2420" w:hanging="2420"/>
        <w:rPr>
          <w:rFonts w:ascii="Helvetica" w:hAnsi="Helvetica"/>
          <w:color w:val="000000"/>
          <w:sz w:val="16"/>
        </w:rPr>
      </w:pPr>
    </w:p>
    <w:p w14:paraId="23C7CD91" w14:textId="77777777" w:rsidR="00AE6947" w:rsidRDefault="00AE6947">
      <w:pPr>
        <w:rPr>
          <w:color w:val="000000"/>
        </w:rPr>
      </w:pPr>
    </w:p>
    <w:sectPr w:rsidR="00AE6947" w:rsidSect="00AA10EF">
      <w:headerReference w:type="even" r:id="rId18"/>
      <w:headerReference w:type="default" r:id="rId19"/>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C86FC" w14:textId="77777777" w:rsidR="00AE6947" w:rsidRDefault="00AE6947">
      <w:pPr>
        <w:spacing w:after="0" w:line="240" w:lineRule="auto"/>
      </w:pPr>
      <w:r>
        <w:separator/>
      </w:r>
    </w:p>
  </w:endnote>
  <w:endnote w:type="continuationSeparator" w:id="0">
    <w:p w14:paraId="26455583" w14:textId="77777777" w:rsidR="00AE6947" w:rsidRDefault="00AE6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D050" w14:textId="77777777" w:rsidR="00633701" w:rsidRDefault="00633701">
    <w:pPr>
      <w:pStyle w:val="Status"/>
    </w:pPr>
    <w:r>
      <w:fldChar w:fldCharType="begin"/>
    </w:r>
    <w:r>
      <w:instrText xml:space="preserve"> DOCPROPERTY "Status" *\charformat </w:instrText>
    </w:r>
    <w:r>
      <w:fldChar w:fldCharType="separate"/>
    </w:r>
    <w:r>
      <w:rPr>
        <w:b/>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87E0" w14:textId="379D5279" w:rsidR="00633701" w:rsidRPr="00A7683D" w:rsidRDefault="00633701" w:rsidP="00A7683D">
    <w:pPr>
      <w:pStyle w:val="Footer"/>
      <w:jc w:val="center"/>
      <w:rPr>
        <w:rFonts w:ascii="Arial" w:hAnsi="Arial" w:cs="Arial"/>
        <w:sz w:val="14"/>
      </w:rPr>
    </w:pPr>
    <w:r w:rsidRPr="00A7683D">
      <w:rPr>
        <w:rFonts w:ascii="Arial" w:hAnsi="Arial" w:cs="Arial"/>
        <w:sz w:val="14"/>
      </w:rPr>
      <w:fldChar w:fldCharType="begin"/>
    </w:r>
    <w:r w:rsidRPr="00A7683D">
      <w:rPr>
        <w:rFonts w:ascii="Arial" w:hAnsi="Arial" w:cs="Arial"/>
        <w:sz w:val="14"/>
      </w:rPr>
      <w:instrText xml:space="preserve"> COMMENTS  \* MERGEFORMAT </w:instrText>
    </w:r>
    <w:r w:rsidRPr="00A7683D">
      <w:rPr>
        <w:rFonts w:ascii="Arial" w:hAnsi="Arial" w:cs="Arial"/>
        <w:sz w:val="14"/>
      </w:rPr>
      <w:fldChar w:fldCharType="end"/>
    </w:r>
    <w:r w:rsidR="00A7683D" w:rsidRPr="00A7683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2597" w14:textId="1AB1F1FE" w:rsidR="00A7683D" w:rsidRPr="00A7683D" w:rsidRDefault="00A7683D" w:rsidP="00A7683D">
    <w:pPr>
      <w:pStyle w:val="Footer"/>
      <w:jc w:val="center"/>
      <w:rPr>
        <w:rFonts w:ascii="Arial" w:hAnsi="Arial" w:cs="Arial"/>
        <w:sz w:val="14"/>
      </w:rPr>
    </w:pPr>
    <w:r w:rsidRPr="00A7683D">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656B" w14:textId="77777777" w:rsidR="00AE6947" w:rsidRDefault="00AE6947">
    <w:pPr>
      <w:jc w:val="center"/>
      <w:rPr>
        <w:sz w:val="20"/>
      </w:rPr>
    </w:pPr>
    <w:r>
      <w:rPr>
        <w:sz w:val="20"/>
      </w:rPr>
      <w:pgNum/>
    </w:r>
  </w:p>
  <w:p w14:paraId="2D710404" w14:textId="63B3D4EF" w:rsidR="00A7683D" w:rsidRPr="00A7683D" w:rsidRDefault="00A7683D" w:rsidP="00A7683D">
    <w:pPr>
      <w:jc w:val="center"/>
      <w:rPr>
        <w:rFonts w:ascii="Arial" w:hAnsi="Arial" w:cs="Arial"/>
        <w:sz w:val="14"/>
      </w:rPr>
    </w:pPr>
    <w:r w:rsidRPr="00A7683D">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1158" w14:textId="2971C473" w:rsidR="00AE6947" w:rsidRPr="00A7683D" w:rsidRDefault="00A7683D" w:rsidP="00A7683D">
    <w:pPr>
      <w:jc w:val="center"/>
      <w:rPr>
        <w:rFonts w:ascii="Arial" w:hAnsi="Arial" w:cs="Arial"/>
        <w:sz w:val="14"/>
      </w:rPr>
    </w:pPr>
    <w:r w:rsidRPr="00A7683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05312" w14:textId="77777777" w:rsidR="00AE6947" w:rsidRDefault="00AE6947">
      <w:pPr>
        <w:spacing w:after="0" w:line="240" w:lineRule="auto"/>
      </w:pPr>
      <w:r>
        <w:separator/>
      </w:r>
    </w:p>
  </w:footnote>
  <w:footnote w:type="continuationSeparator" w:id="0">
    <w:p w14:paraId="5E6D21B5" w14:textId="77777777" w:rsidR="00AE6947" w:rsidRDefault="00AE6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3610" w14:textId="77777777" w:rsidR="00A7683D" w:rsidRDefault="00A76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83CC" w14:textId="77777777" w:rsidR="00A7683D" w:rsidRDefault="00A76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F3E2" w14:textId="77777777" w:rsidR="00A7683D" w:rsidRDefault="00A768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0537" w14:textId="77777777" w:rsidR="00AE6947" w:rsidRDefault="00AE6947">
    <w:pPr>
      <w:pStyle w:val="Billheader"/>
    </w:pPr>
    <w:r>
      <w:fldChar w:fldCharType="begin"/>
    </w:r>
    <w:r>
      <w:instrText xml:space="preserve"> TITLE  \* MERGEFORMAT </w:instrText>
    </w:r>
    <w:r>
      <w:fldChar w:fldCharType="end"/>
    </w:r>
    <w:r>
      <w:t>Epidemiological Studies (Confidentiality) Regulations 1992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3B60" w14:textId="77777777" w:rsidR="00AE6947" w:rsidRDefault="00AE6947">
    <w:pPr>
      <w:pStyle w:val="Billheader"/>
    </w:pPr>
    <w:r>
      <w:fldChar w:fldCharType="begin"/>
    </w:r>
    <w:r>
      <w:instrText xml:space="preserve"> TITLE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A778" w14:textId="77777777" w:rsidR="00AE6947" w:rsidRDefault="00AE6947">
    <w:pPr>
      <w:widowControl w:val="0"/>
      <w:tabs>
        <w:tab w:val="center" w:pos="3600"/>
      </w:tabs>
      <w:rPr>
        <w:i/>
        <w:sz w:val="20"/>
      </w:rPr>
    </w:pPr>
    <w:r>
      <w:rPr>
        <w:sz w:val="20"/>
      </w:rPr>
      <w:pgNum/>
    </w:r>
    <w:r>
      <w:rPr>
        <w:sz w:val="20"/>
      </w:rPr>
      <w:tab/>
    </w:r>
    <w:r>
      <w:rPr>
        <w:i/>
        <w:sz w:val="20"/>
      </w:rPr>
      <w:t>Even Header</w:t>
    </w:r>
  </w:p>
  <w:p w14:paraId="1FA987B4" w14:textId="77777777" w:rsidR="00AE6947" w:rsidRDefault="00AE6947">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45C7C774" w14:textId="77777777" w:rsidR="00AE6947" w:rsidRDefault="00AE6947">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1C3B766C" w14:textId="77777777" w:rsidR="00AE6947" w:rsidRDefault="00AE6947">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14:paraId="303AD970" w14:textId="77777777" w:rsidR="00AE6947" w:rsidRDefault="00AE6947">
    <w:pPr>
      <w:widowControl w:val="0"/>
      <w:pBdr>
        <w:top w:val="single" w:sz="6" w:space="0" w:color="auto"/>
      </w:pBdr>
      <w:tabs>
        <w:tab w:val="left" w:pos="2200"/>
      </w:tabs>
      <w:spacing w:before="20" w:after="20"/>
      <w:ind w:left="260"/>
      <w:rPr>
        <w:rFonts w:ascii="Helvetica" w:hAnsi="Helvetica"/>
        <w:sz w:val="8"/>
      </w:rPr>
    </w:pPr>
  </w:p>
  <w:p w14:paraId="5CB46D1C" w14:textId="77777777" w:rsidR="00AE6947" w:rsidRDefault="00AE6947">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10CAB9B2" w14:textId="77777777" w:rsidR="00AE6947" w:rsidRDefault="00AE6947">
    <w:pPr>
      <w:widowControl w:val="0"/>
      <w:pBdr>
        <w:bottom w:val="single" w:sz="2" w:space="0" w:color="auto"/>
      </w:pBdr>
      <w:tabs>
        <w:tab w:val="left" w:pos="2200"/>
      </w:tabs>
      <w:spacing w:before="20" w:after="20"/>
      <w:ind w:left="260" w:right="20"/>
      <w:rPr>
        <w:rFonts w:ascii="Helvetica" w:hAnsi="Helvetica"/>
        <w:sz w:val="16"/>
      </w:rPr>
    </w:pPr>
  </w:p>
  <w:p w14:paraId="4C429211" w14:textId="77777777" w:rsidR="00AE6947" w:rsidRDefault="00AE6947">
    <w:pPr>
      <w:widowControl w:val="0"/>
      <w:tabs>
        <w:tab w:val="left" w:leader="dot" w:pos="2200"/>
      </w:tabs>
      <w:spacing w:before="20" w:after="20"/>
      <w:ind w:left="260" w:right="-820"/>
      <w:rPr>
        <w:rFonts w:ascii="Helvetica" w:hAnsi="Helvetica"/>
        <w:sz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44A0" w14:textId="77777777" w:rsidR="00AE6947" w:rsidRDefault="00AE6947">
    <w:pPr>
      <w:widowControl w:val="0"/>
      <w:tabs>
        <w:tab w:val="center" w:pos="3600"/>
        <w:tab w:val="right" w:pos="7180"/>
      </w:tabs>
      <w:rPr>
        <w:sz w:val="20"/>
      </w:rPr>
    </w:pPr>
    <w:r>
      <w:tab/>
    </w:r>
    <w:r>
      <w:rPr>
        <w:i/>
        <w:sz w:val="20"/>
      </w:rPr>
      <w:t>Odd Header</w:t>
    </w:r>
    <w:r>
      <w:rPr>
        <w:sz w:val="20"/>
      </w:rPr>
      <w:tab/>
    </w:r>
    <w:r>
      <w:rPr>
        <w:sz w:val="20"/>
      </w:rPr>
      <w:pgNum/>
    </w:r>
  </w:p>
  <w:p w14:paraId="6D716CFD" w14:textId="77777777" w:rsidR="00AE6947" w:rsidRDefault="00AE6947">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336F0EF6" w14:textId="77777777" w:rsidR="00AE6947" w:rsidRDefault="00AE6947">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69DC052" w14:textId="77777777" w:rsidR="00AE6947" w:rsidRDefault="00AE6947">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14:paraId="2CE7D22C" w14:textId="77777777" w:rsidR="00AE6947" w:rsidRDefault="00AE6947">
    <w:pPr>
      <w:widowControl w:val="0"/>
      <w:pBdr>
        <w:top w:val="single" w:sz="6" w:space="0" w:color="auto"/>
      </w:pBdr>
      <w:tabs>
        <w:tab w:val="left" w:pos="2200"/>
        <w:tab w:val="left" w:pos="3580"/>
      </w:tabs>
      <w:spacing w:before="20" w:after="20"/>
      <w:ind w:left="260" w:right="20"/>
      <w:rPr>
        <w:rFonts w:ascii="Helvetica" w:hAnsi="Helvetica"/>
        <w:sz w:val="8"/>
      </w:rPr>
    </w:pPr>
  </w:p>
  <w:p w14:paraId="5476A74B" w14:textId="77777777" w:rsidR="00AE6947" w:rsidRDefault="00AE6947">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66FCC2C2" w14:textId="77777777" w:rsidR="00AE6947" w:rsidRDefault="00AE6947">
    <w:pPr>
      <w:widowControl w:val="0"/>
      <w:pBdr>
        <w:bottom w:val="single" w:sz="2" w:space="0" w:color="auto"/>
      </w:pBdr>
      <w:tabs>
        <w:tab w:val="left" w:pos="2200"/>
        <w:tab w:val="left" w:pos="3580"/>
      </w:tabs>
      <w:spacing w:before="20" w:after="20"/>
      <w:ind w:left="260"/>
      <w:rPr>
        <w:rFonts w:ascii="Helvetica" w:hAnsi="Helvetica"/>
        <w:sz w:val="16"/>
      </w:rPr>
    </w:pPr>
  </w:p>
  <w:p w14:paraId="09C87681" w14:textId="77777777" w:rsidR="00AE6947" w:rsidRDefault="00AE6947">
    <w:pPr>
      <w:widowControl w:val="0"/>
      <w:tabs>
        <w:tab w:val="left" w:leader="dot" w:pos="2200"/>
        <w:tab w:val="left" w:pos="3580"/>
      </w:tabs>
      <w:spacing w:before="20" w:after="20"/>
      <w:ind w:left="260" w:right="-80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A7C02A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F514460"/>
    <w:multiLevelType w:val="multilevel"/>
    <w:tmpl w:val="45CAEB66"/>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2"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3"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719743220">
    <w:abstractNumId w:val="2"/>
  </w:num>
  <w:num w:numId="2" w16cid:durableId="772045313">
    <w:abstractNumId w:val="2"/>
  </w:num>
  <w:num w:numId="3" w16cid:durableId="1181167583">
    <w:abstractNumId w:val="2"/>
  </w:num>
  <w:num w:numId="4" w16cid:durableId="1343509028">
    <w:abstractNumId w:val="1"/>
  </w:num>
  <w:num w:numId="5" w16cid:durableId="1962109223">
    <w:abstractNumId w:val="0"/>
  </w:num>
  <w:num w:numId="6" w16cid:durableId="699746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39"/>
    <w:rsid w:val="00183002"/>
    <w:rsid w:val="001C2A39"/>
    <w:rsid w:val="00343EE2"/>
    <w:rsid w:val="0043625C"/>
    <w:rsid w:val="00484178"/>
    <w:rsid w:val="00633701"/>
    <w:rsid w:val="00704239"/>
    <w:rsid w:val="007B3EFA"/>
    <w:rsid w:val="0085057F"/>
    <w:rsid w:val="00884980"/>
    <w:rsid w:val="00A7683D"/>
    <w:rsid w:val="00AA10EF"/>
    <w:rsid w:val="00AE6947"/>
    <w:rsid w:val="00B22472"/>
    <w:rsid w:val="00E05FD9"/>
    <w:rsid w:val="00E915A7"/>
    <w:rsid w:val="00F14F4F"/>
    <w:rsid w:val="00F861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C67B6EF"/>
  <w15:chartTrackingRefBased/>
  <w15:docId w15:val="{8F0EA6AF-7895-4E62-9B6C-3E052E7B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5C"/>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pPr>
      <w:keepNext/>
      <w:spacing w:before="300"/>
      <w:jc w:val="center"/>
      <w:outlineLvl w:val="0"/>
    </w:pPr>
    <w:rPr>
      <w:b/>
      <w:caps/>
    </w:rPr>
  </w:style>
  <w:style w:type="paragraph" w:styleId="Heading2">
    <w:name w:val="heading 2"/>
    <w:basedOn w:val="Normal"/>
    <w:next w:val="Heading3"/>
    <w:qFormat/>
    <w:pPr>
      <w:keepNext/>
      <w:spacing w:before="160"/>
      <w:jc w:val="center"/>
      <w:outlineLvl w:val="1"/>
    </w:pPr>
    <w:rPr>
      <w:b/>
      <w:i/>
    </w:rPr>
  </w:style>
  <w:style w:type="paragraph" w:styleId="Heading3">
    <w:name w:val="heading 3"/>
    <w:aliases w:val="h3"/>
    <w:basedOn w:val="Normal"/>
    <w:next w:val="Amain"/>
    <w:qFormat/>
    <w:pPr>
      <w:keepNext/>
      <w:spacing w:before="140" w:after="0"/>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paragraph" w:styleId="Heading7">
    <w:name w:val="heading 7"/>
    <w:basedOn w:val="Normal"/>
    <w:next w:val="Normal"/>
    <w:qFormat/>
    <w:pPr>
      <w:numPr>
        <w:ilvl w:val="6"/>
        <w:numId w:val="1"/>
      </w:numPr>
      <w:spacing w:before="240"/>
      <w:outlineLvl w:val="6"/>
    </w:pPr>
    <w:rPr>
      <w:rFonts w:ascii="Arial" w:hAnsi="Arial"/>
      <w:sz w:val="20"/>
    </w:rPr>
  </w:style>
  <w:style w:type="paragraph" w:styleId="Heading8">
    <w:name w:val="heading 8"/>
    <w:basedOn w:val="Normal"/>
    <w:next w:val="Normal"/>
    <w:qFormat/>
    <w:pPr>
      <w:numPr>
        <w:ilvl w:val="7"/>
        <w:numId w:val="2"/>
      </w:numPr>
      <w:spacing w:before="240"/>
      <w:outlineLvl w:val="7"/>
    </w:pPr>
    <w:rPr>
      <w:rFonts w:ascii="Arial" w:hAnsi="Arial"/>
      <w:i/>
      <w:sz w:val="20"/>
    </w:rPr>
  </w:style>
  <w:style w:type="paragraph" w:styleId="Heading9">
    <w:name w:val="heading 9"/>
    <w:basedOn w:val="Normal"/>
    <w:next w:val="Normal"/>
    <w:qFormat/>
    <w:pPr>
      <w:numPr>
        <w:ilvl w:val="8"/>
        <w:numId w:val="3"/>
      </w:numPr>
      <w:spacing w:before="240"/>
      <w:outlineLvl w:val="8"/>
    </w:pPr>
    <w:rPr>
      <w:rFonts w:ascii="Arial" w:hAnsi="Arial"/>
      <w:b/>
      <w:i/>
      <w:sz w:val="18"/>
    </w:rPr>
  </w:style>
  <w:style w:type="character" w:default="1" w:styleId="DefaultParagraphFont">
    <w:name w:val="Default Paragraph Font"/>
    <w:uiPriority w:val="1"/>
    <w:semiHidden/>
    <w:unhideWhenUsed/>
    <w:rsid w:val="004362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625C"/>
  </w:style>
  <w:style w:type="paragraph" w:customStyle="1" w:styleId="Amain">
    <w:name w:val="A main"/>
    <w:basedOn w:val="BillBasic"/>
    <w:pPr>
      <w:tabs>
        <w:tab w:val="left" w:pos="700"/>
        <w:tab w:val="left" w:pos="780"/>
        <w:tab w:val="left" w:pos="860"/>
        <w:tab w:val="left" w:pos="940"/>
        <w:tab w:val="left" w:pos="1020"/>
        <w:tab w:val="left" w:pos="1100"/>
        <w:tab w:val="left" w:pos="1180"/>
        <w:tab w:val="left" w:pos="1260"/>
      </w:tabs>
    </w:pPr>
  </w:style>
  <w:style w:type="paragraph" w:customStyle="1" w:styleId="BillBasic">
    <w:name w:val="Bill Basic"/>
    <w:pPr>
      <w:spacing w:before="80" w:after="60"/>
      <w:jc w:val="both"/>
    </w:pPr>
    <w:rPr>
      <w:rFonts w:ascii="Times" w:hAnsi="Times"/>
      <w:sz w:val="24"/>
    </w:rPr>
  </w:style>
  <w:style w:type="paragraph" w:customStyle="1" w:styleId="AH1Part">
    <w:name w:val="A H1 Part"/>
    <w:basedOn w:val="BillBasic"/>
    <w:next w:val="AH3sec"/>
    <w:pPr>
      <w:keepNext/>
      <w:spacing w:before="320"/>
      <w:jc w:val="center"/>
    </w:pPr>
    <w:rPr>
      <w:b/>
      <w:caps/>
    </w:rPr>
  </w:style>
  <w:style w:type="paragraph" w:customStyle="1" w:styleId="AH2Div">
    <w:name w:val="A H2 Div"/>
    <w:basedOn w:val="BillBasic"/>
    <w:next w:val="AH3sec"/>
    <w:pPr>
      <w:keepNext/>
      <w:spacing w:before="180"/>
      <w:jc w:val="center"/>
    </w:pPr>
    <w:rPr>
      <w:b/>
      <w:i/>
    </w:rPr>
  </w:style>
  <w:style w:type="paragraph" w:customStyle="1" w:styleId="AH3sec">
    <w:name w:val="A H3 sec"/>
    <w:basedOn w:val="BillBasic"/>
    <w:next w:val="Amain"/>
    <w:pPr>
      <w:keepNext/>
      <w:tabs>
        <w:tab w:val="left" w:pos="780"/>
        <w:tab w:val="left" w:pos="860"/>
        <w:tab w:val="left" w:pos="940"/>
        <w:tab w:val="left" w:pos="1020"/>
        <w:tab w:val="left" w:pos="1100"/>
        <w:tab w:val="left" w:pos="1180"/>
        <w:tab w:val="left" w:pos="1260"/>
      </w:tabs>
      <w:spacing w:before="180" w:after="0"/>
      <w:ind w:left="700" w:hanging="700"/>
      <w:jc w:val="left"/>
    </w:pPr>
    <w:rPr>
      <w:b/>
    </w:rPr>
  </w:style>
  <w:style w:type="paragraph" w:customStyle="1" w:styleId="Amainreturn">
    <w:name w:val="A main return"/>
    <w:basedOn w:val="BillBasic"/>
    <w:next w:val="Amain"/>
    <w:pPr>
      <w:spacing w:before="0"/>
    </w:pPr>
  </w:style>
  <w:style w:type="paragraph" w:customStyle="1" w:styleId="Apara">
    <w:name w:val="A para"/>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aDef">
    <w:name w:val="aDef"/>
    <w:basedOn w:val="BillBasic"/>
    <w:pPr>
      <w:ind w:left="900" w:hanging="500"/>
    </w:pPr>
  </w:style>
  <w:style w:type="paragraph" w:customStyle="1" w:styleId="aExamhead">
    <w:name w:val="aExam head"/>
    <w:basedOn w:val="BillBasic"/>
    <w:next w:val="aNote"/>
    <w:pPr>
      <w:keepNext/>
      <w:spacing w:after="0"/>
      <w:jc w:val="left"/>
    </w:pPr>
    <w:rPr>
      <w:i/>
      <w:sz w:val="20"/>
    </w:rPr>
  </w:style>
  <w:style w:type="paragraph" w:customStyle="1" w:styleId="aNote">
    <w:name w:val="aNote"/>
    <w:basedOn w:val="BillBasic"/>
    <w:rPr>
      <w:sz w:val="20"/>
    </w:rPr>
  </w:style>
  <w:style w:type="paragraph" w:customStyle="1" w:styleId="BillField">
    <w:name w:val="BillField"/>
    <w:basedOn w:val="Amain"/>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name">
    <w:name w:val="Billname"/>
    <w:basedOn w:val="BillBasic"/>
    <w:pPr>
      <w:spacing w:before="1220" w:after="100"/>
      <w:jc w:val="center"/>
    </w:pPr>
    <w:rPr>
      <w:b/>
      <w:sz w:val="36"/>
    </w:rPr>
  </w:style>
  <w:style w:type="paragraph" w:customStyle="1" w:styleId="Comment">
    <w:name w:val="Comment"/>
    <w:basedOn w:val="BillBasic"/>
    <w:pPr>
      <w:ind w:left="900"/>
      <w:jc w:val="left"/>
    </w:pPr>
    <w:rPr>
      <w:b/>
      <w:sz w:val="18"/>
    </w:rPr>
  </w:style>
  <w:style w:type="paragraph" w:customStyle="1" w:styleId="Endnote1">
    <w:name w:val="Endnote1"/>
    <w:basedOn w:val="BillBasic"/>
    <w:pPr>
      <w:keepNext/>
      <w:tabs>
        <w:tab w:val="left" w:pos="400"/>
      </w:tabs>
      <w:spacing w:before="0" w:after="160"/>
      <w:jc w:val="left"/>
    </w:pPr>
    <w:rPr>
      <w:rFonts w:ascii="Helvetica" w:hAnsi="Helvetica"/>
      <w:b/>
      <w:caps/>
      <w:sz w:val="18"/>
    </w:rPr>
  </w:style>
  <w:style w:type="paragraph" w:customStyle="1" w:styleId="Endnote2">
    <w:name w:val="Endnote2"/>
    <w:basedOn w:val="BillBasic"/>
    <w:pPr>
      <w:keepNext/>
      <w:tabs>
        <w:tab w:val="left" w:pos="240"/>
      </w:tabs>
      <w:spacing w:before="160" w:after="80"/>
      <w:jc w:val="left"/>
    </w:pPr>
    <w:rPr>
      <w:rFonts w:ascii="Helvetica" w:hAnsi="Helvetica"/>
      <w:b/>
      <w:sz w:val="18"/>
    </w:rPr>
  </w:style>
  <w:style w:type="paragraph" w:customStyle="1" w:styleId="IH4Part">
    <w:name w:val="I H4 Part"/>
    <w:basedOn w:val="AH1Part"/>
  </w:style>
  <w:style w:type="paragraph" w:customStyle="1" w:styleId="IH5Div">
    <w:name w:val="I H5 Div"/>
    <w:basedOn w:val="AH2Div"/>
  </w:style>
  <w:style w:type="paragraph" w:customStyle="1" w:styleId="IH6sec">
    <w:name w:val="I H6 sec"/>
    <w:basedOn w:val="AH3sec"/>
    <w:next w:val="Amain"/>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mainreturn">
    <w:name w:val="Inpara main return"/>
    <w:basedOn w:val="Inparamain"/>
    <w:pPr>
      <w:spacing w:before="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InparaDef">
    <w:name w:val="InparaDef"/>
    <w:basedOn w:val="BillBasic"/>
    <w:pPr>
      <w:ind w:left="1720" w:hanging="380"/>
    </w:pPr>
  </w:style>
  <w:style w:type="character" w:styleId="LineNumber">
    <w:name w:val="line number"/>
    <w:basedOn w:val="DefaultParagraphFont"/>
    <w:semiHidden/>
    <w:rPr>
      <w:rFonts w:ascii="Arial" w:hAnsi="Arial"/>
      <w:sz w:val="16"/>
      <w:vertAlign w:val="baseline"/>
    </w:rPr>
  </w:style>
  <w:style w:type="paragraph" w:customStyle="1" w:styleId="N-14pt">
    <w:name w:val="N-14pt"/>
    <w:basedOn w:val="BillBasic"/>
    <w:pPr>
      <w:spacing w:before="800"/>
      <w:jc w:val="center"/>
    </w:pPr>
    <w:rPr>
      <w:b/>
      <w:sz w:val="28"/>
    </w:rPr>
  </w:style>
  <w:style w:type="paragraph" w:customStyle="1" w:styleId="N-9pt">
    <w:name w:val="N-9pt"/>
    <w:basedOn w:val="BillBasic"/>
    <w:pPr>
      <w:tabs>
        <w:tab w:val="right" w:pos="7200"/>
      </w:tabs>
      <w:spacing w:before="20" w:after="20"/>
    </w:pPr>
    <w:rPr>
      <w:sz w:val="18"/>
    </w:r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orm-5pt">
    <w:name w:val="Norm-5pt"/>
    <w:basedOn w:val="Normal"/>
    <w:pPr>
      <w:spacing w:after="0"/>
      <w:jc w:val="center"/>
    </w:pPr>
    <w:rPr>
      <w:rFonts w:ascii="Helvetica" w:hAnsi="Helvetica"/>
      <w:sz w:val="10"/>
    </w:r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Schclauseheading">
    <w:name w:val="Sch clause heading"/>
    <w:basedOn w:val="BillBasic"/>
    <w:next w:val="Amain"/>
    <w:pPr>
      <w:keepNext/>
      <w:tabs>
        <w:tab w:val="left" w:pos="700"/>
        <w:tab w:val="left" w:pos="780"/>
        <w:tab w:val="left" w:pos="860"/>
        <w:tab w:val="left" w:pos="940"/>
        <w:tab w:val="left" w:pos="1020"/>
        <w:tab w:val="left" w:pos="1100"/>
        <w:tab w:val="left" w:pos="1180"/>
        <w:tab w:val="left" w:pos="1260"/>
      </w:tabs>
      <w:spacing w:before="160" w:after="0"/>
      <w:ind w:left="700" w:hanging="700"/>
      <w:jc w:val="left"/>
    </w:pPr>
    <w:rPr>
      <w:b/>
    </w:rPr>
  </w:style>
  <w:style w:type="paragraph" w:customStyle="1" w:styleId="Sched-heading">
    <w:name w:val="Sched-heading"/>
    <w:basedOn w:val="BillBasic"/>
    <w:next w:val="Sched-name"/>
    <w:pPr>
      <w:keepNext/>
      <w:tabs>
        <w:tab w:val="center" w:pos="3600"/>
        <w:tab w:val="right" w:pos="7200"/>
      </w:tabs>
      <w:jc w:val="left"/>
    </w:pPr>
    <w:rPr>
      <w:b/>
    </w:rPr>
  </w:style>
  <w:style w:type="paragraph" w:customStyle="1" w:styleId="Sched-name">
    <w:name w:val="Sched-name"/>
    <w:basedOn w:val="BillBasic"/>
    <w:pPr>
      <w:keepNext/>
      <w:tabs>
        <w:tab w:val="center" w:pos="3600"/>
        <w:tab w:val="right" w:pos="7200"/>
      </w:tabs>
      <w:spacing w:before="160"/>
      <w:jc w:val="left"/>
    </w:pPr>
    <w:rPr>
      <w:caps/>
    </w:rPr>
  </w:style>
  <w:style w:type="paragraph" w:styleId="Signature">
    <w:name w:val="Signature"/>
    <w:basedOn w:val="Normal"/>
    <w:semiHidden/>
    <w:pPr>
      <w:ind w:left="4320"/>
    </w:pPr>
  </w:style>
  <w:style w:type="paragraph" w:styleId="TOC1">
    <w:name w:val="toc 1"/>
    <w:basedOn w:val="BillBasic"/>
    <w:next w:val="TOC2"/>
    <w:autoRedefine/>
    <w:semiHidden/>
    <w:pPr>
      <w:keepNext/>
      <w:jc w:val="center"/>
    </w:pPr>
    <w:rPr>
      <w:caps/>
      <w:sz w:val="20"/>
    </w:rPr>
  </w:style>
  <w:style w:type="paragraph" w:styleId="TOC2">
    <w:name w:val="toc 2"/>
    <w:basedOn w:val="BillBasic"/>
    <w:next w:val="TOC3"/>
    <w:autoRedefine/>
    <w:semiHidden/>
    <w:pPr>
      <w:keepNext/>
      <w:spacing w:before="20"/>
      <w:jc w:val="center"/>
    </w:pPr>
    <w:rPr>
      <w:i/>
      <w:sz w:val="20"/>
    </w:rPr>
  </w:style>
  <w:style w:type="paragraph" w:styleId="TOC3">
    <w:name w:val="toc 3"/>
    <w:basedOn w:val="BillBasic"/>
    <w:autoRedefine/>
    <w:semiHidden/>
    <w:pPr>
      <w:tabs>
        <w:tab w:val="right" w:pos="540"/>
        <w:tab w:val="right" w:pos="7200"/>
      </w:tabs>
      <w:spacing w:before="20" w:after="20"/>
      <w:ind w:left="1120" w:hanging="1120"/>
      <w:jc w:val="left"/>
    </w:pPr>
    <w:rPr>
      <w:sz w:val="20"/>
    </w:rPr>
  </w:style>
  <w:style w:type="paragraph" w:styleId="TOC4">
    <w:name w:val="toc 4"/>
    <w:basedOn w:val="BillBasic"/>
    <w:next w:val="TOC5"/>
    <w:autoRedefine/>
    <w:semiHidden/>
    <w:pPr>
      <w:spacing w:before="20" w:after="20"/>
      <w:ind w:left="1120" w:right="20"/>
      <w:jc w:val="center"/>
    </w:pPr>
    <w:rPr>
      <w:caps/>
      <w:sz w:val="20"/>
    </w:rPr>
  </w:style>
  <w:style w:type="paragraph" w:styleId="TOC5">
    <w:name w:val="toc 5"/>
    <w:basedOn w:val="BillBasic"/>
    <w:next w:val="TOC6"/>
    <w:autoRedefine/>
    <w:semiHidden/>
    <w:pPr>
      <w:spacing w:before="20" w:after="20"/>
      <w:ind w:left="1120" w:right="20"/>
      <w:jc w:val="center"/>
    </w:pPr>
    <w:rPr>
      <w:i/>
      <w:sz w:val="20"/>
    </w:rPr>
  </w:style>
  <w:style w:type="paragraph" w:styleId="TOC6">
    <w:name w:val="toc 6"/>
    <w:basedOn w:val="BillBasic"/>
    <w:autoRedefine/>
    <w:semiHidden/>
    <w:pPr>
      <w:tabs>
        <w:tab w:val="right" w:pos="1900"/>
        <w:tab w:val="right" w:pos="7200"/>
      </w:tabs>
      <w:spacing w:before="20" w:after="20"/>
      <w:ind w:left="2300" w:hanging="2300"/>
      <w:jc w:val="left"/>
    </w:pPr>
    <w:rPr>
      <w:sz w:val="20"/>
    </w:rPr>
  </w:style>
  <w:style w:type="paragraph" w:styleId="TOC7">
    <w:name w:val="toc 7"/>
    <w:basedOn w:val="BillBasic"/>
    <w:next w:val="TOC8"/>
    <w:autoRedefine/>
    <w:semiHidden/>
    <w:pPr>
      <w:tabs>
        <w:tab w:val="center" w:pos="3600"/>
        <w:tab w:val="right" w:pos="7200"/>
      </w:tabs>
      <w:spacing w:before="160" w:after="20"/>
      <w:jc w:val="left"/>
    </w:pPr>
    <w:rPr>
      <w:caps/>
      <w:sz w:val="20"/>
    </w:rPr>
  </w:style>
  <w:style w:type="paragraph" w:styleId="TOC8">
    <w:name w:val="toc 8"/>
    <w:basedOn w:val="BillBasic"/>
    <w:autoRedefine/>
    <w:semiHidden/>
    <w:pPr>
      <w:tabs>
        <w:tab w:val="center" w:pos="3600"/>
        <w:tab w:val="right" w:pos="7200"/>
      </w:tabs>
      <w:spacing w:before="20" w:after="20"/>
      <w:jc w:val="left"/>
    </w:pPr>
    <w:rPr>
      <w:caps/>
      <w:sz w:val="20"/>
    </w:rPr>
  </w:style>
  <w:style w:type="paragraph" w:styleId="TOC9">
    <w:name w:val="toc 9"/>
    <w:basedOn w:val="TOC6"/>
    <w:next w:val="TOC6"/>
    <w:autoRedefine/>
    <w:semiHidden/>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allsections">
    <w:name w:val="all sections"/>
    <w:pPr>
      <w:spacing w:before="80" w:after="80"/>
      <w:ind w:firstLine="400"/>
      <w:jc w:val="both"/>
    </w:pPr>
    <w:rPr>
      <w:rFonts w:ascii="Times" w:hAnsi="Times"/>
      <w:sz w:val="24"/>
    </w:rPr>
  </w:style>
  <w:style w:type="paragraph" w:customStyle="1" w:styleId="def">
    <w:name w:val="def"/>
    <w:pPr>
      <w:spacing w:before="80" w:after="80"/>
      <w:ind w:left="900" w:hanging="500"/>
      <w:jc w:val="both"/>
    </w:pPr>
    <w:rPr>
      <w:rFonts w:ascii="Times" w:hAnsi="Times"/>
      <w:sz w:val="24"/>
    </w:rPr>
  </w:style>
  <w:style w:type="paragraph" w:customStyle="1" w:styleId="aindent">
    <w:name w:val="a indent"/>
    <w:basedOn w:val="Normal"/>
    <w:pPr>
      <w:tabs>
        <w:tab w:val="right" w:pos="700"/>
      </w:tabs>
      <w:ind w:left="900" w:hanging="900"/>
    </w:pPr>
  </w:style>
  <w:style w:type="paragraph" w:customStyle="1" w:styleId="defaindent">
    <w:name w:val="def a indent"/>
    <w:pPr>
      <w:tabs>
        <w:tab w:val="right" w:pos="1360"/>
      </w:tabs>
      <w:spacing w:before="80" w:after="80"/>
      <w:ind w:left="1620" w:hanging="1620"/>
      <w:jc w:val="both"/>
    </w:pPr>
    <w:rPr>
      <w:rFonts w:ascii="Times" w:hAnsi="Times"/>
      <w:sz w:val="24"/>
    </w:rPr>
  </w:style>
  <w:style w:type="paragraph" w:customStyle="1" w:styleId="fullout">
    <w:name w:val="full out"/>
    <w:pPr>
      <w:spacing w:before="80" w:after="80"/>
      <w:jc w:val="both"/>
    </w:pPr>
    <w:rPr>
      <w:rFonts w:ascii="Times" w:hAnsi="Times"/>
      <w:sz w:val="24"/>
    </w:rPr>
  </w:style>
  <w:style w:type="paragraph" w:customStyle="1" w:styleId="parainpara">
    <w:name w:val="para in para"/>
    <w:pPr>
      <w:tabs>
        <w:tab w:val="right" w:pos="1500"/>
      </w:tabs>
      <w:spacing w:before="80" w:after="80"/>
      <w:ind w:left="1800" w:hanging="1800"/>
      <w:jc w:val="both"/>
    </w:pPr>
    <w:rPr>
      <w:rFonts w:ascii="Times" w:hAnsi="Times"/>
      <w:sz w:val="24"/>
    </w:rPr>
  </w:style>
  <w:style w:type="character" w:styleId="PageNumber">
    <w:name w:val="page number"/>
    <w:basedOn w:val="DefaultParagraphFont"/>
    <w:semiHidden/>
  </w:style>
  <w:style w:type="paragraph" w:customStyle="1" w:styleId="Status">
    <w:name w:val="Status"/>
    <w:basedOn w:val="Normal"/>
    <w:rsid w:val="00633701"/>
    <w:pPr>
      <w:spacing w:before="280" w:after="0" w:line="240" w:lineRule="auto"/>
      <w:jc w:val="center"/>
    </w:pPr>
    <w:rPr>
      <w:rFonts w:ascii="Arial" w:eastAsia="Times New Roman" w:hAnsi="Arial"/>
      <w:sz w:val="14"/>
      <w:szCs w:val="20"/>
    </w:rPr>
  </w:style>
  <w:style w:type="paragraph" w:customStyle="1" w:styleId="00SigningPage">
    <w:name w:val="00SigningPage"/>
    <w:basedOn w:val="Normal"/>
    <w:rsid w:val="00633701"/>
    <w:pPr>
      <w:spacing w:after="0" w:line="240" w:lineRule="auto"/>
    </w:pPr>
    <w:rPr>
      <w:rFonts w:ascii="Times New Roman" w:eastAsia="Times New Roman" w:hAnsi="Times New Roman"/>
      <w:sz w:val="24"/>
      <w:szCs w:val="20"/>
    </w:rPr>
  </w:style>
  <w:style w:type="paragraph" w:customStyle="1" w:styleId="citation">
    <w:name w:val="citation"/>
    <w:basedOn w:val="Normal"/>
    <w:rsid w:val="00633701"/>
    <w:pPr>
      <w:spacing w:before="1220" w:after="100" w:line="240" w:lineRule="auto"/>
    </w:pPr>
    <w:rPr>
      <w:rFonts w:ascii="Arial" w:eastAsia="Times New Roman" w:hAnsi="Arial"/>
      <w:b/>
      <w:sz w:val="40"/>
      <w:szCs w:val="20"/>
    </w:rPr>
  </w:style>
  <w:style w:type="paragraph" w:customStyle="1" w:styleId="RepubNo">
    <w:name w:val="RepubNo"/>
    <w:basedOn w:val="Normal"/>
    <w:rsid w:val="00633701"/>
    <w:pPr>
      <w:tabs>
        <w:tab w:val="left" w:pos="2600"/>
      </w:tabs>
      <w:spacing w:before="600" w:after="60" w:line="240" w:lineRule="auto"/>
      <w:jc w:val="both"/>
    </w:pPr>
    <w:rPr>
      <w:rFonts w:ascii="Arial" w:eastAsia="Times New Roman" w:hAnsi="Arial"/>
      <w:b/>
      <w:sz w:val="26"/>
      <w:szCs w:val="20"/>
    </w:rPr>
  </w:style>
  <w:style w:type="paragraph" w:customStyle="1" w:styleId="EffectiveDate">
    <w:name w:val="EffectiveDate"/>
    <w:basedOn w:val="Normal"/>
    <w:rsid w:val="00633701"/>
    <w:pPr>
      <w:spacing w:before="40" w:after="200" w:line="240" w:lineRule="auto"/>
    </w:pPr>
    <w:rPr>
      <w:rFonts w:ascii="Arial" w:eastAsia="Times New Roman" w:hAnsi="Arial"/>
      <w:b/>
      <w:sz w:val="26"/>
      <w:szCs w:val="20"/>
    </w:rPr>
  </w:style>
  <w:style w:type="paragraph" w:customStyle="1" w:styleId="CoverInForce">
    <w:name w:val="CoverInForce"/>
    <w:basedOn w:val="Normal"/>
    <w:rsid w:val="00633701"/>
    <w:pPr>
      <w:tabs>
        <w:tab w:val="left" w:pos="2600"/>
      </w:tabs>
      <w:spacing w:before="200" w:after="60" w:line="240" w:lineRule="auto"/>
    </w:pPr>
    <w:rPr>
      <w:rFonts w:ascii="Arial" w:eastAsia="Times New Roman" w:hAnsi="Arial"/>
      <w:sz w:val="24"/>
      <w:szCs w:val="20"/>
    </w:rPr>
  </w:style>
  <w:style w:type="paragraph" w:customStyle="1" w:styleId="CoverHeading">
    <w:name w:val="CoverHeading"/>
    <w:basedOn w:val="Normal"/>
    <w:rsid w:val="00633701"/>
    <w:pPr>
      <w:spacing w:after="60" w:line="240" w:lineRule="auto"/>
    </w:pPr>
    <w:rPr>
      <w:rFonts w:ascii="Arial" w:eastAsia="Times New Roman" w:hAnsi="Arial"/>
      <w:b/>
      <w:sz w:val="24"/>
      <w:szCs w:val="20"/>
    </w:rPr>
  </w:style>
  <w:style w:type="paragraph" w:customStyle="1" w:styleId="CoverSubHdg">
    <w:name w:val="CoverSubHdg"/>
    <w:basedOn w:val="CoverHeading"/>
    <w:rsid w:val="00633701"/>
    <w:pPr>
      <w:spacing w:before="60"/>
    </w:pPr>
    <w:rPr>
      <w:sz w:val="20"/>
    </w:rPr>
  </w:style>
  <w:style w:type="paragraph" w:customStyle="1" w:styleId="CoverText">
    <w:name w:val="CoverText"/>
    <w:basedOn w:val="Normal"/>
    <w:rsid w:val="00633701"/>
    <w:pPr>
      <w:spacing w:before="40" w:after="40" w:line="240" w:lineRule="auto"/>
      <w:jc w:val="both"/>
    </w:pPr>
    <w:rPr>
      <w:rFonts w:ascii="Times New Roman" w:eastAsia="Times New Roman" w:hAnsi="Times New Roman"/>
      <w:sz w:val="20"/>
      <w:szCs w:val="20"/>
    </w:rPr>
  </w:style>
  <w:style w:type="paragraph" w:customStyle="1" w:styleId="ActNo">
    <w:name w:val="ActNo"/>
    <w:basedOn w:val="Normal"/>
    <w:rsid w:val="00633701"/>
    <w:pPr>
      <w:spacing w:before="120" w:after="60" w:line="240" w:lineRule="auto"/>
    </w:pPr>
    <w:rPr>
      <w:rFonts w:ascii="Arial" w:eastAsia="Times New Roman" w:hAnsi="Arial" w:cs="Arial"/>
      <w:b/>
      <w:bCs/>
      <w:sz w:val="24"/>
      <w:szCs w:val="24"/>
    </w:rPr>
  </w:style>
  <w:style w:type="paragraph" w:customStyle="1" w:styleId="CoverActName">
    <w:name w:val="CoverActName"/>
    <w:basedOn w:val="Normal"/>
    <w:rsid w:val="00633701"/>
    <w:pPr>
      <w:tabs>
        <w:tab w:val="left" w:pos="2600"/>
      </w:tabs>
      <w:spacing w:before="200" w:after="60" w:line="240" w:lineRule="auto"/>
    </w:pPr>
    <w:rPr>
      <w:rFonts w:ascii="Arial" w:eastAsia="Times New Roman" w:hAnsi="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240372">
      <w:bodyDiv w:val="1"/>
      <w:marLeft w:val="0"/>
      <w:marRight w:val="0"/>
      <w:marTop w:val="0"/>
      <w:marBottom w:val="0"/>
      <w:divBdr>
        <w:top w:val="none" w:sz="0" w:space="0" w:color="auto"/>
        <w:left w:val="none" w:sz="0" w:space="0" w:color="auto"/>
        <w:bottom w:val="none" w:sz="0" w:space="0" w:color="auto"/>
        <w:right w:val="none" w:sz="0" w:space="0" w:color="auto"/>
      </w:divBdr>
    </w:div>
    <w:div w:id="567299905">
      <w:bodyDiv w:val="1"/>
      <w:marLeft w:val="0"/>
      <w:marRight w:val="0"/>
      <w:marTop w:val="0"/>
      <w:marBottom w:val="0"/>
      <w:divBdr>
        <w:top w:val="none" w:sz="0" w:space="0" w:color="auto"/>
        <w:left w:val="none" w:sz="0" w:space="0" w:color="auto"/>
        <w:bottom w:val="none" w:sz="0" w:space="0" w:color="auto"/>
        <w:right w:val="none" w:sz="0" w:space="0" w:color="auto"/>
      </w:divBdr>
    </w:div>
    <w:div w:id="968321748">
      <w:bodyDiv w:val="1"/>
      <w:marLeft w:val="0"/>
      <w:marRight w:val="0"/>
      <w:marTop w:val="0"/>
      <w:marBottom w:val="0"/>
      <w:divBdr>
        <w:top w:val="none" w:sz="0" w:space="0" w:color="auto"/>
        <w:left w:val="none" w:sz="0" w:space="0" w:color="auto"/>
        <w:bottom w:val="none" w:sz="0" w:space="0" w:color="auto"/>
        <w:right w:val="none" w:sz="0" w:space="0" w:color="auto"/>
      </w:divBdr>
    </w:div>
    <w:div w:id="136698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799</Words>
  <Characters>4335</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(Bill)</cp:keywords>
  <dc:description/>
  <cp:lastModifiedBy>PCODCS</cp:lastModifiedBy>
  <cp:revision>6</cp:revision>
  <cp:lastPrinted>1999-11-09T00:20:00Z</cp:lastPrinted>
  <dcterms:created xsi:type="dcterms:W3CDTF">2024-11-04T00:29:00Z</dcterms:created>
  <dcterms:modified xsi:type="dcterms:W3CDTF">2024-11-04T00:29:00Z</dcterms:modified>
  <cp:category>(non-amending)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2024-10-09T21:53:14Z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2ffc3c7d-1073-4b03-9a79-04ef56fe3768</vt:lpwstr>
  </property>
  <property fmtid="{D5CDD505-2E9C-101B-9397-08002B2CF9AE}" pid="8" name="MSIP_Label_69af8531-eb46-4968-8cb3-105d2f5ea87e_ContentBits">
    <vt:lpwstr>0</vt:lpwstr>
  </property>
</Properties>
</file>