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29FF" w:rsidRDefault="00DE64BD">
      <w:pPr>
        <w:jc w:val="center"/>
      </w:pPr>
      <w:bookmarkStart w:id="0" w:name="_GoBack"/>
      <w:bookmarkEnd w:id="0"/>
      <w:r>
        <w:rPr>
          <w:noProof/>
          <w:lang w:eastAsia="en-AU"/>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A29FF" w:rsidRDefault="00BA29FF">
      <w:pPr>
        <w:jc w:val="center"/>
        <w:rPr>
          <w:rFonts w:ascii="Arial" w:hAnsi="Arial"/>
        </w:rPr>
      </w:pPr>
      <w:r>
        <w:rPr>
          <w:rFonts w:ascii="Arial" w:hAnsi="Arial"/>
        </w:rPr>
        <w:t>Australian Capital Territory</w:t>
      </w:r>
    </w:p>
    <w:p w:rsidR="00BA29FF" w:rsidRDefault="00E072F5">
      <w:pPr>
        <w:pStyle w:val="Billname1"/>
      </w:pPr>
      <w:r>
        <w:fldChar w:fldCharType="begin"/>
      </w:r>
      <w:r>
        <w:instrText xml:space="preserve"> REF Citation \*charformat  \* MERGEFORMAT </w:instrText>
      </w:r>
      <w:r>
        <w:fldChar w:fldCharType="separate"/>
      </w:r>
      <w:r w:rsidR="00BA29FF">
        <w:t>Planning and Development Regulation 2008</w:t>
      </w:r>
      <w:r>
        <w:fldChar w:fldCharType="end"/>
      </w:r>
      <w:r w:rsidR="00BA29FF">
        <w:t xml:space="preserve">    </w:t>
      </w:r>
    </w:p>
    <w:p w:rsidR="00BA29FF" w:rsidRDefault="00BA29FF">
      <w:pPr>
        <w:pStyle w:val="ActNo"/>
      </w:pPr>
      <w:bookmarkStart w:id="1" w:name="LawNo"/>
      <w:r>
        <w:t>SL2008-2</w:t>
      </w:r>
      <w:bookmarkEnd w:id="1"/>
    </w:p>
    <w:p w:rsidR="00BA29FF" w:rsidRDefault="00BA29FF">
      <w:pPr>
        <w:pStyle w:val="CoverInForce"/>
      </w:pPr>
      <w:r>
        <w:t>made under the</w:t>
      </w:r>
    </w:p>
    <w:p w:rsidR="00BA29FF" w:rsidRDefault="00E072F5">
      <w:pPr>
        <w:pStyle w:val="CoverActName"/>
      </w:pPr>
      <w:r>
        <w:fldChar w:fldCharType="begin"/>
      </w:r>
      <w:r>
        <w:instrText xml:space="preserve"> REF ActName \*charformat </w:instrText>
      </w:r>
      <w:r>
        <w:fldChar w:fldCharType="separate"/>
      </w:r>
      <w:r w:rsidR="00BA29FF">
        <w:t>Planning and Development Act 2007</w:t>
      </w:r>
      <w:r>
        <w:fldChar w:fldCharType="end"/>
      </w:r>
    </w:p>
    <w:p w:rsidR="00BA29FF" w:rsidRDefault="00BA29FF">
      <w:pPr>
        <w:pStyle w:val="RepubNo"/>
      </w:pPr>
      <w:r>
        <w:t xml:space="preserve">Republication No </w:t>
      </w:r>
      <w:bookmarkStart w:id="2" w:name="RepubNo"/>
      <w:r>
        <w:t>4</w:t>
      </w:r>
      <w:bookmarkEnd w:id="2"/>
    </w:p>
    <w:p w:rsidR="00BA29FF" w:rsidRDefault="00BA29FF">
      <w:pPr>
        <w:pStyle w:val="EffectiveDate"/>
      </w:pPr>
      <w:r>
        <w:t xml:space="preserve">Effective:  </w:t>
      </w:r>
      <w:bookmarkStart w:id="3" w:name="EffectiveDate"/>
      <w:r>
        <w:t>26 August 2008</w:t>
      </w:r>
      <w:bookmarkEnd w:id="3"/>
      <w:r>
        <w:t xml:space="preserve"> – </w:t>
      </w:r>
      <w:bookmarkStart w:id="4" w:name="EndEffDate"/>
      <w:r>
        <w:t>15 September 2008</w:t>
      </w:r>
      <w:bookmarkEnd w:id="4"/>
    </w:p>
    <w:p w:rsidR="00BA29FF" w:rsidRDefault="00BA29FF">
      <w:pPr>
        <w:pStyle w:val="CoverInForce"/>
      </w:pPr>
      <w:r>
        <w:t xml:space="preserve">Republication date: </w:t>
      </w:r>
      <w:bookmarkStart w:id="5" w:name="InForceDate"/>
      <w:r>
        <w:t>26 August 2008</w:t>
      </w:r>
      <w:bookmarkEnd w:id="5"/>
    </w:p>
    <w:p w:rsidR="00BA29FF" w:rsidRDefault="00BA29FF">
      <w:pPr>
        <w:pStyle w:val="CoverInForce"/>
      </w:pPr>
      <w:r>
        <w:t xml:space="preserve">Last amendment made by </w:t>
      </w:r>
      <w:bookmarkStart w:id="6" w:name="LastAmdt"/>
      <w:r>
        <w:t>A2008-28</w:t>
      </w:r>
      <w:bookmarkEnd w:id="6"/>
    </w:p>
    <w:p w:rsidR="00BA29FF" w:rsidRDefault="00BA29FF"/>
    <w:p w:rsidR="00BA29FF" w:rsidRDefault="00BA29FF"/>
    <w:p w:rsidR="00BA29FF" w:rsidRDefault="00BA29FF"/>
    <w:p w:rsidR="00BA29FF" w:rsidRDefault="00BA29FF"/>
    <w:p w:rsidR="00BA29FF" w:rsidRDefault="00BA29FF">
      <w:pPr>
        <w:rPr>
          <w:rFonts w:ascii="Arial" w:hAnsi="Arial"/>
        </w:rPr>
      </w:pPr>
    </w:p>
    <w:p w:rsidR="00BA29FF" w:rsidRDefault="00BA29FF">
      <w:pPr>
        <w:pStyle w:val="CoverHeading"/>
      </w:pPr>
      <w:r>
        <w:br w:type="page"/>
      </w:r>
      <w:r>
        <w:lastRenderedPageBreak/>
        <w:t>About this republication</w:t>
      </w:r>
    </w:p>
    <w:p w:rsidR="00BA29FF" w:rsidRDefault="00BA29FF">
      <w:pPr>
        <w:pStyle w:val="CoverSubHdg"/>
      </w:pPr>
      <w:r>
        <w:t>The republished law</w:t>
      </w:r>
    </w:p>
    <w:p w:rsidR="00BA29FF" w:rsidRDefault="00BA29F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Pr="00BA29FF">
        <w:rPr>
          <w:i/>
        </w:rPr>
        <w:t>Planning and Development Regulation 2008</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Pr="00BA29FF">
        <w:rPr>
          <w:i/>
        </w:rPr>
        <w:t>Planning and Development Act 2007</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E072F5">
        <w:fldChar w:fldCharType="begin"/>
      </w:r>
      <w:r w:rsidR="00E072F5">
        <w:instrText xml:space="preserve"> REF InForceDate *\charformat </w:instrText>
      </w:r>
      <w:r w:rsidR="00E072F5">
        <w:fldChar w:fldCharType="separate"/>
      </w:r>
      <w:r>
        <w:t>26 August 2008</w:t>
      </w:r>
      <w:r w:rsidR="00E072F5">
        <w:fldChar w:fldCharType="end"/>
      </w:r>
      <w:r>
        <w:rPr>
          <w:i/>
        </w:rPr>
        <w:t xml:space="preserve">.  </w:t>
      </w:r>
      <w:r>
        <w:t xml:space="preserve">It also includes any amendment, repeal or expiry affecting the republished law to </w:t>
      </w:r>
      <w:r w:rsidR="00E072F5">
        <w:fldChar w:fldCharType="begin"/>
      </w:r>
      <w:r w:rsidR="00E072F5">
        <w:instrText xml:space="preserve"> REF EffectiveDate *\charformat </w:instrText>
      </w:r>
      <w:r w:rsidR="00E072F5">
        <w:fldChar w:fldCharType="separate"/>
      </w:r>
      <w:r>
        <w:t>26 August 2008</w:t>
      </w:r>
      <w:r w:rsidR="00E072F5">
        <w:fldChar w:fldCharType="end"/>
      </w:r>
      <w:r>
        <w:t xml:space="preserve">.  </w:t>
      </w:r>
    </w:p>
    <w:p w:rsidR="00BA29FF" w:rsidRDefault="00BA29FF">
      <w:pPr>
        <w:pStyle w:val="CoverText"/>
      </w:pPr>
      <w:r>
        <w:t xml:space="preserve">The legislation history and amendment history of the republished law are set out in endnotes 3 and 4. </w:t>
      </w:r>
    </w:p>
    <w:p w:rsidR="00BA29FF" w:rsidRDefault="00BA29FF">
      <w:pPr>
        <w:pStyle w:val="CoverSubHdg"/>
      </w:pPr>
      <w:r>
        <w:t>Kinds of republications</w:t>
      </w:r>
    </w:p>
    <w:p w:rsidR="00BA29FF" w:rsidRDefault="00BA29FF">
      <w:pPr>
        <w:pStyle w:val="CoverText"/>
        <w:rPr>
          <w:color w:val="000000"/>
        </w:rPr>
      </w:pPr>
      <w:r>
        <w:rPr>
          <w:color w:val="000000"/>
        </w:rPr>
        <w:t>The Parliamentary Counsel’s Office prepares 2 kinds of republications of ACT laws (see the ACT legislation register at www.legislation.act.gov.au):</w:t>
      </w:r>
    </w:p>
    <w:p w:rsidR="00BA29FF" w:rsidRDefault="00BA29FF" w:rsidP="00DE64BD">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BA29FF" w:rsidRDefault="00BA29FF" w:rsidP="00DE64BD">
      <w:pPr>
        <w:pStyle w:val="CoverText"/>
        <w:numPr>
          <w:ilvl w:val="0"/>
          <w:numId w:val="5"/>
        </w:numPr>
        <w:rPr>
          <w:color w:val="000000"/>
        </w:rPr>
      </w:pPr>
      <w:r>
        <w:rPr>
          <w:color w:val="000000"/>
        </w:rPr>
        <w:t>unauthorised republications.</w:t>
      </w:r>
    </w:p>
    <w:p w:rsidR="00BA29FF" w:rsidRDefault="00BA29FF">
      <w:pPr>
        <w:pStyle w:val="CoverText"/>
      </w:pPr>
      <w:r>
        <w:t>The status of this republication appears on the bottom of each page.</w:t>
      </w:r>
    </w:p>
    <w:p w:rsidR="00BA29FF" w:rsidRDefault="00BA29FF">
      <w:pPr>
        <w:pStyle w:val="CoverSubHdg"/>
      </w:pPr>
      <w:r>
        <w:t>Editorial changes</w:t>
      </w:r>
    </w:p>
    <w:p w:rsidR="00BA29FF" w:rsidRDefault="00BA29F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BA29FF" w:rsidRDefault="00BA29FF">
      <w:pPr>
        <w:pStyle w:val="CoverText"/>
      </w:pPr>
      <w:r>
        <w:t>This republication does not include amendments made under part 11.3 (see endnote 1).</w:t>
      </w:r>
    </w:p>
    <w:p w:rsidR="00BA29FF" w:rsidRDefault="00BA29FF">
      <w:pPr>
        <w:pStyle w:val="CoverSubHdg"/>
      </w:pPr>
      <w:r>
        <w:t>Uncommenced provisions and amendments</w:t>
      </w:r>
    </w:p>
    <w:p w:rsidR="00BA29FF" w:rsidRDefault="00BA29F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BA29FF" w:rsidRDefault="00BA29FF">
      <w:pPr>
        <w:pStyle w:val="CoverSubHdg"/>
      </w:pPr>
      <w:r>
        <w:t>Modifications</w:t>
      </w:r>
    </w:p>
    <w:p w:rsidR="00BA29FF" w:rsidRDefault="00BA29F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BA29FF" w:rsidRDefault="00BA29FF">
      <w:pPr>
        <w:pStyle w:val="CoverSubHdg"/>
      </w:pPr>
      <w:r>
        <w:t>Penalties</w:t>
      </w:r>
    </w:p>
    <w:p w:rsidR="00BA29FF" w:rsidRDefault="00BA29FF">
      <w:pPr>
        <w:pStyle w:val="CoverText"/>
        <w:rPr>
          <w:color w:val="000000"/>
        </w:rPr>
      </w:pPr>
      <w:r>
        <w:rPr>
          <w:color w:val="000000"/>
        </w:rPr>
        <w:t>The value of a penalty unit for an offence against this republished law at the republication date is—</w:t>
      </w:r>
    </w:p>
    <w:p w:rsidR="00BA29FF" w:rsidRDefault="00BA29FF">
      <w:pPr>
        <w:pStyle w:val="CoverTextPara"/>
      </w:pPr>
      <w:r>
        <w:tab/>
        <w:t>(a)</w:t>
      </w:r>
      <w:r>
        <w:tab/>
        <w:t>if the person charged is an individual—$100; or</w:t>
      </w:r>
    </w:p>
    <w:p w:rsidR="00BA29FF" w:rsidRDefault="00BA29FF">
      <w:pPr>
        <w:pStyle w:val="CoverTextPara"/>
      </w:pPr>
      <w:r>
        <w:tab/>
        <w:t>(b)</w:t>
      </w:r>
      <w:r>
        <w:tab/>
        <w:t>if the person charged is a corporation—$500.</w:t>
      </w:r>
    </w:p>
    <w:p w:rsidR="00BA29FF" w:rsidRDefault="00BA29FF">
      <w:pPr>
        <w:pStyle w:val="00SigningPage"/>
        <w:sectPr w:rsidR="00BA29FF">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BA29FF" w:rsidRDefault="00DE64BD">
      <w:pPr>
        <w:jc w:val="center"/>
      </w:pPr>
      <w:r>
        <w:rPr>
          <w:noProof/>
          <w:lang w:eastAsia="en-AU"/>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A29FF" w:rsidRDefault="00BA29FF">
      <w:pPr>
        <w:jc w:val="center"/>
        <w:rPr>
          <w:rFonts w:ascii="Arial" w:hAnsi="Arial"/>
        </w:rPr>
      </w:pPr>
      <w:r>
        <w:rPr>
          <w:rFonts w:ascii="Arial" w:hAnsi="Arial"/>
        </w:rPr>
        <w:t>Australian Capital Territory</w:t>
      </w:r>
    </w:p>
    <w:p w:rsidR="00BA29FF" w:rsidRDefault="00E072F5">
      <w:pPr>
        <w:pStyle w:val="Billname"/>
      </w:pPr>
      <w:r>
        <w:fldChar w:fldCharType="begin"/>
      </w:r>
      <w:r>
        <w:instrText xml:space="preserve"> REF Citation \*charformat </w:instrText>
      </w:r>
      <w:r>
        <w:fldChar w:fldCharType="separate"/>
      </w:r>
      <w:r w:rsidR="00BA29FF">
        <w:t>Planning and Development Regulation 2008</w:t>
      </w:r>
      <w:r>
        <w:fldChar w:fldCharType="end"/>
      </w:r>
    </w:p>
    <w:p w:rsidR="00BA29FF" w:rsidRDefault="00BA29FF">
      <w:pPr>
        <w:pStyle w:val="CoverInForce"/>
      </w:pPr>
      <w:r>
        <w:t>made under the</w:t>
      </w:r>
    </w:p>
    <w:p w:rsidR="00BA29FF" w:rsidRDefault="00E072F5">
      <w:pPr>
        <w:pStyle w:val="CoverActName"/>
      </w:pPr>
      <w:r>
        <w:fldChar w:fldCharType="begin"/>
      </w:r>
      <w:r>
        <w:instrText xml:space="preserve"> REF ActName \*charformat </w:instrText>
      </w:r>
      <w:r>
        <w:fldChar w:fldCharType="separate"/>
      </w:r>
      <w:r w:rsidR="00BA29FF">
        <w:t>Planning and Development Act 2007</w:t>
      </w:r>
      <w:r>
        <w:fldChar w:fldCharType="end"/>
      </w:r>
    </w:p>
    <w:p w:rsidR="00BA29FF" w:rsidRDefault="00BA29FF">
      <w:pPr>
        <w:pStyle w:val="Placeholder"/>
      </w:pPr>
      <w:r>
        <w:rPr>
          <w:rStyle w:val="charContents"/>
          <w:sz w:val="16"/>
        </w:rPr>
        <w:t xml:space="preserve">  </w:t>
      </w:r>
      <w:r>
        <w:rPr>
          <w:rStyle w:val="charPage"/>
        </w:rPr>
        <w:t xml:space="preserve">  </w:t>
      </w:r>
    </w:p>
    <w:p w:rsidR="00BA29FF" w:rsidRDefault="00BA29FF">
      <w:pPr>
        <w:pStyle w:val="N-TOCheading"/>
      </w:pPr>
      <w:r>
        <w:rPr>
          <w:rStyle w:val="charContents"/>
        </w:rPr>
        <w:t>Contents</w:t>
      </w:r>
    </w:p>
    <w:p w:rsidR="00BA29FF" w:rsidRDefault="00BA29FF">
      <w:pPr>
        <w:pStyle w:val="N-9pt"/>
      </w:pPr>
      <w:r>
        <w:tab/>
      </w:r>
      <w:r>
        <w:rPr>
          <w:rStyle w:val="charPage"/>
        </w:rPr>
        <w:t>Page</w:t>
      </w:r>
    </w:p>
    <w:p w:rsidR="00BA29FF" w:rsidRDefault="00BA29FF">
      <w:pPr>
        <w:pStyle w:val="TOC1"/>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Chapter 1</w:t>
      </w:r>
      <w:r>
        <w:rPr>
          <w:rFonts w:ascii="Times New Roman" w:hAnsi="Times New Roman"/>
          <w:b w:val="0"/>
          <w:szCs w:val="24"/>
        </w:rPr>
        <w:tab/>
      </w:r>
      <w:r>
        <w:t>Preliminary</w:t>
      </w:r>
    </w:p>
    <w:p w:rsidR="00BA29FF" w:rsidRDefault="00BA29F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regulation</w:t>
      </w:r>
      <w:r>
        <w:tab/>
      </w:r>
      <w:r>
        <w:fldChar w:fldCharType="begin"/>
      </w:r>
      <w:r>
        <w:instrText xml:space="preserve"> PAGEREF _Toc206921199 \h </w:instrText>
      </w:r>
      <w:r>
        <w:fldChar w:fldCharType="separate"/>
      </w:r>
      <w:r>
        <w:t>2</w:t>
      </w:r>
      <w:r>
        <w:fldChar w:fldCharType="end"/>
      </w:r>
    </w:p>
    <w:p w:rsidR="00BA29FF" w:rsidRDefault="00BA29F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Dictionary</w:t>
      </w:r>
      <w:r>
        <w:tab/>
      </w:r>
      <w:r>
        <w:fldChar w:fldCharType="begin"/>
      </w:r>
      <w:r>
        <w:instrText xml:space="preserve"> PAGEREF _Toc206921200 \h </w:instrText>
      </w:r>
      <w:r>
        <w:fldChar w:fldCharType="separate"/>
      </w:r>
      <w:r>
        <w:t>2</w:t>
      </w:r>
      <w:r>
        <w:fldChar w:fldCharType="end"/>
      </w:r>
    </w:p>
    <w:p w:rsidR="00BA29FF" w:rsidRDefault="00BA29FF">
      <w:pPr>
        <w:pStyle w:val="TOC5"/>
        <w:rPr>
          <w:rFonts w:ascii="Times New Roman" w:hAnsi="Times New Roman"/>
          <w:sz w:val="24"/>
          <w:szCs w:val="24"/>
        </w:rPr>
      </w:pPr>
      <w:r>
        <w:rPr>
          <w:szCs w:val="24"/>
        </w:rPr>
        <w:tab/>
        <w:t>4</w:t>
      </w:r>
      <w:r>
        <w:rPr>
          <w:rFonts w:ascii="Times New Roman" w:hAnsi="Times New Roman"/>
          <w:sz w:val="24"/>
          <w:szCs w:val="24"/>
        </w:rPr>
        <w:tab/>
      </w:r>
      <w:r>
        <w:rPr>
          <w:szCs w:val="24"/>
        </w:rPr>
        <w:t>Notes</w:t>
      </w:r>
      <w:r>
        <w:tab/>
      </w:r>
      <w:r>
        <w:fldChar w:fldCharType="begin"/>
      </w:r>
      <w:r>
        <w:instrText xml:space="preserve"> PAGEREF _Toc206921201 \h </w:instrText>
      </w:r>
      <w:r>
        <w:fldChar w:fldCharType="separate"/>
      </w:r>
      <w:r>
        <w:t>2</w:t>
      </w:r>
      <w:r>
        <w:fldChar w:fldCharType="end"/>
      </w:r>
    </w:p>
    <w:p w:rsidR="00BA29FF" w:rsidRDefault="00BA29FF">
      <w:pPr>
        <w:pStyle w:val="TOC5"/>
        <w:rPr>
          <w:rFonts w:ascii="Times New Roman" w:hAnsi="Times New Roman"/>
          <w:sz w:val="24"/>
        </w:rPr>
      </w:pPr>
      <w:r>
        <w:tab/>
        <w:t>5</w:t>
      </w:r>
      <w:r>
        <w:rPr>
          <w:rFonts w:ascii="Times New Roman" w:hAnsi="Times New Roman"/>
          <w:sz w:val="24"/>
        </w:rPr>
        <w:tab/>
      </w:r>
      <w:r>
        <w:t xml:space="preserve">Meaning of </w:t>
      </w:r>
      <w:r>
        <w:rPr>
          <w:i/>
          <w:iCs/>
        </w:rPr>
        <w:t>dwelling</w:t>
      </w:r>
      <w:r>
        <w:t>—regulation</w:t>
      </w:r>
      <w:r>
        <w:tab/>
      </w:r>
      <w:r>
        <w:fldChar w:fldCharType="begin"/>
      </w:r>
      <w:r>
        <w:instrText xml:space="preserve"> PAGEREF _Toc206921202 \h </w:instrText>
      </w:r>
      <w:r>
        <w:fldChar w:fldCharType="separate"/>
      </w:r>
      <w:r>
        <w:t>2</w:t>
      </w:r>
      <w:r>
        <w:fldChar w:fldCharType="end"/>
      </w:r>
    </w:p>
    <w:p w:rsidR="00BA29FF" w:rsidRDefault="00BA29FF">
      <w:pPr>
        <w:pStyle w:val="TOC1"/>
        <w:rPr>
          <w:rFonts w:ascii="Times New Roman" w:hAnsi="Times New Roman"/>
          <w:b w:val="0"/>
          <w:szCs w:val="24"/>
        </w:rPr>
      </w:pPr>
      <w:r>
        <w:t>Chapter 2</w:t>
      </w:r>
      <w:r>
        <w:rPr>
          <w:rFonts w:ascii="Times New Roman" w:hAnsi="Times New Roman"/>
          <w:b w:val="0"/>
          <w:szCs w:val="24"/>
        </w:rPr>
        <w:tab/>
      </w:r>
      <w:r>
        <w:t>Strategic environmental assessments</w:t>
      </w:r>
    </w:p>
    <w:p w:rsidR="00BA29FF" w:rsidRDefault="00BA29FF">
      <w:pPr>
        <w:pStyle w:val="TOC5"/>
        <w:rPr>
          <w:rFonts w:ascii="Times New Roman" w:hAnsi="Times New Roman"/>
          <w:sz w:val="24"/>
          <w:szCs w:val="24"/>
        </w:rPr>
      </w:pPr>
      <w:r>
        <w:rPr>
          <w:szCs w:val="24"/>
        </w:rPr>
        <w:tab/>
        <w:t>10</w:t>
      </w:r>
      <w:r>
        <w:rPr>
          <w:rFonts w:ascii="Times New Roman" w:hAnsi="Times New Roman"/>
          <w:sz w:val="24"/>
          <w:szCs w:val="24"/>
        </w:rPr>
        <w:tab/>
      </w:r>
      <w:r>
        <w:rPr>
          <w:szCs w:val="24"/>
        </w:rPr>
        <w:t xml:space="preserve">Meaning of </w:t>
      </w:r>
      <w:r>
        <w:rPr>
          <w:i/>
          <w:iCs/>
          <w:szCs w:val="24"/>
        </w:rPr>
        <w:t>proposal</w:t>
      </w:r>
      <w:r>
        <w:rPr>
          <w:szCs w:val="24"/>
        </w:rPr>
        <w:t>—ch 2</w:t>
      </w:r>
      <w:r>
        <w:tab/>
      </w:r>
      <w:r>
        <w:fldChar w:fldCharType="begin"/>
      </w:r>
      <w:r>
        <w:instrText xml:space="preserve"> PAGEREF _Toc206921204 \h </w:instrText>
      </w:r>
      <w:r>
        <w:fldChar w:fldCharType="separate"/>
      </w:r>
      <w:r>
        <w:t>4</w:t>
      </w:r>
      <w:r>
        <w:fldChar w:fldCharType="end"/>
      </w:r>
    </w:p>
    <w:p w:rsidR="00BA29FF" w:rsidRDefault="00BA29FF">
      <w:pPr>
        <w:pStyle w:val="TOC5"/>
        <w:rPr>
          <w:rFonts w:ascii="Times New Roman" w:hAnsi="Times New Roman"/>
          <w:sz w:val="24"/>
        </w:rPr>
      </w:pPr>
      <w:r>
        <w:tab/>
        <w:t>11</w:t>
      </w:r>
      <w:r>
        <w:rPr>
          <w:rFonts w:ascii="Times New Roman" w:hAnsi="Times New Roman"/>
          <w:sz w:val="24"/>
        </w:rPr>
        <w:tab/>
      </w:r>
      <w:r>
        <w:t>Development of strategic environmental assessments—Act, s 101 (a)</w:t>
      </w:r>
      <w:r>
        <w:tab/>
      </w:r>
      <w:r>
        <w:fldChar w:fldCharType="begin"/>
      </w:r>
      <w:r>
        <w:instrText xml:space="preserve"> PAGEREF _Toc206921205 \h </w:instrText>
      </w:r>
      <w:r>
        <w:fldChar w:fldCharType="separate"/>
      </w:r>
      <w:r>
        <w:t>4</w:t>
      </w:r>
      <w:r>
        <w:fldChar w:fldCharType="end"/>
      </w:r>
    </w:p>
    <w:p w:rsidR="00BA29FF" w:rsidRDefault="00BA29FF">
      <w:pPr>
        <w:pStyle w:val="TOC5"/>
        <w:rPr>
          <w:rFonts w:ascii="Times New Roman" w:hAnsi="Times New Roman"/>
          <w:sz w:val="24"/>
        </w:rPr>
      </w:pPr>
      <w:r>
        <w:lastRenderedPageBreak/>
        <w:tab/>
        <w:t>12</w:t>
      </w:r>
      <w:r>
        <w:rPr>
          <w:rFonts w:ascii="Times New Roman" w:hAnsi="Times New Roman"/>
          <w:sz w:val="24"/>
        </w:rPr>
        <w:tab/>
      </w:r>
      <w:r>
        <w:t>Stage A—setting context and establishing baseline</w:t>
      </w:r>
      <w:r>
        <w:tab/>
      </w:r>
      <w:r>
        <w:fldChar w:fldCharType="begin"/>
      </w:r>
      <w:r>
        <w:instrText xml:space="preserve"> PAGEREF _Toc206921206 \h </w:instrText>
      </w:r>
      <w:r>
        <w:fldChar w:fldCharType="separate"/>
      </w:r>
      <w:r>
        <w:t>5</w:t>
      </w:r>
      <w:r>
        <w:fldChar w:fldCharType="end"/>
      </w:r>
    </w:p>
    <w:p w:rsidR="00BA29FF" w:rsidRDefault="00BA29FF">
      <w:pPr>
        <w:pStyle w:val="TOC5"/>
        <w:rPr>
          <w:rFonts w:ascii="Times New Roman" w:hAnsi="Times New Roman"/>
          <w:sz w:val="24"/>
        </w:rPr>
      </w:pPr>
      <w:r>
        <w:tab/>
        <w:t>13</w:t>
      </w:r>
      <w:r>
        <w:rPr>
          <w:rFonts w:ascii="Times New Roman" w:hAnsi="Times New Roman"/>
          <w:sz w:val="24"/>
        </w:rPr>
        <w:tab/>
      </w:r>
      <w:r>
        <w:t>Stage B—developing alternatives and deciding scope</w:t>
      </w:r>
      <w:r>
        <w:tab/>
      </w:r>
      <w:r>
        <w:fldChar w:fldCharType="begin"/>
      </w:r>
      <w:r>
        <w:instrText xml:space="preserve"> PAGEREF _Toc206921207 \h </w:instrText>
      </w:r>
      <w:r>
        <w:fldChar w:fldCharType="separate"/>
      </w:r>
      <w:r>
        <w:t>6</w:t>
      </w:r>
      <w:r>
        <w:fldChar w:fldCharType="end"/>
      </w:r>
    </w:p>
    <w:p w:rsidR="00BA29FF" w:rsidRDefault="00BA29FF">
      <w:pPr>
        <w:pStyle w:val="TOC5"/>
        <w:rPr>
          <w:rFonts w:ascii="Times New Roman" w:hAnsi="Times New Roman"/>
          <w:sz w:val="24"/>
        </w:rPr>
      </w:pPr>
      <w:r>
        <w:tab/>
        <w:t>14</w:t>
      </w:r>
      <w:r>
        <w:rPr>
          <w:rFonts w:ascii="Times New Roman" w:hAnsi="Times New Roman"/>
          <w:sz w:val="24"/>
        </w:rPr>
        <w:tab/>
      </w:r>
      <w:r>
        <w:t>Stage C—assessing environmental benefits and impacts</w:t>
      </w:r>
      <w:r>
        <w:tab/>
      </w:r>
      <w:r>
        <w:fldChar w:fldCharType="begin"/>
      </w:r>
      <w:r>
        <w:instrText xml:space="preserve"> PAGEREF _Toc206921208 \h </w:instrText>
      </w:r>
      <w:r>
        <w:fldChar w:fldCharType="separate"/>
      </w:r>
      <w:r>
        <w:t>7</w:t>
      </w:r>
      <w:r>
        <w:fldChar w:fldCharType="end"/>
      </w:r>
    </w:p>
    <w:p w:rsidR="00BA29FF" w:rsidRDefault="00BA29FF">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Stage D—consultation</w:t>
      </w:r>
      <w:r>
        <w:tab/>
      </w:r>
      <w:r>
        <w:fldChar w:fldCharType="begin"/>
      </w:r>
      <w:r>
        <w:instrText xml:space="preserve"> PAGEREF _Toc206921209 \h </w:instrText>
      </w:r>
      <w:r>
        <w:fldChar w:fldCharType="separate"/>
      </w:r>
      <w:r>
        <w:t>8</w:t>
      </w:r>
      <w:r>
        <w:fldChar w:fldCharType="end"/>
      </w:r>
    </w:p>
    <w:p w:rsidR="00BA29FF" w:rsidRDefault="00BA29FF">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Stage E—monitoring</w:t>
      </w:r>
      <w:r>
        <w:tab/>
      </w:r>
      <w:r>
        <w:fldChar w:fldCharType="begin"/>
      </w:r>
      <w:r>
        <w:instrText xml:space="preserve"> PAGEREF _Toc206921210 \h </w:instrText>
      </w:r>
      <w:r>
        <w:fldChar w:fldCharType="separate"/>
      </w:r>
      <w:r>
        <w:t>9</w:t>
      </w:r>
      <w:r>
        <w:fldChar w:fldCharType="end"/>
      </w:r>
    </w:p>
    <w:p w:rsidR="00BA29FF" w:rsidRDefault="00BA29FF">
      <w:pPr>
        <w:pStyle w:val="TOC5"/>
        <w:rPr>
          <w:rFonts w:ascii="Times New Roman" w:hAnsi="Times New Roman"/>
          <w:sz w:val="24"/>
        </w:rPr>
      </w:pPr>
      <w:r>
        <w:tab/>
        <w:t>17</w:t>
      </w:r>
      <w:r>
        <w:rPr>
          <w:rFonts w:ascii="Times New Roman" w:hAnsi="Times New Roman"/>
          <w:sz w:val="24"/>
        </w:rPr>
        <w:tab/>
      </w:r>
      <w:r>
        <w:t>Contents of strategic environmental assessments—Act, s 101 (b)</w:t>
      </w:r>
      <w:r>
        <w:tab/>
      </w:r>
      <w:r>
        <w:fldChar w:fldCharType="begin"/>
      </w:r>
      <w:r>
        <w:instrText xml:space="preserve"> PAGEREF _Toc206921211 \h </w:instrText>
      </w:r>
      <w:r>
        <w:fldChar w:fldCharType="separate"/>
      </w:r>
      <w:r>
        <w:t>9</w:t>
      </w:r>
      <w:r>
        <w:fldChar w:fldCharType="end"/>
      </w:r>
    </w:p>
    <w:p w:rsidR="00BA29FF" w:rsidRDefault="00BA29FF">
      <w:pPr>
        <w:pStyle w:val="TOC1"/>
        <w:rPr>
          <w:rFonts w:ascii="Times New Roman" w:hAnsi="Times New Roman"/>
          <w:b w:val="0"/>
          <w:szCs w:val="24"/>
        </w:rPr>
      </w:pPr>
      <w:r>
        <w:t>Chapter 3</w:t>
      </w:r>
      <w:r>
        <w:rPr>
          <w:rFonts w:ascii="Times New Roman" w:hAnsi="Times New Roman"/>
          <w:b w:val="0"/>
          <w:szCs w:val="24"/>
        </w:rPr>
        <w:tab/>
      </w:r>
      <w:r>
        <w:t>Development approvals</w:t>
      </w:r>
    </w:p>
    <w:p w:rsidR="00BA29FF" w:rsidRDefault="00BA29FF">
      <w:pPr>
        <w:pStyle w:val="TOC2"/>
        <w:rPr>
          <w:rFonts w:ascii="Times New Roman" w:hAnsi="Times New Roman"/>
          <w:b w:val="0"/>
          <w:szCs w:val="24"/>
        </w:rPr>
      </w:pPr>
      <w:r>
        <w:t>Part 3.1</w:t>
      </w:r>
      <w:r>
        <w:rPr>
          <w:rFonts w:ascii="Times New Roman" w:hAnsi="Times New Roman"/>
          <w:b w:val="0"/>
          <w:szCs w:val="24"/>
        </w:rPr>
        <w:tab/>
      </w:r>
      <w:r>
        <w:t>Exemptions from requirement for development approval</w:t>
      </w:r>
    </w:p>
    <w:p w:rsidR="00BA29FF" w:rsidRDefault="00BA29FF">
      <w:pPr>
        <w:pStyle w:val="TOC5"/>
        <w:rPr>
          <w:rFonts w:ascii="Times New Roman" w:hAnsi="Times New Roman"/>
          <w:sz w:val="24"/>
        </w:rPr>
      </w:pPr>
      <w:r>
        <w:tab/>
        <w:t>20</w:t>
      </w:r>
      <w:r>
        <w:rPr>
          <w:rFonts w:ascii="Times New Roman" w:hAnsi="Times New Roman"/>
          <w:sz w:val="24"/>
        </w:rPr>
        <w:tab/>
      </w:r>
      <w:r>
        <w:rPr>
          <w:lang w:val="en-US"/>
        </w:rPr>
        <w:t xml:space="preserve">Exempt developments—Act, s 133, def </w:t>
      </w:r>
      <w:r>
        <w:rPr>
          <w:i/>
        </w:rPr>
        <w:t>exempt development</w:t>
      </w:r>
      <w:r>
        <w:rPr>
          <w:lang w:val="en-US"/>
        </w:rPr>
        <w:t>, par (c)</w:t>
      </w:r>
      <w:r>
        <w:tab/>
      </w:r>
      <w:r>
        <w:fldChar w:fldCharType="begin"/>
      </w:r>
      <w:r>
        <w:instrText xml:space="preserve"> PAGEREF _Toc206921214 \h </w:instrText>
      </w:r>
      <w:r>
        <w:fldChar w:fldCharType="separate"/>
      </w:r>
      <w:r>
        <w:t>12</w:t>
      </w:r>
      <w:r>
        <w:fldChar w:fldCharType="end"/>
      </w:r>
    </w:p>
    <w:p w:rsidR="00BA29FF" w:rsidRDefault="00BA29FF">
      <w:pPr>
        <w:pStyle w:val="TOC2"/>
        <w:rPr>
          <w:rFonts w:ascii="Times New Roman" w:hAnsi="Times New Roman"/>
          <w:b w:val="0"/>
          <w:szCs w:val="24"/>
        </w:rPr>
      </w:pPr>
      <w:r>
        <w:t>Part 3.2</w:t>
      </w:r>
      <w:r>
        <w:rPr>
          <w:rFonts w:ascii="Times New Roman" w:hAnsi="Times New Roman"/>
          <w:b w:val="0"/>
          <w:szCs w:val="24"/>
        </w:rPr>
        <w:tab/>
      </w:r>
      <w:r>
        <w:t>Development applications</w:t>
      </w:r>
    </w:p>
    <w:p w:rsidR="00BA29FF" w:rsidRDefault="00BA29FF">
      <w:pPr>
        <w:pStyle w:val="TOC5"/>
        <w:rPr>
          <w:rFonts w:ascii="Times New Roman" w:hAnsi="Times New Roman"/>
          <w:sz w:val="24"/>
        </w:rPr>
      </w:pPr>
      <w:r>
        <w:tab/>
        <w:t>25</w:t>
      </w:r>
      <w:r>
        <w:rPr>
          <w:rFonts w:ascii="Times New Roman" w:hAnsi="Times New Roman"/>
          <w:sz w:val="24"/>
        </w:rPr>
        <w:tab/>
      </w:r>
      <w:r>
        <w:t>When survey certificate not required for development applications—Act, s 139 (2) (j)</w:t>
      </w:r>
      <w:r>
        <w:tab/>
      </w:r>
      <w:r>
        <w:fldChar w:fldCharType="begin"/>
      </w:r>
      <w:r>
        <w:instrText xml:space="preserve"> PAGEREF _Toc206921216 \h </w:instrText>
      </w:r>
      <w:r>
        <w:fldChar w:fldCharType="separate"/>
      </w:r>
      <w:r>
        <w:t>14</w:t>
      </w:r>
      <w:r>
        <w:fldChar w:fldCharType="end"/>
      </w:r>
    </w:p>
    <w:p w:rsidR="00BA29FF" w:rsidRDefault="00BA29FF">
      <w:pPr>
        <w:pStyle w:val="TOC5"/>
        <w:rPr>
          <w:rFonts w:ascii="Times New Roman" w:hAnsi="Times New Roman"/>
          <w:sz w:val="24"/>
        </w:rPr>
      </w:pPr>
      <w:r>
        <w:tab/>
        <w:t>26</w:t>
      </w:r>
      <w:r>
        <w:rPr>
          <w:rFonts w:ascii="Times New Roman" w:hAnsi="Times New Roman"/>
          <w:sz w:val="24"/>
        </w:rPr>
        <w:tab/>
      </w:r>
      <w:r>
        <w:t>Referral of certain development applications—Act, s 148 (1)</w:t>
      </w:r>
      <w:r>
        <w:tab/>
      </w:r>
      <w:r>
        <w:fldChar w:fldCharType="begin"/>
      </w:r>
      <w:r>
        <w:instrText xml:space="preserve"> PAGEREF _Toc206921217 \h </w:instrText>
      </w:r>
      <w:r>
        <w:fldChar w:fldCharType="separate"/>
      </w:r>
      <w:r>
        <w:t>15</w:t>
      </w:r>
      <w:r>
        <w:fldChar w:fldCharType="end"/>
      </w:r>
    </w:p>
    <w:p w:rsidR="00BA29FF" w:rsidRDefault="00BA29FF">
      <w:pPr>
        <w:pStyle w:val="TOC5"/>
        <w:rPr>
          <w:rFonts w:ascii="Times New Roman" w:hAnsi="Times New Roman"/>
          <w:sz w:val="24"/>
        </w:rPr>
      </w:pPr>
      <w:r>
        <w:tab/>
        <w:t>27</w:t>
      </w:r>
      <w:r>
        <w:rPr>
          <w:rFonts w:ascii="Times New Roman" w:hAnsi="Times New Roman"/>
          <w:sz w:val="24"/>
        </w:rPr>
        <w:tab/>
      </w:r>
      <w:r>
        <w:t>Public notification of merit track development applications—Act, s 152 (1) (a) and (2)</w:t>
      </w:r>
      <w:r>
        <w:tab/>
      </w:r>
      <w:r>
        <w:fldChar w:fldCharType="begin"/>
      </w:r>
      <w:r>
        <w:instrText xml:space="preserve"> PAGEREF _Toc206921218 \h </w:instrText>
      </w:r>
      <w:r>
        <w:fldChar w:fldCharType="separate"/>
      </w:r>
      <w:r>
        <w:t>17</w:t>
      </w:r>
      <w:r>
        <w:fldChar w:fldCharType="end"/>
      </w:r>
    </w:p>
    <w:p w:rsidR="00BA29FF" w:rsidRDefault="00BA29FF">
      <w:pPr>
        <w:pStyle w:val="TOC5"/>
        <w:rPr>
          <w:rFonts w:ascii="Times New Roman" w:hAnsi="Times New Roman"/>
          <w:sz w:val="24"/>
        </w:rPr>
      </w:pPr>
      <w:r>
        <w:tab/>
        <w:t>28</w:t>
      </w:r>
      <w:r>
        <w:rPr>
          <w:rFonts w:ascii="Times New Roman" w:hAnsi="Times New Roman"/>
          <w:sz w:val="24"/>
        </w:rPr>
        <w:tab/>
      </w:r>
      <w:r>
        <w:t>Public consultation period—Act, s 157, def </w:t>
      </w:r>
      <w:r>
        <w:rPr>
          <w:i/>
        </w:rPr>
        <w:t>public consultation period</w:t>
      </w:r>
      <w:r>
        <w:t>, par (a)</w:t>
      </w:r>
      <w:r>
        <w:tab/>
      </w:r>
      <w:r>
        <w:fldChar w:fldCharType="begin"/>
      </w:r>
      <w:r>
        <w:instrText xml:space="preserve"> PAGEREF _Toc206921219 \h </w:instrText>
      </w:r>
      <w:r>
        <w:fldChar w:fldCharType="separate"/>
      </w:r>
      <w:r>
        <w:t>17</w:t>
      </w:r>
      <w:r>
        <w:fldChar w:fldCharType="end"/>
      </w:r>
    </w:p>
    <w:p w:rsidR="00BA29FF" w:rsidRDefault="00BA29FF">
      <w:pPr>
        <w:pStyle w:val="TOC5"/>
        <w:rPr>
          <w:rFonts w:ascii="Times New Roman" w:hAnsi="Times New Roman"/>
          <w:sz w:val="24"/>
        </w:rPr>
      </w:pPr>
      <w:r>
        <w:tab/>
        <w:t>29</w:t>
      </w:r>
      <w:r>
        <w:rPr>
          <w:rFonts w:ascii="Times New Roman" w:hAnsi="Times New Roman"/>
          <w:sz w:val="24"/>
        </w:rPr>
        <w:tab/>
      </w:r>
      <w:r>
        <w:t>Conditions for code track proposals—Act, s 165 (4)</w:t>
      </w:r>
      <w:r>
        <w:tab/>
      </w:r>
      <w:r>
        <w:fldChar w:fldCharType="begin"/>
      </w:r>
      <w:r>
        <w:instrText xml:space="preserve"> PAGEREF _Toc206921220 \h </w:instrText>
      </w:r>
      <w:r>
        <w:fldChar w:fldCharType="separate"/>
      </w:r>
      <w:r>
        <w:t>17</w:t>
      </w:r>
      <w:r>
        <w:fldChar w:fldCharType="end"/>
      </w:r>
    </w:p>
    <w:p w:rsidR="00BA29FF" w:rsidRDefault="00BA29FF">
      <w:pPr>
        <w:pStyle w:val="TOC2"/>
        <w:rPr>
          <w:rFonts w:ascii="Times New Roman" w:hAnsi="Times New Roman"/>
          <w:b w:val="0"/>
          <w:szCs w:val="24"/>
        </w:rPr>
      </w:pPr>
      <w:r>
        <w:t>Part 3.3</w:t>
      </w:r>
      <w:r>
        <w:rPr>
          <w:rFonts w:ascii="Times New Roman" w:hAnsi="Times New Roman"/>
          <w:b w:val="0"/>
          <w:szCs w:val="24"/>
        </w:rPr>
        <w:tab/>
      </w:r>
      <w:r>
        <w:t>Development approvals—when amendment not required</w:t>
      </w:r>
    </w:p>
    <w:p w:rsidR="00BA29FF" w:rsidRDefault="00BA29FF">
      <w:pPr>
        <w:pStyle w:val="TOC5"/>
        <w:rPr>
          <w:rFonts w:ascii="Times New Roman" w:hAnsi="Times New Roman"/>
          <w:sz w:val="24"/>
        </w:rPr>
      </w:pPr>
      <w:r>
        <w:tab/>
        <w:t>35</w:t>
      </w:r>
      <w:r>
        <w:rPr>
          <w:rFonts w:ascii="Times New Roman" w:hAnsi="Times New Roman"/>
          <w:sz w:val="24"/>
        </w:rPr>
        <w:tab/>
      </w:r>
      <w:r>
        <w:t>When development approvals do not require amendment—Act, s 198C (2)</w:t>
      </w:r>
      <w:r>
        <w:tab/>
      </w:r>
      <w:r>
        <w:fldChar w:fldCharType="begin"/>
      </w:r>
      <w:r>
        <w:instrText xml:space="preserve"> PAGEREF _Toc206921222 \h </w:instrText>
      </w:r>
      <w:r>
        <w:fldChar w:fldCharType="separate"/>
      </w:r>
      <w:r>
        <w:t>19</w:t>
      </w:r>
      <w:r>
        <w:fldChar w:fldCharType="end"/>
      </w:r>
    </w:p>
    <w:p w:rsidR="00BA29FF" w:rsidRDefault="00BA29FF">
      <w:pPr>
        <w:pStyle w:val="TOC5"/>
        <w:rPr>
          <w:rFonts w:ascii="Times New Roman" w:hAnsi="Times New Roman"/>
          <w:sz w:val="24"/>
          <w:szCs w:val="24"/>
        </w:rPr>
      </w:pPr>
      <w:r>
        <w:rPr>
          <w:szCs w:val="24"/>
        </w:rPr>
        <w:tab/>
        <w:t>36</w:t>
      </w:r>
      <w:r>
        <w:rPr>
          <w:rFonts w:ascii="Times New Roman" w:hAnsi="Times New Roman"/>
          <w:sz w:val="24"/>
          <w:szCs w:val="24"/>
        </w:rPr>
        <w:tab/>
      </w:r>
      <w:r>
        <w:rPr>
          <w:szCs w:val="24"/>
        </w:rPr>
        <w:t>Expiry—pt 3.3</w:t>
      </w:r>
      <w:r>
        <w:tab/>
      </w:r>
      <w:r>
        <w:fldChar w:fldCharType="begin"/>
      </w:r>
      <w:r>
        <w:instrText xml:space="preserve"> PAGEREF _Toc206921223 \h </w:instrText>
      </w:r>
      <w:r>
        <w:fldChar w:fldCharType="separate"/>
      </w:r>
      <w:r>
        <w:t>19</w:t>
      </w:r>
      <w:r>
        <w:fldChar w:fldCharType="end"/>
      </w:r>
    </w:p>
    <w:p w:rsidR="00BA29FF" w:rsidRDefault="00BA29FF">
      <w:pPr>
        <w:pStyle w:val="TOC1"/>
        <w:rPr>
          <w:rFonts w:ascii="Times New Roman" w:hAnsi="Times New Roman"/>
          <w:b w:val="0"/>
          <w:szCs w:val="24"/>
        </w:rPr>
      </w:pPr>
      <w:r>
        <w:t>Chapter 4</w:t>
      </w:r>
      <w:r>
        <w:rPr>
          <w:rFonts w:ascii="Times New Roman" w:hAnsi="Times New Roman"/>
          <w:b w:val="0"/>
          <w:szCs w:val="24"/>
        </w:rPr>
        <w:tab/>
      </w:r>
      <w:r>
        <w:t>Environmental impact statements and inquiries</w:t>
      </w:r>
    </w:p>
    <w:p w:rsidR="00BA29FF" w:rsidRDefault="00BA29FF">
      <w:pPr>
        <w:pStyle w:val="TOC2"/>
        <w:rPr>
          <w:rFonts w:ascii="Times New Roman" w:hAnsi="Times New Roman"/>
          <w:b w:val="0"/>
          <w:szCs w:val="24"/>
        </w:rPr>
      </w:pPr>
      <w:r>
        <w:t>Part 4.1</w:t>
      </w:r>
      <w:r>
        <w:rPr>
          <w:rFonts w:ascii="Times New Roman" w:hAnsi="Times New Roman"/>
          <w:b w:val="0"/>
          <w:szCs w:val="24"/>
        </w:rPr>
        <w:tab/>
      </w:r>
      <w:r>
        <w:t>Environmental impact statements</w:t>
      </w:r>
    </w:p>
    <w:p w:rsidR="00BA29FF" w:rsidRDefault="00BA29FF">
      <w:pPr>
        <w:pStyle w:val="TOC5"/>
        <w:rPr>
          <w:rFonts w:ascii="Times New Roman" w:hAnsi="Times New Roman"/>
          <w:sz w:val="24"/>
        </w:rPr>
      </w:pPr>
      <w:r>
        <w:tab/>
        <w:t>50</w:t>
      </w:r>
      <w:r>
        <w:rPr>
          <w:rFonts w:ascii="Times New Roman" w:hAnsi="Times New Roman"/>
          <w:sz w:val="24"/>
        </w:rPr>
        <w:tab/>
      </w:r>
      <w:r>
        <w:t>Preparation of EIS—Act, s 208 (1)</w:t>
      </w:r>
      <w:r>
        <w:tab/>
      </w:r>
      <w:r>
        <w:fldChar w:fldCharType="begin"/>
      </w:r>
      <w:r>
        <w:instrText xml:space="preserve"> PAGEREF _Toc206921226 \h </w:instrText>
      </w:r>
      <w:r>
        <w:fldChar w:fldCharType="separate"/>
      </w:r>
      <w:r>
        <w:t>20</w:t>
      </w:r>
      <w:r>
        <w:fldChar w:fldCharType="end"/>
      </w:r>
    </w:p>
    <w:p w:rsidR="00BA29FF" w:rsidRDefault="00BA29FF">
      <w:pPr>
        <w:pStyle w:val="TOC5"/>
        <w:rPr>
          <w:rFonts w:ascii="Times New Roman" w:hAnsi="Times New Roman"/>
          <w:sz w:val="24"/>
        </w:rPr>
      </w:pPr>
      <w:r>
        <w:lastRenderedPageBreak/>
        <w:tab/>
        <w:t>51</w:t>
      </w:r>
      <w:r>
        <w:rPr>
          <w:rFonts w:ascii="Times New Roman" w:hAnsi="Times New Roman"/>
          <w:sz w:val="24"/>
        </w:rPr>
        <w:tab/>
      </w:r>
      <w:r>
        <w:t>Entities relevant for preparation of scoping documents—Act, s 212 (3)</w:t>
      </w:r>
      <w:r>
        <w:tab/>
      </w:r>
      <w:r>
        <w:fldChar w:fldCharType="begin"/>
      </w:r>
      <w:r>
        <w:instrText xml:space="preserve"> PAGEREF _Toc206921227 \h </w:instrText>
      </w:r>
      <w:r>
        <w:fldChar w:fldCharType="separate"/>
      </w:r>
      <w:r>
        <w:t>23</w:t>
      </w:r>
      <w:r>
        <w:fldChar w:fldCharType="end"/>
      </w:r>
    </w:p>
    <w:p w:rsidR="00BA29FF" w:rsidRDefault="00BA29FF">
      <w:pPr>
        <w:pStyle w:val="TOC5"/>
        <w:rPr>
          <w:rFonts w:ascii="Times New Roman" w:hAnsi="Times New Roman"/>
          <w:sz w:val="24"/>
        </w:rPr>
      </w:pPr>
      <w:r>
        <w:tab/>
        <w:t>52</w:t>
      </w:r>
      <w:r>
        <w:rPr>
          <w:rFonts w:ascii="Times New Roman" w:hAnsi="Times New Roman"/>
          <w:sz w:val="24"/>
        </w:rPr>
        <w:tab/>
      </w:r>
      <w:r>
        <w:t>Time for consulting entities on preparation of scoping documents</w:t>
      </w:r>
      <w:r>
        <w:tab/>
      </w:r>
      <w:r>
        <w:fldChar w:fldCharType="begin"/>
      </w:r>
      <w:r>
        <w:instrText xml:space="preserve"> PAGEREF _Toc206921228 \h </w:instrText>
      </w:r>
      <w:r>
        <w:fldChar w:fldCharType="separate"/>
      </w:r>
      <w:r>
        <w:t>24</w:t>
      </w:r>
      <w:r>
        <w:fldChar w:fldCharType="end"/>
      </w:r>
    </w:p>
    <w:p w:rsidR="00BA29FF" w:rsidRDefault="00BA29FF">
      <w:pPr>
        <w:pStyle w:val="TOC5"/>
        <w:rPr>
          <w:rFonts w:ascii="Times New Roman" w:hAnsi="Times New Roman"/>
          <w:sz w:val="24"/>
        </w:rPr>
      </w:pPr>
      <w:r>
        <w:tab/>
        <w:t>53</w:t>
      </w:r>
      <w:r>
        <w:rPr>
          <w:rFonts w:ascii="Times New Roman" w:hAnsi="Times New Roman"/>
          <w:sz w:val="24"/>
        </w:rPr>
        <w:tab/>
      </w:r>
      <w:r>
        <w:t>Extension of time for giving comments on scoping documentation</w:t>
      </w:r>
      <w:r>
        <w:tab/>
      </w:r>
      <w:r>
        <w:fldChar w:fldCharType="begin"/>
      </w:r>
      <w:r>
        <w:instrText xml:space="preserve"> PAGEREF _Toc206921229 \h </w:instrText>
      </w:r>
      <w:r>
        <w:fldChar w:fldCharType="separate"/>
      </w:r>
      <w:r>
        <w:t>25</w:t>
      </w:r>
      <w:r>
        <w:fldChar w:fldCharType="end"/>
      </w:r>
    </w:p>
    <w:p w:rsidR="00BA29FF" w:rsidRDefault="00BA29FF">
      <w:pPr>
        <w:pStyle w:val="TOC5"/>
        <w:rPr>
          <w:rFonts w:ascii="Times New Roman" w:hAnsi="Times New Roman"/>
          <w:sz w:val="24"/>
        </w:rPr>
      </w:pPr>
      <w:r>
        <w:tab/>
        <w:t>54</w:t>
      </w:r>
      <w:r>
        <w:rPr>
          <w:rFonts w:ascii="Times New Roman" w:hAnsi="Times New Roman"/>
          <w:sz w:val="24"/>
        </w:rPr>
        <w:tab/>
      </w:r>
      <w:r>
        <w:t>Content of scoping documents—Act, s 213 (1)</w:t>
      </w:r>
      <w:r>
        <w:tab/>
      </w:r>
      <w:r>
        <w:fldChar w:fldCharType="begin"/>
      </w:r>
      <w:r>
        <w:instrText xml:space="preserve"> PAGEREF _Toc206921230 \h </w:instrText>
      </w:r>
      <w:r>
        <w:fldChar w:fldCharType="separate"/>
      </w:r>
      <w:r>
        <w:t>26</w:t>
      </w:r>
      <w:r>
        <w:fldChar w:fldCharType="end"/>
      </w:r>
    </w:p>
    <w:p w:rsidR="00BA29FF" w:rsidRDefault="00BA29FF">
      <w:pPr>
        <w:pStyle w:val="TOC5"/>
        <w:rPr>
          <w:rFonts w:ascii="Times New Roman" w:hAnsi="Times New Roman"/>
          <w:sz w:val="24"/>
        </w:rPr>
      </w:pPr>
      <w:r>
        <w:tab/>
        <w:t>55</w:t>
      </w:r>
      <w:r>
        <w:rPr>
          <w:rFonts w:ascii="Times New Roman" w:hAnsi="Times New Roman"/>
          <w:sz w:val="24"/>
        </w:rPr>
        <w:tab/>
      </w:r>
      <w:r>
        <w:t>Criteria for consultants—Act, s 213 (3), def </w:t>
      </w:r>
      <w:r>
        <w:rPr>
          <w:i/>
          <w:iCs/>
        </w:rPr>
        <w:t>consultant</w:t>
      </w:r>
      <w:r>
        <w:tab/>
      </w:r>
      <w:r>
        <w:fldChar w:fldCharType="begin"/>
      </w:r>
      <w:r>
        <w:instrText xml:space="preserve"> PAGEREF _Toc206921231 \h </w:instrText>
      </w:r>
      <w:r>
        <w:fldChar w:fldCharType="separate"/>
      </w:r>
      <w:r>
        <w:t>28</w:t>
      </w:r>
      <w:r>
        <w:fldChar w:fldCharType="end"/>
      </w:r>
    </w:p>
    <w:p w:rsidR="00BA29FF" w:rsidRDefault="00BA29FF">
      <w:pPr>
        <w:pStyle w:val="TOC2"/>
        <w:rPr>
          <w:rFonts w:ascii="Times New Roman" w:hAnsi="Times New Roman"/>
          <w:b w:val="0"/>
          <w:szCs w:val="24"/>
        </w:rPr>
      </w:pPr>
      <w:r>
        <w:t>Part 4.2</w:t>
      </w:r>
      <w:r>
        <w:rPr>
          <w:rFonts w:ascii="Times New Roman" w:hAnsi="Times New Roman"/>
          <w:b w:val="0"/>
          <w:szCs w:val="24"/>
        </w:rPr>
        <w:tab/>
      </w:r>
      <w:r>
        <w:t>Inquiry panels</w:t>
      </w:r>
    </w:p>
    <w:p w:rsidR="00BA29FF" w:rsidRDefault="00BA29FF">
      <w:pPr>
        <w:pStyle w:val="TOC5"/>
        <w:rPr>
          <w:rFonts w:ascii="Times New Roman" w:hAnsi="Times New Roman"/>
          <w:sz w:val="24"/>
          <w:szCs w:val="24"/>
        </w:rPr>
      </w:pPr>
      <w:r>
        <w:rPr>
          <w:szCs w:val="24"/>
        </w:rPr>
        <w:tab/>
        <w:t>70</w:t>
      </w:r>
      <w:r>
        <w:rPr>
          <w:rFonts w:ascii="Times New Roman" w:hAnsi="Times New Roman"/>
          <w:sz w:val="24"/>
          <w:szCs w:val="24"/>
        </w:rPr>
        <w:tab/>
      </w:r>
      <w:r>
        <w:rPr>
          <w:szCs w:val="24"/>
        </w:rPr>
        <w:t>Definitions—pt 4.2</w:t>
      </w:r>
      <w:r>
        <w:tab/>
      </w:r>
      <w:r>
        <w:fldChar w:fldCharType="begin"/>
      </w:r>
      <w:r>
        <w:instrText xml:space="preserve"> PAGEREF _Toc206921233 \h </w:instrText>
      </w:r>
      <w:r>
        <w:fldChar w:fldCharType="separate"/>
      </w:r>
      <w:r>
        <w:t>29</w:t>
      </w:r>
      <w:r>
        <w:fldChar w:fldCharType="end"/>
      </w:r>
    </w:p>
    <w:p w:rsidR="00BA29FF" w:rsidRDefault="00BA29FF">
      <w:pPr>
        <w:pStyle w:val="TOC5"/>
        <w:rPr>
          <w:rFonts w:ascii="Times New Roman" w:hAnsi="Times New Roman"/>
          <w:sz w:val="24"/>
        </w:rPr>
      </w:pPr>
      <w:r>
        <w:tab/>
        <w:t>71</w:t>
      </w:r>
      <w:r>
        <w:rPr>
          <w:rFonts w:ascii="Times New Roman" w:hAnsi="Times New Roman"/>
          <w:sz w:val="24"/>
        </w:rPr>
        <w:tab/>
      </w:r>
      <w:r>
        <w:t>List of experts for inquiry panels</w:t>
      </w:r>
      <w:r>
        <w:tab/>
      </w:r>
      <w:r>
        <w:fldChar w:fldCharType="begin"/>
      </w:r>
      <w:r>
        <w:instrText xml:space="preserve"> PAGEREF _Toc206921234 \h </w:instrText>
      </w:r>
      <w:r>
        <w:fldChar w:fldCharType="separate"/>
      </w:r>
      <w:r>
        <w:t>29</w:t>
      </w:r>
      <w:r>
        <w:fldChar w:fldCharType="end"/>
      </w:r>
    </w:p>
    <w:p w:rsidR="00BA29FF" w:rsidRDefault="00BA29FF">
      <w:pPr>
        <w:pStyle w:val="TOC5"/>
        <w:rPr>
          <w:rFonts w:ascii="Times New Roman" w:hAnsi="Times New Roman"/>
          <w:sz w:val="24"/>
        </w:rPr>
      </w:pPr>
      <w:r>
        <w:tab/>
        <w:t>72</w:t>
      </w:r>
      <w:r>
        <w:rPr>
          <w:rFonts w:ascii="Times New Roman" w:hAnsi="Times New Roman"/>
          <w:sz w:val="24"/>
        </w:rPr>
        <w:tab/>
      </w:r>
      <w:r>
        <w:t>Conflict of interests to be considered in appointing panel members</w:t>
      </w:r>
      <w:r>
        <w:tab/>
      </w:r>
      <w:r>
        <w:fldChar w:fldCharType="begin"/>
      </w:r>
      <w:r>
        <w:instrText xml:space="preserve"> PAGEREF _Toc206921235 \h </w:instrText>
      </w:r>
      <w:r>
        <w:fldChar w:fldCharType="separate"/>
      </w:r>
      <w:r>
        <w:t>30</w:t>
      </w:r>
      <w:r>
        <w:fldChar w:fldCharType="end"/>
      </w:r>
    </w:p>
    <w:p w:rsidR="00BA29FF" w:rsidRDefault="00BA29FF">
      <w:pPr>
        <w:pStyle w:val="TOC5"/>
        <w:rPr>
          <w:rFonts w:ascii="Times New Roman" w:hAnsi="Times New Roman"/>
          <w:sz w:val="24"/>
        </w:rPr>
      </w:pPr>
      <w:r>
        <w:tab/>
        <w:t>73</w:t>
      </w:r>
      <w:r>
        <w:rPr>
          <w:rFonts w:ascii="Times New Roman" w:hAnsi="Times New Roman"/>
          <w:sz w:val="24"/>
        </w:rPr>
        <w:tab/>
      </w:r>
      <w:r>
        <w:t>Disclosure of interests by panel members</w:t>
      </w:r>
      <w:r>
        <w:tab/>
      </w:r>
      <w:r>
        <w:fldChar w:fldCharType="begin"/>
      </w:r>
      <w:r>
        <w:instrText xml:space="preserve"> PAGEREF _Toc206921236 \h </w:instrText>
      </w:r>
      <w:r>
        <w:fldChar w:fldCharType="separate"/>
      </w:r>
      <w:r>
        <w:t>30</w:t>
      </w:r>
      <w:r>
        <w:fldChar w:fldCharType="end"/>
      </w:r>
    </w:p>
    <w:p w:rsidR="00BA29FF" w:rsidRDefault="00BA29FF">
      <w:pPr>
        <w:pStyle w:val="TOC5"/>
        <w:rPr>
          <w:rFonts w:ascii="Times New Roman" w:hAnsi="Times New Roman"/>
          <w:sz w:val="24"/>
          <w:szCs w:val="24"/>
        </w:rPr>
      </w:pPr>
      <w:r>
        <w:rPr>
          <w:szCs w:val="24"/>
        </w:rPr>
        <w:tab/>
        <w:t>74</w:t>
      </w:r>
      <w:r>
        <w:rPr>
          <w:rFonts w:ascii="Times New Roman" w:hAnsi="Times New Roman"/>
          <w:sz w:val="24"/>
          <w:szCs w:val="24"/>
        </w:rPr>
        <w:tab/>
      </w:r>
      <w:r>
        <w:rPr>
          <w:szCs w:val="24"/>
        </w:rPr>
        <w:t>Presiding member’s functions</w:t>
      </w:r>
      <w:r>
        <w:tab/>
      </w:r>
      <w:r>
        <w:fldChar w:fldCharType="begin"/>
      </w:r>
      <w:r>
        <w:instrText xml:space="preserve"> PAGEREF _Toc206921237 \h </w:instrText>
      </w:r>
      <w:r>
        <w:fldChar w:fldCharType="separate"/>
      </w:r>
      <w:r>
        <w:t>31</w:t>
      </w:r>
      <w:r>
        <w:fldChar w:fldCharType="end"/>
      </w:r>
    </w:p>
    <w:p w:rsidR="00BA29FF" w:rsidRDefault="00BA29FF">
      <w:pPr>
        <w:pStyle w:val="TOC5"/>
        <w:rPr>
          <w:rFonts w:ascii="Times New Roman" w:hAnsi="Times New Roman"/>
          <w:sz w:val="24"/>
        </w:rPr>
      </w:pPr>
      <w:r>
        <w:tab/>
        <w:t>75</w:t>
      </w:r>
      <w:r>
        <w:rPr>
          <w:rFonts w:ascii="Times New Roman" w:hAnsi="Times New Roman"/>
          <w:sz w:val="24"/>
        </w:rPr>
        <w:tab/>
      </w:r>
      <w:r>
        <w:t>Constitution of inquiry panels</w:t>
      </w:r>
      <w:r>
        <w:tab/>
      </w:r>
      <w:r>
        <w:fldChar w:fldCharType="begin"/>
      </w:r>
      <w:r>
        <w:instrText xml:space="preserve"> PAGEREF _Toc206921238 \h </w:instrText>
      </w:r>
      <w:r>
        <w:fldChar w:fldCharType="separate"/>
      </w:r>
      <w:r>
        <w:t>31</w:t>
      </w:r>
      <w:r>
        <w:fldChar w:fldCharType="end"/>
      </w:r>
    </w:p>
    <w:p w:rsidR="00BA29FF" w:rsidRDefault="00BA29FF">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Inquiries to be public</w:t>
      </w:r>
      <w:r>
        <w:tab/>
      </w:r>
      <w:r>
        <w:fldChar w:fldCharType="begin"/>
      </w:r>
      <w:r>
        <w:instrText xml:space="preserve"> PAGEREF _Toc206921239 \h </w:instrText>
      </w:r>
      <w:r>
        <w:fldChar w:fldCharType="separate"/>
      </w:r>
      <w:r>
        <w:t>32</w:t>
      </w:r>
      <w:r>
        <w:fldChar w:fldCharType="end"/>
      </w:r>
    </w:p>
    <w:p w:rsidR="00BA29FF" w:rsidRDefault="00BA29FF">
      <w:pPr>
        <w:pStyle w:val="TOC5"/>
        <w:rPr>
          <w:rFonts w:ascii="Times New Roman" w:hAnsi="Times New Roman"/>
          <w:sz w:val="24"/>
        </w:rPr>
      </w:pPr>
      <w:r>
        <w:tab/>
        <w:t>77</w:t>
      </w:r>
      <w:r>
        <w:rPr>
          <w:rFonts w:ascii="Times New Roman" w:hAnsi="Times New Roman"/>
          <w:sz w:val="24"/>
        </w:rPr>
        <w:tab/>
      </w:r>
      <w:r>
        <w:t>General procedure for inquiry panels</w:t>
      </w:r>
      <w:r>
        <w:tab/>
      </w:r>
      <w:r>
        <w:fldChar w:fldCharType="begin"/>
      </w:r>
      <w:r>
        <w:instrText xml:space="preserve"> PAGEREF _Toc206921240 \h </w:instrText>
      </w:r>
      <w:r>
        <w:fldChar w:fldCharType="separate"/>
      </w:r>
      <w:r>
        <w:t>33</w:t>
      </w:r>
      <w:r>
        <w:fldChar w:fldCharType="end"/>
      </w:r>
    </w:p>
    <w:p w:rsidR="00BA29FF" w:rsidRDefault="00BA29FF">
      <w:pPr>
        <w:pStyle w:val="TOC5"/>
        <w:rPr>
          <w:rFonts w:ascii="Times New Roman" w:hAnsi="Times New Roman"/>
          <w:sz w:val="24"/>
        </w:rPr>
      </w:pPr>
      <w:r>
        <w:tab/>
        <w:t>78</w:t>
      </w:r>
      <w:r>
        <w:rPr>
          <w:rFonts w:ascii="Times New Roman" w:hAnsi="Times New Roman"/>
          <w:sz w:val="24"/>
        </w:rPr>
        <w:tab/>
      </w:r>
      <w:r>
        <w:t>Arrangements for the use of staff and facilities</w:t>
      </w:r>
      <w:r>
        <w:tab/>
      </w:r>
      <w:r>
        <w:fldChar w:fldCharType="begin"/>
      </w:r>
      <w:r>
        <w:instrText xml:space="preserve"> PAGEREF _Toc206921241 \h </w:instrText>
      </w:r>
      <w:r>
        <w:fldChar w:fldCharType="separate"/>
      </w:r>
      <w:r>
        <w:t>34</w:t>
      </w:r>
      <w:r>
        <w:fldChar w:fldCharType="end"/>
      </w:r>
    </w:p>
    <w:p w:rsidR="00BA29FF" w:rsidRDefault="00BA29FF">
      <w:pPr>
        <w:pStyle w:val="TOC1"/>
        <w:rPr>
          <w:rFonts w:ascii="Times New Roman" w:hAnsi="Times New Roman"/>
          <w:b w:val="0"/>
          <w:szCs w:val="24"/>
        </w:rPr>
      </w:pPr>
      <w:r>
        <w:t>Chapter 5</w:t>
      </w:r>
      <w:r>
        <w:rPr>
          <w:rFonts w:ascii="Times New Roman" w:hAnsi="Times New Roman"/>
          <w:b w:val="0"/>
          <w:szCs w:val="24"/>
        </w:rPr>
        <w:tab/>
      </w:r>
      <w:r>
        <w:t>Leases generally</w:t>
      </w:r>
    </w:p>
    <w:p w:rsidR="00BA29FF" w:rsidRDefault="00BA29FF">
      <w:pPr>
        <w:pStyle w:val="TOC2"/>
        <w:rPr>
          <w:rFonts w:ascii="Times New Roman" w:hAnsi="Times New Roman"/>
          <w:b w:val="0"/>
          <w:szCs w:val="24"/>
        </w:rPr>
      </w:pPr>
      <w:r>
        <w:t>Part 5.1</w:t>
      </w:r>
      <w:r>
        <w:rPr>
          <w:rFonts w:ascii="Times New Roman" w:hAnsi="Times New Roman"/>
          <w:b w:val="0"/>
          <w:szCs w:val="24"/>
        </w:rPr>
        <w:tab/>
      </w:r>
      <w:r>
        <w:t>Direct sale of leases</w:t>
      </w:r>
    </w:p>
    <w:p w:rsidR="00BA29FF" w:rsidRDefault="00BA29FF">
      <w:pPr>
        <w:pStyle w:val="TOC3"/>
        <w:rPr>
          <w:rFonts w:ascii="Times New Roman" w:hAnsi="Times New Roman"/>
          <w:b w:val="0"/>
          <w:sz w:val="24"/>
          <w:szCs w:val="24"/>
        </w:rPr>
      </w:pPr>
      <w:r>
        <w:t>Division 5.1.1</w:t>
      </w:r>
      <w:r>
        <w:rPr>
          <w:rFonts w:ascii="Times New Roman" w:hAnsi="Times New Roman"/>
          <w:b w:val="0"/>
          <w:sz w:val="24"/>
          <w:szCs w:val="24"/>
        </w:rPr>
        <w:tab/>
      </w:r>
      <w:r>
        <w:t>Interpretation—pt 5.1</w:t>
      </w:r>
    </w:p>
    <w:p w:rsidR="00BA29FF" w:rsidRDefault="00BA29FF">
      <w:pPr>
        <w:pStyle w:val="TOC5"/>
        <w:rPr>
          <w:rFonts w:ascii="Times New Roman" w:hAnsi="Times New Roman"/>
          <w:sz w:val="24"/>
          <w:szCs w:val="24"/>
        </w:rPr>
      </w:pPr>
      <w:r>
        <w:rPr>
          <w:szCs w:val="24"/>
        </w:rPr>
        <w:tab/>
        <w:t>100</w:t>
      </w:r>
      <w:r>
        <w:rPr>
          <w:rFonts w:ascii="Times New Roman" w:hAnsi="Times New Roman"/>
          <w:sz w:val="24"/>
          <w:szCs w:val="24"/>
        </w:rPr>
        <w:tab/>
      </w:r>
      <w:r>
        <w:rPr>
          <w:szCs w:val="24"/>
        </w:rPr>
        <w:t>Definitions—pt 5.1</w:t>
      </w:r>
      <w:r>
        <w:tab/>
      </w:r>
      <w:r>
        <w:fldChar w:fldCharType="begin"/>
      </w:r>
      <w:r>
        <w:instrText xml:space="preserve"> PAGEREF _Toc206921245 \h </w:instrText>
      </w:r>
      <w:r>
        <w:fldChar w:fldCharType="separate"/>
      </w:r>
      <w:r>
        <w:t>35</w:t>
      </w:r>
      <w:r>
        <w:fldChar w:fldCharType="end"/>
      </w:r>
    </w:p>
    <w:p w:rsidR="00BA29FF" w:rsidRDefault="00BA29FF">
      <w:pPr>
        <w:pStyle w:val="TOC5"/>
        <w:rPr>
          <w:rFonts w:ascii="Times New Roman" w:hAnsi="Times New Roman"/>
          <w:sz w:val="24"/>
        </w:rPr>
      </w:pPr>
      <w:r>
        <w:tab/>
        <w:t>101</w:t>
      </w:r>
      <w:r>
        <w:rPr>
          <w:rFonts w:ascii="Times New Roman" w:hAnsi="Times New Roman"/>
          <w:sz w:val="24"/>
        </w:rPr>
        <w:tab/>
      </w:r>
      <w:r>
        <w:t xml:space="preserve">Meaning of </w:t>
      </w:r>
      <w:r>
        <w:rPr>
          <w:bCs/>
          <w:i/>
        </w:rPr>
        <w:t>business-case</w:t>
      </w:r>
      <w:r>
        <w:rPr>
          <w:i/>
        </w:rPr>
        <w:t xml:space="preserve"> </w:t>
      </w:r>
      <w:r>
        <w:rPr>
          <w:i/>
          <w:iCs/>
        </w:rPr>
        <w:t>criteria</w:t>
      </w:r>
      <w:r>
        <w:t xml:space="preserve"> and </w:t>
      </w:r>
      <w:r>
        <w:rPr>
          <w:i/>
          <w:iCs/>
        </w:rPr>
        <w:t>business-case documentation</w:t>
      </w:r>
      <w:r>
        <w:t>—pt 5.1</w:t>
      </w:r>
      <w:r>
        <w:tab/>
      </w:r>
      <w:r>
        <w:fldChar w:fldCharType="begin"/>
      </w:r>
      <w:r>
        <w:instrText xml:space="preserve"> PAGEREF _Toc206921246 \h </w:instrText>
      </w:r>
      <w:r>
        <w:fldChar w:fldCharType="separate"/>
      </w:r>
      <w:r>
        <w:t>37</w:t>
      </w:r>
      <w:r>
        <w:fldChar w:fldCharType="end"/>
      </w:r>
    </w:p>
    <w:p w:rsidR="00BA29FF" w:rsidRDefault="00BA29FF">
      <w:pPr>
        <w:pStyle w:val="TOC5"/>
        <w:rPr>
          <w:rFonts w:ascii="Times New Roman" w:hAnsi="Times New Roman"/>
          <w:sz w:val="24"/>
        </w:rPr>
      </w:pPr>
      <w:r>
        <w:tab/>
        <w:t>102</w:t>
      </w:r>
      <w:r>
        <w:rPr>
          <w:rFonts w:ascii="Times New Roman" w:hAnsi="Times New Roman"/>
          <w:sz w:val="24"/>
        </w:rPr>
        <w:tab/>
      </w:r>
      <w:r>
        <w:t xml:space="preserve">Meaning of </w:t>
      </w:r>
      <w:r>
        <w:rPr>
          <w:i/>
          <w:iCs/>
        </w:rPr>
        <w:t>City West precinct</w:t>
      </w:r>
      <w:r>
        <w:t>—pt 5.1</w:t>
      </w:r>
      <w:r>
        <w:tab/>
      </w:r>
      <w:r>
        <w:fldChar w:fldCharType="begin"/>
      </w:r>
      <w:r>
        <w:instrText xml:space="preserve"> PAGEREF _Toc206921247 \h </w:instrText>
      </w:r>
      <w:r>
        <w:fldChar w:fldCharType="separate"/>
      </w:r>
      <w:r>
        <w:t>38</w:t>
      </w:r>
      <w:r>
        <w:fldChar w:fldCharType="end"/>
      </w:r>
    </w:p>
    <w:p w:rsidR="00BA29FF" w:rsidRDefault="00BA29FF">
      <w:pPr>
        <w:pStyle w:val="TOC3"/>
        <w:rPr>
          <w:rFonts w:ascii="Times New Roman" w:hAnsi="Times New Roman"/>
          <w:b w:val="0"/>
          <w:sz w:val="24"/>
          <w:szCs w:val="24"/>
        </w:rPr>
      </w:pPr>
      <w:r>
        <w:t>Division 5.1.2</w:t>
      </w:r>
      <w:r>
        <w:rPr>
          <w:rFonts w:ascii="Times New Roman" w:hAnsi="Times New Roman"/>
          <w:b w:val="0"/>
          <w:sz w:val="24"/>
          <w:szCs w:val="24"/>
        </w:rPr>
        <w:tab/>
      </w:r>
      <w:r>
        <w:t>Direct sales approved by Executive</w:t>
      </w:r>
    </w:p>
    <w:p w:rsidR="00BA29FF" w:rsidRDefault="00BA29FF">
      <w:pPr>
        <w:pStyle w:val="TOC5"/>
        <w:rPr>
          <w:rFonts w:ascii="Times New Roman" w:hAnsi="Times New Roman"/>
          <w:sz w:val="24"/>
        </w:rPr>
      </w:pPr>
      <w:r>
        <w:tab/>
        <w:t>105</w:t>
      </w:r>
      <w:r>
        <w:rPr>
          <w:rFonts w:ascii="Times New Roman" w:hAnsi="Times New Roman"/>
          <w:sz w:val="24"/>
        </w:rPr>
        <w:tab/>
      </w:r>
      <w:r>
        <w:t>Direct sales requiring approval by Executive—Act, s 240 (1) (a)</w:t>
      </w:r>
      <w:r>
        <w:tab/>
      </w:r>
      <w:r>
        <w:fldChar w:fldCharType="begin"/>
      </w:r>
      <w:r>
        <w:instrText xml:space="preserve"> PAGEREF _Toc206921249 \h </w:instrText>
      </w:r>
      <w:r>
        <w:fldChar w:fldCharType="separate"/>
      </w:r>
      <w:r>
        <w:t>39</w:t>
      </w:r>
      <w:r>
        <w:fldChar w:fldCharType="end"/>
      </w:r>
    </w:p>
    <w:p w:rsidR="00BA29FF" w:rsidRDefault="00BA29FF">
      <w:pPr>
        <w:pStyle w:val="TOC5"/>
        <w:rPr>
          <w:rFonts w:ascii="Times New Roman" w:hAnsi="Times New Roman"/>
          <w:sz w:val="24"/>
        </w:rPr>
      </w:pPr>
      <w:r>
        <w:tab/>
        <w:t>106</w:t>
      </w:r>
      <w:r>
        <w:rPr>
          <w:rFonts w:ascii="Times New Roman" w:hAnsi="Times New Roman"/>
          <w:sz w:val="24"/>
        </w:rPr>
        <w:tab/>
      </w:r>
      <w:r>
        <w:t>Direct sale criteria for territory entities—Act, s 240 (1) (a) (i)</w:t>
      </w:r>
      <w:r>
        <w:tab/>
      </w:r>
      <w:r>
        <w:fldChar w:fldCharType="begin"/>
      </w:r>
      <w:r>
        <w:instrText xml:space="preserve"> PAGEREF _Toc206921250 \h </w:instrText>
      </w:r>
      <w:r>
        <w:fldChar w:fldCharType="separate"/>
      </w:r>
      <w:r>
        <w:t>40</w:t>
      </w:r>
      <w:r>
        <w:fldChar w:fldCharType="end"/>
      </w:r>
    </w:p>
    <w:p w:rsidR="00BA29FF" w:rsidRDefault="00BA29FF">
      <w:pPr>
        <w:pStyle w:val="TOC5"/>
        <w:rPr>
          <w:rFonts w:ascii="Times New Roman" w:hAnsi="Times New Roman"/>
          <w:sz w:val="24"/>
        </w:rPr>
      </w:pPr>
      <w:r>
        <w:tab/>
        <w:t>107</w:t>
      </w:r>
      <w:r>
        <w:rPr>
          <w:rFonts w:ascii="Times New Roman" w:hAnsi="Times New Roman"/>
          <w:sz w:val="24"/>
        </w:rPr>
        <w:tab/>
      </w:r>
      <w:r>
        <w:t>Direct sale criteria for Commonwealth entities—Act, s 240 (1) (a) (i)</w:t>
      </w:r>
      <w:r>
        <w:tab/>
      </w:r>
      <w:r>
        <w:fldChar w:fldCharType="begin"/>
      </w:r>
      <w:r>
        <w:instrText xml:space="preserve"> PAGEREF _Toc206921251 \h </w:instrText>
      </w:r>
      <w:r>
        <w:fldChar w:fldCharType="separate"/>
      </w:r>
      <w:r>
        <w:t>40</w:t>
      </w:r>
      <w:r>
        <w:fldChar w:fldCharType="end"/>
      </w:r>
    </w:p>
    <w:p w:rsidR="00BA29FF" w:rsidRDefault="00BA29FF">
      <w:pPr>
        <w:pStyle w:val="TOC5"/>
        <w:rPr>
          <w:rFonts w:ascii="Times New Roman" w:hAnsi="Times New Roman"/>
          <w:sz w:val="24"/>
        </w:rPr>
      </w:pPr>
      <w:r>
        <w:tab/>
        <w:t>108</w:t>
      </w:r>
      <w:r>
        <w:rPr>
          <w:rFonts w:ascii="Times New Roman" w:hAnsi="Times New Roman"/>
          <w:sz w:val="24"/>
        </w:rPr>
        <w:tab/>
      </w:r>
      <w:r>
        <w:t>Direct sale criteria for non-government educational establishments—Act, s 240 (1) (a) (i)</w:t>
      </w:r>
      <w:r>
        <w:tab/>
      </w:r>
      <w:r>
        <w:fldChar w:fldCharType="begin"/>
      </w:r>
      <w:r>
        <w:instrText xml:space="preserve"> PAGEREF _Toc206921252 \h </w:instrText>
      </w:r>
      <w:r>
        <w:fldChar w:fldCharType="separate"/>
      </w:r>
      <w:r>
        <w:t>41</w:t>
      </w:r>
      <w:r>
        <w:fldChar w:fldCharType="end"/>
      </w:r>
    </w:p>
    <w:p w:rsidR="00BA29FF" w:rsidRDefault="00BA29FF">
      <w:pPr>
        <w:pStyle w:val="TOC5"/>
        <w:rPr>
          <w:rFonts w:ascii="Times New Roman" w:hAnsi="Times New Roman"/>
          <w:sz w:val="24"/>
        </w:rPr>
      </w:pPr>
      <w:r>
        <w:tab/>
        <w:t>109</w:t>
      </w:r>
      <w:r>
        <w:rPr>
          <w:rFonts w:ascii="Times New Roman" w:hAnsi="Times New Roman"/>
          <w:sz w:val="24"/>
        </w:rPr>
        <w:tab/>
      </w:r>
      <w:r>
        <w:t>Direct sale criterion for unallocated land for housing commissioner—Act, s 240 (1) (a) (i)</w:t>
      </w:r>
      <w:r>
        <w:tab/>
      </w:r>
      <w:r>
        <w:fldChar w:fldCharType="begin"/>
      </w:r>
      <w:r>
        <w:instrText xml:space="preserve"> PAGEREF _Toc206921253 \h </w:instrText>
      </w:r>
      <w:r>
        <w:fldChar w:fldCharType="separate"/>
      </w:r>
      <w:r>
        <w:t>43</w:t>
      </w:r>
      <w:r>
        <w:fldChar w:fldCharType="end"/>
      </w:r>
    </w:p>
    <w:p w:rsidR="00BA29FF" w:rsidRDefault="00BA29FF">
      <w:pPr>
        <w:pStyle w:val="TOC5"/>
        <w:rPr>
          <w:rFonts w:ascii="Times New Roman" w:hAnsi="Times New Roman"/>
          <w:sz w:val="24"/>
        </w:rPr>
      </w:pPr>
      <w:r>
        <w:lastRenderedPageBreak/>
        <w:tab/>
        <w:t>110</w:t>
      </w:r>
      <w:r>
        <w:rPr>
          <w:rFonts w:ascii="Times New Roman" w:hAnsi="Times New Roman"/>
          <w:sz w:val="24"/>
        </w:rPr>
        <w:tab/>
      </w:r>
      <w:r>
        <w:t>Direct sale criteria for leases of contiguous unleased land that is public land—Act, s 240 (1) (a) (i)</w:t>
      </w:r>
      <w:r>
        <w:tab/>
      </w:r>
      <w:r>
        <w:fldChar w:fldCharType="begin"/>
      </w:r>
      <w:r>
        <w:instrText xml:space="preserve"> PAGEREF _Toc206921254 \h </w:instrText>
      </w:r>
      <w:r>
        <w:fldChar w:fldCharType="separate"/>
      </w:r>
      <w:r>
        <w:t>43</w:t>
      </w:r>
      <w:r>
        <w:fldChar w:fldCharType="end"/>
      </w:r>
    </w:p>
    <w:p w:rsidR="00BA29FF" w:rsidRDefault="00BA29FF">
      <w:pPr>
        <w:pStyle w:val="TOC5"/>
        <w:rPr>
          <w:rFonts w:ascii="Times New Roman" w:hAnsi="Times New Roman"/>
          <w:sz w:val="24"/>
        </w:rPr>
      </w:pPr>
      <w:r>
        <w:tab/>
        <w:t>111</w:t>
      </w:r>
      <w:r>
        <w:rPr>
          <w:rFonts w:ascii="Times New Roman" w:hAnsi="Times New Roman"/>
          <w:sz w:val="24"/>
        </w:rPr>
        <w:tab/>
      </w:r>
      <w:r>
        <w:t>Direct sale criteria for City West precinct land for Australian National University—Act, s 240 (1) (a) (i)</w:t>
      </w:r>
      <w:r>
        <w:tab/>
      </w:r>
      <w:r>
        <w:fldChar w:fldCharType="begin"/>
      </w:r>
      <w:r>
        <w:instrText xml:space="preserve"> PAGEREF _Toc206921255 \h </w:instrText>
      </w:r>
      <w:r>
        <w:fldChar w:fldCharType="separate"/>
      </w:r>
      <w:r>
        <w:t>44</w:t>
      </w:r>
      <w:r>
        <w:fldChar w:fldCharType="end"/>
      </w:r>
    </w:p>
    <w:p w:rsidR="00BA29FF" w:rsidRDefault="00BA29FF">
      <w:pPr>
        <w:pStyle w:val="TOC5"/>
        <w:rPr>
          <w:rFonts w:ascii="Times New Roman" w:hAnsi="Times New Roman"/>
          <w:sz w:val="24"/>
        </w:rPr>
      </w:pPr>
      <w:r>
        <w:tab/>
        <w:t>112</w:t>
      </w:r>
      <w:r>
        <w:rPr>
          <w:rFonts w:ascii="Times New Roman" w:hAnsi="Times New Roman"/>
          <w:sz w:val="24"/>
        </w:rPr>
        <w:tab/>
      </w:r>
      <w:r>
        <w:t>Direct sale criteria for community uses—Act, s 240 (1) (a) (i)</w:t>
      </w:r>
      <w:r>
        <w:tab/>
      </w:r>
      <w:r>
        <w:fldChar w:fldCharType="begin"/>
      </w:r>
      <w:r>
        <w:instrText xml:space="preserve"> PAGEREF _Toc206921256 \h </w:instrText>
      </w:r>
      <w:r>
        <w:fldChar w:fldCharType="separate"/>
      </w:r>
      <w:r>
        <w:t>45</w:t>
      </w:r>
      <w:r>
        <w:fldChar w:fldCharType="end"/>
      </w:r>
    </w:p>
    <w:p w:rsidR="00BA29FF" w:rsidRDefault="00BA29FF">
      <w:pPr>
        <w:pStyle w:val="TOC5"/>
        <w:rPr>
          <w:rFonts w:ascii="Times New Roman" w:hAnsi="Times New Roman"/>
          <w:sz w:val="24"/>
        </w:rPr>
      </w:pPr>
      <w:r>
        <w:tab/>
        <w:t>113</w:t>
      </w:r>
      <w:r>
        <w:rPr>
          <w:rFonts w:ascii="Times New Roman" w:hAnsi="Times New Roman"/>
          <w:sz w:val="24"/>
        </w:rPr>
        <w:tab/>
      </w:r>
      <w:r>
        <w:t>Direct sale criteria for supportive accommodation—Act, s 240 (1) (a) (i)</w:t>
      </w:r>
      <w:r>
        <w:tab/>
      </w:r>
      <w:r>
        <w:fldChar w:fldCharType="begin"/>
      </w:r>
      <w:r>
        <w:instrText xml:space="preserve"> PAGEREF _Toc206921257 \h </w:instrText>
      </w:r>
      <w:r>
        <w:fldChar w:fldCharType="separate"/>
      </w:r>
      <w:r>
        <w:t>46</w:t>
      </w:r>
      <w:r>
        <w:fldChar w:fldCharType="end"/>
      </w:r>
    </w:p>
    <w:p w:rsidR="00BA29FF" w:rsidRDefault="00BA29FF">
      <w:pPr>
        <w:pStyle w:val="TOC5"/>
        <w:rPr>
          <w:rFonts w:ascii="Times New Roman" w:hAnsi="Times New Roman"/>
          <w:sz w:val="24"/>
        </w:rPr>
      </w:pPr>
      <w:r>
        <w:tab/>
        <w:t>114</w:t>
      </w:r>
      <w:r>
        <w:rPr>
          <w:rFonts w:ascii="Times New Roman" w:hAnsi="Times New Roman"/>
          <w:sz w:val="24"/>
        </w:rPr>
        <w:tab/>
      </w:r>
      <w:r>
        <w:t>Direct sale criteria for rural leases—Act, s 240 (1) (a) (i)</w:t>
      </w:r>
      <w:r>
        <w:tab/>
      </w:r>
      <w:r>
        <w:fldChar w:fldCharType="begin"/>
      </w:r>
      <w:r>
        <w:instrText xml:space="preserve"> PAGEREF _Toc206921258 \h </w:instrText>
      </w:r>
      <w:r>
        <w:fldChar w:fldCharType="separate"/>
      </w:r>
      <w:r>
        <w:t>47</w:t>
      </w:r>
      <w:r>
        <w:fldChar w:fldCharType="end"/>
      </w:r>
    </w:p>
    <w:p w:rsidR="00BA29FF" w:rsidRDefault="00BA29FF">
      <w:pPr>
        <w:pStyle w:val="TOC3"/>
        <w:rPr>
          <w:rFonts w:ascii="Times New Roman" w:hAnsi="Times New Roman"/>
          <w:b w:val="0"/>
          <w:sz w:val="24"/>
          <w:szCs w:val="24"/>
        </w:rPr>
      </w:pPr>
      <w:r>
        <w:t>Division 5.1.3</w:t>
      </w:r>
      <w:r>
        <w:rPr>
          <w:rFonts w:ascii="Times New Roman" w:hAnsi="Times New Roman"/>
          <w:b w:val="0"/>
          <w:sz w:val="24"/>
          <w:szCs w:val="24"/>
        </w:rPr>
        <w:tab/>
      </w:r>
      <w:r>
        <w:t>Direct sales approved by Minister</w:t>
      </w:r>
    </w:p>
    <w:p w:rsidR="00BA29FF" w:rsidRDefault="00BA29FF">
      <w:pPr>
        <w:pStyle w:val="TOC5"/>
        <w:rPr>
          <w:rFonts w:ascii="Times New Roman" w:hAnsi="Times New Roman"/>
          <w:sz w:val="24"/>
        </w:rPr>
      </w:pPr>
      <w:r>
        <w:tab/>
        <w:t>120</w:t>
      </w:r>
      <w:r>
        <w:rPr>
          <w:rFonts w:ascii="Times New Roman" w:hAnsi="Times New Roman"/>
          <w:sz w:val="24"/>
        </w:rPr>
        <w:tab/>
      </w:r>
      <w:r>
        <w:t>Direct sales requiring approval by Minister—Act, s 240 (1) (b)</w:t>
      </w:r>
      <w:r>
        <w:tab/>
      </w:r>
      <w:r>
        <w:fldChar w:fldCharType="begin"/>
      </w:r>
      <w:r>
        <w:instrText xml:space="preserve"> PAGEREF _Toc206921260 \h </w:instrText>
      </w:r>
      <w:r>
        <w:fldChar w:fldCharType="separate"/>
      </w:r>
      <w:r>
        <w:t>48</w:t>
      </w:r>
      <w:r>
        <w:fldChar w:fldCharType="end"/>
      </w:r>
    </w:p>
    <w:p w:rsidR="00BA29FF" w:rsidRDefault="00BA29FF">
      <w:pPr>
        <w:pStyle w:val="TOC5"/>
        <w:rPr>
          <w:rFonts w:ascii="Times New Roman" w:hAnsi="Times New Roman"/>
          <w:sz w:val="24"/>
        </w:rPr>
      </w:pPr>
      <w:r>
        <w:tab/>
        <w:t>121</w:t>
      </w:r>
      <w:r>
        <w:rPr>
          <w:rFonts w:ascii="Times New Roman" w:hAnsi="Times New Roman"/>
          <w:sz w:val="24"/>
        </w:rPr>
        <w:tab/>
      </w:r>
      <w:r>
        <w:t>Direct sale criteria for Territory—Act, s 240 (1) (b) (i)</w:t>
      </w:r>
      <w:r>
        <w:tab/>
      </w:r>
      <w:r>
        <w:fldChar w:fldCharType="begin"/>
      </w:r>
      <w:r>
        <w:instrText xml:space="preserve"> PAGEREF _Toc206921261 \h </w:instrText>
      </w:r>
      <w:r>
        <w:fldChar w:fldCharType="separate"/>
      </w:r>
      <w:r>
        <w:t>48</w:t>
      </w:r>
      <w:r>
        <w:fldChar w:fldCharType="end"/>
      </w:r>
    </w:p>
    <w:p w:rsidR="00BA29FF" w:rsidRDefault="00BA29FF">
      <w:pPr>
        <w:pStyle w:val="TOC5"/>
        <w:rPr>
          <w:rFonts w:ascii="Times New Roman" w:hAnsi="Times New Roman"/>
          <w:sz w:val="24"/>
        </w:rPr>
      </w:pPr>
      <w:r>
        <w:tab/>
        <w:t>122</w:t>
      </w:r>
      <w:r>
        <w:rPr>
          <w:rFonts w:ascii="Times New Roman" w:hAnsi="Times New Roman"/>
          <w:sz w:val="24"/>
        </w:rPr>
        <w:tab/>
      </w:r>
      <w:r>
        <w:t>Direct sale criteria for leases of contiguous unleased land other than public land—Act, s 240 (1) (b) (i)</w:t>
      </w:r>
      <w:r>
        <w:tab/>
      </w:r>
      <w:r>
        <w:fldChar w:fldCharType="begin"/>
      </w:r>
      <w:r>
        <w:instrText xml:space="preserve"> PAGEREF _Toc206921262 \h </w:instrText>
      </w:r>
      <w:r>
        <w:fldChar w:fldCharType="separate"/>
      </w:r>
      <w:r>
        <w:t>48</w:t>
      </w:r>
      <w:r>
        <w:fldChar w:fldCharType="end"/>
      </w:r>
    </w:p>
    <w:p w:rsidR="00BA29FF" w:rsidRDefault="00BA29FF">
      <w:pPr>
        <w:pStyle w:val="TOC3"/>
        <w:rPr>
          <w:rFonts w:ascii="Times New Roman" w:hAnsi="Times New Roman"/>
          <w:b w:val="0"/>
          <w:sz w:val="24"/>
          <w:szCs w:val="24"/>
        </w:rPr>
      </w:pPr>
      <w:r>
        <w:t>Division 5.1.4</w:t>
      </w:r>
      <w:r>
        <w:rPr>
          <w:rFonts w:ascii="Times New Roman" w:hAnsi="Times New Roman"/>
          <w:b w:val="0"/>
          <w:sz w:val="24"/>
          <w:szCs w:val="24"/>
        </w:rPr>
        <w:tab/>
      </w:r>
      <w:r>
        <w:t>Certain direct sales not requiring approval</w:t>
      </w:r>
    </w:p>
    <w:p w:rsidR="00BA29FF" w:rsidRDefault="00BA29FF">
      <w:pPr>
        <w:pStyle w:val="TOC5"/>
        <w:rPr>
          <w:rFonts w:ascii="Times New Roman" w:hAnsi="Times New Roman"/>
          <w:sz w:val="24"/>
        </w:rPr>
      </w:pPr>
      <w:r>
        <w:tab/>
        <w:t>130</w:t>
      </w:r>
      <w:r>
        <w:rPr>
          <w:rFonts w:ascii="Times New Roman" w:hAnsi="Times New Roman"/>
          <w:sz w:val="24"/>
        </w:rPr>
        <w:tab/>
      </w:r>
      <w:r>
        <w:t>Certain direct sales not requiring approval—Act, s 240 (1) (d)</w:t>
      </w:r>
      <w:r>
        <w:tab/>
      </w:r>
      <w:r>
        <w:fldChar w:fldCharType="begin"/>
      </w:r>
      <w:r>
        <w:instrText xml:space="preserve"> PAGEREF _Toc206921264 \h </w:instrText>
      </w:r>
      <w:r>
        <w:fldChar w:fldCharType="separate"/>
      </w:r>
      <w:r>
        <w:t>49</w:t>
      </w:r>
      <w:r>
        <w:fldChar w:fldCharType="end"/>
      </w:r>
    </w:p>
    <w:p w:rsidR="00BA29FF" w:rsidRDefault="00BA29FF">
      <w:pPr>
        <w:pStyle w:val="TOC2"/>
        <w:rPr>
          <w:rFonts w:ascii="Times New Roman" w:hAnsi="Times New Roman"/>
          <w:b w:val="0"/>
          <w:szCs w:val="24"/>
        </w:rPr>
      </w:pPr>
      <w:r>
        <w:t>Part 5.2</w:t>
      </w:r>
      <w:r>
        <w:rPr>
          <w:rFonts w:ascii="Times New Roman" w:hAnsi="Times New Roman"/>
          <w:b w:val="0"/>
          <w:szCs w:val="24"/>
        </w:rPr>
        <w:tab/>
      </w:r>
      <w:r>
        <w:t>Grants of leases generally</w:t>
      </w:r>
    </w:p>
    <w:p w:rsidR="00BA29FF" w:rsidRDefault="00BA29FF">
      <w:pPr>
        <w:pStyle w:val="TOC5"/>
        <w:rPr>
          <w:rFonts w:ascii="Times New Roman" w:hAnsi="Times New Roman"/>
          <w:sz w:val="24"/>
        </w:rPr>
      </w:pPr>
      <w:r>
        <w:tab/>
        <w:t>140</w:t>
      </w:r>
      <w:r>
        <w:rPr>
          <w:rFonts w:ascii="Times New Roman" w:hAnsi="Times New Roman"/>
          <w:sz w:val="24"/>
        </w:rPr>
        <w:tab/>
      </w:r>
      <w:r>
        <w:t>Period for failure to accept and execute lease—Act, s 250 (1)</w:t>
      </w:r>
      <w:r>
        <w:tab/>
      </w:r>
      <w:r>
        <w:fldChar w:fldCharType="begin"/>
      </w:r>
      <w:r>
        <w:instrText xml:space="preserve"> PAGEREF _Toc206921266 \h </w:instrText>
      </w:r>
      <w:r>
        <w:fldChar w:fldCharType="separate"/>
      </w:r>
      <w:r>
        <w:t>51</w:t>
      </w:r>
      <w:r>
        <w:fldChar w:fldCharType="end"/>
      </w:r>
    </w:p>
    <w:p w:rsidR="00BA29FF" w:rsidRDefault="00BA29FF">
      <w:pPr>
        <w:pStyle w:val="TOC5"/>
        <w:rPr>
          <w:rFonts w:ascii="Times New Roman" w:hAnsi="Times New Roman"/>
          <w:sz w:val="24"/>
        </w:rPr>
      </w:pPr>
      <w:r>
        <w:tab/>
        <w:t>141</w:t>
      </w:r>
      <w:r>
        <w:rPr>
          <w:rFonts w:ascii="Times New Roman" w:hAnsi="Times New Roman"/>
          <w:sz w:val="24"/>
        </w:rPr>
        <w:tab/>
      </w:r>
      <w:r>
        <w:t>Exemptions from restrictions on dealings with certain single dwelling house leases—Act, s 251 (1) (c) (ii)</w:t>
      </w:r>
      <w:r>
        <w:tab/>
      </w:r>
      <w:r>
        <w:fldChar w:fldCharType="begin"/>
      </w:r>
      <w:r>
        <w:instrText xml:space="preserve"> PAGEREF _Toc206921267 \h </w:instrText>
      </w:r>
      <w:r>
        <w:fldChar w:fldCharType="separate"/>
      </w:r>
      <w:r>
        <w:t>51</w:t>
      </w:r>
      <w:r>
        <w:fldChar w:fldCharType="end"/>
      </w:r>
    </w:p>
    <w:p w:rsidR="00BA29FF" w:rsidRDefault="00BA29FF">
      <w:pPr>
        <w:pStyle w:val="TOC5"/>
        <w:rPr>
          <w:rFonts w:ascii="Times New Roman" w:hAnsi="Times New Roman"/>
          <w:sz w:val="24"/>
        </w:rPr>
      </w:pPr>
      <w:r>
        <w:tab/>
        <w:t>142</w:t>
      </w:r>
      <w:r>
        <w:rPr>
          <w:rFonts w:ascii="Times New Roman" w:hAnsi="Times New Roman"/>
          <w:sz w:val="24"/>
        </w:rPr>
        <w:tab/>
      </w:r>
      <w:r>
        <w:t>Exemptions from restrictions on dealings with certain leases—Act, s 251 (3)</w:t>
      </w:r>
      <w:r>
        <w:tab/>
      </w:r>
      <w:r>
        <w:fldChar w:fldCharType="begin"/>
      </w:r>
      <w:r>
        <w:instrText xml:space="preserve"> PAGEREF _Toc206921268 \h </w:instrText>
      </w:r>
      <w:r>
        <w:fldChar w:fldCharType="separate"/>
      </w:r>
      <w:r>
        <w:t>51</w:t>
      </w:r>
      <w:r>
        <w:fldChar w:fldCharType="end"/>
      </w:r>
    </w:p>
    <w:p w:rsidR="00BA29FF" w:rsidRDefault="00BA29FF">
      <w:pPr>
        <w:pStyle w:val="TOC2"/>
        <w:rPr>
          <w:rFonts w:ascii="Times New Roman" w:hAnsi="Times New Roman"/>
          <w:b w:val="0"/>
          <w:szCs w:val="24"/>
        </w:rPr>
      </w:pPr>
      <w:r>
        <w:t>Part 5.3</w:t>
      </w:r>
      <w:r>
        <w:rPr>
          <w:rFonts w:ascii="Times New Roman" w:hAnsi="Times New Roman"/>
          <w:b w:val="0"/>
          <w:szCs w:val="24"/>
        </w:rPr>
        <w:tab/>
      </w:r>
      <w:r>
        <w:t>Grants of further leases</w:t>
      </w:r>
    </w:p>
    <w:p w:rsidR="00BA29FF" w:rsidRDefault="00BA29FF">
      <w:pPr>
        <w:pStyle w:val="TOC5"/>
        <w:rPr>
          <w:rFonts w:ascii="Times New Roman" w:hAnsi="Times New Roman"/>
          <w:sz w:val="24"/>
        </w:rPr>
      </w:pPr>
      <w:r>
        <w:tab/>
        <w:t>150</w:t>
      </w:r>
      <w:r>
        <w:rPr>
          <w:rFonts w:ascii="Times New Roman" w:hAnsi="Times New Roman"/>
          <w:sz w:val="24"/>
        </w:rPr>
        <w:tab/>
      </w:r>
      <w:r>
        <w:t>Criteria for grant of further leases for unit title schemes—Act, s 254 (1) (f)</w:t>
      </w:r>
      <w:r>
        <w:tab/>
      </w:r>
      <w:r>
        <w:fldChar w:fldCharType="begin"/>
      </w:r>
      <w:r>
        <w:instrText xml:space="preserve"> PAGEREF _Toc206921270 \h </w:instrText>
      </w:r>
      <w:r>
        <w:fldChar w:fldCharType="separate"/>
      </w:r>
      <w:r>
        <w:t>53</w:t>
      </w:r>
      <w:r>
        <w:fldChar w:fldCharType="end"/>
      </w:r>
    </w:p>
    <w:p w:rsidR="00BA29FF" w:rsidRDefault="00BA29FF">
      <w:pPr>
        <w:pStyle w:val="TOC5"/>
        <w:rPr>
          <w:rFonts w:ascii="Times New Roman" w:hAnsi="Times New Roman"/>
          <w:sz w:val="24"/>
        </w:rPr>
      </w:pPr>
      <w:r>
        <w:tab/>
        <w:t>151</w:t>
      </w:r>
      <w:r>
        <w:rPr>
          <w:rFonts w:ascii="Times New Roman" w:hAnsi="Times New Roman"/>
          <w:sz w:val="24"/>
        </w:rPr>
        <w:tab/>
      </w:r>
      <w:r>
        <w:t>Criteria for grant of further leases for community title schemes—Act, s 254 (1) (f)</w:t>
      </w:r>
      <w:r>
        <w:tab/>
      </w:r>
      <w:r>
        <w:fldChar w:fldCharType="begin"/>
      </w:r>
      <w:r>
        <w:instrText xml:space="preserve"> PAGEREF _Toc206921271 \h </w:instrText>
      </w:r>
      <w:r>
        <w:fldChar w:fldCharType="separate"/>
      </w:r>
      <w:r>
        <w:t>53</w:t>
      </w:r>
      <w:r>
        <w:fldChar w:fldCharType="end"/>
      </w:r>
    </w:p>
    <w:p w:rsidR="00BA29FF" w:rsidRDefault="00BA29FF">
      <w:pPr>
        <w:pStyle w:val="TOC2"/>
        <w:rPr>
          <w:rFonts w:ascii="Times New Roman" w:hAnsi="Times New Roman"/>
          <w:b w:val="0"/>
          <w:szCs w:val="24"/>
        </w:rPr>
      </w:pPr>
      <w:r>
        <w:t>Part 5.4</w:t>
      </w:r>
      <w:r>
        <w:rPr>
          <w:rFonts w:ascii="Times New Roman" w:hAnsi="Times New Roman"/>
          <w:b w:val="0"/>
          <w:szCs w:val="24"/>
        </w:rPr>
        <w:tab/>
      </w:r>
      <w:r>
        <w:t>Lease variations</w:t>
      </w:r>
    </w:p>
    <w:p w:rsidR="00BA29FF" w:rsidRDefault="00BA29FF">
      <w:pPr>
        <w:pStyle w:val="TOC5"/>
        <w:rPr>
          <w:rFonts w:ascii="Times New Roman" w:hAnsi="Times New Roman"/>
          <w:sz w:val="24"/>
        </w:rPr>
      </w:pPr>
      <w:r>
        <w:tab/>
        <w:t>160</w:t>
      </w:r>
      <w:r>
        <w:rPr>
          <w:rFonts w:ascii="Times New Roman" w:hAnsi="Times New Roman"/>
          <w:sz w:val="24"/>
        </w:rPr>
        <w:tab/>
      </w:r>
      <w:r>
        <w:t>Lease classes for variation to pay out rent—Act, s 272A (1)</w:t>
      </w:r>
      <w:r>
        <w:tab/>
      </w:r>
      <w:r>
        <w:fldChar w:fldCharType="begin"/>
      </w:r>
      <w:r>
        <w:instrText xml:space="preserve"> PAGEREF _Toc206921273 \h </w:instrText>
      </w:r>
      <w:r>
        <w:fldChar w:fldCharType="separate"/>
      </w:r>
      <w:r>
        <w:t>55</w:t>
      </w:r>
      <w:r>
        <w:fldChar w:fldCharType="end"/>
      </w:r>
    </w:p>
    <w:p w:rsidR="00BA29FF" w:rsidRDefault="00BA29FF">
      <w:pPr>
        <w:pStyle w:val="TOC5"/>
        <w:rPr>
          <w:rFonts w:ascii="Times New Roman" w:hAnsi="Times New Roman"/>
          <w:sz w:val="24"/>
        </w:rPr>
      </w:pPr>
      <w:r>
        <w:tab/>
        <w:t>161</w:t>
      </w:r>
      <w:r>
        <w:rPr>
          <w:rFonts w:ascii="Times New Roman" w:hAnsi="Times New Roman"/>
          <w:sz w:val="24"/>
        </w:rPr>
        <w:tab/>
      </w:r>
      <w:r>
        <w:t>Decision on rent payout lease variation application—Act, s 272B (1)</w:t>
      </w:r>
      <w:r>
        <w:tab/>
      </w:r>
      <w:r>
        <w:fldChar w:fldCharType="begin"/>
      </w:r>
      <w:r>
        <w:instrText xml:space="preserve"> PAGEREF _Toc206921274 \h </w:instrText>
      </w:r>
      <w:r>
        <w:fldChar w:fldCharType="separate"/>
      </w:r>
      <w:r>
        <w:t>55</w:t>
      </w:r>
      <w:r>
        <w:fldChar w:fldCharType="end"/>
      </w:r>
    </w:p>
    <w:p w:rsidR="00BA29FF" w:rsidRDefault="00BA29FF">
      <w:pPr>
        <w:pStyle w:val="TOC2"/>
        <w:rPr>
          <w:rFonts w:ascii="Times New Roman" w:hAnsi="Times New Roman"/>
          <w:b w:val="0"/>
          <w:szCs w:val="24"/>
        </w:rPr>
      </w:pPr>
      <w:r>
        <w:t>Part 5.5</w:t>
      </w:r>
      <w:r>
        <w:rPr>
          <w:rFonts w:ascii="Times New Roman" w:hAnsi="Times New Roman"/>
          <w:b w:val="0"/>
          <w:szCs w:val="24"/>
        </w:rPr>
        <w:tab/>
      </w:r>
      <w:r>
        <w:t>Change of use charges</w:t>
      </w:r>
    </w:p>
    <w:p w:rsidR="00BA29FF" w:rsidRDefault="00BA29FF">
      <w:pPr>
        <w:pStyle w:val="TOC3"/>
        <w:rPr>
          <w:rFonts w:ascii="Times New Roman" w:hAnsi="Times New Roman"/>
          <w:b w:val="0"/>
          <w:sz w:val="24"/>
          <w:szCs w:val="24"/>
        </w:rPr>
      </w:pPr>
      <w:r>
        <w:t>Division 5.5.1</w:t>
      </w:r>
      <w:r>
        <w:rPr>
          <w:rFonts w:ascii="Times New Roman" w:hAnsi="Times New Roman"/>
          <w:b w:val="0"/>
          <w:sz w:val="24"/>
          <w:szCs w:val="24"/>
        </w:rPr>
        <w:tab/>
      </w:r>
      <w:r>
        <w:t>Added value</w:t>
      </w:r>
    </w:p>
    <w:p w:rsidR="00BA29FF" w:rsidRDefault="00BA29FF">
      <w:pPr>
        <w:pStyle w:val="TOC5"/>
        <w:rPr>
          <w:rFonts w:ascii="Times New Roman" w:hAnsi="Times New Roman"/>
          <w:sz w:val="24"/>
        </w:rPr>
      </w:pPr>
      <w:r>
        <w:tab/>
        <w:t>170</w:t>
      </w:r>
      <w:r>
        <w:rPr>
          <w:rFonts w:ascii="Times New Roman" w:hAnsi="Times New Roman"/>
          <w:sz w:val="24"/>
        </w:rPr>
        <w:tab/>
      </w:r>
      <w:r>
        <w:t xml:space="preserve">Meaning of </w:t>
      </w:r>
      <w:r>
        <w:rPr>
          <w:i/>
          <w:iCs/>
        </w:rPr>
        <w:t>added value</w:t>
      </w:r>
      <w:r>
        <w:t>—pt 5.5</w:t>
      </w:r>
      <w:r>
        <w:tab/>
      </w:r>
      <w:r>
        <w:fldChar w:fldCharType="begin"/>
      </w:r>
      <w:r>
        <w:instrText xml:space="preserve"> PAGEREF _Toc206921277 \h </w:instrText>
      </w:r>
      <w:r>
        <w:fldChar w:fldCharType="separate"/>
      </w:r>
      <w:r>
        <w:t>56</w:t>
      </w:r>
      <w:r>
        <w:fldChar w:fldCharType="end"/>
      </w:r>
    </w:p>
    <w:p w:rsidR="00BA29FF" w:rsidRDefault="00BA29FF">
      <w:pPr>
        <w:pStyle w:val="TOC3"/>
        <w:rPr>
          <w:rFonts w:ascii="Times New Roman" w:hAnsi="Times New Roman"/>
          <w:b w:val="0"/>
          <w:sz w:val="24"/>
          <w:szCs w:val="24"/>
        </w:rPr>
      </w:pPr>
      <w:r>
        <w:lastRenderedPageBreak/>
        <w:t>Division 5.5.2</w:t>
      </w:r>
      <w:r>
        <w:rPr>
          <w:rFonts w:ascii="Times New Roman" w:hAnsi="Times New Roman"/>
          <w:b w:val="0"/>
          <w:sz w:val="24"/>
          <w:szCs w:val="24"/>
        </w:rPr>
        <w:tab/>
      </w:r>
      <w:r>
        <w:t>Remission of change of use charges</w:t>
      </w:r>
    </w:p>
    <w:p w:rsidR="00BA29FF" w:rsidRDefault="00BA29FF">
      <w:pPr>
        <w:pStyle w:val="TOC5"/>
        <w:rPr>
          <w:rFonts w:ascii="Times New Roman" w:hAnsi="Times New Roman"/>
          <w:sz w:val="24"/>
        </w:rPr>
      </w:pPr>
      <w:r>
        <w:tab/>
        <w:t>175</w:t>
      </w:r>
      <w:r>
        <w:rPr>
          <w:rFonts w:ascii="Times New Roman" w:hAnsi="Times New Roman"/>
          <w:sz w:val="24"/>
        </w:rPr>
        <w:tab/>
      </w:r>
      <w:r>
        <w:t>Remission of change of use charges generally—Act, s 278 (1) and (2)</w:t>
      </w:r>
      <w:r>
        <w:tab/>
      </w:r>
      <w:r>
        <w:fldChar w:fldCharType="begin"/>
      </w:r>
      <w:r>
        <w:instrText xml:space="preserve"> PAGEREF _Toc206921279 \h </w:instrText>
      </w:r>
      <w:r>
        <w:fldChar w:fldCharType="separate"/>
      </w:r>
      <w:r>
        <w:t>56</w:t>
      </w:r>
      <w:r>
        <w:fldChar w:fldCharType="end"/>
      </w:r>
    </w:p>
    <w:p w:rsidR="00BA29FF" w:rsidRDefault="00BA29FF">
      <w:pPr>
        <w:pStyle w:val="TOC5"/>
        <w:rPr>
          <w:rFonts w:ascii="Times New Roman" w:hAnsi="Times New Roman"/>
          <w:sz w:val="24"/>
        </w:rPr>
      </w:pPr>
      <w:r>
        <w:tab/>
        <w:t>176</w:t>
      </w:r>
      <w:r>
        <w:rPr>
          <w:rFonts w:ascii="Times New Roman" w:hAnsi="Times New Roman"/>
          <w:sz w:val="24"/>
        </w:rPr>
        <w:tab/>
      </w:r>
      <w:r>
        <w:t>Remission of change of use charges for housing commissioner—Act, s 278 (1) and (2)</w:t>
      </w:r>
      <w:r>
        <w:tab/>
      </w:r>
      <w:r>
        <w:fldChar w:fldCharType="begin"/>
      </w:r>
      <w:r>
        <w:instrText xml:space="preserve"> PAGEREF _Toc206921280 \h </w:instrText>
      </w:r>
      <w:r>
        <w:fldChar w:fldCharType="separate"/>
      </w:r>
      <w:r>
        <w:t>57</w:t>
      </w:r>
      <w:r>
        <w:fldChar w:fldCharType="end"/>
      </w:r>
    </w:p>
    <w:p w:rsidR="00BA29FF" w:rsidRDefault="00BA29FF">
      <w:pPr>
        <w:pStyle w:val="TOC5"/>
        <w:rPr>
          <w:rFonts w:ascii="Times New Roman" w:hAnsi="Times New Roman"/>
          <w:sz w:val="24"/>
        </w:rPr>
      </w:pPr>
      <w:r>
        <w:tab/>
        <w:t>177</w:t>
      </w:r>
      <w:r>
        <w:rPr>
          <w:rFonts w:ascii="Times New Roman" w:hAnsi="Times New Roman"/>
          <w:sz w:val="24"/>
        </w:rPr>
        <w:tab/>
      </w:r>
      <w:r>
        <w:t>Policy directions about remission of change of use charges—Act, s 278 (1) and (2)</w:t>
      </w:r>
      <w:r>
        <w:tab/>
      </w:r>
      <w:r>
        <w:fldChar w:fldCharType="begin"/>
      </w:r>
      <w:r>
        <w:instrText xml:space="preserve"> PAGEREF _Toc206921281 \h </w:instrText>
      </w:r>
      <w:r>
        <w:fldChar w:fldCharType="separate"/>
      </w:r>
      <w:r>
        <w:t>58</w:t>
      </w:r>
      <w:r>
        <w:fldChar w:fldCharType="end"/>
      </w:r>
    </w:p>
    <w:p w:rsidR="00BA29FF" w:rsidRDefault="00BA29FF">
      <w:pPr>
        <w:pStyle w:val="TOC3"/>
        <w:rPr>
          <w:rFonts w:ascii="Times New Roman" w:hAnsi="Times New Roman"/>
          <w:b w:val="0"/>
          <w:sz w:val="24"/>
          <w:szCs w:val="24"/>
        </w:rPr>
      </w:pPr>
      <w:r>
        <w:t>Division 5.5.3</w:t>
      </w:r>
      <w:r>
        <w:rPr>
          <w:rFonts w:ascii="Times New Roman" w:hAnsi="Times New Roman"/>
          <w:b w:val="0"/>
          <w:sz w:val="24"/>
          <w:szCs w:val="24"/>
        </w:rPr>
        <w:tab/>
      </w:r>
      <w:r>
        <w:t>Increase of change of use charge</w:t>
      </w:r>
    </w:p>
    <w:p w:rsidR="00BA29FF" w:rsidRDefault="00BA29FF">
      <w:pPr>
        <w:pStyle w:val="TOC5"/>
        <w:rPr>
          <w:rFonts w:ascii="Times New Roman" w:hAnsi="Times New Roman"/>
          <w:sz w:val="24"/>
        </w:rPr>
      </w:pPr>
      <w:r>
        <w:tab/>
        <w:t>180</w:t>
      </w:r>
      <w:r>
        <w:rPr>
          <w:rFonts w:ascii="Times New Roman" w:hAnsi="Times New Roman"/>
          <w:sz w:val="24"/>
        </w:rPr>
        <w:tab/>
      </w:r>
      <w:r>
        <w:t xml:space="preserve">Meaning of </w:t>
      </w:r>
      <w:r>
        <w:rPr>
          <w:i/>
          <w:iCs/>
        </w:rPr>
        <w:t>recently commenced lease</w:t>
      </w:r>
      <w:r>
        <w:t>—div 5.5.3</w:t>
      </w:r>
      <w:r>
        <w:tab/>
      </w:r>
      <w:r>
        <w:fldChar w:fldCharType="begin"/>
      </w:r>
      <w:r>
        <w:instrText xml:space="preserve"> PAGEREF _Toc206921283 \h </w:instrText>
      </w:r>
      <w:r>
        <w:fldChar w:fldCharType="separate"/>
      </w:r>
      <w:r>
        <w:t>58</w:t>
      </w:r>
      <w:r>
        <w:fldChar w:fldCharType="end"/>
      </w:r>
    </w:p>
    <w:p w:rsidR="00BA29FF" w:rsidRDefault="00BA29FF">
      <w:pPr>
        <w:pStyle w:val="TOC5"/>
        <w:rPr>
          <w:rFonts w:ascii="Times New Roman" w:hAnsi="Times New Roman"/>
          <w:sz w:val="24"/>
        </w:rPr>
      </w:pPr>
      <w:r>
        <w:tab/>
        <w:t>181</w:t>
      </w:r>
      <w:r>
        <w:rPr>
          <w:rFonts w:ascii="Times New Roman" w:hAnsi="Times New Roman"/>
          <w:sz w:val="24"/>
        </w:rPr>
        <w:tab/>
      </w:r>
      <w:r>
        <w:t>Increase of change of use charge for concessional leases—Act, s 279 (1) and (2)</w:t>
      </w:r>
      <w:r>
        <w:tab/>
      </w:r>
      <w:r>
        <w:fldChar w:fldCharType="begin"/>
      </w:r>
      <w:r>
        <w:instrText xml:space="preserve"> PAGEREF _Toc206921284 \h </w:instrText>
      </w:r>
      <w:r>
        <w:fldChar w:fldCharType="separate"/>
      </w:r>
      <w:r>
        <w:t>59</w:t>
      </w:r>
      <w:r>
        <w:fldChar w:fldCharType="end"/>
      </w:r>
    </w:p>
    <w:p w:rsidR="00BA29FF" w:rsidRDefault="00BA29FF">
      <w:pPr>
        <w:pStyle w:val="TOC5"/>
        <w:rPr>
          <w:rFonts w:ascii="Times New Roman" w:hAnsi="Times New Roman"/>
          <w:sz w:val="24"/>
        </w:rPr>
      </w:pPr>
      <w:r>
        <w:tab/>
        <w:t>182</w:t>
      </w:r>
      <w:r>
        <w:rPr>
          <w:rFonts w:ascii="Times New Roman" w:hAnsi="Times New Roman"/>
          <w:sz w:val="24"/>
        </w:rPr>
        <w:tab/>
      </w:r>
      <w:r>
        <w:t>Increase of change of use charge for recently commenced leases—Act, s 279 (1) and (2)</w:t>
      </w:r>
      <w:r>
        <w:tab/>
      </w:r>
      <w:r>
        <w:fldChar w:fldCharType="begin"/>
      </w:r>
      <w:r>
        <w:instrText xml:space="preserve"> PAGEREF _Toc206921285 \h </w:instrText>
      </w:r>
      <w:r>
        <w:fldChar w:fldCharType="separate"/>
      </w:r>
      <w:r>
        <w:t>60</w:t>
      </w:r>
      <w:r>
        <w:fldChar w:fldCharType="end"/>
      </w:r>
    </w:p>
    <w:p w:rsidR="00BA29FF" w:rsidRDefault="00BA29FF">
      <w:pPr>
        <w:pStyle w:val="TOC2"/>
        <w:rPr>
          <w:rFonts w:ascii="Times New Roman" w:hAnsi="Times New Roman"/>
          <w:b w:val="0"/>
          <w:szCs w:val="24"/>
        </w:rPr>
      </w:pPr>
      <w:r>
        <w:t>Part 5.6</w:t>
      </w:r>
      <w:r>
        <w:rPr>
          <w:rFonts w:ascii="Times New Roman" w:hAnsi="Times New Roman"/>
          <w:b w:val="0"/>
          <w:szCs w:val="24"/>
        </w:rPr>
        <w:tab/>
      </w:r>
      <w:r>
        <w:t>Discharge amounts for rural leases</w:t>
      </w:r>
    </w:p>
    <w:p w:rsidR="00BA29FF" w:rsidRDefault="00BA29FF">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Definitions—pt 5.6</w:t>
      </w:r>
      <w:r>
        <w:tab/>
      </w:r>
      <w:r>
        <w:fldChar w:fldCharType="begin"/>
      </w:r>
      <w:r>
        <w:instrText xml:space="preserve"> PAGEREF _Toc206921287 \h </w:instrText>
      </w:r>
      <w:r>
        <w:fldChar w:fldCharType="separate"/>
      </w:r>
      <w:r>
        <w:t>61</w:t>
      </w:r>
      <w:r>
        <w:fldChar w:fldCharType="end"/>
      </w:r>
    </w:p>
    <w:p w:rsidR="00BA29FF" w:rsidRDefault="00BA29FF">
      <w:pPr>
        <w:pStyle w:val="TOC5"/>
        <w:rPr>
          <w:rFonts w:ascii="Times New Roman" w:hAnsi="Times New Roman"/>
          <w:sz w:val="24"/>
        </w:rPr>
      </w:pPr>
      <w:r>
        <w:tab/>
        <w:t>191</w:t>
      </w:r>
      <w:r>
        <w:rPr>
          <w:rFonts w:ascii="Times New Roman" w:hAnsi="Times New Roman"/>
          <w:sz w:val="24"/>
        </w:rPr>
        <w:tab/>
      </w:r>
      <w:r>
        <w:t xml:space="preserve">Discharge amount for rural leases other than special Pialligo leases—Act, s 282, def </w:t>
      </w:r>
      <w:r>
        <w:rPr>
          <w:i/>
          <w:iCs/>
        </w:rPr>
        <w:t>discharge amount</w:t>
      </w:r>
      <w:r>
        <w:tab/>
      </w:r>
      <w:r>
        <w:fldChar w:fldCharType="begin"/>
      </w:r>
      <w:r>
        <w:instrText xml:space="preserve"> PAGEREF _Toc206921288 \h </w:instrText>
      </w:r>
      <w:r>
        <w:fldChar w:fldCharType="separate"/>
      </w:r>
      <w:r>
        <w:t>62</w:t>
      </w:r>
      <w:r>
        <w:fldChar w:fldCharType="end"/>
      </w:r>
    </w:p>
    <w:p w:rsidR="00BA29FF" w:rsidRDefault="00BA29FF">
      <w:pPr>
        <w:pStyle w:val="TOC5"/>
        <w:rPr>
          <w:rFonts w:ascii="Times New Roman" w:hAnsi="Times New Roman"/>
          <w:sz w:val="24"/>
        </w:rPr>
      </w:pPr>
      <w:r>
        <w:tab/>
        <w:t>192</w:t>
      </w:r>
      <w:r>
        <w:rPr>
          <w:rFonts w:ascii="Times New Roman" w:hAnsi="Times New Roman"/>
          <w:sz w:val="24"/>
        </w:rPr>
        <w:tab/>
      </w:r>
      <w:r>
        <w:t xml:space="preserve">Discharge amount for special Pialligo leases—Act, s 282, def </w:t>
      </w:r>
      <w:r>
        <w:rPr>
          <w:i/>
          <w:iCs/>
        </w:rPr>
        <w:t>discharge amount</w:t>
      </w:r>
      <w:r>
        <w:tab/>
      </w:r>
      <w:r>
        <w:fldChar w:fldCharType="begin"/>
      </w:r>
      <w:r>
        <w:instrText xml:space="preserve"> PAGEREF _Toc206921289 \h </w:instrText>
      </w:r>
      <w:r>
        <w:fldChar w:fldCharType="separate"/>
      </w:r>
      <w:r>
        <w:t>63</w:t>
      </w:r>
      <w:r>
        <w:fldChar w:fldCharType="end"/>
      </w:r>
    </w:p>
    <w:p w:rsidR="00BA29FF" w:rsidRDefault="00BA29FF">
      <w:pPr>
        <w:pStyle w:val="TOC2"/>
        <w:rPr>
          <w:rFonts w:ascii="Times New Roman" w:hAnsi="Times New Roman"/>
          <w:b w:val="0"/>
          <w:szCs w:val="24"/>
        </w:rPr>
      </w:pPr>
      <w:r>
        <w:t>Part 5.7</w:t>
      </w:r>
      <w:r>
        <w:rPr>
          <w:rFonts w:ascii="Times New Roman" w:hAnsi="Times New Roman"/>
          <w:b w:val="0"/>
          <w:szCs w:val="24"/>
        </w:rPr>
        <w:tab/>
      </w:r>
      <w:r>
        <w:t>Transfer or assignment of leases subject to building and development provision</w:t>
      </w:r>
    </w:p>
    <w:p w:rsidR="00BA29FF" w:rsidRDefault="00BA29FF">
      <w:pPr>
        <w:pStyle w:val="TOC5"/>
        <w:rPr>
          <w:rFonts w:ascii="Times New Roman" w:hAnsi="Times New Roman"/>
          <w:sz w:val="24"/>
        </w:rPr>
      </w:pPr>
      <w:r>
        <w:tab/>
        <w:t>200</w:t>
      </w:r>
      <w:r>
        <w:rPr>
          <w:rFonts w:ascii="Times New Roman" w:hAnsi="Times New Roman"/>
          <w:sz w:val="24"/>
        </w:rPr>
        <w:tab/>
      </w:r>
      <w:r>
        <w:t>Personal reasons for noncompliance with building and development provision—Act, s 298 (2) (b) (i)</w:t>
      </w:r>
      <w:r>
        <w:tab/>
      </w:r>
      <w:r>
        <w:fldChar w:fldCharType="begin"/>
      </w:r>
      <w:r>
        <w:instrText xml:space="preserve"> PAGEREF _Toc206921291 \h </w:instrText>
      </w:r>
      <w:r>
        <w:fldChar w:fldCharType="separate"/>
      </w:r>
      <w:r>
        <w:t>65</w:t>
      </w:r>
      <w:r>
        <w:fldChar w:fldCharType="end"/>
      </w:r>
    </w:p>
    <w:p w:rsidR="00BA29FF" w:rsidRDefault="00BA29FF">
      <w:pPr>
        <w:pStyle w:val="TOC5"/>
        <w:rPr>
          <w:rFonts w:ascii="Times New Roman" w:hAnsi="Times New Roman"/>
          <w:sz w:val="24"/>
        </w:rPr>
      </w:pPr>
      <w:r>
        <w:tab/>
        <w:t>201</w:t>
      </w:r>
      <w:r>
        <w:rPr>
          <w:rFonts w:ascii="Times New Roman" w:hAnsi="Times New Roman"/>
          <w:sz w:val="24"/>
        </w:rPr>
        <w:tab/>
      </w:r>
      <w:r>
        <w:t>Matters for transfer or assignment of leases—Act, s 298 (5)</w:t>
      </w:r>
      <w:r>
        <w:tab/>
      </w:r>
      <w:r>
        <w:fldChar w:fldCharType="begin"/>
      </w:r>
      <w:r>
        <w:instrText xml:space="preserve"> PAGEREF _Toc206921292 \h </w:instrText>
      </w:r>
      <w:r>
        <w:fldChar w:fldCharType="separate"/>
      </w:r>
      <w:r>
        <w:t>66</w:t>
      </w:r>
      <w:r>
        <w:fldChar w:fldCharType="end"/>
      </w:r>
    </w:p>
    <w:p w:rsidR="00BA29FF" w:rsidRDefault="00BA29FF">
      <w:pPr>
        <w:pStyle w:val="TOC5"/>
        <w:rPr>
          <w:rFonts w:ascii="Times New Roman" w:hAnsi="Times New Roman"/>
          <w:sz w:val="24"/>
        </w:rPr>
      </w:pPr>
      <w:r>
        <w:tab/>
        <w:t>202</w:t>
      </w:r>
      <w:r>
        <w:rPr>
          <w:rFonts w:ascii="Times New Roman" w:hAnsi="Times New Roman"/>
          <w:sz w:val="24"/>
        </w:rPr>
        <w:tab/>
      </w:r>
      <w:r>
        <w:t>Application for extension of time to commence or complete building and development—Act, s 298A (5), def </w:t>
      </w:r>
      <w:r>
        <w:rPr>
          <w:i/>
          <w:iCs/>
        </w:rPr>
        <w:t>A</w:t>
      </w:r>
      <w:r>
        <w:t>, par (b)</w:t>
      </w:r>
      <w:r>
        <w:tab/>
      </w:r>
      <w:r>
        <w:fldChar w:fldCharType="begin"/>
      </w:r>
      <w:r>
        <w:instrText xml:space="preserve"> PAGEREF _Toc206921293 \h </w:instrText>
      </w:r>
      <w:r>
        <w:fldChar w:fldCharType="separate"/>
      </w:r>
      <w:r>
        <w:t>66</w:t>
      </w:r>
      <w:r>
        <w:fldChar w:fldCharType="end"/>
      </w:r>
    </w:p>
    <w:p w:rsidR="00BA29FF" w:rsidRDefault="00BA29FF">
      <w:pPr>
        <w:pStyle w:val="TOC5"/>
        <w:rPr>
          <w:rFonts w:ascii="Times New Roman" w:hAnsi="Times New Roman"/>
          <w:sz w:val="24"/>
        </w:rPr>
      </w:pPr>
      <w:r>
        <w:tab/>
        <w:t>203</w:t>
      </w:r>
      <w:r>
        <w:rPr>
          <w:rFonts w:ascii="Times New Roman" w:hAnsi="Times New Roman"/>
          <w:sz w:val="24"/>
        </w:rPr>
        <w:tab/>
      </w:r>
      <w:r>
        <w:t xml:space="preserve">Extension of time to complete building or development on hardship grounds—Act, s 298B (6), def </w:t>
      </w:r>
      <w:r>
        <w:rPr>
          <w:i/>
          <w:iCs/>
        </w:rPr>
        <w:t>prescribed period</w:t>
      </w:r>
      <w:r>
        <w:t>, par (b)</w:t>
      </w:r>
      <w:r>
        <w:tab/>
      </w:r>
      <w:r>
        <w:fldChar w:fldCharType="begin"/>
      </w:r>
      <w:r>
        <w:instrText xml:space="preserve"> PAGEREF _Toc206921294 \h </w:instrText>
      </w:r>
      <w:r>
        <w:fldChar w:fldCharType="separate"/>
      </w:r>
      <w:r>
        <w:t>67</w:t>
      </w:r>
      <w:r>
        <w:fldChar w:fldCharType="end"/>
      </w:r>
    </w:p>
    <w:p w:rsidR="00BA29FF" w:rsidRDefault="00BA29FF">
      <w:pPr>
        <w:pStyle w:val="TOC2"/>
        <w:rPr>
          <w:rFonts w:ascii="Times New Roman" w:hAnsi="Times New Roman"/>
          <w:b w:val="0"/>
          <w:szCs w:val="24"/>
        </w:rPr>
      </w:pPr>
      <w:r>
        <w:t>Part 5.8</w:t>
      </w:r>
      <w:r>
        <w:rPr>
          <w:rFonts w:ascii="Times New Roman" w:hAnsi="Times New Roman"/>
          <w:b w:val="0"/>
          <w:szCs w:val="24"/>
        </w:rPr>
        <w:tab/>
      </w:r>
      <w:r>
        <w:t>Surrendering and terminating leases</w:t>
      </w:r>
    </w:p>
    <w:p w:rsidR="00BA29FF" w:rsidRDefault="00BA29FF">
      <w:pPr>
        <w:pStyle w:val="TOC5"/>
        <w:rPr>
          <w:rFonts w:ascii="Times New Roman" w:hAnsi="Times New Roman"/>
          <w:sz w:val="24"/>
        </w:rPr>
      </w:pPr>
      <w:r>
        <w:tab/>
        <w:t>210</w:t>
      </w:r>
      <w:r>
        <w:rPr>
          <w:rFonts w:ascii="Times New Roman" w:hAnsi="Times New Roman"/>
          <w:sz w:val="24"/>
        </w:rPr>
        <w:tab/>
      </w:r>
      <w:r>
        <w:t>Amount of refund on surrender or termination of certain leases—Act, s 300 (2)</w:t>
      </w:r>
      <w:r>
        <w:tab/>
      </w:r>
      <w:r>
        <w:fldChar w:fldCharType="begin"/>
      </w:r>
      <w:r>
        <w:instrText xml:space="preserve"> PAGEREF _Toc206921296 \h </w:instrText>
      </w:r>
      <w:r>
        <w:fldChar w:fldCharType="separate"/>
      </w:r>
      <w:r>
        <w:t>69</w:t>
      </w:r>
      <w:r>
        <w:fldChar w:fldCharType="end"/>
      </w:r>
    </w:p>
    <w:p w:rsidR="00BA29FF" w:rsidRDefault="00BA29FF">
      <w:pPr>
        <w:pStyle w:val="TOC5"/>
        <w:rPr>
          <w:rFonts w:ascii="Times New Roman" w:hAnsi="Times New Roman"/>
          <w:sz w:val="24"/>
        </w:rPr>
      </w:pPr>
      <w:r>
        <w:tab/>
        <w:t>211</w:t>
      </w:r>
      <w:r>
        <w:rPr>
          <w:rFonts w:ascii="Times New Roman" w:hAnsi="Times New Roman"/>
          <w:sz w:val="24"/>
        </w:rPr>
        <w:tab/>
      </w:r>
      <w:r>
        <w:t>Limitations for refund on surrender or termination of leases—Act, s 300 (3)</w:t>
      </w:r>
      <w:r>
        <w:tab/>
      </w:r>
      <w:r>
        <w:fldChar w:fldCharType="begin"/>
      </w:r>
      <w:r>
        <w:instrText xml:space="preserve"> PAGEREF _Toc206921297 \h </w:instrText>
      </w:r>
      <w:r>
        <w:fldChar w:fldCharType="separate"/>
      </w:r>
      <w:r>
        <w:t>70</w:t>
      </w:r>
      <w:r>
        <w:fldChar w:fldCharType="end"/>
      </w:r>
    </w:p>
    <w:p w:rsidR="00BA29FF" w:rsidRDefault="00BA29FF">
      <w:pPr>
        <w:pStyle w:val="TOC2"/>
        <w:rPr>
          <w:rFonts w:ascii="Times New Roman" w:hAnsi="Times New Roman"/>
          <w:b w:val="0"/>
          <w:szCs w:val="24"/>
        </w:rPr>
      </w:pPr>
      <w:r>
        <w:lastRenderedPageBreak/>
        <w:t>Part 5.9</w:t>
      </w:r>
      <w:r>
        <w:rPr>
          <w:rFonts w:ascii="Times New Roman" w:hAnsi="Times New Roman"/>
          <w:b w:val="0"/>
          <w:szCs w:val="24"/>
        </w:rPr>
        <w:tab/>
      </w:r>
      <w:r>
        <w:t>Subletting of leases</w:t>
      </w:r>
    </w:p>
    <w:p w:rsidR="00BA29FF" w:rsidRDefault="00BA29FF">
      <w:pPr>
        <w:pStyle w:val="TOC5"/>
        <w:rPr>
          <w:rFonts w:ascii="Times New Roman" w:hAnsi="Times New Roman"/>
          <w:sz w:val="24"/>
        </w:rPr>
      </w:pPr>
      <w:r>
        <w:tab/>
        <w:t>220</w:t>
      </w:r>
      <w:r>
        <w:rPr>
          <w:rFonts w:ascii="Times New Roman" w:hAnsi="Times New Roman"/>
          <w:sz w:val="24"/>
        </w:rPr>
        <w:tab/>
      </w:r>
      <w:r>
        <w:t>Criteria for approving subletting of land—Act, s 308 (2)</w:t>
      </w:r>
      <w:r>
        <w:tab/>
      </w:r>
      <w:r>
        <w:fldChar w:fldCharType="begin"/>
      </w:r>
      <w:r>
        <w:instrText xml:space="preserve"> PAGEREF _Toc206921299 \h </w:instrText>
      </w:r>
      <w:r>
        <w:fldChar w:fldCharType="separate"/>
      </w:r>
      <w:r>
        <w:t>71</w:t>
      </w:r>
      <w:r>
        <w:fldChar w:fldCharType="end"/>
      </w:r>
    </w:p>
    <w:p w:rsidR="00BA29FF" w:rsidRDefault="00BA29FF">
      <w:pPr>
        <w:pStyle w:val="TOC1"/>
        <w:rPr>
          <w:rFonts w:ascii="Times New Roman" w:hAnsi="Times New Roman"/>
          <w:b w:val="0"/>
          <w:szCs w:val="24"/>
        </w:rPr>
      </w:pPr>
      <w:r>
        <w:t>Chapter 6</w:t>
      </w:r>
      <w:r>
        <w:rPr>
          <w:rFonts w:ascii="Times New Roman" w:hAnsi="Times New Roman"/>
          <w:b w:val="0"/>
          <w:szCs w:val="24"/>
        </w:rPr>
        <w:tab/>
      </w:r>
      <w:r>
        <w:t>Concessional leases</w:t>
      </w:r>
    </w:p>
    <w:p w:rsidR="00BA29FF" w:rsidRDefault="00BA29FF">
      <w:pPr>
        <w:pStyle w:val="TOC5"/>
        <w:rPr>
          <w:rFonts w:ascii="Times New Roman" w:hAnsi="Times New Roman"/>
          <w:sz w:val="24"/>
        </w:rPr>
      </w:pPr>
      <w:r>
        <w:tab/>
        <w:t>240</w:t>
      </w:r>
      <w:r>
        <w:rPr>
          <w:rFonts w:ascii="Times New Roman" w:hAnsi="Times New Roman"/>
          <w:sz w:val="24"/>
        </w:rPr>
        <w:tab/>
      </w:r>
      <w:r>
        <w:t xml:space="preserve">Concessional lease exclusions—Act, s 235 (1), def </w:t>
      </w:r>
      <w:r>
        <w:rPr>
          <w:i/>
          <w:iCs/>
        </w:rPr>
        <w:t>concessional lease</w:t>
      </w:r>
      <w:r>
        <w:t>, par (c) (v)</w:t>
      </w:r>
      <w:r>
        <w:tab/>
      </w:r>
      <w:r>
        <w:fldChar w:fldCharType="begin"/>
      </w:r>
      <w:r>
        <w:instrText xml:space="preserve"> PAGEREF _Toc206921301 \h </w:instrText>
      </w:r>
      <w:r>
        <w:fldChar w:fldCharType="separate"/>
      </w:r>
      <w:r>
        <w:t>72</w:t>
      </w:r>
      <w:r>
        <w:fldChar w:fldCharType="end"/>
      </w:r>
    </w:p>
    <w:p w:rsidR="00BA29FF" w:rsidRDefault="00BA29FF">
      <w:pPr>
        <w:pStyle w:val="TOC1"/>
        <w:rPr>
          <w:rFonts w:ascii="Times New Roman" w:hAnsi="Times New Roman"/>
          <w:b w:val="0"/>
          <w:szCs w:val="24"/>
        </w:rPr>
      </w:pPr>
      <w:r>
        <w:t>Chapter 7</w:t>
      </w:r>
      <w:r>
        <w:rPr>
          <w:rFonts w:ascii="Times New Roman" w:hAnsi="Times New Roman"/>
          <w:b w:val="0"/>
          <w:szCs w:val="24"/>
        </w:rPr>
        <w:tab/>
      </w:r>
      <w:r>
        <w:t>Controlled activities</w:t>
      </w:r>
    </w:p>
    <w:p w:rsidR="00BA29FF" w:rsidRDefault="00BA29FF">
      <w:pPr>
        <w:pStyle w:val="TOC5"/>
        <w:rPr>
          <w:rFonts w:ascii="Times New Roman" w:hAnsi="Times New Roman"/>
          <w:sz w:val="24"/>
        </w:rPr>
      </w:pPr>
      <w:r>
        <w:tab/>
        <w:t>300</w:t>
      </w:r>
      <w:r>
        <w:rPr>
          <w:rFonts w:ascii="Times New Roman" w:hAnsi="Times New Roman"/>
          <w:sz w:val="24"/>
        </w:rPr>
        <w:tab/>
      </w:r>
      <w:r>
        <w:t>Period for deemed refusal of application for controlled activity order—Act, s 351 (4)</w:t>
      </w:r>
      <w:r>
        <w:tab/>
      </w:r>
      <w:r>
        <w:fldChar w:fldCharType="begin"/>
      </w:r>
      <w:r>
        <w:instrText xml:space="preserve"> PAGEREF _Toc206921303 \h </w:instrText>
      </w:r>
      <w:r>
        <w:fldChar w:fldCharType="separate"/>
      </w:r>
      <w:r>
        <w:t>73</w:t>
      </w:r>
      <w:r>
        <w:fldChar w:fldCharType="end"/>
      </w:r>
    </w:p>
    <w:p w:rsidR="00BA29FF" w:rsidRDefault="00BA29FF">
      <w:pPr>
        <w:pStyle w:val="TOC5"/>
        <w:rPr>
          <w:rFonts w:ascii="Times New Roman" w:hAnsi="Times New Roman"/>
          <w:sz w:val="24"/>
        </w:rPr>
      </w:pPr>
      <w:r>
        <w:tab/>
        <w:t>301</w:t>
      </w:r>
      <w:r>
        <w:rPr>
          <w:rFonts w:ascii="Times New Roman" w:hAnsi="Times New Roman"/>
          <w:sz w:val="24"/>
        </w:rPr>
        <w:tab/>
      </w:r>
      <w:r>
        <w:t>Time for deemed decision not to make controlled activity order—Act, s 354 (1) (b)</w:t>
      </w:r>
      <w:r>
        <w:tab/>
      </w:r>
      <w:r>
        <w:fldChar w:fldCharType="begin"/>
      </w:r>
      <w:r>
        <w:instrText xml:space="preserve"> PAGEREF _Toc206921304 \h </w:instrText>
      </w:r>
      <w:r>
        <w:fldChar w:fldCharType="separate"/>
      </w:r>
      <w:r>
        <w:t>73</w:t>
      </w:r>
      <w:r>
        <w:fldChar w:fldCharType="end"/>
      </w:r>
    </w:p>
    <w:p w:rsidR="00BA29FF" w:rsidRDefault="00BA29FF">
      <w:pPr>
        <w:pStyle w:val="TOC1"/>
        <w:rPr>
          <w:rFonts w:ascii="Times New Roman" w:hAnsi="Times New Roman"/>
          <w:b w:val="0"/>
          <w:szCs w:val="24"/>
        </w:rPr>
      </w:pPr>
      <w:r>
        <w:t>Chapter 8</w:t>
      </w:r>
      <w:r>
        <w:rPr>
          <w:rFonts w:ascii="Times New Roman" w:hAnsi="Times New Roman"/>
          <w:b w:val="0"/>
          <w:szCs w:val="24"/>
        </w:rPr>
        <w:tab/>
      </w:r>
      <w:r>
        <w:t>Reviewable decisions</w:t>
      </w:r>
    </w:p>
    <w:p w:rsidR="00BA29FF" w:rsidRDefault="00BA29FF">
      <w:pPr>
        <w:pStyle w:val="TOC5"/>
        <w:rPr>
          <w:rFonts w:ascii="Times New Roman" w:hAnsi="Times New Roman"/>
          <w:sz w:val="24"/>
        </w:rPr>
      </w:pPr>
      <w:r>
        <w:tab/>
        <w:t>350</w:t>
      </w:r>
      <w:r>
        <w:rPr>
          <w:rFonts w:ascii="Times New Roman" w:hAnsi="Times New Roman"/>
          <w:sz w:val="24"/>
        </w:rPr>
        <w:tab/>
      </w:r>
      <w:r>
        <w:t>Merit track decisions exempt from third-party AAT review—Act, sch 1, item 4, col 2, par (b)</w:t>
      </w:r>
      <w:r>
        <w:tab/>
      </w:r>
      <w:r>
        <w:fldChar w:fldCharType="begin"/>
      </w:r>
      <w:r>
        <w:instrText xml:space="preserve"> PAGEREF _Toc206921306 \h </w:instrText>
      </w:r>
      <w:r>
        <w:fldChar w:fldCharType="separate"/>
      </w:r>
      <w:r>
        <w:t>74</w:t>
      </w:r>
      <w:r>
        <w:fldChar w:fldCharType="end"/>
      </w:r>
    </w:p>
    <w:p w:rsidR="00BA29FF" w:rsidRDefault="00BA29FF">
      <w:pPr>
        <w:pStyle w:val="TOC5"/>
        <w:rPr>
          <w:rFonts w:ascii="Times New Roman" w:hAnsi="Times New Roman"/>
          <w:sz w:val="24"/>
        </w:rPr>
      </w:pPr>
      <w:r>
        <w:tab/>
        <w:t>351</w:t>
      </w:r>
      <w:r>
        <w:rPr>
          <w:rFonts w:ascii="Times New Roman" w:hAnsi="Times New Roman"/>
          <w:sz w:val="24"/>
        </w:rPr>
        <w:tab/>
      </w:r>
      <w:r>
        <w:t>Impact track decisions exempt from third-party AAT review—Act, sch 1, item 6, col 2</w:t>
      </w:r>
      <w:r>
        <w:tab/>
      </w:r>
      <w:r>
        <w:fldChar w:fldCharType="begin"/>
      </w:r>
      <w:r>
        <w:instrText xml:space="preserve"> PAGEREF _Toc206921307 \h </w:instrText>
      </w:r>
      <w:r>
        <w:fldChar w:fldCharType="separate"/>
      </w:r>
      <w:r>
        <w:t>74</w:t>
      </w:r>
      <w:r>
        <w:fldChar w:fldCharType="end"/>
      </w:r>
    </w:p>
    <w:p w:rsidR="00BA29FF" w:rsidRDefault="00BA29FF">
      <w:pPr>
        <w:pStyle w:val="TOC1"/>
        <w:rPr>
          <w:rFonts w:ascii="Times New Roman" w:hAnsi="Times New Roman"/>
          <w:b w:val="0"/>
          <w:szCs w:val="24"/>
        </w:rPr>
      </w:pPr>
      <w:r>
        <w:t>Chapter 9</w:t>
      </w:r>
      <w:r>
        <w:rPr>
          <w:rFonts w:ascii="Times New Roman" w:hAnsi="Times New Roman"/>
          <w:b w:val="0"/>
          <w:szCs w:val="24"/>
        </w:rPr>
        <w:tab/>
      </w:r>
      <w:r>
        <w:t>Bushfire emergency rebuilding</w:t>
      </w:r>
    </w:p>
    <w:p w:rsidR="00BA29FF" w:rsidRDefault="00BA29FF">
      <w:pPr>
        <w:pStyle w:val="TOC5"/>
        <w:rPr>
          <w:rFonts w:ascii="Times New Roman" w:hAnsi="Times New Roman"/>
          <w:sz w:val="24"/>
          <w:szCs w:val="24"/>
        </w:rPr>
      </w:pPr>
      <w:r>
        <w:rPr>
          <w:szCs w:val="24"/>
        </w:rPr>
        <w:tab/>
        <w:t>370</w:t>
      </w:r>
      <w:r>
        <w:rPr>
          <w:rFonts w:ascii="Times New Roman" w:hAnsi="Times New Roman"/>
          <w:sz w:val="24"/>
          <w:szCs w:val="24"/>
        </w:rPr>
        <w:tab/>
      </w:r>
      <w:r>
        <w:rPr>
          <w:szCs w:val="24"/>
        </w:rPr>
        <w:t>Main object—ch 9</w:t>
      </w:r>
      <w:r>
        <w:tab/>
      </w:r>
      <w:r>
        <w:fldChar w:fldCharType="begin"/>
      </w:r>
      <w:r>
        <w:instrText xml:space="preserve"> PAGEREF _Toc206921309 \h </w:instrText>
      </w:r>
      <w:r>
        <w:fldChar w:fldCharType="separate"/>
      </w:r>
      <w:r>
        <w:t>75</w:t>
      </w:r>
      <w:r>
        <w:fldChar w:fldCharType="end"/>
      </w:r>
    </w:p>
    <w:p w:rsidR="00BA29FF" w:rsidRDefault="00BA29FF">
      <w:pPr>
        <w:pStyle w:val="TOC5"/>
        <w:rPr>
          <w:rFonts w:ascii="Times New Roman" w:hAnsi="Times New Roman"/>
          <w:sz w:val="24"/>
          <w:szCs w:val="24"/>
        </w:rPr>
      </w:pPr>
      <w:r>
        <w:rPr>
          <w:szCs w:val="24"/>
        </w:rPr>
        <w:tab/>
        <w:t>371</w:t>
      </w:r>
      <w:r>
        <w:rPr>
          <w:rFonts w:ascii="Times New Roman" w:hAnsi="Times New Roman"/>
          <w:sz w:val="24"/>
          <w:szCs w:val="24"/>
        </w:rPr>
        <w:tab/>
      </w:r>
      <w:r>
        <w:rPr>
          <w:szCs w:val="24"/>
        </w:rPr>
        <w:t>Definitions—ch 9</w:t>
      </w:r>
      <w:r>
        <w:tab/>
      </w:r>
      <w:r>
        <w:fldChar w:fldCharType="begin"/>
      </w:r>
      <w:r>
        <w:instrText xml:space="preserve"> PAGEREF _Toc206921310 \h </w:instrText>
      </w:r>
      <w:r>
        <w:fldChar w:fldCharType="separate"/>
      </w:r>
      <w:r>
        <w:t>75</w:t>
      </w:r>
      <w:r>
        <w:fldChar w:fldCharType="end"/>
      </w:r>
    </w:p>
    <w:p w:rsidR="00BA29FF" w:rsidRDefault="00BA29FF">
      <w:pPr>
        <w:pStyle w:val="TOC5"/>
        <w:rPr>
          <w:rFonts w:ascii="Times New Roman" w:hAnsi="Times New Roman"/>
          <w:sz w:val="24"/>
        </w:rPr>
      </w:pPr>
      <w:r>
        <w:tab/>
        <w:t>372</w:t>
      </w:r>
      <w:r>
        <w:rPr>
          <w:rFonts w:ascii="Times New Roman" w:hAnsi="Times New Roman"/>
          <w:sz w:val="24"/>
        </w:rPr>
        <w:tab/>
      </w:r>
      <w:r>
        <w:t xml:space="preserve">Meaning of </w:t>
      </w:r>
      <w:r>
        <w:rPr>
          <w:i/>
          <w:iCs/>
        </w:rPr>
        <w:t>bushfire emergency</w:t>
      </w:r>
      <w:r>
        <w:t>—ch 9</w:t>
      </w:r>
      <w:r>
        <w:tab/>
      </w:r>
      <w:r>
        <w:fldChar w:fldCharType="begin"/>
      </w:r>
      <w:r>
        <w:instrText xml:space="preserve"> PAGEREF _Toc206921311 \h </w:instrText>
      </w:r>
      <w:r>
        <w:fldChar w:fldCharType="separate"/>
      </w:r>
      <w:r>
        <w:t>75</w:t>
      </w:r>
      <w:r>
        <w:fldChar w:fldCharType="end"/>
      </w:r>
    </w:p>
    <w:p w:rsidR="00BA29FF" w:rsidRDefault="00BA29FF">
      <w:pPr>
        <w:pStyle w:val="TOC5"/>
        <w:rPr>
          <w:rFonts w:ascii="Times New Roman" w:hAnsi="Times New Roman"/>
          <w:sz w:val="24"/>
        </w:rPr>
      </w:pPr>
      <w:r>
        <w:tab/>
        <w:t>373</w:t>
      </w:r>
      <w:r>
        <w:rPr>
          <w:rFonts w:ascii="Times New Roman" w:hAnsi="Times New Roman"/>
          <w:sz w:val="24"/>
        </w:rPr>
        <w:tab/>
      </w:r>
      <w:r>
        <w:t>Fire-caused rebuilding developments—ch 9</w:t>
      </w:r>
      <w:r>
        <w:tab/>
      </w:r>
      <w:r>
        <w:fldChar w:fldCharType="begin"/>
      </w:r>
      <w:r>
        <w:instrText xml:space="preserve"> PAGEREF _Toc206921312 \h </w:instrText>
      </w:r>
      <w:r>
        <w:fldChar w:fldCharType="separate"/>
      </w:r>
      <w:r>
        <w:t>76</w:t>
      </w:r>
      <w:r>
        <w:fldChar w:fldCharType="end"/>
      </w:r>
    </w:p>
    <w:p w:rsidR="00BA29FF" w:rsidRDefault="00BA29FF">
      <w:pPr>
        <w:pStyle w:val="TOC5"/>
        <w:rPr>
          <w:rFonts w:ascii="Times New Roman" w:hAnsi="Times New Roman"/>
          <w:sz w:val="24"/>
          <w:szCs w:val="24"/>
        </w:rPr>
      </w:pPr>
      <w:r>
        <w:rPr>
          <w:szCs w:val="24"/>
        </w:rPr>
        <w:tab/>
        <w:t>374</w:t>
      </w:r>
      <w:r>
        <w:rPr>
          <w:rFonts w:ascii="Times New Roman" w:hAnsi="Times New Roman"/>
          <w:sz w:val="24"/>
          <w:szCs w:val="24"/>
        </w:rPr>
        <w:tab/>
      </w:r>
      <w:r>
        <w:rPr>
          <w:szCs w:val="24"/>
        </w:rPr>
        <w:t>Previous approval—ch 9</w:t>
      </w:r>
      <w:r>
        <w:tab/>
      </w:r>
      <w:r>
        <w:fldChar w:fldCharType="begin"/>
      </w:r>
      <w:r>
        <w:instrText xml:space="preserve"> PAGEREF _Toc206921313 \h </w:instrText>
      </w:r>
      <w:r>
        <w:fldChar w:fldCharType="separate"/>
      </w:r>
      <w:r>
        <w:t>76</w:t>
      </w:r>
      <w:r>
        <w:fldChar w:fldCharType="end"/>
      </w:r>
    </w:p>
    <w:p w:rsidR="00BA29FF" w:rsidRDefault="00BA29FF">
      <w:pPr>
        <w:pStyle w:val="TOC5"/>
        <w:rPr>
          <w:rFonts w:ascii="Times New Roman" w:hAnsi="Times New Roman"/>
          <w:sz w:val="24"/>
        </w:rPr>
      </w:pPr>
      <w:r>
        <w:tab/>
        <w:t>375</w:t>
      </w:r>
      <w:r>
        <w:rPr>
          <w:rFonts w:ascii="Times New Roman" w:hAnsi="Times New Roman"/>
          <w:sz w:val="24"/>
        </w:rPr>
        <w:tab/>
      </w:r>
      <w:r>
        <w:t xml:space="preserve">Rebuilding in accordance with previous approvals—Act, s 133, def </w:t>
      </w:r>
      <w:r>
        <w:rPr>
          <w:i/>
          <w:iCs/>
        </w:rPr>
        <w:t>exempt development</w:t>
      </w:r>
      <w:r>
        <w:t>, par (c)</w:t>
      </w:r>
      <w:r>
        <w:tab/>
      </w:r>
      <w:r>
        <w:fldChar w:fldCharType="begin"/>
      </w:r>
      <w:r>
        <w:instrText xml:space="preserve"> PAGEREF _Toc206921314 \h </w:instrText>
      </w:r>
      <w:r>
        <w:fldChar w:fldCharType="separate"/>
      </w:r>
      <w:r>
        <w:t>77</w:t>
      </w:r>
      <w:r>
        <w:fldChar w:fldCharType="end"/>
      </w:r>
    </w:p>
    <w:p w:rsidR="00BA29FF" w:rsidRDefault="00BA29FF">
      <w:pPr>
        <w:pStyle w:val="TOC1"/>
        <w:rPr>
          <w:rFonts w:ascii="Times New Roman" w:hAnsi="Times New Roman"/>
          <w:b w:val="0"/>
          <w:szCs w:val="24"/>
        </w:rPr>
      </w:pPr>
      <w:r>
        <w:t>Chapter 10</w:t>
      </w:r>
      <w:r>
        <w:rPr>
          <w:rFonts w:ascii="Times New Roman" w:hAnsi="Times New Roman"/>
          <w:b w:val="0"/>
          <w:szCs w:val="24"/>
        </w:rPr>
        <w:tab/>
      </w:r>
      <w:r>
        <w:t>Miscellaneous</w:t>
      </w:r>
    </w:p>
    <w:p w:rsidR="00BA29FF" w:rsidRDefault="00BA29FF">
      <w:pPr>
        <w:pStyle w:val="TOC5"/>
        <w:rPr>
          <w:rFonts w:ascii="Times New Roman" w:hAnsi="Times New Roman"/>
          <w:sz w:val="24"/>
        </w:rPr>
      </w:pPr>
      <w:r>
        <w:tab/>
        <w:t>400</w:t>
      </w:r>
      <w:r>
        <w:rPr>
          <w:rFonts w:ascii="Times New Roman" w:hAnsi="Times New Roman"/>
          <w:sz w:val="24"/>
        </w:rPr>
        <w:tab/>
      </w:r>
      <w:r>
        <w:t>Disapplication of Legislation Act, s 47 (5) and (6)—regulation</w:t>
      </w:r>
      <w:r>
        <w:tab/>
      </w:r>
      <w:r>
        <w:fldChar w:fldCharType="begin"/>
      </w:r>
      <w:r>
        <w:instrText xml:space="preserve"> PAGEREF _Toc206921316 \h </w:instrText>
      </w:r>
      <w:r>
        <w:fldChar w:fldCharType="separate"/>
      </w:r>
      <w:r>
        <w:t>80</w:t>
      </w:r>
      <w:r>
        <w:fldChar w:fldCharType="end"/>
      </w:r>
    </w:p>
    <w:p w:rsidR="00BA29FF" w:rsidRDefault="00BA29FF">
      <w:pPr>
        <w:pStyle w:val="TOC5"/>
        <w:rPr>
          <w:rFonts w:ascii="Times New Roman" w:hAnsi="Times New Roman"/>
          <w:sz w:val="24"/>
        </w:rPr>
      </w:pPr>
      <w:r>
        <w:tab/>
        <w:t>401</w:t>
      </w:r>
      <w:r>
        <w:rPr>
          <w:rFonts w:ascii="Times New Roman" w:hAnsi="Times New Roman"/>
          <w:sz w:val="24"/>
        </w:rPr>
        <w:tab/>
      </w:r>
      <w:r>
        <w:t>Disapplication of Legislation Act, s 47 (6) for certain territory plan instruments—Act, s 422A (1)</w:t>
      </w:r>
      <w:r>
        <w:tab/>
      </w:r>
      <w:r>
        <w:fldChar w:fldCharType="begin"/>
      </w:r>
      <w:r>
        <w:instrText xml:space="preserve"> PAGEREF _Toc206921317 \h </w:instrText>
      </w:r>
      <w:r>
        <w:fldChar w:fldCharType="separate"/>
      </w:r>
      <w:r>
        <w:t>81</w:t>
      </w:r>
      <w:r>
        <w:fldChar w:fldCharType="end"/>
      </w:r>
    </w:p>
    <w:p w:rsidR="00BA29FF" w:rsidRDefault="00BA29FF">
      <w:pPr>
        <w:pStyle w:val="TOC5"/>
        <w:rPr>
          <w:rFonts w:ascii="Times New Roman" w:hAnsi="Times New Roman"/>
          <w:sz w:val="24"/>
        </w:rPr>
      </w:pPr>
      <w:r>
        <w:lastRenderedPageBreak/>
        <w:tab/>
        <w:t>402</w:t>
      </w:r>
      <w:r>
        <w:rPr>
          <w:rFonts w:ascii="Times New Roman" w:hAnsi="Times New Roman"/>
          <w:sz w:val="24"/>
        </w:rPr>
        <w:tab/>
      </w:r>
      <w:r>
        <w:t>Expiry of City West precinct provisions</w:t>
      </w:r>
      <w:r>
        <w:tab/>
      </w:r>
      <w:r>
        <w:fldChar w:fldCharType="begin"/>
      </w:r>
      <w:r>
        <w:instrText xml:space="preserve"> PAGEREF _Toc206921318 \h </w:instrText>
      </w:r>
      <w:r>
        <w:fldChar w:fldCharType="separate"/>
      </w:r>
      <w:r>
        <w:t>81</w:t>
      </w:r>
      <w:r>
        <w:fldChar w:fldCharType="end"/>
      </w:r>
    </w:p>
    <w:p w:rsidR="00BA29FF" w:rsidRDefault="00BA29FF">
      <w:pPr>
        <w:pStyle w:val="TOC5"/>
        <w:rPr>
          <w:rFonts w:ascii="Times New Roman" w:hAnsi="Times New Roman"/>
          <w:sz w:val="24"/>
        </w:rPr>
      </w:pPr>
      <w:r>
        <w:tab/>
        <w:t>403</w:t>
      </w:r>
      <w:r>
        <w:rPr>
          <w:rFonts w:ascii="Times New Roman" w:hAnsi="Times New Roman"/>
          <w:sz w:val="24"/>
        </w:rPr>
        <w:tab/>
      </w:r>
      <w:r>
        <w:t>Securing things seized under the Act, pt 12.3</w:t>
      </w:r>
      <w:r>
        <w:tab/>
      </w:r>
      <w:r>
        <w:fldChar w:fldCharType="begin"/>
      </w:r>
      <w:r>
        <w:instrText xml:space="preserve"> PAGEREF _Toc206921319 \h </w:instrText>
      </w:r>
      <w:r>
        <w:fldChar w:fldCharType="separate"/>
      </w:r>
      <w:r>
        <w:t>81</w:t>
      </w:r>
      <w:r>
        <w:fldChar w:fldCharType="end"/>
      </w:r>
    </w:p>
    <w:p w:rsidR="00BA29FF" w:rsidRDefault="00BA29FF">
      <w:pPr>
        <w:pStyle w:val="TOC5"/>
        <w:rPr>
          <w:rFonts w:ascii="Times New Roman" w:hAnsi="Times New Roman"/>
          <w:sz w:val="24"/>
        </w:rPr>
      </w:pPr>
      <w:r>
        <w:tab/>
        <w:t>410</w:t>
      </w:r>
      <w:r>
        <w:rPr>
          <w:rFonts w:ascii="Times New Roman" w:hAnsi="Times New Roman"/>
          <w:sz w:val="24"/>
        </w:rPr>
        <w:tab/>
      </w:r>
      <w:r>
        <w:t>Modification of Act, ch 15—Act, s 429</w:t>
      </w:r>
      <w:r>
        <w:tab/>
      </w:r>
      <w:r>
        <w:fldChar w:fldCharType="begin"/>
      </w:r>
      <w:r>
        <w:instrText xml:space="preserve"> PAGEREF _Toc206921320 \h </w:instrText>
      </w:r>
      <w:r>
        <w:fldChar w:fldCharType="separate"/>
      </w:r>
      <w:r>
        <w:t>82</w:t>
      </w:r>
      <w:r>
        <w:fldChar w:fldCharType="end"/>
      </w:r>
    </w:p>
    <w:p w:rsidR="00BA29FF" w:rsidRDefault="00BA29FF">
      <w:pPr>
        <w:pStyle w:val="TOC6"/>
        <w:rPr>
          <w:rFonts w:ascii="Times New Roman" w:hAnsi="Times New Roman"/>
          <w:b w:val="0"/>
          <w:szCs w:val="24"/>
        </w:rPr>
      </w:pPr>
      <w:r>
        <w:t>Schedule 1</w:t>
      </w:r>
      <w:r>
        <w:rPr>
          <w:rFonts w:ascii="Times New Roman" w:hAnsi="Times New Roman"/>
          <w:b w:val="0"/>
          <w:szCs w:val="24"/>
        </w:rPr>
        <w:tab/>
      </w:r>
      <w:r>
        <w:t>Exemptions from requirement for development approval</w:t>
      </w:r>
      <w:r>
        <w:tab/>
      </w:r>
      <w:r>
        <w:rPr>
          <w:b w:val="0"/>
          <w:sz w:val="20"/>
        </w:rPr>
        <w:fldChar w:fldCharType="begin"/>
      </w:r>
      <w:r>
        <w:rPr>
          <w:b w:val="0"/>
          <w:sz w:val="20"/>
        </w:rPr>
        <w:instrText xml:space="preserve"> PAGEREF _Toc206921321 \h </w:instrText>
      </w:r>
      <w:r>
        <w:rPr>
          <w:b w:val="0"/>
          <w:sz w:val="20"/>
        </w:rPr>
      </w:r>
      <w:r>
        <w:rPr>
          <w:b w:val="0"/>
          <w:sz w:val="20"/>
        </w:rPr>
        <w:fldChar w:fldCharType="separate"/>
      </w:r>
      <w:r>
        <w:rPr>
          <w:b w:val="0"/>
          <w:sz w:val="20"/>
        </w:rPr>
        <w:t>83</w:t>
      </w:r>
      <w:r>
        <w:rPr>
          <w:b w:val="0"/>
          <w:sz w:val="20"/>
        </w:rPr>
        <w:fldChar w:fldCharType="end"/>
      </w:r>
    </w:p>
    <w:p w:rsidR="00BA29FF" w:rsidRDefault="00BA29FF">
      <w:pPr>
        <w:pStyle w:val="TOC7"/>
        <w:rPr>
          <w:rFonts w:ascii="Times New Roman" w:hAnsi="Times New Roman"/>
          <w:b w:val="0"/>
          <w:sz w:val="24"/>
          <w:szCs w:val="24"/>
        </w:rPr>
      </w:pPr>
      <w:r>
        <w:rPr>
          <w:szCs w:val="32"/>
        </w:rPr>
        <w:t>Part 1.1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_Toc206921322 \h </w:instrText>
      </w:r>
      <w:r>
        <w:rPr>
          <w:b w:val="0"/>
        </w:rPr>
      </w:r>
      <w:r>
        <w:rPr>
          <w:b w:val="0"/>
        </w:rPr>
        <w:fldChar w:fldCharType="separate"/>
      </w:r>
      <w:r>
        <w:rPr>
          <w:b w:val="0"/>
        </w:rPr>
        <w:t>83</w:t>
      </w:r>
      <w:r>
        <w:rPr>
          <w:b w:val="0"/>
        </w:rPr>
        <w:fldChar w:fldCharType="end"/>
      </w:r>
    </w:p>
    <w:p w:rsidR="00BA29FF" w:rsidRDefault="00BA29FF">
      <w:pPr>
        <w:pStyle w:val="TOC5"/>
        <w:rPr>
          <w:rFonts w:ascii="Times New Roman" w:hAnsi="Times New Roman"/>
          <w:sz w:val="24"/>
          <w:szCs w:val="24"/>
        </w:rPr>
      </w:pPr>
      <w:r>
        <w:rPr>
          <w:szCs w:val="24"/>
        </w:rPr>
        <w:tab/>
        <w:t>1.1</w:t>
      </w:r>
      <w:r>
        <w:rPr>
          <w:rFonts w:ascii="Times New Roman" w:hAnsi="Times New Roman"/>
          <w:sz w:val="24"/>
          <w:szCs w:val="24"/>
        </w:rPr>
        <w:tab/>
      </w:r>
      <w:r>
        <w:rPr>
          <w:szCs w:val="24"/>
        </w:rPr>
        <w:t>Definitions—sch 1</w:t>
      </w:r>
      <w:r>
        <w:tab/>
      </w:r>
      <w:r>
        <w:fldChar w:fldCharType="begin"/>
      </w:r>
      <w:r>
        <w:instrText xml:space="preserve"> PAGEREF _Toc206921323 \h </w:instrText>
      </w:r>
      <w:r>
        <w:fldChar w:fldCharType="separate"/>
      </w:r>
      <w:r>
        <w:t>83</w:t>
      </w:r>
      <w:r>
        <w:fldChar w:fldCharType="end"/>
      </w:r>
    </w:p>
    <w:p w:rsidR="00BA29FF" w:rsidRDefault="00BA29FF">
      <w:pPr>
        <w:pStyle w:val="TOC5"/>
        <w:rPr>
          <w:rFonts w:ascii="Times New Roman" w:hAnsi="Times New Roman"/>
          <w:sz w:val="24"/>
        </w:rPr>
      </w:pPr>
      <w:r>
        <w:tab/>
        <w:t>1.2</w:t>
      </w:r>
      <w:r>
        <w:rPr>
          <w:rFonts w:ascii="Times New Roman" w:hAnsi="Times New Roman"/>
          <w:sz w:val="24"/>
        </w:rPr>
        <w:tab/>
      </w:r>
      <w:r>
        <w:t xml:space="preserve">Meaning of </w:t>
      </w:r>
      <w:r>
        <w:rPr>
          <w:i/>
        </w:rPr>
        <w:t>designated development</w:t>
      </w:r>
      <w:r>
        <w:t>—sch 1</w:t>
      </w:r>
      <w:r>
        <w:tab/>
      </w:r>
      <w:r>
        <w:fldChar w:fldCharType="begin"/>
      </w:r>
      <w:r>
        <w:instrText xml:space="preserve"> PAGEREF _Toc206921324 \h </w:instrText>
      </w:r>
      <w:r>
        <w:fldChar w:fldCharType="separate"/>
      </w:r>
      <w:r>
        <w:t>83</w:t>
      </w:r>
      <w:r>
        <w:fldChar w:fldCharType="end"/>
      </w:r>
    </w:p>
    <w:p w:rsidR="00BA29FF" w:rsidRDefault="00BA29FF">
      <w:pPr>
        <w:pStyle w:val="TOC5"/>
        <w:rPr>
          <w:rFonts w:ascii="Times New Roman" w:hAnsi="Times New Roman"/>
          <w:sz w:val="24"/>
        </w:rPr>
      </w:pPr>
      <w:r>
        <w:tab/>
        <w:t>1.3</w:t>
      </w:r>
      <w:r>
        <w:rPr>
          <w:rFonts w:ascii="Times New Roman" w:hAnsi="Times New Roman"/>
          <w:sz w:val="24"/>
        </w:rPr>
        <w:tab/>
      </w:r>
      <w:r>
        <w:t>Inconsistency between codes and this schedule</w:t>
      </w:r>
      <w:r>
        <w:tab/>
      </w:r>
      <w:r>
        <w:fldChar w:fldCharType="begin"/>
      </w:r>
      <w:r>
        <w:instrText xml:space="preserve"> PAGEREF _Toc206921325 \h </w:instrText>
      </w:r>
      <w:r>
        <w:fldChar w:fldCharType="separate"/>
      </w:r>
      <w:r>
        <w:t>84</w:t>
      </w:r>
      <w:r>
        <w:fldChar w:fldCharType="end"/>
      </w:r>
    </w:p>
    <w:p w:rsidR="00BA29FF" w:rsidRDefault="00BA29FF">
      <w:pPr>
        <w:pStyle w:val="TOC5"/>
        <w:rPr>
          <w:rFonts w:ascii="Times New Roman" w:hAnsi="Times New Roman"/>
          <w:sz w:val="24"/>
        </w:rPr>
      </w:pPr>
      <w:r>
        <w:tab/>
        <w:t>1.4</w:t>
      </w:r>
      <w:r>
        <w:rPr>
          <w:rFonts w:ascii="Times New Roman" w:hAnsi="Times New Roman"/>
          <w:sz w:val="24"/>
        </w:rPr>
        <w:tab/>
      </w:r>
      <w:r>
        <w:t>Exemption does not affect other territory laws</w:t>
      </w:r>
      <w:r>
        <w:tab/>
      </w:r>
      <w:r>
        <w:fldChar w:fldCharType="begin"/>
      </w:r>
      <w:r>
        <w:instrText xml:space="preserve"> PAGEREF _Toc206921326 \h </w:instrText>
      </w:r>
      <w:r>
        <w:fldChar w:fldCharType="separate"/>
      </w:r>
      <w:r>
        <w:t>84</w:t>
      </w:r>
      <w:r>
        <w:fldChar w:fldCharType="end"/>
      </w:r>
    </w:p>
    <w:p w:rsidR="00BA29FF" w:rsidRDefault="00BA29FF">
      <w:pPr>
        <w:pStyle w:val="TOC7"/>
        <w:rPr>
          <w:rFonts w:ascii="Times New Roman" w:hAnsi="Times New Roman"/>
          <w:b w:val="0"/>
          <w:sz w:val="24"/>
          <w:szCs w:val="24"/>
        </w:rPr>
      </w:pPr>
      <w:r>
        <w:rPr>
          <w:szCs w:val="32"/>
        </w:rPr>
        <w:t>Part 1.2</w:t>
      </w:r>
      <w:r>
        <w:rPr>
          <w:rFonts w:ascii="Times New Roman" w:hAnsi="Times New Roman"/>
          <w:b w:val="0"/>
          <w:sz w:val="24"/>
          <w:szCs w:val="24"/>
        </w:rPr>
        <w:tab/>
      </w:r>
      <w:r>
        <w:rPr>
          <w:szCs w:val="32"/>
        </w:rPr>
        <w:t>General exemption criteria</w:t>
      </w:r>
      <w:r>
        <w:tab/>
      </w:r>
      <w:r>
        <w:rPr>
          <w:b w:val="0"/>
        </w:rPr>
        <w:fldChar w:fldCharType="begin"/>
      </w:r>
      <w:r>
        <w:rPr>
          <w:b w:val="0"/>
        </w:rPr>
        <w:instrText xml:space="preserve"> PAGEREF _Toc206921327 \h </w:instrText>
      </w:r>
      <w:r>
        <w:rPr>
          <w:b w:val="0"/>
        </w:rPr>
      </w:r>
      <w:r>
        <w:rPr>
          <w:b w:val="0"/>
        </w:rPr>
        <w:fldChar w:fldCharType="separate"/>
      </w:r>
      <w:r>
        <w:rPr>
          <w:b w:val="0"/>
        </w:rPr>
        <w:t>85</w:t>
      </w:r>
      <w:r>
        <w:rPr>
          <w:b w:val="0"/>
        </w:rPr>
        <w:fldChar w:fldCharType="end"/>
      </w:r>
    </w:p>
    <w:p w:rsidR="00BA29FF" w:rsidRDefault="00BA29FF">
      <w:pPr>
        <w:pStyle w:val="TOC5"/>
        <w:rPr>
          <w:rFonts w:ascii="Times New Roman" w:hAnsi="Times New Roman"/>
          <w:sz w:val="24"/>
        </w:rPr>
      </w:pPr>
      <w:r>
        <w:tab/>
        <w:t>1.10</w:t>
      </w:r>
      <w:r>
        <w:rPr>
          <w:rFonts w:ascii="Times New Roman" w:hAnsi="Times New Roman"/>
          <w:sz w:val="24"/>
        </w:rPr>
        <w:tab/>
      </w:r>
      <w:r>
        <w:t>Exempt developments—general criteria</w:t>
      </w:r>
      <w:r>
        <w:tab/>
      </w:r>
      <w:r>
        <w:fldChar w:fldCharType="begin"/>
      </w:r>
      <w:r>
        <w:instrText xml:space="preserve"> PAGEREF _Toc206921328 \h </w:instrText>
      </w:r>
      <w:r>
        <w:fldChar w:fldCharType="separate"/>
      </w:r>
      <w:r>
        <w:t>85</w:t>
      </w:r>
      <w:r>
        <w:fldChar w:fldCharType="end"/>
      </w:r>
    </w:p>
    <w:p w:rsidR="00BA29FF" w:rsidRDefault="00BA29FF">
      <w:pPr>
        <w:pStyle w:val="TOC5"/>
        <w:rPr>
          <w:rFonts w:ascii="Times New Roman" w:hAnsi="Times New Roman"/>
          <w:sz w:val="24"/>
        </w:rPr>
      </w:pPr>
      <w:r>
        <w:tab/>
        <w:t>1.11</w:t>
      </w:r>
      <w:r>
        <w:rPr>
          <w:rFonts w:ascii="Times New Roman" w:hAnsi="Times New Roman"/>
          <w:sz w:val="24"/>
        </w:rPr>
        <w:tab/>
      </w:r>
      <w:r>
        <w:t>Criterion 1—easement and other access clearances</w:t>
      </w:r>
      <w:r>
        <w:tab/>
      </w:r>
      <w:r>
        <w:fldChar w:fldCharType="begin"/>
      </w:r>
      <w:r>
        <w:instrText xml:space="preserve"> PAGEREF _Toc206921329 \h </w:instrText>
      </w:r>
      <w:r>
        <w:fldChar w:fldCharType="separate"/>
      </w:r>
      <w:r>
        <w:t>85</w:t>
      </w:r>
      <w:r>
        <w:fldChar w:fldCharType="end"/>
      </w:r>
    </w:p>
    <w:p w:rsidR="00BA29FF" w:rsidRDefault="00BA29FF">
      <w:pPr>
        <w:pStyle w:val="TOC5"/>
        <w:rPr>
          <w:rFonts w:ascii="Times New Roman" w:hAnsi="Times New Roman"/>
          <w:sz w:val="24"/>
        </w:rPr>
      </w:pPr>
      <w:r>
        <w:tab/>
        <w:t>1.12</w:t>
      </w:r>
      <w:r>
        <w:rPr>
          <w:rFonts w:ascii="Times New Roman" w:hAnsi="Times New Roman"/>
          <w:sz w:val="24"/>
        </w:rPr>
        <w:tab/>
      </w:r>
      <w:r>
        <w:t>Criterion 2—plumbing and drainage clearances</w:t>
      </w:r>
      <w:r>
        <w:tab/>
      </w:r>
      <w:r>
        <w:fldChar w:fldCharType="begin"/>
      </w:r>
      <w:r>
        <w:instrText xml:space="preserve"> PAGEREF _Toc206921330 \h </w:instrText>
      </w:r>
      <w:r>
        <w:fldChar w:fldCharType="separate"/>
      </w:r>
      <w:r>
        <w:t>87</w:t>
      </w:r>
      <w:r>
        <w:fldChar w:fldCharType="end"/>
      </w:r>
    </w:p>
    <w:p w:rsidR="00BA29FF" w:rsidRDefault="00BA29FF">
      <w:pPr>
        <w:pStyle w:val="TOC5"/>
        <w:rPr>
          <w:rFonts w:ascii="Times New Roman" w:hAnsi="Times New Roman"/>
          <w:sz w:val="24"/>
        </w:rPr>
      </w:pPr>
      <w:r>
        <w:tab/>
        <w:t>1.13</w:t>
      </w:r>
      <w:r>
        <w:rPr>
          <w:rFonts w:ascii="Times New Roman" w:hAnsi="Times New Roman"/>
          <w:sz w:val="24"/>
        </w:rPr>
        <w:tab/>
      </w:r>
      <w:r>
        <w:t>Criterion 3—metallic, white and off-white exterior finishes in residential zones</w:t>
      </w:r>
      <w:r>
        <w:tab/>
      </w:r>
      <w:r>
        <w:fldChar w:fldCharType="begin"/>
      </w:r>
      <w:r>
        <w:instrText xml:space="preserve"> PAGEREF _Toc206921331 \h </w:instrText>
      </w:r>
      <w:r>
        <w:fldChar w:fldCharType="separate"/>
      </w:r>
      <w:r>
        <w:t>87</w:t>
      </w:r>
      <w:r>
        <w:fldChar w:fldCharType="end"/>
      </w:r>
    </w:p>
    <w:p w:rsidR="00BA29FF" w:rsidRDefault="00BA29FF">
      <w:pPr>
        <w:pStyle w:val="TOC5"/>
        <w:rPr>
          <w:rFonts w:ascii="Times New Roman" w:hAnsi="Times New Roman"/>
          <w:sz w:val="24"/>
        </w:rPr>
      </w:pPr>
      <w:r>
        <w:tab/>
        <w:t>1.14</w:t>
      </w:r>
      <w:r>
        <w:rPr>
          <w:rFonts w:ascii="Times New Roman" w:hAnsi="Times New Roman"/>
          <w:sz w:val="24"/>
        </w:rPr>
        <w:tab/>
      </w:r>
      <w:r>
        <w:t>Criterion 4—heritage and tree protection</w:t>
      </w:r>
      <w:r>
        <w:tab/>
      </w:r>
      <w:r>
        <w:fldChar w:fldCharType="begin"/>
      </w:r>
      <w:r>
        <w:instrText xml:space="preserve"> PAGEREF _Toc206921332 \h </w:instrText>
      </w:r>
      <w:r>
        <w:fldChar w:fldCharType="separate"/>
      </w:r>
      <w:r>
        <w:t>87</w:t>
      </w:r>
      <w:r>
        <w:fldChar w:fldCharType="end"/>
      </w:r>
    </w:p>
    <w:p w:rsidR="00BA29FF" w:rsidRDefault="00BA29FF">
      <w:pPr>
        <w:pStyle w:val="TOC5"/>
        <w:rPr>
          <w:rFonts w:ascii="Times New Roman" w:hAnsi="Times New Roman"/>
          <w:sz w:val="24"/>
        </w:rPr>
      </w:pPr>
      <w:r>
        <w:tab/>
        <w:t>1.15</w:t>
      </w:r>
      <w:r>
        <w:rPr>
          <w:rFonts w:ascii="Times New Roman" w:hAnsi="Times New Roman"/>
          <w:sz w:val="24"/>
        </w:rPr>
        <w:tab/>
      </w:r>
      <w:r>
        <w:t>Criterion 5—compliance with lease and other development approvals</w:t>
      </w:r>
      <w:r>
        <w:tab/>
      </w:r>
      <w:r>
        <w:fldChar w:fldCharType="begin"/>
      </w:r>
      <w:r>
        <w:instrText xml:space="preserve"> PAGEREF _Toc206921333 \h </w:instrText>
      </w:r>
      <w:r>
        <w:fldChar w:fldCharType="separate"/>
      </w:r>
      <w:r>
        <w:t>88</w:t>
      </w:r>
      <w:r>
        <w:fldChar w:fldCharType="end"/>
      </w:r>
    </w:p>
    <w:p w:rsidR="00BA29FF" w:rsidRDefault="00BA29FF">
      <w:pPr>
        <w:pStyle w:val="TOC5"/>
        <w:rPr>
          <w:rFonts w:ascii="Times New Roman" w:hAnsi="Times New Roman"/>
          <w:sz w:val="24"/>
        </w:rPr>
      </w:pPr>
      <w:r>
        <w:tab/>
        <w:t>1.16</w:t>
      </w:r>
      <w:r>
        <w:rPr>
          <w:rFonts w:ascii="Times New Roman" w:hAnsi="Times New Roman"/>
          <w:sz w:val="24"/>
        </w:rPr>
        <w:tab/>
      </w:r>
      <w:r>
        <w:t>Criterion 6—development approval not otherwise required</w:t>
      </w:r>
      <w:r>
        <w:tab/>
      </w:r>
      <w:r>
        <w:fldChar w:fldCharType="begin"/>
      </w:r>
      <w:r>
        <w:instrText xml:space="preserve"> PAGEREF _Toc206921334 \h </w:instrText>
      </w:r>
      <w:r>
        <w:fldChar w:fldCharType="separate"/>
      </w:r>
      <w:r>
        <w:t>88</w:t>
      </w:r>
      <w:r>
        <w:fldChar w:fldCharType="end"/>
      </w:r>
    </w:p>
    <w:p w:rsidR="00BA29FF" w:rsidRDefault="00BA29FF">
      <w:pPr>
        <w:pStyle w:val="TOC5"/>
        <w:rPr>
          <w:rFonts w:ascii="Times New Roman" w:hAnsi="Times New Roman"/>
          <w:sz w:val="24"/>
        </w:rPr>
      </w:pPr>
      <w:r>
        <w:tab/>
        <w:t>1.17</w:t>
      </w:r>
      <w:r>
        <w:rPr>
          <w:rFonts w:ascii="Times New Roman" w:hAnsi="Times New Roman"/>
          <w:sz w:val="24"/>
        </w:rPr>
        <w:tab/>
      </w:r>
      <w:r>
        <w:t>Criterion 7—no multiple occupancy dwellings</w:t>
      </w:r>
      <w:r>
        <w:tab/>
      </w:r>
      <w:r>
        <w:fldChar w:fldCharType="begin"/>
      </w:r>
      <w:r>
        <w:instrText xml:space="preserve"> PAGEREF _Toc206921335 \h </w:instrText>
      </w:r>
      <w:r>
        <w:fldChar w:fldCharType="separate"/>
      </w:r>
      <w:r>
        <w:t>89</w:t>
      </w:r>
      <w:r>
        <w:fldChar w:fldCharType="end"/>
      </w:r>
    </w:p>
    <w:p w:rsidR="00BA29FF" w:rsidRDefault="00BA29FF">
      <w:pPr>
        <w:pStyle w:val="TOC5"/>
        <w:rPr>
          <w:rFonts w:ascii="Times New Roman" w:hAnsi="Times New Roman"/>
          <w:sz w:val="24"/>
        </w:rPr>
      </w:pPr>
      <w:r>
        <w:tab/>
        <w:t>1.18</w:t>
      </w:r>
      <w:r>
        <w:rPr>
          <w:rFonts w:ascii="Times New Roman" w:hAnsi="Times New Roman"/>
          <w:sz w:val="24"/>
        </w:rPr>
        <w:tab/>
      </w:r>
      <w:r>
        <w:t>Criterion 8—compliance with other applicable exemption criteria</w:t>
      </w:r>
      <w:r>
        <w:tab/>
      </w:r>
      <w:r>
        <w:fldChar w:fldCharType="begin"/>
      </w:r>
      <w:r>
        <w:instrText xml:space="preserve"> PAGEREF _Toc206921336 \h </w:instrText>
      </w:r>
      <w:r>
        <w:fldChar w:fldCharType="separate"/>
      </w:r>
      <w:r>
        <w:t>90</w:t>
      </w:r>
      <w:r>
        <w:fldChar w:fldCharType="end"/>
      </w:r>
    </w:p>
    <w:p w:rsidR="00BA29FF" w:rsidRDefault="00BA29FF">
      <w:pPr>
        <w:pStyle w:val="TOC7"/>
        <w:rPr>
          <w:rFonts w:ascii="Times New Roman" w:hAnsi="Times New Roman"/>
          <w:b w:val="0"/>
          <w:sz w:val="24"/>
          <w:szCs w:val="24"/>
        </w:rPr>
      </w:pPr>
      <w:r>
        <w:rPr>
          <w:szCs w:val="32"/>
        </w:rPr>
        <w:t>Part 1.3</w:t>
      </w:r>
      <w:r>
        <w:rPr>
          <w:rFonts w:ascii="Times New Roman" w:hAnsi="Times New Roman"/>
          <w:b w:val="0"/>
          <w:sz w:val="24"/>
          <w:szCs w:val="24"/>
        </w:rPr>
        <w:tab/>
      </w:r>
      <w:r>
        <w:rPr>
          <w:szCs w:val="32"/>
        </w:rPr>
        <w:t>Exempt developments</w:t>
      </w:r>
      <w:r>
        <w:tab/>
      </w:r>
      <w:r>
        <w:rPr>
          <w:b w:val="0"/>
        </w:rPr>
        <w:fldChar w:fldCharType="begin"/>
      </w:r>
      <w:r>
        <w:rPr>
          <w:b w:val="0"/>
        </w:rPr>
        <w:instrText xml:space="preserve"> PAGEREF _Toc206921337 \h </w:instrText>
      </w:r>
      <w:r>
        <w:rPr>
          <w:b w:val="0"/>
        </w:rPr>
      </w:r>
      <w:r>
        <w:rPr>
          <w:b w:val="0"/>
        </w:rPr>
        <w:fldChar w:fldCharType="separate"/>
      </w:r>
      <w:r>
        <w:rPr>
          <w:b w:val="0"/>
        </w:rPr>
        <w:t>91</w:t>
      </w:r>
      <w:r>
        <w:rPr>
          <w:b w:val="0"/>
        </w:rPr>
        <w:fldChar w:fldCharType="end"/>
      </w:r>
    </w:p>
    <w:p w:rsidR="00BA29FF" w:rsidRDefault="00BA29FF">
      <w:pPr>
        <w:pStyle w:val="TOC8"/>
        <w:rPr>
          <w:rFonts w:ascii="Times New Roman" w:hAnsi="Times New Roman"/>
          <w:b w:val="0"/>
          <w:sz w:val="24"/>
          <w:szCs w:val="24"/>
        </w:rPr>
      </w:pPr>
      <w:r>
        <w:rPr>
          <w:szCs w:val="28"/>
        </w:rPr>
        <w:t>Division 1.3.1</w:t>
      </w:r>
      <w:r>
        <w:rPr>
          <w:rFonts w:ascii="Times New Roman" w:hAnsi="Times New Roman"/>
          <w:b w:val="0"/>
          <w:sz w:val="24"/>
          <w:szCs w:val="24"/>
        </w:rPr>
        <w:tab/>
      </w:r>
      <w:r>
        <w:rPr>
          <w:szCs w:val="28"/>
        </w:rPr>
        <w:t>Exempt developments—minor building works</w:t>
      </w:r>
      <w:r>
        <w:tab/>
      </w:r>
      <w:r>
        <w:rPr>
          <w:b w:val="0"/>
        </w:rPr>
        <w:fldChar w:fldCharType="begin"/>
      </w:r>
      <w:r>
        <w:rPr>
          <w:b w:val="0"/>
        </w:rPr>
        <w:instrText xml:space="preserve"> PAGEREF _Toc206921338 \h </w:instrText>
      </w:r>
      <w:r>
        <w:rPr>
          <w:b w:val="0"/>
        </w:rPr>
      </w:r>
      <w:r>
        <w:rPr>
          <w:b w:val="0"/>
        </w:rPr>
        <w:fldChar w:fldCharType="separate"/>
      </w:r>
      <w:r>
        <w:rPr>
          <w:b w:val="0"/>
        </w:rPr>
        <w:t>91</w:t>
      </w:r>
      <w:r>
        <w:rPr>
          <w:b w:val="0"/>
        </w:rPr>
        <w:fldChar w:fldCharType="end"/>
      </w:r>
    </w:p>
    <w:p w:rsidR="00BA29FF" w:rsidRDefault="00BA29FF">
      <w:pPr>
        <w:pStyle w:val="TOC5"/>
        <w:rPr>
          <w:rFonts w:ascii="Times New Roman" w:hAnsi="Times New Roman"/>
          <w:sz w:val="24"/>
        </w:rPr>
      </w:pPr>
      <w:r>
        <w:tab/>
        <w:t>1.20</w:t>
      </w:r>
      <w:r>
        <w:rPr>
          <w:rFonts w:ascii="Times New Roman" w:hAnsi="Times New Roman"/>
          <w:sz w:val="24"/>
        </w:rPr>
        <w:tab/>
      </w:r>
      <w:r>
        <w:t>Internal alterations of buildings</w:t>
      </w:r>
      <w:r>
        <w:tab/>
      </w:r>
      <w:r>
        <w:fldChar w:fldCharType="begin"/>
      </w:r>
      <w:r>
        <w:instrText xml:space="preserve"> PAGEREF _Toc206921339 \h </w:instrText>
      </w:r>
      <w:r>
        <w:fldChar w:fldCharType="separate"/>
      </w:r>
      <w:r>
        <w:t>91</w:t>
      </w:r>
      <w:r>
        <w:fldChar w:fldCharType="end"/>
      </w:r>
    </w:p>
    <w:p w:rsidR="00BA29FF" w:rsidRDefault="00BA29FF">
      <w:pPr>
        <w:pStyle w:val="TOC5"/>
        <w:rPr>
          <w:rFonts w:ascii="Times New Roman" w:hAnsi="Times New Roman"/>
          <w:sz w:val="24"/>
        </w:rPr>
      </w:pPr>
      <w:r>
        <w:tab/>
        <w:t>1.21</w:t>
      </w:r>
      <w:r>
        <w:rPr>
          <w:rFonts w:ascii="Times New Roman" w:hAnsi="Times New Roman"/>
          <w:sz w:val="24"/>
        </w:rPr>
        <w:tab/>
      </w:r>
      <w:r>
        <w:rPr>
          <w:lang w:val="en-US"/>
        </w:rPr>
        <w:t>Installation, alteration and removal of low impact external doors and windows in buildings</w:t>
      </w:r>
      <w:r>
        <w:tab/>
      </w:r>
      <w:r>
        <w:fldChar w:fldCharType="begin"/>
      </w:r>
      <w:r>
        <w:instrText xml:space="preserve"> PAGEREF _Toc206921340 \h </w:instrText>
      </w:r>
      <w:r>
        <w:fldChar w:fldCharType="separate"/>
      </w:r>
      <w:r>
        <w:t>92</w:t>
      </w:r>
      <w:r>
        <w:fldChar w:fldCharType="end"/>
      </w:r>
    </w:p>
    <w:p w:rsidR="00BA29FF" w:rsidRDefault="00BA29FF">
      <w:pPr>
        <w:pStyle w:val="TOC5"/>
        <w:rPr>
          <w:rFonts w:ascii="Times New Roman" w:hAnsi="Times New Roman"/>
          <w:sz w:val="24"/>
        </w:rPr>
      </w:pPr>
      <w:r>
        <w:tab/>
        <w:t>1.21A</w:t>
      </w:r>
      <w:r>
        <w:rPr>
          <w:rFonts w:ascii="Times New Roman" w:hAnsi="Times New Roman"/>
          <w:sz w:val="24"/>
        </w:rPr>
        <w:tab/>
      </w:r>
      <w:r>
        <w:rPr>
          <w:lang w:val="en-US"/>
        </w:rPr>
        <w:t>Installation, alteration and removal of high impact external doors and windows in buildings</w:t>
      </w:r>
      <w:r>
        <w:tab/>
      </w:r>
      <w:r>
        <w:fldChar w:fldCharType="begin"/>
      </w:r>
      <w:r>
        <w:instrText xml:space="preserve"> PAGEREF _Toc206921341 \h </w:instrText>
      </w:r>
      <w:r>
        <w:fldChar w:fldCharType="separate"/>
      </w:r>
      <w:r>
        <w:t>93</w:t>
      </w:r>
      <w:r>
        <w:fldChar w:fldCharType="end"/>
      </w:r>
    </w:p>
    <w:p w:rsidR="00BA29FF" w:rsidRDefault="00BA29FF">
      <w:pPr>
        <w:pStyle w:val="TOC5"/>
        <w:rPr>
          <w:rFonts w:ascii="Times New Roman" w:hAnsi="Times New Roman"/>
          <w:sz w:val="24"/>
        </w:rPr>
      </w:pPr>
      <w:r>
        <w:tab/>
        <w:t>1.22</w:t>
      </w:r>
      <w:r>
        <w:rPr>
          <w:rFonts w:ascii="Times New Roman" w:hAnsi="Times New Roman"/>
          <w:sz w:val="24"/>
        </w:rPr>
        <w:tab/>
      </w:r>
      <w:r>
        <w:t>Exterior refinishing of buildings and structures</w:t>
      </w:r>
      <w:r>
        <w:tab/>
      </w:r>
      <w:r>
        <w:fldChar w:fldCharType="begin"/>
      </w:r>
      <w:r>
        <w:instrText xml:space="preserve"> PAGEREF _Toc206921342 \h </w:instrText>
      </w:r>
      <w:r>
        <w:fldChar w:fldCharType="separate"/>
      </w:r>
      <w:r>
        <w:t>95</w:t>
      </w:r>
      <w:r>
        <w:fldChar w:fldCharType="end"/>
      </w:r>
    </w:p>
    <w:p w:rsidR="00BA29FF" w:rsidRDefault="00BA29FF">
      <w:pPr>
        <w:pStyle w:val="TOC5"/>
        <w:rPr>
          <w:rFonts w:ascii="Times New Roman" w:hAnsi="Times New Roman"/>
          <w:sz w:val="24"/>
        </w:rPr>
      </w:pPr>
      <w:r>
        <w:tab/>
        <w:t>1.23</w:t>
      </w:r>
      <w:r>
        <w:rPr>
          <w:rFonts w:ascii="Times New Roman" w:hAnsi="Times New Roman"/>
          <w:sz w:val="24"/>
        </w:rPr>
        <w:tab/>
      </w:r>
      <w:r>
        <w:t>Maintenance of buildings and structures</w:t>
      </w:r>
      <w:r>
        <w:tab/>
      </w:r>
      <w:r>
        <w:fldChar w:fldCharType="begin"/>
      </w:r>
      <w:r>
        <w:instrText xml:space="preserve"> PAGEREF _Toc206921343 \h </w:instrText>
      </w:r>
      <w:r>
        <w:fldChar w:fldCharType="separate"/>
      </w:r>
      <w:r>
        <w:t>96</w:t>
      </w:r>
      <w:r>
        <w:fldChar w:fldCharType="end"/>
      </w:r>
    </w:p>
    <w:p w:rsidR="00BA29FF" w:rsidRDefault="00BA29FF">
      <w:pPr>
        <w:pStyle w:val="TOC5"/>
        <w:rPr>
          <w:rFonts w:ascii="Times New Roman" w:hAnsi="Times New Roman"/>
          <w:sz w:val="24"/>
        </w:rPr>
      </w:pPr>
      <w:r>
        <w:tab/>
        <w:t>1.24</w:t>
      </w:r>
      <w:r>
        <w:rPr>
          <w:rFonts w:ascii="Times New Roman" w:hAnsi="Times New Roman"/>
          <w:sz w:val="24"/>
        </w:rPr>
        <w:tab/>
      </w:r>
      <w:r>
        <w:t>Buildings—roof slope changes</w:t>
      </w:r>
      <w:r>
        <w:tab/>
      </w:r>
      <w:r>
        <w:fldChar w:fldCharType="begin"/>
      </w:r>
      <w:r>
        <w:instrText xml:space="preserve"> PAGEREF _Toc206921344 \h </w:instrText>
      </w:r>
      <w:r>
        <w:fldChar w:fldCharType="separate"/>
      </w:r>
      <w:r>
        <w:t>97</w:t>
      </w:r>
      <w:r>
        <w:fldChar w:fldCharType="end"/>
      </w:r>
    </w:p>
    <w:p w:rsidR="00BA29FF" w:rsidRDefault="00BA29FF">
      <w:pPr>
        <w:pStyle w:val="TOC5"/>
        <w:rPr>
          <w:rFonts w:ascii="Times New Roman" w:hAnsi="Times New Roman"/>
          <w:sz w:val="24"/>
        </w:rPr>
      </w:pPr>
      <w:r>
        <w:tab/>
        <w:t>1.25</w:t>
      </w:r>
      <w:r>
        <w:rPr>
          <w:rFonts w:ascii="Times New Roman" w:hAnsi="Times New Roman"/>
          <w:sz w:val="24"/>
        </w:rPr>
        <w:tab/>
      </w:r>
      <w:r>
        <w:t>Buildings—chimneys, flues and vents</w:t>
      </w:r>
      <w:r>
        <w:tab/>
      </w:r>
      <w:r>
        <w:fldChar w:fldCharType="begin"/>
      </w:r>
      <w:r>
        <w:instrText xml:space="preserve"> PAGEREF _Toc206921345 \h </w:instrText>
      </w:r>
      <w:r>
        <w:fldChar w:fldCharType="separate"/>
      </w:r>
      <w:r>
        <w:t>98</w:t>
      </w:r>
      <w:r>
        <w:fldChar w:fldCharType="end"/>
      </w:r>
    </w:p>
    <w:p w:rsidR="00BA29FF" w:rsidRDefault="00BA29FF">
      <w:pPr>
        <w:pStyle w:val="TOC5"/>
        <w:rPr>
          <w:rFonts w:ascii="Times New Roman" w:hAnsi="Times New Roman"/>
          <w:sz w:val="24"/>
          <w:szCs w:val="24"/>
        </w:rPr>
      </w:pPr>
      <w:r>
        <w:rPr>
          <w:szCs w:val="24"/>
        </w:rPr>
        <w:lastRenderedPageBreak/>
        <w:tab/>
        <w:t>1.26</w:t>
      </w:r>
      <w:r>
        <w:rPr>
          <w:rFonts w:ascii="Times New Roman" w:hAnsi="Times New Roman"/>
          <w:sz w:val="24"/>
          <w:szCs w:val="24"/>
        </w:rPr>
        <w:tab/>
      </w:r>
      <w:r>
        <w:rPr>
          <w:szCs w:val="24"/>
        </w:rPr>
        <w:t>Buildings—skylights</w:t>
      </w:r>
      <w:r>
        <w:tab/>
      </w:r>
      <w:r>
        <w:fldChar w:fldCharType="begin"/>
      </w:r>
      <w:r>
        <w:instrText xml:space="preserve"> PAGEREF _Toc206921346 \h </w:instrText>
      </w:r>
      <w:r>
        <w:fldChar w:fldCharType="separate"/>
      </w:r>
      <w:r>
        <w:t>98</w:t>
      </w:r>
      <w:r>
        <w:fldChar w:fldCharType="end"/>
      </w:r>
    </w:p>
    <w:p w:rsidR="00BA29FF" w:rsidRDefault="00BA29FF">
      <w:pPr>
        <w:pStyle w:val="TOC5"/>
        <w:rPr>
          <w:rFonts w:ascii="Times New Roman" w:hAnsi="Times New Roman"/>
          <w:sz w:val="24"/>
        </w:rPr>
      </w:pPr>
      <w:r>
        <w:tab/>
        <w:t>1.27</w:t>
      </w:r>
      <w:r>
        <w:rPr>
          <w:rFonts w:ascii="Times New Roman" w:hAnsi="Times New Roman"/>
          <w:sz w:val="24"/>
        </w:rPr>
        <w:tab/>
      </w:r>
      <w:r>
        <w:t>External photovoltaic panels, heaters and coolers</w:t>
      </w:r>
      <w:r>
        <w:tab/>
      </w:r>
      <w:r>
        <w:fldChar w:fldCharType="begin"/>
      </w:r>
      <w:r>
        <w:instrText xml:space="preserve"> PAGEREF _Toc206921347 \h </w:instrText>
      </w:r>
      <w:r>
        <w:fldChar w:fldCharType="separate"/>
      </w:r>
      <w:r>
        <w:t>99</w:t>
      </w:r>
      <w:r>
        <w:fldChar w:fldCharType="end"/>
      </w:r>
    </w:p>
    <w:p w:rsidR="00BA29FF" w:rsidRDefault="00BA29FF">
      <w:pPr>
        <w:pStyle w:val="TOC5"/>
        <w:rPr>
          <w:rFonts w:ascii="Times New Roman" w:hAnsi="Times New Roman"/>
          <w:sz w:val="24"/>
        </w:rPr>
      </w:pPr>
      <w:r>
        <w:tab/>
        <w:t>1.28</w:t>
      </w:r>
      <w:r>
        <w:rPr>
          <w:rFonts w:ascii="Times New Roman" w:hAnsi="Times New Roman"/>
          <w:sz w:val="24"/>
        </w:rPr>
        <w:tab/>
      </w:r>
      <w:r>
        <w:t>Buildings—external switchboards</w:t>
      </w:r>
      <w:r>
        <w:tab/>
      </w:r>
      <w:r>
        <w:fldChar w:fldCharType="begin"/>
      </w:r>
      <w:r>
        <w:instrText xml:space="preserve"> PAGEREF _Toc206921348 \h </w:instrText>
      </w:r>
      <w:r>
        <w:fldChar w:fldCharType="separate"/>
      </w:r>
      <w:r>
        <w:t>100</w:t>
      </w:r>
      <w:r>
        <w:fldChar w:fldCharType="end"/>
      </w:r>
    </w:p>
    <w:p w:rsidR="00BA29FF" w:rsidRDefault="00BA29FF">
      <w:pPr>
        <w:pStyle w:val="TOC5"/>
        <w:rPr>
          <w:rFonts w:ascii="Times New Roman" w:hAnsi="Times New Roman"/>
          <w:sz w:val="24"/>
        </w:rPr>
      </w:pPr>
      <w:r>
        <w:tab/>
        <w:t>1.29</w:t>
      </w:r>
      <w:r>
        <w:rPr>
          <w:rFonts w:ascii="Times New Roman" w:hAnsi="Times New Roman"/>
          <w:sz w:val="24"/>
        </w:rPr>
        <w:tab/>
      </w:r>
      <w:r>
        <w:t>Buildings—external area lighting</w:t>
      </w:r>
      <w:r>
        <w:tab/>
      </w:r>
      <w:r>
        <w:fldChar w:fldCharType="begin"/>
      </w:r>
      <w:r>
        <w:instrText xml:space="preserve"> PAGEREF _Toc206921349 \h </w:instrText>
      </w:r>
      <w:r>
        <w:fldChar w:fldCharType="separate"/>
      </w:r>
      <w:r>
        <w:t>100</w:t>
      </w:r>
      <w:r>
        <w:fldChar w:fldCharType="end"/>
      </w:r>
    </w:p>
    <w:p w:rsidR="00BA29FF" w:rsidRDefault="00BA29FF">
      <w:pPr>
        <w:pStyle w:val="TOC5"/>
        <w:rPr>
          <w:rFonts w:ascii="Times New Roman" w:hAnsi="Times New Roman"/>
          <w:sz w:val="24"/>
        </w:rPr>
      </w:pPr>
      <w:r>
        <w:tab/>
        <w:t>1.30</w:t>
      </w:r>
      <w:r>
        <w:rPr>
          <w:rFonts w:ascii="Times New Roman" w:hAnsi="Times New Roman"/>
          <w:sz w:val="24"/>
        </w:rPr>
        <w:tab/>
      </w:r>
      <w:r>
        <w:t>Residential leases—driveway crossings of road verges</w:t>
      </w:r>
      <w:r>
        <w:tab/>
      </w:r>
      <w:r>
        <w:fldChar w:fldCharType="begin"/>
      </w:r>
      <w:r>
        <w:instrText xml:space="preserve"> PAGEREF _Toc206921350 \h </w:instrText>
      </w:r>
      <w:r>
        <w:fldChar w:fldCharType="separate"/>
      </w:r>
      <w:r>
        <w:t>100</w:t>
      </w:r>
      <w:r>
        <w:fldChar w:fldCharType="end"/>
      </w:r>
    </w:p>
    <w:p w:rsidR="00BA29FF" w:rsidRDefault="00BA29FF">
      <w:pPr>
        <w:pStyle w:val="TOC5"/>
        <w:rPr>
          <w:rFonts w:ascii="Times New Roman" w:hAnsi="Times New Roman"/>
          <w:sz w:val="24"/>
        </w:rPr>
      </w:pPr>
      <w:r>
        <w:tab/>
        <w:t>1.31</w:t>
      </w:r>
      <w:r>
        <w:rPr>
          <w:rFonts w:ascii="Times New Roman" w:hAnsi="Times New Roman"/>
          <w:sz w:val="24"/>
        </w:rPr>
        <w:tab/>
      </w:r>
      <w:r>
        <w:t>Temporary buildings and structures</w:t>
      </w:r>
      <w:r>
        <w:tab/>
      </w:r>
      <w:r>
        <w:fldChar w:fldCharType="begin"/>
      </w:r>
      <w:r>
        <w:instrText xml:space="preserve"> PAGEREF _Toc206921351 \h </w:instrText>
      </w:r>
      <w:r>
        <w:fldChar w:fldCharType="separate"/>
      </w:r>
      <w:r>
        <w:t>101</w:t>
      </w:r>
      <w:r>
        <w:fldChar w:fldCharType="end"/>
      </w:r>
    </w:p>
    <w:p w:rsidR="00BA29FF" w:rsidRDefault="00BA29FF">
      <w:pPr>
        <w:pStyle w:val="TOC3"/>
        <w:rPr>
          <w:rFonts w:ascii="Times New Roman" w:hAnsi="Times New Roman"/>
          <w:b w:val="0"/>
          <w:sz w:val="24"/>
          <w:szCs w:val="24"/>
        </w:rPr>
      </w:pPr>
      <w:r>
        <w:t>Division 1.3.2</w:t>
      </w:r>
      <w:r>
        <w:rPr>
          <w:rFonts w:ascii="Times New Roman" w:hAnsi="Times New Roman"/>
          <w:b w:val="0"/>
          <w:sz w:val="24"/>
          <w:szCs w:val="24"/>
        </w:rPr>
        <w:tab/>
      </w:r>
      <w:r>
        <w:t>Exempt developments—non-habitable buildings and structures</w:t>
      </w:r>
    </w:p>
    <w:p w:rsidR="00BA29FF" w:rsidRDefault="00BA29FF">
      <w:pPr>
        <w:pStyle w:val="TOC4"/>
        <w:rPr>
          <w:rFonts w:ascii="Times New Roman" w:hAnsi="Times New Roman"/>
          <w:b w:val="0"/>
          <w:sz w:val="24"/>
          <w:szCs w:val="24"/>
        </w:rPr>
      </w:pPr>
      <w:r>
        <w:t>Subdivision 1.3.2.1</w:t>
      </w:r>
      <w:r>
        <w:rPr>
          <w:rFonts w:ascii="Times New Roman" w:hAnsi="Times New Roman"/>
          <w:b w:val="0"/>
          <w:sz w:val="24"/>
          <w:szCs w:val="24"/>
        </w:rPr>
        <w:tab/>
      </w:r>
      <w:r>
        <w:t>Preliminary</w:t>
      </w:r>
    </w:p>
    <w:p w:rsidR="00BA29FF" w:rsidRDefault="00BA29FF">
      <w:pPr>
        <w:pStyle w:val="TOC5"/>
        <w:rPr>
          <w:rFonts w:ascii="Times New Roman" w:hAnsi="Times New Roman"/>
          <w:sz w:val="24"/>
        </w:rPr>
      </w:pPr>
      <w:r>
        <w:tab/>
        <w:t>1.40</w:t>
      </w:r>
      <w:r>
        <w:rPr>
          <w:rFonts w:ascii="Times New Roman" w:hAnsi="Times New Roman"/>
          <w:sz w:val="24"/>
        </w:rPr>
        <w:tab/>
      </w:r>
      <w:r>
        <w:t xml:space="preserve">Meaning of </w:t>
      </w:r>
      <w:r>
        <w:rPr>
          <w:i/>
          <w:iCs/>
        </w:rPr>
        <w:t>class 10a building</w:t>
      </w:r>
      <w:r>
        <w:t>—div 1.3.2</w:t>
      </w:r>
      <w:r>
        <w:tab/>
      </w:r>
      <w:r>
        <w:fldChar w:fldCharType="begin"/>
      </w:r>
      <w:r>
        <w:instrText xml:space="preserve"> PAGEREF _Toc206921354 \h </w:instrText>
      </w:r>
      <w:r>
        <w:fldChar w:fldCharType="separate"/>
      </w:r>
      <w:r>
        <w:t>102</w:t>
      </w:r>
      <w:r>
        <w:fldChar w:fldCharType="end"/>
      </w:r>
    </w:p>
    <w:p w:rsidR="00BA29FF" w:rsidRDefault="00BA29FF">
      <w:pPr>
        <w:pStyle w:val="TOC5"/>
        <w:rPr>
          <w:rFonts w:ascii="Times New Roman" w:hAnsi="Times New Roman"/>
          <w:sz w:val="24"/>
        </w:rPr>
      </w:pPr>
      <w:r>
        <w:tab/>
        <w:t>1.41</w:t>
      </w:r>
      <w:r>
        <w:rPr>
          <w:rFonts w:ascii="Times New Roman" w:hAnsi="Times New Roman"/>
          <w:sz w:val="24"/>
        </w:rPr>
        <w:tab/>
      </w:r>
      <w:r>
        <w:t>Class 10 buildings and structures—2nd exempt building or structure within boundary clearance area</w:t>
      </w:r>
      <w:r>
        <w:tab/>
      </w:r>
      <w:r>
        <w:fldChar w:fldCharType="begin"/>
      </w:r>
      <w:r>
        <w:instrText xml:space="preserve"> PAGEREF _Toc206921355 \h </w:instrText>
      </w:r>
      <w:r>
        <w:fldChar w:fldCharType="separate"/>
      </w:r>
      <w:r>
        <w:t>103</w:t>
      </w:r>
      <w:r>
        <w:fldChar w:fldCharType="end"/>
      </w:r>
    </w:p>
    <w:p w:rsidR="00BA29FF" w:rsidRDefault="00BA29FF">
      <w:pPr>
        <w:pStyle w:val="TOC4"/>
        <w:rPr>
          <w:rFonts w:ascii="Times New Roman" w:hAnsi="Times New Roman"/>
          <w:b w:val="0"/>
          <w:sz w:val="24"/>
          <w:szCs w:val="24"/>
        </w:rPr>
      </w:pPr>
      <w:r>
        <w:t>Subdivision 1.3.2.2</w:t>
      </w:r>
      <w:r>
        <w:rPr>
          <w:rFonts w:ascii="Times New Roman" w:hAnsi="Times New Roman"/>
          <w:b w:val="0"/>
          <w:sz w:val="24"/>
          <w:szCs w:val="24"/>
        </w:rPr>
        <w:tab/>
      </w:r>
      <w:r>
        <w:t>Class 10a buildings</w:t>
      </w:r>
    </w:p>
    <w:p w:rsidR="00BA29FF" w:rsidRDefault="00BA29FF">
      <w:pPr>
        <w:pStyle w:val="TOC5"/>
        <w:rPr>
          <w:rFonts w:ascii="Times New Roman" w:hAnsi="Times New Roman"/>
          <w:sz w:val="24"/>
        </w:rPr>
      </w:pPr>
      <w:r>
        <w:tab/>
        <w:t>1.45</w:t>
      </w:r>
      <w:r>
        <w:rPr>
          <w:rFonts w:ascii="Times New Roman" w:hAnsi="Times New Roman"/>
          <w:sz w:val="24"/>
        </w:rPr>
        <w:tab/>
      </w:r>
      <w:r>
        <w:t>Roofed class 10a buildings—enclosed or open on 1 side</w:t>
      </w:r>
      <w:r>
        <w:tab/>
      </w:r>
      <w:r>
        <w:fldChar w:fldCharType="begin"/>
      </w:r>
      <w:r>
        <w:instrText xml:space="preserve"> PAGEREF _Toc206921357 \h </w:instrText>
      </w:r>
      <w:r>
        <w:fldChar w:fldCharType="separate"/>
      </w:r>
      <w:r>
        <w:t>105</w:t>
      </w:r>
      <w:r>
        <w:fldChar w:fldCharType="end"/>
      </w:r>
    </w:p>
    <w:p w:rsidR="00BA29FF" w:rsidRDefault="00BA29FF">
      <w:pPr>
        <w:pStyle w:val="TOC5"/>
        <w:rPr>
          <w:rFonts w:ascii="Times New Roman" w:hAnsi="Times New Roman"/>
          <w:sz w:val="24"/>
        </w:rPr>
      </w:pPr>
      <w:r>
        <w:tab/>
        <w:t>1.46</w:t>
      </w:r>
      <w:r>
        <w:rPr>
          <w:rFonts w:ascii="Times New Roman" w:hAnsi="Times New Roman"/>
          <w:sz w:val="24"/>
        </w:rPr>
        <w:tab/>
      </w:r>
      <w:r>
        <w:t>Roofed class 10a buildings—unenclosed or partially open</w:t>
      </w:r>
      <w:r>
        <w:tab/>
      </w:r>
      <w:r>
        <w:fldChar w:fldCharType="begin"/>
      </w:r>
      <w:r>
        <w:instrText xml:space="preserve"> PAGEREF _Toc206921358 \h </w:instrText>
      </w:r>
      <w:r>
        <w:fldChar w:fldCharType="separate"/>
      </w:r>
      <w:r>
        <w:t>106</w:t>
      </w:r>
      <w:r>
        <w:fldChar w:fldCharType="end"/>
      </w:r>
    </w:p>
    <w:p w:rsidR="00BA29FF" w:rsidRDefault="00BA29FF">
      <w:pPr>
        <w:pStyle w:val="TOC5"/>
        <w:rPr>
          <w:rFonts w:ascii="Times New Roman" w:hAnsi="Times New Roman"/>
          <w:sz w:val="24"/>
        </w:rPr>
      </w:pPr>
      <w:r>
        <w:tab/>
        <w:t>1.47</w:t>
      </w:r>
      <w:r>
        <w:rPr>
          <w:rFonts w:ascii="Times New Roman" w:hAnsi="Times New Roman"/>
          <w:sz w:val="24"/>
        </w:rPr>
        <w:tab/>
      </w:r>
      <w:r>
        <w:t>Class 10a buildings—unroofed and unenclosed</w:t>
      </w:r>
      <w:r>
        <w:tab/>
      </w:r>
      <w:r>
        <w:fldChar w:fldCharType="begin"/>
      </w:r>
      <w:r>
        <w:instrText xml:space="preserve"> PAGEREF _Toc206921359 \h </w:instrText>
      </w:r>
      <w:r>
        <w:fldChar w:fldCharType="separate"/>
      </w:r>
      <w:r>
        <w:t>108</w:t>
      </w:r>
      <w:r>
        <w:fldChar w:fldCharType="end"/>
      </w:r>
    </w:p>
    <w:p w:rsidR="00BA29FF" w:rsidRDefault="00BA29FF">
      <w:pPr>
        <w:pStyle w:val="TOC5"/>
        <w:rPr>
          <w:rFonts w:ascii="Times New Roman" w:hAnsi="Times New Roman"/>
          <w:sz w:val="24"/>
        </w:rPr>
      </w:pPr>
      <w:r>
        <w:tab/>
        <w:t>1.48</w:t>
      </w:r>
      <w:r>
        <w:rPr>
          <w:rFonts w:ascii="Times New Roman" w:hAnsi="Times New Roman"/>
          <w:sz w:val="24"/>
        </w:rPr>
        <w:tab/>
      </w:r>
      <w:r>
        <w:t>Class 10a buildings—external decks</w:t>
      </w:r>
      <w:r>
        <w:tab/>
      </w:r>
      <w:r>
        <w:fldChar w:fldCharType="begin"/>
      </w:r>
      <w:r>
        <w:instrText xml:space="preserve"> PAGEREF _Toc206921360 \h </w:instrText>
      </w:r>
      <w:r>
        <w:fldChar w:fldCharType="separate"/>
      </w:r>
      <w:r>
        <w:t>109</w:t>
      </w:r>
      <w:r>
        <w:fldChar w:fldCharType="end"/>
      </w:r>
    </w:p>
    <w:p w:rsidR="00BA29FF" w:rsidRDefault="00BA29FF">
      <w:pPr>
        <w:pStyle w:val="TOC5"/>
        <w:rPr>
          <w:rFonts w:ascii="Times New Roman" w:hAnsi="Times New Roman"/>
          <w:sz w:val="24"/>
        </w:rPr>
      </w:pPr>
      <w:r>
        <w:tab/>
        <w:t>1.49</w:t>
      </w:r>
      <w:r>
        <w:rPr>
          <w:rFonts w:ascii="Times New Roman" w:hAnsi="Times New Roman"/>
          <w:sz w:val="24"/>
        </w:rPr>
        <w:tab/>
      </w:r>
      <w:r>
        <w:t>Class 10a buildings—external verandahs</w:t>
      </w:r>
      <w:r>
        <w:tab/>
      </w:r>
      <w:r>
        <w:fldChar w:fldCharType="begin"/>
      </w:r>
      <w:r>
        <w:instrText xml:space="preserve"> PAGEREF _Toc206921361 \h </w:instrText>
      </w:r>
      <w:r>
        <w:fldChar w:fldCharType="separate"/>
      </w:r>
      <w:r>
        <w:t>110</w:t>
      </w:r>
      <w:r>
        <w:fldChar w:fldCharType="end"/>
      </w:r>
    </w:p>
    <w:p w:rsidR="00BA29FF" w:rsidRDefault="00BA29FF">
      <w:pPr>
        <w:pStyle w:val="TOC4"/>
        <w:rPr>
          <w:rFonts w:ascii="Times New Roman" w:hAnsi="Times New Roman"/>
          <w:b w:val="0"/>
          <w:sz w:val="24"/>
          <w:szCs w:val="24"/>
        </w:rPr>
      </w:pPr>
      <w:r>
        <w:t>Subdivision 1.3.2.3</w:t>
      </w:r>
      <w:r>
        <w:rPr>
          <w:rFonts w:ascii="Times New Roman" w:hAnsi="Times New Roman"/>
          <w:b w:val="0"/>
          <w:sz w:val="24"/>
          <w:szCs w:val="24"/>
        </w:rPr>
        <w:tab/>
      </w:r>
      <w:r>
        <w:t>Class 10b structures</w:t>
      </w:r>
    </w:p>
    <w:p w:rsidR="00BA29FF" w:rsidRDefault="00BA29FF">
      <w:pPr>
        <w:pStyle w:val="TOC5"/>
        <w:rPr>
          <w:rFonts w:ascii="Times New Roman" w:hAnsi="Times New Roman"/>
          <w:sz w:val="24"/>
        </w:rPr>
      </w:pPr>
      <w:r>
        <w:tab/>
        <w:t>1.50</w:t>
      </w:r>
      <w:r>
        <w:rPr>
          <w:rFonts w:ascii="Times New Roman" w:hAnsi="Times New Roman"/>
          <w:sz w:val="24"/>
        </w:rPr>
        <w:tab/>
      </w:r>
      <w:r>
        <w:t>Class 10b structures—plan area not more than 2m</w:t>
      </w:r>
      <w:r>
        <w:rPr>
          <w:vertAlign w:val="superscript"/>
        </w:rPr>
        <w:t>2</w:t>
      </w:r>
      <w:r>
        <w:tab/>
      </w:r>
      <w:r>
        <w:fldChar w:fldCharType="begin"/>
      </w:r>
      <w:r>
        <w:instrText xml:space="preserve"> PAGEREF _Toc206921363 \h </w:instrText>
      </w:r>
      <w:r>
        <w:fldChar w:fldCharType="separate"/>
      </w:r>
      <w:r>
        <w:t>111</w:t>
      </w:r>
      <w:r>
        <w:fldChar w:fldCharType="end"/>
      </w:r>
    </w:p>
    <w:p w:rsidR="00BA29FF" w:rsidRDefault="00BA29FF">
      <w:pPr>
        <w:pStyle w:val="TOC5"/>
        <w:rPr>
          <w:rFonts w:ascii="Times New Roman" w:hAnsi="Times New Roman"/>
          <w:sz w:val="24"/>
        </w:rPr>
      </w:pPr>
      <w:r>
        <w:tab/>
        <w:t>1.51</w:t>
      </w:r>
      <w:r>
        <w:rPr>
          <w:rFonts w:ascii="Times New Roman" w:hAnsi="Times New Roman"/>
          <w:sz w:val="24"/>
        </w:rPr>
        <w:tab/>
      </w:r>
      <w:r>
        <w:t>Fences and freestanding walls generally</w:t>
      </w:r>
      <w:r>
        <w:tab/>
      </w:r>
      <w:r>
        <w:fldChar w:fldCharType="begin"/>
      </w:r>
      <w:r>
        <w:instrText xml:space="preserve"> PAGEREF _Toc206921364 \h </w:instrText>
      </w:r>
      <w:r>
        <w:fldChar w:fldCharType="separate"/>
      </w:r>
      <w:r>
        <w:t>112</w:t>
      </w:r>
      <w:r>
        <w:fldChar w:fldCharType="end"/>
      </w:r>
    </w:p>
    <w:p w:rsidR="00BA29FF" w:rsidRDefault="00BA29FF">
      <w:pPr>
        <w:pStyle w:val="TOC5"/>
        <w:rPr>
          <w:rFonts w:ascii="Times New Roman" w:hAnsi="Times New Roman"/>
          <w:sz w:val="24"/>
        </w:rPr>
      </w:pPr>
      <w:r>
        <w:tab/>
        <w:t>1.52</w:t>
      </w:r>
      <w:r>
        <w:rPr>
          <w:rFonts w:ascii="Times New Roman" w:hAnsi="Times New Roman"/>
          <w:sz w:val="24"/>
        </w:rPr>
        <w:tab/>
      </w:r>
      <w:r>
        <w:t>Basic open space boundary fences</w:t>
      </w:r>
      <w:r>
        <w:tab/>
      </w:r>
      <w:r>
        <w:fldChar w:fldCharType="begin"/>
      </w:r>
      <w:r>
        <w:instrText xml:space="preserve"> PAGEREF _Toc206921365 \h </w:instrText>
      </w:r>
      <w:r>
        <w:fldChar w:fldCharType="separate"/>
      </w:r>
      <w:r>
        <w:t>113</w:t>
      </w:r>
      <w:r>
        <w:fldChar w:fldCharType="end"/>
      </w:r>
    </w:p>
    <w:p w:rsidR="00BA29FF" w:rsidRDefault="00BA29FF">
      <w:pPr>
        <w:pStyle w:val="TOC5"/>
        <w:rPr>
          <w:rFonts w:ascii="Times New Roman" w:hAnsi="Times New Roman"/>
          <w:sz w:val="24"/>
          <w:szCs w:val="24"/>
        </w:rPr>
      </w:pPr>
      <w:r>
        <w:rPr>
          <w:szCs w:val="24"/>
        </w:rPr>
        <w:tab/>
        <w:t>1.53</w:t>
      </w:r>
      <w:r>
        <w:rPr>
          <w:rFonts w:ascii="Times New Roman" w:hAnsi="Times New Roman"/>
          <w:sz w:val="24"/>
          <w:szCs w:val="24"/>
        </w:rPr>
        <w:tab/>
      </w:r>
      <w:r>
        <w:rPr>
          <w:szCs w:val="24"/>
        </w:rPr>
        <w:t>Retaining walls</w:t>
      </w:r>
      <w:r>
        <w:tab/>
      </w:r>
      <w:r>
        <w:fldChar w:fldCharType="begin"/>
      </w:r>
      <w:r>
        <w:instrText xml:space="preserve"> PAGEREF _Toc206921366 \h </w:instrText>
      </w:r>
      <w:r>
        <w:fldChar w:fldCharType="separate"/>
      </w:r>
      <w:r>
        <w:t>115</w:t>
      </w:r>
      <w:r>
        <w:fldChar w:fldCharType="end"/>
      </w:r>
    </w:p>
    <w:p w:rsidR="00BA29FF" w:rsidRDefault="00BA29FF">
      <w:pPr>
        <w:pStyle w:val="TOC5"/>
        <w:rPr>
          <w:rFonts w:ascii="Times New Roman" w:hAnsi="Times New Roman"/>
          <w:sz w:val="24"/>
          <w:szCs w:val="24"/>
        </w:rPr>
      </w:pPr>
      <w:r>
        <w:rPr>
          <w:szCs w:val="24"/>
        </w:rPr>
        <w:tab/>
        <w:t>1.54</w:t>
      </w:r>
      <w:r>
        <w:rPr>
          <w:rFonts w:ascii="Times New Roman" w:hAnsi="Times New Roman"/>
          <w:sz w:val="24"/>
          <w:szCs w:val="24"/>
        </w:rPr>
        <w:tab/>
      </w:r>
      <w:r>
        <w:rPr>
          <w:szCs w:val="24"/>
        </w:rPr>
        <w:t>Swimming pools</w:t>
      </w:r>
      <w:r>
        <w:tab/>
      </w:r>
      <w:r>
        <w:fldChar w:fldCharType="begin"/>
      </w:r>
      <w:r>
        <w:instrText xml:space="preserve"> PAGEREF _Toc206921367 \h </w:instrText>
      </w:r>
      <w:r>
        <w:fldChar w:fldCharType="separate"/>
      </w:r>
      <w:r>
        <w:t>117</w:t>
      </w:r>
      <w:r>
        <w:fldChar w:fldCharType="end"/>
      </w:r>
    </w:p>
    <w:p w:rsidR="00BA29FF" w:rsidRDefault="00BA29FF">
      <w:pPr>
        <w:pStyle w:val="TOC5"/>
        <w:rPr>
          <w:rFonts w:ascii="Times New Roman" w:hAnsi="Times New Roman"/>
          <w:sz w:val="24"/>
          <w:szCs w:val="24"/>
        </w:rPr>
      </w:pPr>
      <w:r>
        <w:rPr>
          <w:szCs w:val="24"/>
        </w:rPr>
        <w:tab/>
        <w:t>1.55</w:t>
      </w:r>
      <w:r>
        <w:rPr>
          <w:rFonts w:ascii="Times New Roman" w:hAnsi="Times New Roman"/>
          <w:sz w:val="24"/>
          <w:szCs w:val="24"/>
        </w:rPr>
        <w:tab/>
      </w:r>
      <w:r>
        <w:rPr>
          <w:szCs w:val="24"/>
        </w:rPr>
        <w:t>Water tanks</w:t>
      </w:r>
      <w:r>
        <w:tab/>
      </w:r>
      <w:r>
        <w:fldChar w:fldCharType="begin"/>
      </w:r>
      <w:r>
        <w:instrText xml:space="preserve"> PAGEREF _Toc206921368 \h </w:instrText>
      </w:r>
      <w:r>
        <w:fldChar w:fldCharType="separate"/>
      </w:r>
      <w:r>
        <w:t>118</w:t>
      </w:r>
      <w:r>
        <w:fldChar w:fldCharType="end"/>
      </w:r>
    </w:p>
    <w:p w:rsidR="00BA29FF" w:rsidRDefault="00BA29FF">
      <w:pPr>
        <w:pStyle w:val="TOC5"/>
        <w:rPr>
          <w:rFonts w:ascii="Times New Roman" w:hAnsi="Times New Roman"/>
          <w:sz w:val="24"/>
          <w:szCs w:val="24"/>
        </w:rPr>
      </w:pPr>
      <w:r>
        <w:rPr>
          <w:szCs w:val="24"/>
        </w:rPr>
        <w:tab/>
        <w:t>1.56</w:t>
      </w:r>
      <w:r>
        <w:rPr>
          <w:rFonts w:ascii="Times New Roman" w:hAnsi="Times New Roman"/>
          <w:sz w:val="24"/>
          <w:szCs w:val="24"/>
        </w:rPr>
        <w:tab/>
      </w:r>
      <w:r>
        <w:rPr>
          <w:szCs w:val="24"/>
        </w:rPr>
        <w:t>External ponds</w:t>
      </w:r>
      <w:r>
        <w:tab/>
      </w:r>
      <w:r>
        <w:fldChar w:fldCharType="begin"/>
      </w:r>
      <w:r>
        <w:instrText xml:space="preserve"> PAGEREF _Toc206921369 \h </w:instrText>
      </w:r>
      <w:r>
        <w:fldChar w:fldCharType="separate"/>
      </w:r>
      <w:r>
        <w:t>119</w:t>
      </w:r>
      <w:r>
        <w:fldChar w:fldCharType="end"/>
      </w:r>
    </w:p>
    <w:p w:rsidR="00BA29FF" w:rsidRDefault="00BA29FF">
      <w:pPr>
        <w:pStyle w:val="TOC5"/>
        <w:rPr>
          <w:rFonts w:ascii="Times New Roman" w:hAnsi="Times New Roman"/>
          <w:sz w:val="24"/>
          <w:szCs w:val="24"/>
        </w:rPr>
      </w:pPr>
      <w:r>
        <w:rPr>
          <w:szCs w:val="24"/>
        </w:rPr>
        <w:tab/>
        <w:t>1.57</w:t>
      </w:r>
      <w:r>
        <w:rPr>
          <w:rFonts w:ascii="Times New Roman" w:hAnsi="Times New Roman"/>
          <w:sz w:val="24"/>
          <w:szCs w:val="24"/>
        </w:rPr>
        <w:tab/>
      </w:r>
      <w:r>
        <w:rPr>
          <w:szCs w:val="24"/>
        </w:rPr>
        <w:t>Animal enclosures</w:t>
      </w:r>
      <w:r>
        <w:tab/>
      </w:r>
      <w:r>
        <w:fldChar w:fldCharType="begin"/>
      </w:r>
      <w:r>
        <w:instrText xml:space="preserve"> PAGEREF _Toc206921370 \h </w:instrText>
      </w:r>
      <w:r>
        <w:fldChar w:fldCharType="separate"/>
      </w:r>
      <w:r>
        <w:t>119</w:t>
      </w:r>
      <w:r>
        <w:fldChar w:fldCharType="end"/>
      </w:r>
    </w:p>
    <w:p w:rsidR="00BA29FF" w:rsidRDefault="00BA29FF">
      <w:pPr>
        <w:pStyle w:val="TOC5"/>
        <w:rPr>
          <w:rFonts w:ascii="Times New Roman" w:hAnsi="Times New Roman"/>
          <w:sz w:val="24"/>
          <w:szCs w:val="24"/>
        </w:rPr>
      </w:pPr>
      <w:r>
        <w:rPr>
          <w:szCs w:val="24"/>
        </w:rPr>
        <w:tab/>
        <w:t>1.58</w:t>
      </w:r>
      <w:r>
        <w:rPr>
          <w:rFonts w:ascii="Times New Roman" w:hAnsi="Times New Roman"/>
          <w:sz w:val="24"/>
          <w:szCs w:val="24"/>
        </w:rPr>
        <w:tab/>
      </w:r>
      <w:r>
        <w:rPr>
          <w:szCs w:val="24"/>
        </w:rPr>
        <w:t>Clothes lines</w:t>
      </w:r>
      <w:r>
        <w:tab/>
      </w:r>
      <w:r>
        <w:fldChar w:fldCharType="begin"/>
      </w:r>
      <w:r>
        <w:instrText xml:space="preserve"> PAGEREF _Toc206921371 \h </w:instrText>
      </w:r>
      <w:r>
        <w:fldChar w:fldCharType="separate"/>
      </w:r>
      <w:r>
        <w:t>121</w:t>
      </w:r>
      <w:r>
        <w:fldChar w:fldCharType="end"/>
      </w:r>
    </w:p>
    <w:p w:rsidR="00BA29FF" w:rsidRDefault="00BA29FF">
      <w:pPr>
        <w:pStyle w:val="TOC5"/>
        <w:rPr>
          <w:rFonts w:ascii="Times New Roman" w:hAnsi="Times New Roman"/>
          <w:sz w:val="24"/>
          <w:szCs w:val="24"/>
        </w:rPr>
      </w:pPr>
      <w:r>
        <w:rPr>
          <w:szCs w:val="24"/>
        </w:rPr>
        <w:tab/>
        <w:t>1.59</w:t>
      </w:r>
      <w:r>
        <w:rPr>
          <w:rFonts w:ascii="Times New Roman" w:hAnsi="Times New Roman"/>
          <w:sz w:val="24"/>
          <w:szCs w:val="24"/>
        </w:rPr>
        <w:tab/>
      </w:r>
      <w:r>
        <w:rPr>
          <w:szCs w:val="24"/>
        </w:rPr>
        <w:t>Dish antennas</w:t>
      </w:r>
      <w:r>
        <w:tab/>
      </w:r>
      <w:r>
        <w:fldChar w:fldCharType="begin"/>
      </w:r>
      <w:r>
        <w:instrText xml:space="preserve"> PAGEREF _Toc206921372 \h </w:instrText>
      </w:r>
      <w:r>
        <w:fldChar w:fldCharType="separate"/>
      </w:r>
      <w:r>
        <w:t>122</w:t>
      </w:r>
      <w:r>
        <w:fldChar w:fldCharType="end"/>
      </w:r>
    </w:p>
    <w:p w:rsidR="00BA29FF" w:rsidRDefault="00BA29FF">
      <w:pPr>
        <w:pStyle w:val="TOC5"/>
        <w:rPr>
          <w:rFonts w:ascii="Times New Roman" w:hAnsi="Times New Roman"/>
          <w:sz w:val="24"/>
          <w:szCs w:val="24"/>
        </w:rPr>
      </w:pPr>
      <w:r>
        <w:rPr>
          <w:szCs w:val="24"/>
        </w:rPr>
        <w:tab/>
        <w:t>1.60</w:t>
      </w:r>
      <w:r>
        <w:rPr>
          <w:rFonts w:ascii="Times New Roman" w:hAnsi="Times New Roman"/>
          <w:sz w:val="24"/>
          <w:szCs w:val="24"/>
        </w:rPr>
        <w:tab/>
      </w:r>
      <w:r>
        <w:rPr>
          <w:szCs w:val="24"/>
        </w:rPr>
        <w:t>Mast antennas</w:t>
      </w:r>
      <w:r>
        <w:tab/>
      </w:r>
      <w:r>
        <w:fldChar w:fldCharType="begin"/>
      </w:r>
      <w:r>
        <w:instrText xml:space="preserve"> PAGEREF _Toc206921373 \h </w:instrText>
      </w:r>
      <w:r>
        <w:fldChar w:fldCharType="separate"/>
      </w:r>
      <w:r>
        <w:t>123</w:t>
      </w:r>
      <w:r>
        <w:fldChar w:fldCharType="end"/>
      </w:r>
    </w:p>
    <w:p w:rsidR="00BA29FF" w:rsidRDefault="00BA29FF">
      <w:pPr>
        <w:pStyle w:val="TOC8"/>
        <w:rPr>
          <w:rFonts w:ascii="Times New Roman" w:hAnsi="Times New Roman"/>
          <w:b w:val="0"/>
          <w:sz w:val="24"/>
          <w:szCs w:val="24"/>
        </w:rPr>
      </w:pPr>
      <w:r>
        <w:rPr>
          <w:szCs w:val="28"/>
        </w:rPr>
        <w:t>Division 1.3.3</w:t>
      </w:r>
      <w:r>
        <w:rPr>
          <w:rFonts w:ascii="Times New Roman" w:hAnsi="Times New Roman"/>
          <w:b w:val="0"/>
          <w:sz w:val="24"/>
          <w:szCs w:val="24"/>
        </w:rPr>
        <w:tab/>
      </w:r>
      <w:r>
        <w:rPr>
          <w:szCs w:val="28"/>
        </w:rPr>
        <w:t>Exempt developments—signs</w:t>
      </w:r>
      <w:r>
        <w:tab/>
      </w:r>
      <w:r>
        <w:rPr>
          <w:b w:val="0"/>
        </w:rPr>
        <w:fldChar w:fldCharType="begin"/>
      </w:r>
      <w:r>
        <w:rPr>
          <w:b w:val="0"/>
        </w:rPr>
        <w:instrText xml:space="preserve"> PAGEREF _Toc206921374 \h </w:instrText>
      </w:r>
      <w:r>
        <w:rPr>
          <w:b w:val="0"/>
        </w:rPr>
      </w:r>
      <w:r>
        <w:rPr>
          <w:b w:val="0"/>
        </w:rPr>
        <w:fldChar w:fldCharType="separate"/>
      </w:r>
      <w:r>
        <w:rPr>
          <w:b w:val="0"/>
        </w:rPr>
        <w:t>125</w:t>
      </w:r>
      <w:r>
        <w:rPr>
          <w:b w:val="0"/>
        </w:rPr>
        <w:fldChar w:fldCharType="end"/>
      </w:r>
    </w:p>
    <w:p w:rsidR="00BA29FF" w:rsidRDefault="00BA29FF">
      <w:pPr>
        <w:pStyle w:val="TOC5"/>
        <w:rPr>
          <w:rFonts w:ascii="Times New Roman" w:hAnsi="Times New Roman"/>
          <w:sz w:val="24"/>
        </w:rPr>
      </w:pPr>
      <w:r>
        <w:tab/>
        <w:t>1.65</w:t>
      </w:r>
      <w:r>
        <w:rPr>
          <w:rFonts w:ascii="Times New Roman" w:hAnsi="Times New Roman"/>
          <w:sz w:val="24"/>
        </w:rPr>
        <w:tab/>
      </w:r>
      <w:r>
        <w:t>Minor public works signs excluded—div 1.3.3</w:t>
      </w:r>
      <w:r>
        <w:tab/>
      </w:r>
      <w:r>
        <w:fldChar w:fldCharType="begin"/>
      </w:r>
      <w:r>
        <w:instrText xml:space="preserve"> PAGEREF _Toc206921375 \h </w:instrText>
      </w:r>
      <w:r>
        <w:fldChar w:fldCharType="separate"/>
      </w:r>
      <w:r>
        <w:t>125</w:t>
      </w:r>
      <w:r>
        <w:fldChar w:fldCharType="end"/>
      </w:r>
    </w:p>
    <w:p w:rsidR="00BA29FF" w:rsidRDefault="00BA29FF">
      <w:pPr>
        <w:pStyle w:val="TOC5"/>
        <w:rPr>
          <w:rFonts w:ascii="Times New Roman" w:hAnsi="Times New Roman"/>
          <w:sz w:val="24"/>
        </w:rPr>
      </w:pPr>
      <w:r>
        <w:tab/>
        <w:t>1.66</w:t>
      </w:r>
      <w:r>
        <w:rPr>
          <w:rFonts w:ascii="Times New Roman" w:hAnsi="Times New Roman"/>
          <w:sz w:val="24"/>
        </w:rPr>
        <w:tab/>
      </w:r>
      <w:r>
        <w:t xml:space="preserve">Meaning of </w:t>
      </w:r>
      <w:r>
        <w:rPr>
          <w:i/>
          <w:iCs/>
        </w:rPr>
        <w:t>prescribed general exemption criteria</w:t>
      </w:r>
      <w:r>
        <w:t>—div 1.3.3</w:t>
      </w:r>
      <w:r>
        <w:tab/>
      </w:r>
      <w:r>
        <w:fldChar w:fldCharType="begin"/>
      </w:r>
      <w:r>
        <w:instrText xml:space="preserve"> PAGEREF _Toc206921376 \h </w:instrText>
      </w:r>
      <w:r>
        <w:fldChar w:fldCharType="separate"/>
      </w:r>
      <w:r>
        <w:t>125</w:t>
      </w:r>
      <w:r>
        <w:fldChar w:fldCharType="end"/>
      </w:r>
    </w:p>
    <w:p w:rsidR="00BA29FF" w:rsidRDefault="00BA29FF">
      <w:pPr>
        <w:pStyle w:val="TOC5"/>
        <w:rPr>
          <w:rFonts w:ascii="Times New Roman" w:hAnsi="Times New Roman"/>
          <w:sz w:val="24"/>
        </w:rPr>
      </w:pPr>
      <w:r>
        <w:lastRenderedPageBreak/>
        <w:tab/>
        <w:t>1.67</w:t>
      </w:r>
      <w:r>
        <w:rPr>
          <w:rFonts w:ascii="Times New Roman" w:hAnsi="Times New Roman"/>
          <w:sz w:val="24"/>
        </w:rPr>
        <w:tab/>
      </w:r>
      <w:r>
        <w:t>Signs attached etc to buildings, structures and land</w:t>
      </w:r>
      <w:r>
        <w:tab/>
      </w:r>
      <w:r>
        <w:fldChar w:fldCharType="begin"/>
      </w:r>
      <w:r>
        <w:instrText xml:space="preserve"> PAGEREF _Toc206921377 \h </w:instrText>
      </w:r>
      <w:r>
        <w:fldChar w:fldCharType="separate"/>
      </w:r>
      <w:r>
        <w:t>125</w:t>
      </w:r>
      <w:r>
        <w:fldChar w:fldCharType="end"/>
      </w:r>
    </w:p>
    <w:p w:rsidR="00BA29FF" w:rsidRDefault="00BA29FF">
      <w:pPr>
        <w:pStyle w:val="TOC5"/>
        <w:rPr>
          <w:rFonts w:ascii="Times New Roman" w:hAnsi="Times New Roman"/>
          <w:sz w:val="24"/>
        </w:rPr>
      </w:pPr>
      <w:r>
        <w:tab/>
        <w:t>1.68</w:t>
      </w:r>
      <w:r>
        <w:rPr>
          <w:rFonts w:ascii="Times New Roman" w:hAnsi="Times New Roman"/>
          <w:sz w:val="24"/>
        </w:rPr>
        <w:tab/>
      </w:r>
      <w:r>
        <w:t>Moveable signs in public places</w:t>
      </w:r>
      <w:r>
        <w:tab/>
      </w:r>
      <w:r>
        <w:fldChar w:fldCharType="begin"/>
      </w:r>
      <w:r>
        <w:instrText xml:space="preserve"> PAGEREF _Toc206921378 \h </w:instrText>
      </w:r>
      <w:r>
        <w:fldChar w:fldCharType="separate"/>
      </w:r>
      <w:r>
        <w:t>126</w:t>
      </w:r>
      <w:r>
        <w:fldChar w:fldCharType="end"/>
      </w:r>
    </w:p>
    <w:p w:rsidR="00BA29FF" w:rsidRDefault="00BA29FF">
      <w:pPr>
        <w:pStyle w:val="TOC5"/>
        <w:rPr>
          <w:rFonts w:ascii="Times New Roman" w:hAnsi="Times New Roman"/>
          <w:sz w:val="24"/>
          <w:szCs w:val="24"/>
        </w:rPr>
      </w:pPr>
      <w:r>
        <w:rPr>
          <w:szCs w:val="24"/>
        </w:rPr>
        <w:tab/>
        <w:t>1.69</w:t>
      </w:r>
      <w:r>
        <w:rPr>
          <w:rFonts w:ascii="Times New Roman" w:hAnsi="Times New Roman"/>
          <w:sz w:val="24"/>
          <w:szCs w:val="24"/>
        </w:rPr>
        <w:tab/>
      </w:r>
      <w:r>
        <w:rPr>
          <w:szCs w:val="24"/>
        </w:rPr>
        <w:t>Temporary signs</w:t>
      </w:r>
      <w:r>
        <w:tab/>
      </w:r>
      <w:r>
        <w:fldChar w:fldCharType="begin"/>
      </w:r>
      <w:r>
        <w:instrText xml:space="preserve"> PAGEREF _Toc206921379 \h </w:instrText>
      </w:r>
      <w:r>
        <w:fldChar w:fldCharType="separate"/>
      </w:r>
      <w:r>
        <w:t>127</w:t>
      </w:r>
      <w:r>
        <w:fldChar w:fldCharType="end"/>
      </w:r>
    </w:p>
    <w:p w:rsidR="00BA29FF" w:rsidRDefault="00BA29FF">
      <w:pPr>
        <w:pStyle w:val="TOC5"/>
        <w:rPr>
          <w:rFonts w:ascii="Times New Roman" w:hAnsi="Times New Roman"/>
          <w:sz w:val="24"/>
        </w:rPr>
      </w:pPr>
      <w:r>
        <w:tab/>
        <w:t>1.70</w:t>
      </w:r>
      <w:r>
        <w:rPr>
          <w:rFonts w:ascii="Times New Roman" w:hAnsi="Times New Roman"/>
          <w:sz w:val="24"/>
        </w:rPr>
        <w:tab/>
      </w:r>
      <w:r>
        <w:t>Signs—information about future urban areas</w:t>
      </w:r>
      <w:r>
        <w:tab/>
      </w:r>
      <w:r>
        <w:fldChar w:fldCharType="begin"/>
      </w:r>
      <w:r>
        <w:instrText xml:space="preserve"> PAGEREF _Toc206921380 \h </w:instrText>
      </w:r>
      <w:r>
        <w:fldChar w:fldCharType="separate"/>
      </w:r>
      <w:r>
        <w:t>128</w:t>
      </w:r>
      <w:r>
        <w:fldChar w:fldCharType="end"/>
      </w:r>
    </w:p>
    <w:p w:rsidR="00BA29FF" w:rsidRDefault="00BA29FF">
      <w:pPr>
        <w:pStyle w:val="TOC8"/>
        <w:rPr>
          <w:rFonts w:ascii="Times New Roman" w:hAnsi="Times New Roman"/>
          <w:b w:val="0"/>
          <w:sz w:val="24"/>
          <w:szCs w:val="24"/>
        </w:rPr>
      </w:pPr>
      <w:r>
        <w:rPr>
          <w:szCs w:val="28"/>
        </w:rPr>
        <w:t>Division 1.3.4</w:t>
      </w:r>
      <w:r>
        <w:rPr>
          <w:rFonts w:ascii="Times New Roman" w:hAnsi="Times New Roman"/>
          <w:b w:val="0"/>
          <w:sz w:val="24"/>
          <w:szCs w:val="24"/>
        </w:rPr>
        <w:tab/>
      </w:r>
      <w:r>
        <w:rPr>
          <w:szCs w:val="28"/>
        </w:rPr>
        <w:t>Exempt developments—lease variations</w:t>
      </w:r>
      <w:r>
        <w:tab/>
      </w:r>
      <w:r>
        <w:rPr>
          <w:b w:val="0"/>
        </w:rPr>
        <w:fldChar w:fldCharType="begin"/>
      </w:r>
      <w:r>
        <w:rPr>
          <w:b w:val="0"/>
        </w:rPr>
        <w:instrText xml:space="preserve"> PAGEREF _Toc206921381 \h </w:instrText>
      </w:r>
      <w:r>
        <w:rPr>
          <w:b w:val="0"/>
        </w:rPr>
      </w:r>
      <w:r>
        <w:rPr>
          <w:b w:val="0"/>
        </w:rPr>
        <w:fldChar w:fldCharType="separate"/>
      </w:r>
      <w:r>
        <w:rPr>
          <w:b w:val="0"/>
        </w:rPr>
        <w:t>128</w:t>
      </w:r>
      <w:r>
        <w:rPr>
          <w:b w:val="0"/>
        </w:rPr>
        <w:fldChar w:fldCharType="end"/>
      </w:r>
    </w:p>
    <w:p w:rsidR="00BA29FF" w:rsidRDefault="00BA29FF">
      <w:pPr>
        <w:pStyle w:val="TOC5"/>
        <w:rPr>
          <w:rFonts w:ascii="Times New Roman" w:hAnsi="Times New Roman"/>
          <w:sz w:val="24"/>
        </w:rPr>
      </w:pPr>
      <w:r>
        <w:tab/>
        <w:t>1.75</w:t>
      </w:r>
      <w:r>
        <w:rPr>
          <w:rFonts w:ascii="Times New Roman" w:hAnsi="Times New Roman"/>
          <w:sz w:val="24"/>
        </w:rPr>
        <w:tab/>
      </w:r>
      <w:r>
        <w:t>Lease variations—exempt developments</w:t>
      </w:r>
      <w:r>
        <w:tab/>
      </w:r>
      <w:r>
        <w:fldChar w:fldCharType="begin"/>
      </w:r>
      <w:r>
        <w:instrText xml:space="preserve"> PAGEREF _Toc206921382 \h </w:instrText>
      </w:r>
      <w:r>
        <w:fldChar w:fldCharType="separate"/>
      </w:r>
      <w:r>
        <w:t>128</w:t>
      </w:r>
      <w:r>
        <w:fldChar w:fldCharType="end"/>
      </w:r>
    </w:p>
    <w:p w:rsidR="00BA29FF" w:rsidRDefault="00BA29FF">
      <w:pPr>
        <w:pStyle w:val="TOC5"/>
        <w:rPr>
          <w:rFonts w:ascii="Times New Roman" w:hAnsi="Times New Roman"/>
          <w:sz w:val="24"/>
        </w:rPr>
      </w:pPr>
      <w:r>
        <w:tab/>
        <w:t>1.76</w:t>
      </w:r>
      <w:r>
        <w:rPr>
          <w:rFonts w:ascii="Times New Roman" w:hAnsi="Times New Roman"/>
          <w:sz w:val="24"/>
        </w:rPr>
        <w:tab/>
      </w:r>
      <w:r>
        <w:t>Lease variations—withdrawal of part of land</w:t>
      </w:r>
      <w:r>
        <w:tab/>
      </w:r>
      <w:r>
        <w:fldChar w:fldCharType="begin"/>
      </w:r>
      <w:r>
        <w:instrText xml:space="preserve"> PAGEREF _Toc206921383 \h </w:instrText>
      </w:r>
      <w:r>
        <w:fldChar w:fldCharType="separate"/>
      </w:r>
      <w:r>
        <w:t>129</w:t>
      </w:r>
      <w:r>
        <w:fldChar w:fldCharType="end"/>
      </w:r>
    </w:p>
    <w:p w:rsidR="00BA29FF" w:rsidRDefault="00BA29FF">
      <w:pPr>
        <w:pStyle w:val="TOC5"/>
        <w:rPr>
          <w:rFonts w:ascii="Times New Roman" w:hAnsi="Times New Roman"/>
          <w:sz w:val="24"/>
        </w:rPr>
      </w:pPr>
      <w:r>
        <w:tab/>
        <w:t>1.77</w:t>
      </w:r>
      <w:r>
        <w:rPr>
          <w:rFonts w:ascii="Times New Roman" w:hAnsi="Times New Roman"/>
          <w:sz w:val="24"/>
        </w:rPr>
        <w:tab/>
      </w:r>
      <w:r>
        <w:t>Lease variations—subdivision for unit titles</w:t>
      </w:r>
      <w:r>
        <w:tab/>
      </w:r>
      <w:r>
        <w:fldChar w:fldCharType="begin"/>
      </w:r>
      <w:r>
        <w:instrText xml:space="preserve"> PAGEREF _Toc206921384 \h </w:instrText>
      </w:r>
      <w:r>
        <w:fldChar w:fldCharType="separate"/>
      </w:r>
      <w:r>
        <w:t>129</w:t>
      </w:r>
      <w:r>
        <w:fldChar w:fldCharType="end"/>
      </w:r>
    </w:p>
    <w:p w:rsidR="00BA29FF" w:rsidRDefault="00BA29FF">
      <w:pPr>
        <w:pStyle w:val="TOC5"/>
        <w:rPr>
          <w:rFonts w:ascii="Times New Roman" w:hAnsi="Times New Roman"/>
          <w:sz w:val="24"/>
        </w:rPr>
      </w:pPr>
      <w:r>
        <w:tab/>
        <w:t>1.78</w:t>
      </w:r>
      <w:r>
        <w:rPr>
          <w:rFonts w:ascii="Times New Roman" w:hAnsi="Times New Roman"/>
          <w:sz w:val="24"/>
        </w:rPr>
        <w:tab/>
      </w:r>
      <w:r>
        <w:t>Lease variations—other subdivisions</w:t>
      </w:r>
      <w:r>
        <w:tab/>
      </w:r>
      <w:r>
        <w:fldChar w:fldCharType="begin"/>
      </w:r>
      <w:r>
        <w:instrText xml:space="preserve"> PAGEREF _Toc206921385 \h </w:instrText>
      </w:r>
      <w:r>
        <w:fldChar w:fldCharType="separate"/>
      </w:r>
      <w:r>
        <w:t>129</w:t>
      </w:r>
      <w:r>
        <w:fldChar w:fldCharType="end"/>
      </w:r>
    </w:p>
    <w:p w:rsidR="00BA29FF" w:rsidRDefault="00BA29FF">
      <w:pPr>
        <w:pStyle w:val="TOC8"/>
        <w:rPr>
          <w:rFonts w:ascii="Times New Roman" w:hAnsi="Times New Roman"/>
          <w:b w:val="0"/>
          <w:sz w:val="24"/>
          <w:szCs w:val="24"/>
        </w:rPr>
      </w:pPr>
      <w:r>
        <w:rPr>
          <w:szCs w:val="28"/>
        </w:rPr>
        <w:t>Division 1.3.5</w:t>
      </w:r>
      <w:r>
        <w:rPr>
          <w:rFonts w:ascii="Times New Roman" w:hAnsi="Times New Roman"/>
          <w:b w:val="0"/>
          <w:sz w:val="24"/>
          <w:szCs w:val="24"/>
        </w:rPr>
        <w:tab/>
      </w:r>
      <w:r>
        <w:rPr>
          <w:szCs w:val="28"/>
        </w:rPr>
        <w:t>Exempt developments—rural leases</w:t>
      </w:r>
      <w:r>
        <w:tab/>
      </w:r>
      <w:r>
        <w:rPr>
          <w:b w:val="0"/>
        </w:rPr>
        <w:fldChar w:fldCharType="begin"/>
      </w:r>
      <w:r>
        <w:rPr>
          <w:b w:val="0"/>
        </w:rPr>
        <w:instrText xml:space="preserve"> PAGEREF _Toc206921386 \h </w:instrText>
      </w:r>
      <w:r>
        <w:rPr>
          <w:b w:val="0"/>
        </w:rPr>
      </w:r>
      <w:r>
        <w:rPr>
          <w:b w:val="0"/>
        </w:rPr>
        <w:fldChar w:fldCharType="separate"/>
      </w:r>
      <w:r>
        <w:rPr>
          <w:b w:val="0"/>
        </w:rPr>
        <w:t>129</w:t>
      </w:r>
      <w:r>
        <w:rPr>
          <w:b w:val="0"/>
        </w:rPr>
        <w:fldChar w:fldCharType="end"/>
      </w:r>
    </w:p>
    <w:p w:rsidR="00BA29FF" w:rsidRDefault="00BA29FF">
      <w:pPr>
        <w:pStyle w:val="TOC5"/>
        <w:rPr>
          <w:rFonts w:ascii="Times New Roman" w:hAnsi="Times New Roman"/>
          <w:sz w:val="24"/>
        </w:rPr>
      </w:pPr>
      <w:r>
        <w:tab/>
        <w:t>1.85</w:t>
      </w:r>
      <w:r>
        <w:rPr>
          <w:rFonts w:ascii="Times New Roman" w:hAnsi="Times New Roman"/>
          <w:sz w:val="24"/>
        </w:rPr>
        <w:tab/>
      </w:r>
      <w:r>
        <w:t>Rural lease developments generally</w:t>
      </w:r>
      <w:r>
        <w:tab/>
      </w:r>
      <w:r>
        <w:fldChar w:fldCharType="begin"/>
      </w:r>
      <w:r>
        <w:instrText xml:space="preserve"> PAGEREF _Toc206921387 \h </w:instrText>
      </w:r>
      <w:r>
        <w:fldChar w:fldCharType="separate"/>
      </w:r>
      <w:r>
        <w:t>129</w:t>
      </w:r>
      <w:r>
        <w:fldChar w:fldCharType="end"/>
      </w:r>
    </w:p>
    <w:p w:rsidR="00BA29FF" w:rsidRDefault="00BA29FF">
      <w:pPr>
        <w:pStyle w:val="TOC5"/>
        <w:rPr>
          <w:rFonts w:ascii="Times New Roman" w:hAnsi="Times New Roman"/>
          <w:sz w:val="24"/>
        </w:rPr>
      </w:pPr>
      <w:r>
        <w:tab/>
        <w:t>1.86</w:t>
      </w:r>
      <w:r>
        <w:rPr>
          <w:rFonts w:ascii="Times New Roman" w:hAnsi="Times New Roman"/>
          <w:sz w:val="24"/>
        </w:rPr>
        <w:tab/>
      </w:r>
      <w:r>
        <w:t>Rural leases—consolidation of rural leases</w:t>
      </w:r>
      <w:r>
        <w:tab/>
      </w:r>
      <w:r>
        <w:fldChar w:fldCharType="begin"/>
      </w:r>
      <w:r>
        <w:instrText xml:space="preserve"> PAGEREF _Toc206921388 \h </w:instrText>
      </w:r>
      <w:r>
        <w:fldChar w:fldCharType="separate"/>
      </w:r>
      <w:r>
        <w:t>131</w:t>
      </w:r>
      <w:r>
        <w:fldChar w:fldCharType="end"/>
      </w:r>
    </w:p>
    <w:p w:rsidR="00BA29FF" w:rsidRDefault="00BA29FF">
      <w:pPr>
        <w:pStyle w:val="TOC8"/>
        <w:rPr>
          <w:rFonts w:ascii="Times New Roman" w:hAnsi="Times New Roman"/>
          <w:b w:val="0"/>
          <w:sz w:val="24"/>
          <w:szCs w:val="24"/>
        </w:rPr>
      </w:pPr>
      <w:r>
        <w:rPr>
          <w:szCs w:val="28"/>
        </w:rPr>
        <w:t>Division 1.3.6</w:t>
      </w:r>
      <w:r>
        <w:rPr>
          <w:rFonts w:ascii="Times New Roman" w:hAnsi="Times New Roman"/>
          <w:b w:val="0"/>
          <w:sz w:val="24"/>
          <w:szCs w:val="24"/>
        </w:rPr>
        <w:tab/>
      </w:r>
      <w:r>
        <w:rPr>
          <w:szCs w:val="28"/>
        </w:rPr>
        <w:t>Exempt developments—Territory developments</w:t>
      </w:r>
      <w:r>
        <w:tab/>
      </w:r>
      <w:r>
        <w:rPr>
          <w:b w:val="0"/>
        </w:rPr>
        <w:fldChar w:fldCharType="begin"/>
      </w:r>
      <w:r>
        <w:rPr>
          <w:b w:val="0"/>
        </w:rPr>
        <w:instrText xml:space="preserve"> PAGEREF _Toc206921389 \h </w:instrText>
      </w:r>
      <w:r>
        <w:rPr>
          <w:b w:val="0"/>
        </w:rPr>
      </w:r>
      <w:r>
        <w:rPr>
          <w:b w:val="0"/>
        </w:rPr>
        <w:fldChar w:fldCharType="separate"/>
      </w:r>
      <w:r>
        <w:rPr>
          <w:b w:val="0"/>
        </w:rPr>
        <w:t>131</w:t>
      </w:r>
      <w:r>
        <w:rPr>
          <w:b w:val="0"/>
        </w:rPr>
        <w:fldChar w:fldCharType="end"/>
      </w:r>
    </w:p>
    <w:p w:rsidR="00BA29FF" w:rsidRDefault="00BA29FF">
      <w:pPr>
        <w:pStyle w:val="TOC5"/>
        <w:rPr>
          <w:rFonts w:ascii="Times New Roman" w:hAnsi="Times New Roman"/>
          <w:sz w:val="24"/>
          <w:szCs w:val="24"/>
        </w:rPr>
      </w:pPr>
      <w:r>
        <w:rPr>
          <w:szCs w:val="24"/>
        </w:rPr>
        <w:tab/>
        <w:t>1.90</w:t>
      </w:r>
      <w:r>
        <w:rPr>
          <w:rFonts w:ascii="Times New Roman" w:hAnsi="Times New Roman"/>
          <w:sz w:val="24"/>
          <w:szCs w:val="24"/>
        </w:rPr>
        <w:tab/>
      </w:r>
      <w:r>
        <w:rPr>
          <w:szCs w:val="24"/>
        </w:rPr>
        <w:t>Minor public works</w:t>
      </w:r>
      <w:r>
        <w:tab/>
      </w:r>
      <w:r>
        <w:fldChar w:fldCharType="begin"/>
      </w:r>
      <w:r>
        <w:instrText xml:space="preserve"> PAGEREF _Toc206921390 \h </w:instrText>
      </w:r>
      <w:r>
        <w:fldChar w:fldCharType="separate"/>
      </w:r>
      <w:r>
        <w:t>131</w:t>
      </w:r>
      <w:r>
        <w:fldChar w:fldCharType="end"/>
      </w:r>
    </w:p>
    <w:p w:rsidR="00BA29FF" w:rsidRDefault="00BA29FF">
      <w:pPr>
        <w:pStyle w:val="TOC5"/>
        <w:rPr>
          <w:rFonts w:ascii="Times New Roman" w:hAnsi="Times New Roman"/>
          <w:sz w:val="24"/>
          <w:szCs w:val="24"/>
        </w:rPr>
      </w:pPr>
      <w:r>
        <w:rPr>
          <w:szCs w:val="24"/>
        </w:rPr>
        <w:tab/>
        <w:t>1.91</w:t>
      </w:r>
      <w:r>
        <w:rPr>
          <w:rFonts w:ascii="Times New Roman" w:hAnsi="Times New Roman"/>
          <w:sz w:val="24"/>
          <w:szCs w:val="24"/>
        </w:rPr>
        <w:tab/>
      </w:r>
      <w:r>
        <w:rPr>
          <w:szCs w:val="24"/>
        </w:rPr>
        <w:t>Landscape works</w:t>
      </w:r>
      <w:r>
        <w:tab/>
      </w:r>
      <w:r>
        <w:fldChar w:fldCharType="begin"/>
      </w:r>
      <w:r>
        <w:instrText xml:space="preserve"> PAGEREF _Toc206921391 \h </w:instrText>
      </w:r>
      <w:r>
        <w:fldChar w:fldCharType="separate"/>
      </w:r>
      <w:r>
        <w:t>133</w:t>
      </w:r>
      <w:r>
        <w:fldChar w:fldCharType="end"/>
      </w:r>
    </w:p>
    <w:p w:rsidR="00BA29FF" w:rsidRDefault="00BA29FF">
      <w:pPr>
        <w:pStyle w:val="TOC5"/>
        <w:rPr>
          <w:rFonts w:ascii="Times New Roman" w:hAnsi="Times New Roman"/>
          <w:sz w:val="24"/>
          <w:szCs w:val="24"/>
        </w:rPr>
      </w:pPr>
      <w:r>
        <w:rPr>
          <w:szCs w:val="24"/>
        </w:rPr>
        <w:tab/>
        <w:t>1.92</w:t>
      </w:r>
      <w:r>
        <w:rPr>
          <w:rFonts w:ascii="Times New Roman" w:hAnsi="Times New Roman"/>
          <w:sz w:val="24"/>
          <w:szCs w:val="24"/>
        </w:rPr>
        <w:tab/>
      </w:r>
      <w:r>
        <w:rPr>
          <w:szCs w:val="24"/>
        </w:rPr>
        <w:t>Plantation forestry</w:t>
      </w:r>
      <w:r>
        <w:tab/>
      </w:r>
      <w:r>
        <w:fldChar w:fldCharType="begin"/>
      </w:r>
      <w:r>
        <w:instrText xml:space="preserve"> PAGEREF _Toc206921392 \h </w:instrText>
      </w:r>
      <w:r>
        <w:fldChar w:fldCharType="separate"/>
      </w:r>
      <w:r>
        <w:t>134</w:t>
      </w:r>
      <w:r>
        <w:fldChar w:fldCharType="end"/>
      </w:r>
    </w:p>
    <w:p w:rsidR="00BA29FF" w:rsidRDefault="00BA29FF">
      <w:pPr>
        <w:pStyle w:val="TOC5"/>
        <w:rPr>
          <w:rFonts w:ascii="Times New Roman" w:hAnsi="Times New Roman"/>
          <w:sz w:val="24"/>
          <w:szCs w:val="24"/>
        </w:rPr>
      </w:pPr>
      <w:r>
        <w:rPr>
          <w:szCs w:val="24"/>
        </w:rPr>
        <w:tab/>
        <w:t>1.93</w:t>
      </w:r>
      <w:r>
        <w:rPr>
          <w:rFonts w:ascii="Times New Roman" w:hAnsi="Times New Roman"/>
          <w:sz w:val="24"/>
          <w:szCs w:val="24"/>
        </w:rPr>
        <w:tab/>
      </w:r>
      <w:r>
        <w:rPr>
          <w:szCs w:val="24"/>
        </w:rPr>
        <w:t>Waterway protection work</w:t>
      </w:r>
      <w:r>
        <w:tab/>
      </w:r>
      <w:r>
        <w:fldChar w:fldCharType="begin"/>
      </w:r>
      <w:r>
        <w:instrText xml:space="preserve"> PAGEREF _Toc206921393 \h </w:instrText>
      </w:r>
      <w:r>
        <w:fldChar w:fldCharType="separate"/>
      </w:r>
      <w:r>
        <w:t>134</w:t>
      </w:r>
      <w:r>
        <w:fldChar w:fldCharType="end"/>
      </w:r>
    </w:p>
    <w:p w:rsidR="00BA29FF" w:rsidRDefault="00BA29FF">
      <w:pPr>
        <w:pStyle w:val="TOC5"/>
        <w:rPr>
          <w:rFonts w:ascii="Times New Roman" w:hAnsi="Times New Roman"/>
          <w:sz w:val="24"/>
        </w:rPr>
      </w:pPr>
      <w:r>
        <w:tab/>
        <w:t>1.94</w:t>
      </w:r>
      <w:r>
        <w:rPr>
          <w:rFonts w:ascii="Times New Roman" w:hAnsi="Times New Roman"/>
          <w:sz w:val="24"/>
        </w:rPr>
        <w:tab/>
      </w:r>
      <w:r>
        <w:t>Emergencies affecting public health or safety or property</w:t>
      </w:r>
      <w:r>
        <w:tab/>
      </w:r>
      <w:r>
        <w:fldChar w:fldCharType="begin"/>
      </w:r>
      <w:r>
        <w:instrText xml:space="preserve"> PAGEREF _Toc206921394 \h </w:instrText>
      </w:r>
      <w:r>
        <w:fldChar w:fldCharType="separate"/>
      </w:r>
      <w:r>
        <w:t>136</w:t>
      </w:r>
      <w:r>
        <w:fldChar w:fldCharType="end"/>
      </w:r>
    </w:p>
    <w:p w:rsidR="00BA29FF" w:rsidRDefault="00BA29FF">
      <w:pPr>
        <w:pStyle w:val="TOC5"/>
        <w:rPr>
          <w:rFonts w:ascii="Times New Roman" w:hAnsi="Times New Roman"/>
          <w:sz w:val="24"/>
        </w:rPr>
      </w:pPr>
      <w:r>
        <w:tab/>
        <w:t>1.95</w:t>
      </w:r>
      <w:r>
        <w:rPr>
          <w:rFonts w:ascii="Times New Roman" w:hAnsi="Times New Roman"/>
          <w:sz w:val="24"/>
        </w:rPr>
        <w:tab/>
      </w:r>
      <w:r>
        <w:t>Temporary flood mitigation measures</w:t>
      </w:r>
      <w:r>
        <w:tab/>
      </w:r>
      <w:r>
        <w:fldChar w:fldCharType="begin"/>
      </w:r>
      <w:r>
        <w:instrText xml:space="preserve"> PAGEREF _Toc206921395 \h </w:instrText>
      </w:r>
      <w:r>
        <w:fldChar w:fldCharType="separate"/>
      </w:r>
      <w:r>
        <w:t>136</w:t>
      </w:r>
      <w:r>
        <w:fldChar w:fldCharType="end"/>
      </w:r>
    </w:p>
    <w:p w:rsidR="00BA29FF" w:rsidRDefault="00BA29FF">
      <w:pPr>
        <w:pStyle w:val="TOC8"/>
        <w:rPr>
          <w:rFonts w:ascii="Times New Roman" w:hAnsi="Times New Roman"/>
          <w:b w:val="0"/>
          <w:sz w:val="24"/>
          <w:szCs w:val="24"/>
        </w:rPr>
      </w:pPr>
      <w:r>
        <w:rPr>
          <w:szCs w:val="28"/>
        </w:rPr>
        <w:t>Division 1.3.7</w:t>
      </w:r>
      <w:r>
        <w:rPr>
          <w:rFonts w:ascii="Times New Roman" w:hAnsi="Times New Roman"/>
          <w:b w:val="0"/>
          <w:sz w:val="24"/>
          <w:szCs w:val="24"/>
        </w:rPr>
        <w:tab/>
      </w:r>
      <w:r>
        <w:rPr>
          <w:szCs w:val="28"/>
        </w:rPr>
        <w:t>Exempt developments—other exemptions</w:t>
      </w:r>
      <w:r>
        <w:tab/>
      </w:r>
      <w:r>
        <w:rPr>
          <w:b w:val="0"/>
        </w:rPr>
        <w:fldChar w:fldCharType="begin"/>
      </w:r>
      <w:r>
        <w:rPr>
          <w:b w:val="0"/>
        </w:rPr>
        <w:instrText xml:space="preserve"> PAGEREF _Toc206921396 \h </w:instrText>
      </w:r>
      <w:r>
        <w:rPr>
          <w:b w:val="0"/>
        </w:rPr>
      </w:r>
      <w:r>
        <w:rPr>
          <w:b w:val="0"/>
        </w:rPr>
        <w:fldChar w:fldCharType="separate"/>
      </w:r>
      <w:r>
        <w:rPr>
          <w:b w:val="0"/>
        </w:rPr>
        <w:t>136</w:t>
      </w:r>
      <w:r>
        <w:rPr>
          <w:b w:val="0"/>
        </w:rPr>
        <w:fldChar w:fldCharType="end"/>
      </w:r>
    </w:p>
    <w:p w:rsidR="00BA29FF" w:rsidRDefault="00BA29FF">
      <w:pPr>
        <w:pStyle w:val="TOC5"/>
        <w:rPr>
          <w:rFonts w:ascii="Times New Roman" w:hAnsi="Times New Roman"/>
          <w:sz w:val="24"/>
        </w:rPr>
      </w:pPr>
      <w:r>
        <w:tab/>
        <w:t>1.100</w:t>
      </w:r>
      <w:r>
        <w:rPr>
          <w:rFonts w:ascii="Times New Roman" w:hAnsi="Times New Roman"/>
          <w:sz w:val="24"/>
        </w:rPr>
        <w:tab/>
      </w:r>
      <w:r>
        <w:t>Single dwellings—new residential land</w:t>
      </w:r>
      <w:r>
        <w:tab/>
      </w:r>
      <w:r>
        <w:fldChar w:fldCharType="begin"/>
      </w:r>
      <w:r>
        <w:instrText xml:space="preserve"> PAGEREF _Toc206921397 \h </w:instrText>
      </w:r>
      <w:r>
        <w:fldChar w:fldCharType="separate"/>
      </w:r>
      <w:r>
        <w:t>136</w:t>
      </w:r>
      <w:r>
        <w:fldChar w:fldCharType="end"/>
      </w:r>
    </w:p>
    <w:p w:rsidR="00BA29FF" w:rsidRDefault="00BA29FF">
      <w:pPr>
        <w:pStyle w:val="TOC5"/>
        <w:rPr>
          <w:rFonts w:ascii="Times New Roman" w:hAnsi="Times New Roman"/>
          <w:sz w:val="24"/>
        </w:rPr>
      </w:pPr>
      <w:r>
        <w:tab/>
        <w:t>1.101</w:t>
      </w:r>
      <w:r>
        <w:rPr>
          <w:rFonts w:ascii="Times New Roman" w:hAnsi="Times New Roman"/>
          <w:sz w:val="24"/>
        </w:rPr>
        <w:tab/>
      </w:r>
      <w:r>
        <w:t>Buildings and structures—demolition</w:t>
      </w:r>
      <w:r>
        <w:tab/>
      </w:r>
      <w:r>
        <w:fldChar w:fldCharType="begin"/>
      </w:r>
      <w:r>
        <w:instrText xml:space="preserve"> PAGEREF _Toc206921398 \h </w:instrText>
      </w:r>
      <w:r>
        <w:fldChar w:fldCharType="separate"/>
      </w:r>
      <w:r>
        <w:t>137</w:t>
      </w:r>
      <w:r>
        <w:fldChar w:fldCharType="end"/>
      </w:r>
    </w:p>
    <w:p w:rsidR="00BA29FF" w:rsidRDefault="00BA29FF">
      <w:pPr>
        <w:pStyle w:val="TOC5"/>
        <w:rPr>
          <w:rFonts w:ascii="Times New Roman" w:hAnsi="Times New Roman"/>
          <w:sz w:val="24"/>
        </w:rPr>
      </w:pPr>
      <w:r>
        <w:tab/>
        <w:t>1.102</w:t>
      </w:r>
      <w:r>
        <w:rPr>
          <w:rFonts w:ascii="Times New Roman" w:hAnsi="Times New Roman"/>
          <w:sz w:val="24"/>
        </w:rPr>
        <w:tab/>
      </w:r>
      <w:r>
        <w:t>Temporary use of land for emergency services training etc</w:t>
      </w:r>
      <w:r>
        <w:tab/>
      </w:r>
      <w:r>
        <w:fldChar w:fldCharType="begin"/>
      </w:r>
      <w:r>
        <w:instrText xml:space="preserve"> PAGEREF _Toc206921399 \h </w:instrText>
      </w:r>
      <w:r>
        <w:fldChar w:fldCharType="separate"/>
      </w:r>
      <w:r>
        <w:t>137</w:t>
      </w:r>
      <w:r>
        <w:fldChar w:fldCharType="end"/>
      </w:r>
    </w:p>
    <w:p w:rsidR="00BA29FF" w:rsidRDefault="00BA29FF">
      <w:pPr>
        <w:pStyle w:val="TOC5"/>
        <w:rPr>
          <w:rFonts w:ascii="Times New Roman" w:hAnsi="Times New Roman"/>
          <w:sz w:val="24"/>
        </w:rPr>
      </w:pPr>
      <w:r>
        <w:tab/>
        <w:t>1.103</w:t>
      </w:r>
      <w:r>
        <w:rPr>
          <w:rFonts w:ascii="Times New Roman" w:hAnsi="Times New Roman"/>
          <w:sz w:val="24"/>
        </w:rPr>
        <w:tab/>
      </w:r>
      <w:r>
        <w:t>Utility and telecommunications services</w:t>
      </w:r>
      <w:r>
        <w:tab/>
      </w:r>
      <w:r>
        <w:fldChar w:fldCharType="begin"/>
      </w:r>
      <w:r>
        <w:instrText xml:space="preserve"> PAGEREF _Toc206921400 \h </w:instrText>
      </w:r>
      <w:r>
        <w:fldChar w:fldCharType="separate"/>
      </w:r>
      <w:r>
        <w:t>139</w:t>
      </w:r>
      <w:r>
        <w:fldChar w:fldCharType="end"/>
      </w:r>
    </w:p>
    <w:p w:rsidR="00BA29FF" w:rsidRDefault="00BA29FF">
      <w:pPr>
        <w:pStyle w:val="TOC5"/>
        <w:rPr>
          <w:rFonts w:ascii="Times New Roman" w:hAnsi="Times New Roman"/>
          <w:sz w:val="24"/>
          <w:szCs w:val="24"/>
        </w:rPr>
      </w:pPr>
      <w:r>
        <w:rPr>
          <w:szCs w:val="24"/>
        </w:rPr>
        <w:tab/>
        <w:t>1.104</w:t>
      </w:r>
      <w:r>
        <w:rPr>
          <w:rFonts w:ascii="Times New Roman" w:hAnsi="Times New Roman"/>
          <w:sz w:val="24"/>
          <w:szCs w:val="24"/>
        </w:rPr>
        <w:tab/>
      </w:r>
      <w:r>
        <w:rPr>
          <w:szCs w:val="24"/>
        </w:rPr>
        <w:t>Landscape gardening</w:t>
      </w:r>
      <w:r>
        <w:tab/>
      </w:r>
      <w:r>
        <w:fldChar w:fldCharType="begin"/>
      </w:r>
      <w:r>
        <w:instrText xml:space="preserve"> PAGEREF _Toc206921401 \h </w:instrText>
      </w:r>
      <w:r>
        <w:fldChar w:fldCharType="separate"/>
      </w:r>
      <w:r>
        <w:t>139</w:t>
      </w:r>
      <w:r>
        <w:fldChar w:fldCharType="end"/>
      </w:r>
    </w:p>
    <w:p w:rsidR="00BA29FF" w:rsidRDefault="00BA29FF">
      <w:pPr>
        <w:pStyle w:val="TOC5"/>
        <w:rPr>
          <w:rFonts w:ascii="Times New Roman" w:hAnsi="Times New Roman"/>
          <w:sz w:val="24"/>
        </w:rPr>
      </w:pPr>
      <w:r>
        <w:tab/>
        <w:t>1.105</w:t>
      </w:r>
      <w:r>
        <w:rPr>
          <w:rFonts w:ascii="Times New Roman" w:hAnsi="Times New Roman"/>
          <w:sz w:val="24"/>
        </w:rPr>
        <w:tab/>
      </w:r>
      <w:r>
        <w:t>Works under Water Resources Act by non-territory entities</w:t>
      </w:r>
      <w:r>
        <w:tab/>
      </w:r>
      <w:r>
        <w:fldChar w:fldCharType="begin"/>
      </w:r>
      <w:r>
        <w:instrText xml:space="preserve"> PAGEREF _Toc206921402 \h </w:instrText>
      </w:r>
      <w:r>
        <w:fldChar w:fldCharType="separate"/>
      </w:r>
      <w:r>
        <w:t>141</w:t>
      </w:r>
      <w:r>
        <w:fldChar w:fldCharType="end"/>
      </w:r>
    </w:p>
    <w:p w:rsidR="00BA29FF" w:rsidRDefault="00BA29FF">
      <w:pPr>
        <w:pStyle w:val="TOC5"/>
        <w:rPr>
          <w:rFonts w:ascii="Times New Roman" w:hAnsi="Times New Roman"/>
          <w:sz w:val="24"/>
        </w:rPr>
      </w:pPr>
      <w:r>
        <w:tab/>
        <w:t>1.108</w:t>
      </w:r>
      <w:r>
        <w:rPr>
          <w:rFonts w:ascii="Times New Roman" w:hAnsi="Times New Roman"/>
          <w:sz w:val="24"/>
        </w:rPr>
        <w:tab/>
      </w:r>
      <w:r>
        <w:t>Home businesses conducted from residential leases</w:t>
      </w:r>
      <w:r>
        <w:tab/>
      </w:r>
      <w:r>
        <w:fldChar w:fldCharType="begin"/>
      </w:r>
      <w:r>
        <w:instrText xml:space="preserve"> PAGEREF _Toc206921403 \h </w:instrText>
      </w:r>
      <w:r>
        <w:fldChar w:fldCharType="separate"/>
      </w:r>
      <w:r>
        <w:t>141</w:t>
      </w:r>
      <w:r>
        <w:fldChar w:fldCharType="end"/>
      </w:r>
    </w:p>
    <w:p w:rsidR="00BA29FF" w:rsidRDefault="00BA29FF">
      <w:pPr>
        <w:pStyle w:val="TOC5"/>
        <w:rPr>
          <w:rFonts w:ascii="Times New Roman" w:hAnsi="Times New Roman"/>
          <w:sz w:val="24"/>
        </w:rPr>
      </w:pPr>
      <w:r>
        <w:tab/>
        <w:t>1.109</w:t>
      </w:r>
      <w:r>
        <w:rPr>
          <w:rFonts w:ascii="Times New Roman" w:hAnsi="Times New Roman"/>
          <w:sz w:val="24"/>
        </w:rPr>
        <w:tab/>
      </w:r>
      <w:r>
        <w:t>Designated areas—developments not involving lease variations</w:t>
      </w:r>
      <w:r>
        <w:tab/>
      </w:r>
      <w:r>
        <w:fldChar w:fldCharType="begin"/>
      </w:r>
      <w:r>
        <w:instrText xml:space="preserve"> PAGEREF _Toc206921404 \h </w:instrText>
      </w:r>
      <w:r>
        <w:fldChar w:fldCharType="separate"/>
      </w:r>
      <w:r>
        <w:t>143</w:t>
      </w:r>
      <w:r>
        <w:fldChar w:fldCharType="end"/>
      </w:r>
    </w:p>
    <w:p w:rsidR="00BA29FF" w:rsidRDefault="00BA29FF">
      <w:pPr>
        <w:pStyle w:val="TOC7"/>
        <w:rPr>
          <w:rFonts w:ascii="Times New Roman" w:hAnsi="Times New Roman"/>
          <w:b w:val="0"/>
          <w:sz w:val="24"/>
          <w:szCs w:val="24"/>
        </w:rPr>
      </w:pPr>
      <w:r>
        <w:rPr>
          <w:szCs w:val="32"/>
        </w:rPr>
        <w:t>Part 1.4</w:t>
      </w:r>
      <w:r>
        <w:rPr>
          <w:rFonts w:ascii="Times New Roman" w:hAnsi="Times New Roman"/>
          <w:b w:val="0"/>
          <w:sz w:val="24"/>
          <w:szCs w:val="24"/>
        </w:rPr>
        <w:tab/>
      </w:r>
      <w:r>
        <w:rPr>
          <w:szCs w:val="32"/>
        </w:rPr>
        <w:t>Permitted open space boundary fence colours</w:t>
      </w:r>
      <w:r>
        <w:tab/>
      </w:r>
      <w:r>
        <w:rPr>
          <w:b w:val="0"/>
        </w:rPr>
        <w:fldChar w:fldCharType="begin"/>
      </w:r>
      <w:r>
        <w:rPr>
          <w:b w:val="0"/>
        </w:rPr>
        <w:instrText xml:space="preserve"> PAGEREF _Toc206921405 \h </w:instrText>
      </w:r>
      <w:r>
        <w:rPr>
          <w:b w:val="0"/>
        </w:rPr>
      </w:r>
      <w:r>
        <w:rPr>
          <w:b w:val="0"/>
        </w:rPr>
        <w:fldChar w:fldCharType="separate"/>
      </w:r>
      <w:r>
        <w:rPr>
          <w:b w:val="0"/>
        </w:rPr>
        <w:t>144</w:t>
      </w:r>
      <w:r>
        <w:rPr>
          <w:b w:val="0"/>
        </w:rPr>
        <w:fldChar w:fldCharType="end"/>
      </w:r>
    </w:p>
    <w:p w:rsidR="00BA29FF" w:rsidRDefault="00BA29FF">
      <w:pPr>
        <w:pStyle w:val="TOC7"/>
        <w:rPr>
          <w:rFonts w:ascii="Times New Roman" w:hAnsi="Times New Roman"/>
          <w:b w:val="0"/>
          <w:sz w:val="24"/>
          <w:szCs w:val="24"/>
        </w:rPr>
      </w:pPr>
      <w:r>
        <w:rPr>
          <w:szCs w:val="32"/>
        </w:rPr>
        <w:t>Part 1.5</w:t>
      </w:r>
      <w:r>
        <w:rPr>
          <w:rFonts w:ascii="Times New Roman" w:hAnsi="Times New Roman"/>
          <w:b w:val="0"/>
          <w:sz w:val="24"/>
          <w:szCs w:val="24"/>
        </w:rPr>
        <w:tab/>
      </w:r>
      <w:r>
        <w:rPr>
          <w:szCs w:val="32"/>
        </w:rPr>
        <w:t>Tables of exempt signs</w:t>
      </w:r>
      <w:r>
        <w:tab/>
      </w:r>
      <w:r>
        <w:rPr>
          <w:b w:val="0"/>
        </w:rPr>
        <w:fldChar w:fldCharType="begin"/>
      </w:r>
      <w:r>
        <w:rPr>
          <w:b w:val="0"/>
        </w:rPr>
        <w:instrText xml:space="preserve"> PAGEREF _Toc206921406 \h </w:instrText>
      </w:r>
      <w:r>
        <w:rPr>
          <w:b w:val="0"/>
        </w:rPr>
      </w:r>
      <w:r>
        <w:rPr>
          <w:b w:val="0"/>
        </w:rPr>
        <w:fldChar w:fldCharType="separate"/>
      </w:r>
      <w:r>
        <w:rPr>
          <w:b w:val="0"/>
        </w:rPr>
        <w:t>147</w:t>
      </w:r>
      <w:r>
        <w:rPr>
          <w:b w:val="0"/>
        </w:rPr>
        <w:fldChar w:fldCharType="end"/>
      </w:r>
    </w:p>
    <w:p w:rsidR="00BA29FF" w:rsidRDefault="00BA29FF">
      <w:pPr>
        <w:pStyle w:val="TOC6"/>
        <w:rPr>
          <w:rFonts w:ascii="Times New Roman" w:hAnsi="Times New Roman"/>
          <w:b w:val="0"/>
          <w:szCs w:val="24"/>
        </w:rPr>
      </w:pPr>
      <w:r>
        <w:lastRenderedPageBreak/>
        <w:t>Schedule 1A</w:t>
      </w:r>
      <w:r>
        <w:rPr>
          <w:rFonts w:ascii="Times New Roman" w:hAnsi="Times New Roman"/>
          <w:b w:val="0"/>
          <w:szCs w:val="24"/>
        </w:rPr>
        <w:tab/>
      </w:r>
      <w:r>
        <w:t>Permitted variations to approved and exempt developments</w:t>
      </w:r>
      <w:r>
        <w:tab/>
      </w:r>
      <w:r>
        <w:rPr>
          <w:b w:val="0"/>
          <w:sz w:val="20"/>
        </w:rPr>
        <w:fldChar w:fldCharType="begin"/>
      </w:r>
      <w:r>
        <w:rPr>
          <w:b w:val="0"/>
          <w:sz w:val="20"/>
        </w:rPr>
        <w:instrText xml:space="preserve"> PAGEREF _Toc206921407 \h </w:instrText>
      </w:r>
      <w:r>
        <w:rPr>
          <w:b w:val="0"/>
          <w:sz w:val="20"/>
        </w:rPr>
      </w:r>
      <w:r>
        <w:rPr>
          <w:b w:val="0"/>
          <w:sz w:val="20"/>
        </w:rPr>
        <w:fldChar w:fldCharType="separate"/>
      </w:r>
      <w:r>
        <w:rPr>
          <w:b w:val="0"/>
          <w:sz w:val="20"/>
        </w:rPr>
        <w:t>152</w:t>
      </w:r>
      <w:r>
        <w:rPr>
          <w:b w:val="0"/>
          <w:sz w:val="20"/>
        </w:rPr>
        <w:fldChar w:fldCharType="end"/>
      </w:r>
    </w:p>
    <w:p w:rsidR="00BA29FF" w:rsidRDefault="00BA29FF">
      <w:pPr>
        <w:pStyle w:val="TOC7"/>
        <w:rPr>
          <w:rFonts w:ascii="Times New Roman" w:hAnsi="Times New Roman"/>
          <w:b w:val="0"/>
          <w:sz w:val="24"/>
          <w:szCs w:val="24"/>
        </w:rPr>
      </w:pPr>
      <w:r>
        <w:rPr>
          <w:szCs w:val="32"/>
        </w:rPr>
        <w:t>Part 1A.1</w:t>
      </w:r>
      <w:r>
        <w:rPr>
          <w:rFonts w:ascii="Times New Roman" w:hAnsi="Times New Roman"/>
          <w:b w:val="0"/>
          <w:sz w:val="24"/>
          <w:szCs w:val="24"/>
        </w:rPr>
        <w:tab/>
      </w:r>
      <w:r>
        <w:rPr>
          <w:szCs w:val="32"/>
        </w:rPr>
        <w:t>Preliminary</w:t>
      </w:r>
      <w:r>
        <w:tab/>
      </w:r>
      <w:r>
        <w:rPr>
          <w:b w:val="0"/>
        </w:rPr>
        <w:fldChar w:fldCharType="begin"/>
      </w:r>
      <w:r>
        <w:rPr>
          <w:b w:val="0"/>
        </w:rPr>
        <w:instrText xml:space="preserve"> PAGEREF _Toc206921408 \h </w:instrText>
      </w:r>
      <w:r>
        <w:rPr>
          <w:b w:val="0"/>
        </w:rPr>
      </w:r>
      <w:r>
        <w:rPr>
          <w:b w:val="0"/>
        </w:rPr>
        <w:fldChar w:fldCharType="separate"/>
      </w:r>
      <w:r>
        <w:rPr>
          <w:b w:val="0"/>
        </w:rPr>
        <w:t>152</w:t>
      </w:r>
      <w:r>
        <w:rPr>
          <w:b w:val="0"/>
        </w:rPr>
        <w:fldChar w:fldCharType="end"/>
      </w:r>
    </w:p>
    <w:p w:rsidR="00BA29FF" w:rsidRDefault="00BA29FF">
      <w:pPr>
        <w:pStyle w:val="TOC5"/>
        <w:rPr>
          <w:rFonts w:ascii="Times New Roman" w:hAnsi="Times New Roman"/>
          <w:sz w:val="24"/>
          <w:szCs w:val="24"/>
        </w:rPr>
      </w:pPr>
      <w:r>
        <w:rPr>
          <w:szCs w:val="24"/>
        </w:rPr>
        <w:tab/>
        <w:t>1A.1</w:t>
      </w:r>
      <w:r>
        <w:rPr>
          <w:rFonts w:ascii="Times New Roman" w:hAnsi="Times New Roman"/>
          <w:sz w:val="24"/>
          <w:szCs w:val="24"/>
        </w:rPr>
        <w:tab/>
      </w:r>
      <w:r>
        <w:rPr>
          <w:szCs w:val="24"/>
          <w:lang w:val="en-US"/>
        </w:rPr>
        <w:t>Definitions—sch 1A</w:t>
      </w:r>
      <w:r>
        <w:tab/>
      </w:r>
      <w:r>
        <w:fldChar w:fldCharType="begin"/>
      </w:r>
      <w:r>
        <w:instrText xml:space="preserve"> PAGEREF _Toc206921409 \h </w:instrText>
      </w:r>
      <w:r>
        <w:fldChar w:fldCharType="separate"/>
      </w:r>
      <w:r>
        <w:t>152</w:t>
      </w:r>
      <w:r>
        <w:fldChar w:fldCharType="end"/>
      </w:r>
    </w:p>
    <w:p w:rsidR="00BA29FF" w:rsidRDefault="00BA29FF">
      <w:pPr>
        <w:pStyle w:val="TOC7"/>
        <w:rPr>
          <w:rFonts w:ascii="Times New Roman" w:hAnsi="Times New Roman"/>
          <w:b w:val="0"/>
          <w:sz w:val="24"/>
          <w:szCs w:val="24"/>
        </w:rPr>
      </w:pPr>
      <w:r>
        <w:rPr>
          <w:szCs w:val="32"/>
        </w:rPr>
        <w:t>Part 1A.2</w:t>
      </w:r>
      <w:r>
        <w:rPr>
          <w:rFonts w:ascii="Times New Roman" w:hAnsi="Times New Roman"/>
          <w:b w:val="0"/>
          <w:sz w:val="24"/>
          <w:szCs w:val="24"/>
        </w:rPr>
        <w:tab/>
      </w:r>
      <w:r>
        <w:rPr>
          <w:szCs w:val="32"/>
        </w:rPr>
        <w:t>Permitted construction tolerances</w:t>
      </w:r>
      <w:r>
        <w:tab/>
      </w:r>
      <w:r>
        <w:rPr>
          <w:b w:val="0"/>
        </w:rPr>
        <w:fldChar w:fldCharType="begin"/>
      </w:r>
      <w:r>
        <w:rPr>
          <w:b w:val="0"/>
        </w:rPr>
        <w:instrText xml:space="preserve"> PAGEREF _Toc206921410 \h </w:instrText>
      </w:r>
      <w:r>
        <w:rPr>
          <w:b w:val="0"/>
        </w:rPr>
      </w:r>
      <w:r>
        <w:rPr>
          <w:b w:val="0"/>
        </w:rPr>
        <w:fldChar w:fldCharType="separate"/>
      </w:r>
      <w:r>
        <w:rPr>
          <w:b w:val="0"/>
        </w:rPr>
        <w:t>152</w:t>
      </w:r>
      <w:r>
        <w:rPr>
          <w:b w:val="0"/>
        </w:rPr>
        <w:fldChar w:fldCharType="end"/>
      </w:r>
    </w:p>
    <w:p w:rsidR="00BA29FF" w:rsidRDefault="00BA29FF">
      <w:pPr>
        <w:pStyle w:val="TOC5"/>
        <w:rPr>
          <w:rFonts w:ascii="Times New Roman" w:hAnsi="Times New Roman"/>
          <w:sz w:val="24"/>
        </w:rPr>
      </w:pPr>
      <w:r>
        <w:tab/>
        <w:t>1A.10</w:t>
      </w:r>
      <w:r>
        <w:rPr>
          <w:rFonts w:ascii="Times New Roman" w:hAnsi="Times New Roman"/>
          <w:sz w:val="24"/>
        </w:rPr>
        <w:tab/>
      </w:r>
      <w:r>
        <w:rPr>
          <w:lang w:val="en-US"/>
        </w:rPr>
        <w:t>Permitted variations—</w:t>
      </w:r>
      <w:r>
        <w:t>horizontal siting tolerances for buildings and structures</w:t>
      </w:r>
      <w:r>
        <w:tab/>
      </w:r>
      <w:r>
        <w:fldChar w:fldCharType="begin"/>
      </w:r>
      <w:r>
        <w:instrText xml:space="preserve"> PAGEREF _Toc206921411 \h </w:instrText>
      </w:r>
      <w:r>
        <w:fldChar w:fldCharType="separate"/>
      </w:r>
      <w:r>
        <w:t>152</w:t>
      </w:r>
      <w:r>
        <w:fldChar w:fldCharType="end"/>
      </w:r>
    </w:p>
    <w:p w:rsidR="00BA29FF" w:rsidRDefault="00BA29FF">
      <w:pPr>
        <w:pStyle w:val="TOC5"/>
        <w:rPr>
          <w:rFonts w:ascii="Times New Roman" w:hAnsi="Times New Roman"/>
          <w:sz w:val="24"/>
        </w:rPr>
      </w:pPr>
      <w:r>
        <w:tab/>
        <w:t>1A.11</w:t>
      </w:r>
      <w:r>
        <w:rPr>
          <w:rFonts w:ascii="Times New Roman" w:hAnsi="Times New Roman"/>
          <w:sz w:val="24"/>
        </w:rPr>
        <w:tab/>
      </w:r>
      <w:r>
        <w:rPr>
          <w:lang w:val="en-US"/>
        </w:rPr>
        <w:t>Permitted variations—h</w:t>
      </w:r>
      <w:r>
        <w:t>eight tolerances for buildings and structures</w:t>
      </w:r>
      <w:r>
        <w:tab/>
      </w:r>
      <w:r>
        <w:fldChar w:fldCharType="begin"/>
      </w:r>
      <w:r>
        <w:instrText xml:space="preserve"> PAGEREF _Toc206921412 \h </w:instrText>
      </w:r>
      <w:r>
        <w:fldChar w:fldCharType="separate"/>
      </w:r>
      <w:r>
        <w:t>155</w:t>
      </w:r>
      <w:r>
        <w:fldChar w:fldCharType="end"/>
      </w:r>
    </w:p>
    <w:p w:rsidR="00BA29FF" w:rsidRDefault="00BA29FF">
      <w:pPr>
        <w:pStyle w:val="TOC7"/>
        <w:rPr>
          <w:rFonts w:ascii="Times New Roman" w:hAnsi="Times New Roman"/>
          <w:b w:val="0"/>
          <w:sz w:val="24"/>
          <w:szCs w:val="24"/>
        </w:rPr>
      </w:pPr>
      <w:r>
        <w:rPr>
          <w:szCs w:val="32"/>
        </w:rPr>
        <w:t>Part 1A.3</w:t>
      </w:r>
      <w:r>
        <w:rPr>
          <w:rFonts w:ascii="Times New Roman" w:hAnsi="Times New Roman"/>
          <w:b w:val="0"/>
          <w:sz w:val="24"/>
          <w:szCs w:val="24"/>
        </w:rPr>
        <w:tab/>
      </w:r>
      <w:r>
        <w:rPr>
          <w:szCs w:val="32"/>
          <w:lang w:val="en-US"/>
        </w:rPr>
        <w:t>Other permitted variations</w:t>
      </w:r>
      <w:r>
        <w:tab/>
      </w:r>
      <w:r>
        <w:rPr>
          <w:b w:val="0"/>
        </w:rPr>
        <w:fldChar w:fldCharType="begin"/>
      </w:r>
      <w:r>
        <w:rPr>
          <w:b w:val="0"/>
        </w:rPr>
        <w:instrText xml:space="preserve"> PAGEREF _Toc206921413 \h </w:instrText>
      </w:r>
      <w:r>
        <w:rPr>
          <w:b w:val="0"/>
        </w:rPr>
      </w:r>
      <w:r>
        <w:rPr>
          <w:b w:val="0"/>
        </w:rPr>
        <w:fldChar w:fldCharType="separate"/>
      </w:r>
      <w:r>
        <w:rPr>
          <w:b w:val="0"/>
        </w:rPr>
        <w:t>157</w:t>
      </w:r>
      <w:r>
        <w:rPr>
          <w:b w:val="0"/>
        </w:rPr>
        <w:fldChar w:fldCharType="end"/>
      </w:r>
    </w:p>
    <w:p w:rsidR="00BA29FF" w:rsidRDefault="00BA29FF">
      <w:pPr>
        <w:pStyle w:val="TOC5"/>
        <w:rPr>
          <w:rFonts w:ascii="Times New Roman" w:hAnsi="Times New Roman"/>
          <w:sz w:val="24"/>
        </w:rPr>
      </w:pPr>
      <w:r>
        <w:tab/>
        <w:t>1A.20</w:t>
      </w:r>
      <w:r>
        <w:rPr>
          <w:rFonts w:ascii="Times New Roman" w:hAnsi="Times New Roman"/>
          <w:sz w:val="24"/>
        </w:rPr>
        <w:tab/>
      </w:r>
      <w:r>
        <w:rPr>
          <w:lang w:val="en-US"/>
        </w:rPr>
        <w:t>Other permitted variations to approved developments and exempt developments</w:t>
      </w:r>
      <w:r>
        <w:tab/>
      </w:r>
      <w:r>
        <w:fldChar w:fldCharType="begin"/>
      </w:r>
      <w:r>
        <w:instrText xml:space="preserve"> PAGEREF _Toc206921414 \h </w:instrText>
      </w:r>
      <w:r>
        <w:fldChar w:fldCharType="separate"/>
      </w:r>
      <w:r>
        <w:t>157</w:t>
      </w:r>
      <w:r>
        <w:fldChar w:fldCharType="end"/>
      </w:r>
    </w:p>
    <w:p w:rsidR="00BA29FF" w:rsidRDefault="00BA29FF">
      <w:pPr>
        <w:pStyle w:val="TOC6"/>
        <w:rPr>
          <w:rFonts w:ascii="Times New Roman" w:hAnsi="Times New Roman"/>
          <w:b w:val="0"/>
          <w:szCs w:val="24"/>
        </w:rPr>
      </w:pPr>
      <w:r>
        <w:t>Schedule 2</w:t>
      </w:r>
      <w:r>
        <w:rPr>
          <w:rFonts w:ascii="Times New Roman" w:hAnsi="Times New Roman"/>
          <w:b w:val="0"/>
          <w:szCs w:val="24"/>
        </w:rPr>
        <w:tab/>
      </w:r>
      <w:r>
        <w:t>Limited public notification of certain merit track development applications</w:t>
      </w:r>
      <w:r>
        <w:tab/>
      </w:r>
      <w:r>
        <w:rPr>
          <w:b w:val="0"/>
          <w:sz w:val="20"/>
        </w:rPr>
        <w:fldChar w:fldCharType="begin"/>
      </w:r>
      <w:r>
        <w:rPr>
          <w:b w:val="0"/>
          <w:sz w:val="20"/>
        </w:rPr>
        <w:instrText xml:space="preserve"> PAGEREF _Toc206921415 \h </w:instrText>
      </w:r>
      <w:r>
        <w:rPr>
          <w:b w:val="0"/>
          <w:sz w:val="20"/>
        </w:rPr>
      </w:r>
      <w:r>
        <w:rPr>
          <w:b w:val="0"/>
          <w:sz w:val="20"/>
        </w:rPr>
        <w:fldChar w:fldCharType="separate"/>
      </w:r>
      <w:r>
        <w:rPr>
          <w:b w:val="0"/>
          <w:sz w:val="20"/>
        </w:rPr>
        <w:t>158</w:t>
      </w:r>
      <w:r>
        <w:rPr>
          <w:b w:val="0"/>
          <w:sz w:val="20"/>
        </w:rPr>
        <w:fldChar w:fldCharType="end"/>
      </w:r>
    </w:p>
    <w:p w:rsidR="00BA29FF" w:rsidRDefault="00BA29FF">
      <w:pPr>
        <w:pStyle w:val="TOC6"/>
        <w:rPr>
          <w:rFonts w:ascii="Times New Roman" w:hAnsi="Times New Roman"/>
          <w:b w:val="0"/>
          <w:szCs w:val="24"/>
        </w:rPr>
      </w:pPr>
      <w:r>
        <w:t>Schedule 3</w:t>
      </w:r>
      <w:r>
        <w:rPr>
          <w:rFonts w:ascii="Times New Roman" w:hAnsi="Times New Roman"/>
          <w:b w:val="0"/>
          <w:szCs w:val="24"/>
        </w:rPr>
        <w:tab/>
      </w:r>
      <w:r>
        <w:t>Matters exempt from third</w:t>
      </w:r>
      <w:r>
        <w:noBreakHyphen/>
        <w:t>party AAT review</w:t>
      </w:r>
      <w:r>
        <w:tab/>
      </w:r>
      <w:r>
        <w:rPr>
          <w:b w:val="0"/>
          <w:sz w:val="20"/>
        </w:rPr>
        <w:fldChar w:fldCharType="begin"/>
      </w:r>
      <w:r>
        <w:rPr>
          <w:b w:val="0"/>
          <w:sz w:val="20"/>
        </w:rPr>
        <w:instrText xml:space="preserve"> PAGEREF _Toc206921416 \h </w:instrText>
      </w:r>
      <w:r>
        <w:rPr>
          <w:b w:val="0"/>
          <w:sz w:val="20"/>
        </w:rPr>
      </w:r>
      <w:r>
        <w:rPr>
          <w:b w:val="0"/>
          <w:sz w:val="20"/>
        </w:rPr>
        <w:fldChar w:fldCharType="separate"/>
      </w:r>
      <w:r>
        <w:rPr>
          <w:b w:val="0"/>
          <w:sz w:val="20"/>
        </w:rPr>
        <w:t>161</w:t>
      </w:r>
      <w:r>
        <w:rPr>
          <w:b w:val="0"/>
          <w:sz w:val="20"/>
        </w:rPr>
        <w:fldChar w:fldCharType="end"/>
      </w:r>
    </w:p>
    <w:p w:rsidR="00BA29FF" w:rsidRDefault="00BA29FF">
      <w:pPr>
        <w:pStyle w:val="TOC7"/>
        <w:rPr>
          <w:rFonts w:ascii="Times New Roman" w:hAnsi="Times New Roman"/>
          <w:b w:val="0"/>
          <w:sz w:val="24"/>
          <w:szCs w:val="24"/>
        </w:rPr>
      </w:pPr>
      <w:r>
        <w:rPr>
          <w:szCs w:val="32"/>
        </w:rPr>
        <w:t>Part 3.1</w:t>
      </w:r>
      <w:r>
        <w:rPr>
          <w:rFonts w:ascii="Times New Roman" w:hAnsi="Times New Roman"/>
          <w:b w:val="0"/>
          <w:sz w:val="24"/>
          <w:szCs w:val="24"/>
        </w:rPr>
        <w:tab/>
      </w:r>
      <w:r>
        <w:rPr>
          <w:szCs w:val="32"/>
        </w:rPr>
        <w:t>Definitions</w:t>
      </w:r>
      <w:r>
        <w:tab/>
      </w:r>
      <w:r>
        <w:rPr>
          <w:b w:val="0"/>
        </w:rPr>
        <w:fldChar w:fldCharType="begin"/>
      </w:r>
      <w:r>
        <w:rPr>
          <w:b w:val="0"/>
        </w:rPr>
        <w:instrText xml:space="preserve"> PAGEREF _Toc206921417 \h </w:instrText>
      </w:r>
      <w:r>
        <w:rPr>
          <w:b w:val="0"/>
        </w:rPr>
      </w:r>
      <w:r>
        <w:rPr>
          <w:b w:val="0"/>
        </w:rPr>
        <w:fldChar w:fldCharType="separate"/>
      </w:r>
      <w:r>
        <w:rPr>
          <w:b w:val="0"/>
        </w:rPr>
        <w:t>161</w:t>
      </w:r>
      <w:r>
        <w:rPr>
          <w:b w:val="0"/>
        </w:rPr>
        <w:fldChar w:fldCharType="end"/>
      </w:r>
    </w:p>
    <w:p w:rsidR="00BA29FF" w:rsidRDefault="00BA29FF">
      <w:pPr>
        <w:pStyle w:val="TOC5"/>
        <w:rPr>
          <w:rFonts w:ascii="Times New Roman" w:hAnsi="Times New Roman"/>
          <w:sz w:val="24"/>
          <w:szCs w:val="24"/>
        </w:rPr>
      </w:pPr>
      <w:r>
        <w:rPr>
          <w:szCs w:val="24"/>
        </w:rPr>
        <w:tab/>
        <w:t>3.1</w:t>
      </w:r>
      <w:r>
        <w:rPr>
          <w:rFonts w:ascii="Times New Roman" w:hAnsi="Times New Roman"/>
          <w:sz w:val="24"/>
          <w:szCs w:val="24"/>
        </w:rPr>
        <w:tab/>
      </w:r>
      <w:r>
        <w:rPr>
          <w:szCs w:val="24"/>
        </w:rPr>
        <w:t>Definitions—sch 3</w:t>
      </w:r>
      <w:r>
        <w:tab/>
      </w:r>
      <w:r>
        <w:fldChar w:fldCharType="begin"/>
      </w:r>
      <w:r>
        <w:instrText xml:space="preserve"> PAGEREF _Toc206921418 \h </w:instrText>
      </w:r>
      <w:r>
        <w:fldChar w:fldCharType="separate"/>
      </w:r>
      <w:r>
        <w:t>161</w:t>
      </w:r>
      <w:r>
        <w:fldChar w:fldCharType="end"/>
      </w:r>
    </w:p>
    <w:p w:rsidR="00BA29FF" w:rsidRDefault="00BA29FF">
      <w:pPr>
        <w:pStyle w:val="TOC7"/>
        <w:rPr>
          <w:rFonts w:ascii="Times New Roman" w:hAnsi="Times New Roman"/>
          <w:b w:val="0"/>
          <w:sz w:val="24"/>
          <w:szCs w:val="24"/>
        </w:rPr>
      </w:pPr>
      <w:r>
        <w:rPr>
          <w:szCs w:val="32"/>
        </w:rPr>
        <w:t>Part 3.2</w:t>
      </w:r>
      <w:r>
        <w:rPr>
          <w:rFonts w:ascii="Times New Roman" w:hAnsi="Times New Roman"/>
          <w:b w:val="0"/>
          <w:sz w:val="24"/>
          <w:szCs w:val="24"/>
        </w:rPr>
        <w:tab/>
      </w:r>
      <w:r>
        <w:rPr>
          <w:szCs w:val="32"/>
        </w:rPr>
        <w:t>Merit track matters exempt from third-party AAT review</w:t>
      </w:r>
      <w:r>
        <w:tab/>
      </w:r>
      <w:r>
        <w:rPr>
          <w:b w:val="0"/>
        </w:rPr>
        <w:fldChar w:fldCharType="begin"/>
      </w:r>
      <w:r>
        <w:rPr>
          <w:b w:val="0"/>
        </w:rPr>
        <w:instrText xml:space="preserve"> PAGEREF _Toc206921419 \h </w:instrText>
      </w:r>
      <w:r>
        <w:rPr>
          <w:b w:val="0"/>
        </w:rPr>
      </w:r>
      <w:r>
        <w:rPr>
          <w:b w:val="0"/>
        </w:rPr>
        <w:fldChar w:fldCharType="separate"/>
      </w:r>
      <w:r>
        <w:rPr>
          <w:b w:val="0"/>
        </w:rPr>
        <w:t>162</w:t>
      </w:r>
      <w:r>
        <w:rPr>
          <w:b w:val="0"/>
        </w:rPr>
        <w:fldChar w:fldCharType="end"/>
      </w:r>
    </w:p>
    <w:p w:rsidR="00BA29FF" w:rsidRDefault="00BA29FF">
      <w:pPr>
        <w:pStyle w:val="TOC7"/>
        <w:rPr>
          <w:rFonts w:ascii="Times New Roman" w:hAnsi="Times New Roman"/>
          <w:b w:val="0"/>
          <w:sz w:val="24"/>
          <w:szCs w:val="24"/>
        </w:rPr>
      </w:pPr>
      <w:r>
        <w:rPr>
          <w:szCs w:val="32"/>
        </w:rPr>
        <w:t>Part 3.3</w:t>
      </w:r>
      <w:r>
        <w:rPr>
          <w:rFonts w:ascii="Times New Roman" w:hAnsi="Times New Roman"/>
          <w:b w:val="0"/>
          <w:sz w:val="24"/>
          <w:szCs w:val="24"/>
        </w:rPr>
        <w:tab/>
      </w:r>
      <w:r>
        <w:rPr>
          <w:szCs w:val="32"/>
        </w:rPr>
        <w:t>Impact track matters exempt from third-party AAT review</w:t>
      </w:r>
      <w:r>
        <w:tab/>
      </w:r>
      <w:r>
        <w:rPr>
          <w:b w:val="0"/>
        </w:rPr>
        <w:fldChar w:fldCharType="begin"/>
      </w:r>
      <w:r>
        <w:rPr>
          <w:b w:val="0"/>
        </w:rPr>
        <w:instrText xml:space="preserve"> PAGEREF _Toc206921420 \h </w:instrText>
      </w:r>
      <w:r>
        <w:rPr>
          <w:b w:val="0"/>
        </w:rPr>
      </w:r>
      <w:r>
        <w:rPr>
          <w:b w:val="0"/>
        </w:rPr>
        <w:fldChar w:fldCharType="separate"/>
      </w:r>
      <w:r>
        <w:rPr>
          <w:b w:val="0"/>
        </w:rPr>
        <w:t>172</w:t>
      </w:r>
      <w:r>
        <w:rPr>
          <w:b w:val="0"/>
        </w:rPr>
        <w:fldChar w:fldCharType="end"/>
      </w:r>
    </w:p>
    <w:p w:rsidR="00BA29FF" w:rsidRDefault="00BA29FF">
      <w:pPr>
        <w:pStyle w:val="TOC7"/>
        <w:rPr>
          <w:rFonts w:ascii="Times New Roman" w:hAnsi="Times New Roman"/>
          <w:b w:val="0"/>
          <w:sz w:val="24"/>
          <w:szCs w:val="24"/>
        </w:rPr>
      </w:pPr>
      <w:r>
        <w:rPr>
          <w:szCs w:val="32"/>
        </w:rPr>
        <w:t>Part 3.4</w:t>
      </w:r>
      <w:r>
        <w:rPr>
          <w:rFonts w:ascii="Times New Roman" w:hAnsi="Times New Roman"/>
          <w:b w:val="0"/>
          <w:sz w:val="24"/>
          <w:szCs w:val="24"/>
        </w:rPr>
        <w:tab/>
      </w:r>
      <w:r>
        <w:rPr>
          <w:szCs w:val="32"/>
        </w:rPr>
        <w:t>City centre and town centres maps</w:t>
      </w:r>
      <w:r>
        <w:tab/>
      </w:r>
      <w:r>
        <w:rPr>
          <w:b w:val="0"/>
        </w:rPr>
        <w:fldChar w:fldCharType="begin"/>
      </w:r>
      <w:r>
        <w:rPr>
          <w:b w:val="0"/>
        </w:rPr>
        <w:instrText xml:space="preserve"> PAGEREF _Toc206921421 \h </w:instrText>
      </w:r>
      <w:r>
        <w:rPr>
          <w:b w:val="0"/>
        </w:rPr>
      </w:r>
      <w:r>
        <w:rPr>
          <w:b w:val="0"/>
        </w:rPr>
        <w:fldChar w:fldCharType="separate"/>
      </w:r>
      <w:r>
        <w:rPr>
          <w:b w:val="0"/>
        </w:rPr>
        <w:t>173</w:t>
      </w:r>
      <w:r>
        <w:rPr>
          <w:b w:val="0"/>
        </w:rPr>
        <w:fldChar w:fldCharType="end"/>
      </w:r>
    </w:p>
    <w:p w:rsidR="00BA29FF" w:rsidRDefault="00BA29FF">
      <w:pPr>
        <w:pStyle w:val="TOC8"/>
        <w:rPr>
          <w:rFonts w:ascii="Times New Roman" w:hAnsi="Times New Roman"/>
          <w:b w:val="0"/>
          <w:sz w:val="24"/>
          <w:szCs w:val="24"/>
        </w:rPr>
      </w:pPr>
      <w:r>
        <w:rPr>
          <w:szCs w:val="28"/>
        </w:rPr>
        <w:t>Division 3.4.1</w:t>
      </w:r>
      <w:r>
        <w:rPr>
          <w:rFonts w:ascii="Times New Roman" w:hAnsi="Times New Roman"/>
          <w:b w:val="0"/>
          <w:sz w:val="24"/>
          <w:szCs w:val="24"/>
        </w:rPr>
        <w:tab/>
      </w:r>
      <w:r>
        <w:rPr>
          <w:szCs w:val="28"/>
        </w:rPr>
        <w:t>City centre</w:t>
      </w:r>
      <w:r>
        <w:tab/>
      </w:r>
      <w:r>
        <w:rPr>
          <w:b w:val="0"/>
        </w:rPr>
        <w:fldChar w:fldCharType="begin"/>
      </w:r>
      <w:r>
        <w:rPr>
          <w:b w:val="0"/>
        </w:rPr>
        <w:instrText xml:space="preserve"> PAGEREF _Toc206921422 \h </w:instrText>
      </w:r>
      <w:r>
        <w:rPr>
          <w:b w:val="0"/>
        </w:rPr>
      </w:r>
      <w:r>
        <w:rPr>
          <w:b w:val="0"/>
        </w:rPr>
        <w:fldChar w:fldCharType="separate"/>
      </w:r>
      <w:r>
        <w:rPr>
          <w:b w:val="0"/>
        </w:rPr>
        <w:t>173</w:t>
      </w:r>
      <w:r>
        <w:rPr>
          <w:b w:val="0"/>
        </w:rPr>
        <w:fldChar w:fldCharType="end"/>
      </w:r>
    </w:p>
    <w:p w:rsidR="00BA29FF" w:rsidRDefault="00BA29FF">
      <w:pPr>
        <w:pStyle w:val="TOC8"/>
        <w:rPr>
          <w:rFonts w:ascii="Times New Roman" w:hAnsi="Times New Roman"/>
          <w:b w:val="0"/>
          <w:sz w:val="24"/>
          <w:szCs w:val="24"/>
        </w:rPr>
      </w:pPr>
      <w:r>
        <w:rPr>
          <w:szCs w:val="28"/>
        </w:rPr>
        <w:t>Division 3.4.2</w:t>
      </w:r>
      <w:r>
        <w:rPr>
          <w:rFonts w:ascii="Times New Roman" w:hAnsi="Times New Roman"/>
          <w:b w:val="0"/>
          <w:sz w:val="24"/>
          <w:szCs w:val="24"/>
        </w:rPr>
        <w:tab/>
      </w:r>
      <w:r>
        <w:rPr>
          <w:szCs w:val="28"/>
        </w:rPr>
        <w:t>Belconnen town centre</w:t>
      </w:r>
      <w:r>
        <w:tab/>
      </w:r>
      <w:r>
        <w:rPr>
          <w:b w:val="0"/>
        </w:rPr>
        <w:fldChar w:fldCharType="begin"/>
      </w:r>
      <w:r>
        <w:rPr>
          <w:b w:val="0"/>
        </w:rPr>
        <w:instrText xml:space="preserve"> PAGEREF _Toc206921423 \h </w:instrText>
      </w:r>
      <w:r>
        <w:rPr>
          <w:b w:val="0"/>
        </w:rPr>
      </w:r>
      <w:r>
        <w:rPr>
          <w:b w:val="0"/>
        </w:rPr>
        <w:fldChar w:fldCharType="separate"/>
      </w:r>
      <w:r>
        <w:rPr>
          <w:b w:val="0"/>
        </w:rPr>
        <w:t>174</w:t>
      </w:r>
      <w:r>
        <w:rPr>
          <w:b w:val="0"/>
        </w:rPr>
        <w:fldChar w:fldCharType="end"/>
      </w:r>
    </w:p>
    <w:p w:rsidR="00BA29FF" w:rsidRDefault="00BA29FF">
      <w:pPr>
        <w:pStyle w:val="TOC8"/>
        <w:rPr>
          <w:rFonts w:ascii="Times New Roman" w:hAnsi="Times New Roman"/>
          <w:b w:val="0"/>
          <w:sz w:val="24"/>
          <w:szCs w:val="24"/>
        </w:rPr>
      </w:pPr>
      <w:r>
        <w:rPr>
          <w:szCs w:val="28"/>
        </w:rPr>
        <w:t>Division 3.4.3</w:t>
      </w:r>
      <w:r>
        <w:rPr>
          <w:rFonts w:ascii="Times New Roman" w:hAnsi="Times New Roman"/>
          <w:b w:val="0"/>
          <w:sz w:val="24"/>
          <w:szCs w:val="24"/>
        </w:rPr>
        <w:tab/>
      </w:r>
      <w:r>
        <w:rPr>
          <w:szCs w:val="28"/>
        </w:rPr>
        <w:t>Gungahlin town centre</w:t>
      </w:r>
      <w:r>
        <w:tab/>
      </w:r>
      <w:r>
        <w:rPr>
          <w:b w:val="0"/>
        </w:rPr>
        <w:fldChar w:fldCharType="begin"/>
      </w:r>
      <w:r>
        <w:rPr>
          <w:b w:val="0"/>
        </w:rPr>
        <w:instrText xml:space="preserve"> PAGEREF _Toc206921424 \h </w:instrText>
      </w:r>
      <w:r>
        <w:rPr>
          <w:b w:val="0"/>
        </w:rPr>
      </w:r>
      <w:r>
        <w:rPr>
          <w:b w:val="0"/>
        </w:rPr>
        <w:fldChar w:fldCharType="separate"/>
      </w:r>
      <w:r>
        <w:rPr>
          <w:b w:val="0"/>
        </w:rPr>
        <w:t>175</w:t>
      </w:r>
      <w:r>
        <w:rPr>
          <w:b w:val="0"/>
        </w:rPr>
        <w:fldChar w:fldCharType="end"/>
      </w:r>
    </w:p>
    <w:p w:rsidR="00BA29FF" w:rsidRDefault="00BA29FF">
      <w:pPr>
        <w:pStyle w:val="TOC8"/>
        <w:rPr>
          <w:rFonts w:ascii="Times New Roman" w:hAnsi="Times New Roman"/>
          <w:b w:val="0"/>
          <w:sz w:val="24"/>
          <w:szCs w:val="24"/>
        </w:rPr>
      </w:pPr>
      <w:r>
        <w:rPr>
          <w:szCs w:val="28"/>
        </w:rPr>
        <w:t>Division 3.4.4</w:t>
      </w:r>
      <w:r>
        <w:rPr>
          <w:rFonts w:ascii="Times New Roman" w:hAnsi="Times New Roman"/>
          <w:b w:val="0"/>
          <w:sz w:val="24"/>
          <w:szCs w:val="24"/>
        </w:rPr>
        <w:tab/>
      </w:r>
      <w:r>
        <w:rPr>
          <w:szCs w:val="28"/>
        </w:rPr>
        <w:t>Tuggeranong town centre</w:t>
      </w:r>
      <w:r>
        <w:tab/>
      </w:r>
      <w:r>
        <w:rPr>
          <w:b w:val="0"/>
        </w:rPr>
        <w:fldChar w:fldCharType="begin"/>
      </w:r>
      <w:r>
        <w:rPr>
          <w:b w:val="0"/>
        </w:rPr>
        <w:instrText xml:space="preserve"> PAGEREF _Toc206921425 \h </w:instrText>
      </w:r>
      <w:r>
        <w:rPr>
          <w:b w:val="0"/>
        </w:rPr>
      </w:r>
      <w:r>
        <w:rPr>
          <w:b w:val="0"/>
        </w:rPr>
        <w:fldChar w:fldCharType="separate"/>
      </w:r>
      <w:r>
        <w:rPr>
          <w:b w:val="0"/>
        </w:rPr>
        <w:t>176</w:t>
      </w:r>
      <w:r>
        <w:rPr>
          <w:b w:val="0"/>
        </w:rPr>
        <w:fldChar w:fldCharType="end"/>
      </w:r>
    </w:p>
    <w:p w:rsidR="00BA29FF" w:rsidRDefault="00BA29FF">
      <w:pPr>
        <w:pStyle w:val="TOC8"/>
        <w:rPr>
          <w:rFonts w:ascii="Times New Roman" w:hAnsi="Times New Roman"/>
          <w:b w:val="0"/>
          <w:sz w:val="24"/>
          <w:szCs w:val="24"/>
        </w:rPr>
      </w:pPr>
      <w:r>
        <w:rPr>
          <w:szCs w:val="28"/>
        </w:rPr>
        <w:t>Division 3.4.5</w:t>
      </w:r>
      <w:r>
        <w:rPr>
          <w:rFonts w:ascii="Times New Roman" w:hAnsi="Times New Roman"/>
          <w:b w:val="0"/>
          <w:sz w:val="24"/>
          <w:szCs w:val="24"/>
        </w:rPr>
        <w:tab/>
      </w:r>
      <w:r>
        <w:rPr>
          <w:szCs w:val="28"/>
        </w:rPr>
        <w:t>Woden town centre</w:t>
      </w:r>
      <w:r>
        <w:tab/>
      </w:r>
      <w:r>
        <w:rPr>
          <w:b w:val="0"/>
        </w:rPr>
        <w:fldChar w:fldCharType="begin"/>
      </w:r>
      <w:r>
        <w:rPr>
          <w:b w:val="0"/>
        </w:rPr>
        <w:instrText xml:space="preserve"> PAGEREF _Toc206921426 \h </w:instrText>
      </w:r>
      <w:r>
        <w:rPr>
          <w:b w:val="0"/>
        </w:rPr>
      </w:r>
      <w:r>
        <w:rPr>
          <w:b w:val="0"/>
        </w:rPr>
        <w:fldChar w:fldCharType="separate"/>
      </w:r>
      <w:r>
        <w:rPr>
          <w:b w:val="0"/>
        </w:rPr>
        <w:t>177</w:t>
      </w:r>
      <w:r>
        <w:rPr>
          <w:b w:val="0"/>
        </w:rPr>
        <w:fldChar w:fldCharType="end"/>
      </w:r>
    </w:p>
    <w:p w:rsidR="00BA29FF" w:rsidRDefault="00BA29FF">
      <w:pPr>
        <w:pStyle w:val="TOC6"/>
        <w:rPr>
          <w:rFonts w:ascii="Times New Roman" w:hAnsi="Times New Roman"/>
          <w:b w:val="0"/>
          <w:szCs w:val="24"/>
        </w:rPr>
      </w:pPr>
      <w:r>
        <w:lastRenderedPageBreak/>
        <w:t>Schedule 4</w:t>
      </w:r>
      <w:r>
        <w:rPr>
          <w:rFonts w:ascii="Times New Roman" w:hAnsi="Times New Roman"/>
          <w:b w:val="0"/>
          <w:szCs w:val="24"/>
        </w:rPr>
        <w:tab/>
      </w:r>
      <w:r>
        <w:t>Prescribed territory plan instruments</w:t>
      </w:r>
      <w:r>
        <w:tab/>
      </w:r>
      <w:r>
        <w:rPr>
          <w:b w:val="0"/>
          <w:sz w:val="20"/>
        </w:rPr>
        <w:fldChar w:fldCharType="begin"/>
      </w:r>
      <w:r>
        <w:rPr>
          <w:b w:val="0"/>
          <w:sz w:val="20"/>
        </w:rPr>
        <w:instrText xml:space="preserve"> PAGEREF _Toc206921427 \h </w:instrText>
      </w:r>
      <w:r>
        <w:rPr>
          <w:b w:val="0"/>
          <w:sz w:val="20"/>
        </w:rPr>
      </w:r>
      <w:r>
        <w:rPr>
          <w:b w:val="0"/>
          <w:sz w:val="20"/>
        </w:rPr>
        <w:fldChar w:fldCharType="separate"/>
      </w:r>
      <w:r>
        <w:rPr>
          <w:b w:val="0"/>
          <w:sz w:val="20"/>
        </w:rPr>
        <w:t>178</w:t>
      </w:r>
      <w:r>
        <w:rPr>
          <w:b w:val="0"/>
          <w:sz w:val="20"/>
        </w:rPr>
        <w:fldChar w:fldCharType="end"/>
      </w:r>
    </w:p>
    <w:p w:rsidR="00BA29FF" w:rsidRDefault="00BA29FF">
      <w:pPr>
        <w:pStyle w:val="TOC7"/>
        <w:rPr>
          <w:rFonts w:ascii="Times New Roman" w:hAnsi="Times New Roman"/>
          <w:b w:val="0"/>
          <w:sz w:val="24"/>
          <w:szCs w:val="24"/>
        </w:rPr>
      </w:pPr>
      <w:r>
        <w:rPr>
          <w:szCs w:val="32"/>
        </w:rPr>
        <w:t>Part 4.1</w:t>
      </w:r>
      <w:r>
        <w:rPr>
          <w:rFonts w:ascii="Times New Roman" w:hAnsi="Times New Roman"/>
          <w:b w:val="0"/>
          <w:sz w:val="24"/>
          <w:szCs w:val="24"/>
        </w:rPr>
        <w:tab/>
      </w:r>
      <w:r>
        <w:rPr>
          <w:szCs w:val="32"/>
        </w:rPr>
        <w:t>Australian standards</w:t>
      </w:r>
      <w:r>
        <w:tab/>
      </w:r>
      <w:r>
        <w:rPr>
          <w:b w:val="0"/>
        </w:rPr>
        <w:fldChar w:fldCharType="begin"/>
      </w:r>
      <w:r>
        <w:rPr>
          <w:b w:val="0"/>
        </w:rPr>
        <w:instrText xml:space="preserve"> PAGEREF _Toc206921428 \h </w:instrText>
      </w:r>
      <w:r>
        <w:rPr>
          <w:b w:val="0"/>
        </w:rPr>
      </w:r>
      <w:r>
        <w:rPr>
          <w:b w:val="0"/>
        </w:rPr>
        <w:fldChar w:fldCharType="separate"/>
      </w:r>
      <w:r>
        <w:rPr>
          <w:b w:val="0"/>
        </w:rPr>
        <w:t>178</w:t>
      </w:r>
      <w:r>
        <w:rPr>
          <w:b w:val="0"/>
        </w:rPr>
        <w:fldChar w:fldCharType="end"/>
      </w:r>
    </w:p>
    <w:p w:rsidR="00BA29FF" w:rsidRDefault="00BA29FF">
      <w:pPr>
        <w:pStyle w:val="TOC7"/>
        <w:rPr>
          <w:rFonts w:ascii="Times New Roman" w:hAnsi="Times New Roman"/>
          <w:b w:val="0"/>
          <w:sz w:val="24"/>
          <w:szCs w:val="24"/>
        </w:rPr>
      </w:pPr>
      <w:r>
        <w:rPr>
          <w:szCs w:val="32"/>
        </w:rPr>
        <w:t>Part 4.2</w:t>
      </w:r>
      <w:r>
        <w:rPr>
          <w:rFonts w:ascii="Times New Roman" w:hAnsi="Times New Roman"/>
          <w:b w:val="0"/>
          <w:sz w:val="24"/>
          <w:szCs w:val="24"/>
        </w:rPr>
        <w:tab/>
      </w:r>
      <w:r>
        <w:rPr>
          <w:szCs w:val="32"/>
        </w:rPr>
        <w:t>Computer modelling software</w:t>
      </w:r>
      <w:r>
        <w:tab/>
      </w:r>
      <w:r>
        <w:rPr>
          <w:b w:val="0"/>
        </w:rPr>
        <w:fldChar w:fldCharType="begin"/>
      </w:r>
      <w:r>
        <w:rPr>
          <w:b w:val="0"/>
        </w:rPr>
        <w:instrText xml:space="preserve"> PAGEREF _Toc206921429 \h </w:instrText>
      </w:r>
      <w:r>
        <w:rPr>
          <w:b w:val="0"/>
        </w:rPr>
      </w:r>
      <w:r>
        <w:rPr>
          <w:b w:val="0"/>
        </w:rPr>
        <w:fldChar w:fldCharType="separate"/>
      </w:r>
      <w:r>
        <w:rPr>
          <w:b w:val="0"/>
        </w:rPr>
        <w:t>180</w:t>
      </w:r>
      <w:r>
        <w:rPr>
          <w:b w:val="0"/>
        </w:rPr>
        <w:fldChar w:fldCharType="end"/>
      </w:r>
    </w:p>
    <w:p w:rsidR="00BA29FF" w:rsidRDefault="00BA29FF">
      <w:pPr>
        <w:pStyle w:val="TOC7"/>
        <w:rPr>
          <w:rFonts w:ascii="Times New Roman" w:hAnsi="Times New Roman"/>
          <w:b w:val="0"/>
          <w:sz w:val="24"/>
          <w:szCs w:val="24"/>
        </w:rPr>
      </w:pPr>
      <w:r>
        <w:rPr>
          <w:szCs w:val="32"/>
        </w:rPr>
        <w:t>Part 4.3</w:t>
      </w:r>
      <w:r>
        <w:rPr>
          <w:rFonts w:ascii="Times New Roman" w:hAnsi="Times New Roman"/>
          <w:b w:val="0"/>
          <w:sz w:val="24"/>
          <w:szCs w:val="24"/>
        </w:rPr>
        <w:tab/>
      </w:r>
      <w:r>
        <w:rPr>
          <w:szCs w:val="32"/>
        </w:rPr>
        <w:t>Other instruments</w:t>
      </w:r>
      <w:r>
        <w:tab/>
      </w:r>
      <w:r>
        <w:rPr>
          <w:b w:val="0"/>
        </w:rPr>
        <w:fldChar w:fldCharType="begin"/>
      </w:r>
      <w:r>
        <w:rPr>
          <w:b w:val="0"/>
        </w:rPr>
        <w:instrText xml:space="preserve"> PAGEREF _Toc206921430 \h </w:instrText>
      </w:r>
      <w:r>
        <w:rPr>
          <w:b w:val="0"/>
        </w:rPr>
      </w:r>
      <w:r>
        <w:rPr>
          <w:b w:val="0"/>
        </w:rPr>
        <w:fldChar w:fldCharType="separate"/>
      </w:r>
      <w:r>
        <w:rPr>
          <w:b w:val="0"/>
        </w:rPr>
        <w:t>181</w:t>
      </w:r>
      <w:r>
        <w:rPr>
          <w:b w:val="0"/>
        </w:rPr>
        <w:fldChar w:fldCharType="end"/>
      </w:r>
    </w:p>
    <w:p w:rsidR="00BA29FF" w:rsidRDefault="00BA29FF">
      <w:pPr>
        <w:pStyle w:val="TOC6"/>
        <w:rPr>
          <w:rFonts w:ascii="Times New Roman" w:hAnsi="Times New Roman"/>
          <w:b w:val="0"/>
          <w:szCs w:val="24"/>
        </w:rPr>
      </w:pPr>
      <w:r>
        <w:t>Schedule 20</w:t>
      </w:r>
      <w:r>
        <w:rPr>
          <w:rFonts w:ascii="Times New Roman" w:hAnsi="Times New Roman"/>
          <w:b w:val="0"/>
          <w:szCs w:val="24"/>
        </w:rPr>
        <w:tab/>
      </w:r>
      <w:r>
        <w:t>Modification of Act</w:t>
      </w:r>
      <w:r>
        <w:tab/>
      </w:r>
      <w:r>
        <w:rPr>
          <w:b w:val="0"/>
          <w:sz w:val="20"/>
        </w:rPr>
        <w:fldChar w:fldCharType="begin"/>
      </w:r>
      <w:r>
        <w:rPr>
          <w:b w:val="0"/>
          <w:sz w:val="20"/>
        </w:rPr>
        <w:instrText xml:space="preserve"> PAGEREF _Toc206921431 \h </w:instrText>
      </w:r>
      <w:r>
        <w:rPr>
          <w:b w:val="0"/>
          <w:sz w:val="20"/>
        </w:rPr>
      </w:r>
      <w:r>
        <w:rPr>
          <w:b w:val="0"/>
          <w:sz w:val="20"/>
        </w:rPr>
        <w:fldChar w:fldCharType="separate"/>
      </w:r>
      <w:r>
        <w:rPr>
          <w:b w:val="0"/>
          <w:sz w:val="20"/>
        </w:rPr>
        <w:t>182</w:t>
      </w:r>
      <w:r>
        <w:rPr>
          <w:b w:val="0"/>
          <w:sz w:val="20"/>
        </w:rPr>
        <w:fldChar w:fldCharType="end"/>
      </w:r>
    </w:p>
    <w:p w:rsidR="00BA29FF" w:rsidRDefault="00BA29FF">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_Toc206921432 \h </w:instrText>
      </w:r>
      <w:r>
        <w:rPr>
          <w:b w:val="0"/>
          <w:sz w:val="20"/>
        </w:rPr>
      </w:r>
      <w:r>
        <w:rPr>
          <w:b w:val="0"/>
          <w:sz w:val="20"/>
        </w:rPr>
        <w:fldChar w:fldCharType="separate"/>
      </w:r>
      <w:r>
        <w:rPr>
          <w:b w:val="0"/>
          <w:sz w:val="20"/>
        </w:rPr>
        <w:t>195</w:t>
      </w:r>
      <w:r>
        <w:rPr>
          <w:b w:val="0"/>
          <w:sz w:val="20"/>
        </w:rPr>
        <w:fldChar w:fldCharType="end"/>
      </w:r>
    </w:p>
    <w:p w:rsidR="00BA29FF" w:rsidRDefault="00BA29FF">
      <w:pPr>
        <w:pStyle w:val="TOC7"/>
        <w:spacing w:before="480"/>
        <w:rPr>
          <w:rFonts w:ascii="Times New Roman" w:hAnsi="Times New Roman"/>
          <w:b w:val="0"/>
          <w:sz w:val="24"/>
          <w:szCs w:val="24"/>
        </w:rPr>
      </w:pPr>
      <w:r>
        <w:rPr>
          <w:szCs w:val="28"/>
        </w:rPr>
        <w:t>Endnotes</w:t>
      </w:r>
    </w:p>
    <w:p w:rsidR="00BA29FF" w:rsidRDefault="00BA29FF">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_Toc206921434 \h </w:instrText>
      </w:r>
      <w:r>
        <w:fldChar w:fldCharType="separate"/>
      </w:r>
      <w:r>
        <w:t>202</w:t>
      </w:r>
      <w:r>
        <w:fldChar w:fldCharType="end"/>
      </w:r>
    </w:p>
    <w:p w:rsidR="00BA29FF" w:rsidRDefault="00BA29FF">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_Toc206921435 \h </w:instrText>
      </w:r>
      <w:r>
        <w:fldChar w:fldCharType="separate"/>
      </w:r>
      <w:r>
        <w:t>202</w:t>
      </w:r>
      <w:r>
        <w:fldChar w:fldCharType="end"/>
      </w:r>
    </w:p>
    <w:p w:rsidR="00BA29FF" w:rsidRDefault="00BA29FF">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_Toc206921436 \h </w:instrText>
      </w:r>
      <w:r>
        <w:fldChar w:fldCharType="separate"/>
      </w:r>
      <w:r>
        <w:t>203</w:t>
      </w:r>
      <w:r>
        <w:fldChar w:fldCharType="end"/>
      </w:r>
    </w:p>
    <w:p w:rsidR="00BA29FF" w:rsidRDefault="00BA29FF">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_Toc206921437 \h </w:instrText>
      </w:r>
      <w:r>
        <w:fldChar w:fldCharType="separate"/>
      </w:r>
      <w:r>
        <w:t>203</w:t>
      </w:r>
      <w:r>
        <w:fldChar w:fldCharType="end"/>
      </w:r>
    </w:p>
    <w:p w:rsidR="00BA29FF" w:rsidRDefault="00BA29FF">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_Toc206921438 \h </w:instrText>
      </w:r>
      <w:r>
        <w:fldChar w:fldCharType="separate"/>
      </w:r>
      <w:r>
        <w:t>212</w:t>
      </w:r>
      <w:r>
        <w:fldChar w:fldCharType="end"/>
      </w:r>
    </w:p>
    <w:p w:rsidR="00BA29FF" w:rsidRDefault="00BA29FF">
      <w:pPr>
        <w:pStyle w:val="BillBasic"/>
      </w:pPr>
      <w:r>
        <w:fldChar w:fldCharType="end"/>
      </w:r>
    </w:p>
    <w:p w:rsidR="00BA29FF" w:rsidRDefault="00BA29FF">
      <w:pPr>
        <w:pStyle w:val="01Contents"/>
        <w:sectPr w:rsidR="00BA29FF">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BA29FF" w:rsidRDefault="00DE64BD">
      <w:pPr>
        <w:jc w:val="center"/>
      </w:pPr>
      <w:r>
        <w:rPr>
          <w:noProof/>
          <w:lang w:eastAsia="en-AU"/>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BA29FF" w:rsidRDefault="00BA29FF">
      <w:pPr>
        <w:jc w:val="center"/>
        <w:rPr>
          <w:rFonts w:ascii="Arial" w:hAnsi="Arial"/>
        </w:rPr>
      </w:pPr>
      <w:r>
        <w:rPr>
          <w:rFonts w:ascii="Arial" w:hAnsi="Arial"/>
        </w:rPr>
        <w:t>Australian Capital Territory</w:t>
      </w:r>
    </w:p>
    <w:p w:rsidR="00BA29FF" w:rsidRDefault="00BA29FF">
      <w:pPr>
        <w:pStyle w:val="Billname"/>
      </w:pPr>
      <w:bookmarkStart w:id="7" w:name="Citation"/>
      <w:r>
        <w:t>Planning and Development Regulation 2008</w:t>
      </w:r>
      <w:bookmarkEnd w:id="7"/>
      <w:r>
        <w:t xml:space="preserve">     </w:t>
      </w:r>
    </w:p>
    <w:p w:rsidR="00BA29FF" w:rsidRDefault="00BA29FF">
      <w:pPr>
        <w:spacing w:before="240" w:after="60"/>
        <w:rPr>
          <w:rFonts w:ascii="Arial" w:hAnsi="Arial"/>
        </w:rPr>
      </w:pPr>
    </w:p>
    <w:p w:rsidR="00BA29FF" w:rsidRDefault="00BA29FF">
      <w:pPr>
        <w:pStyle w:val="N-line3"/>
      </w:pPr>
    </w:p>
    <w:p w:rsidR="00BA29FF" w:rsidRDefault="00BA29FF">
      <w:pPr>
        <w:pStyle w:val="CoverInForce"/>
      </w:pPr>
      <w:r>
        <w:t>made under the</w:t>
      </w:r>
    </w:p>
    <w:p w:rsidR="00BA29FF" w:rsidRDefault="00BA29FF">
      <w:pPr>
        <w:pStyle w:val="CoverActName"/>
      </w:pPr>
      <w:bookmarkStart w:id="8" w:name="Actname"/>
      <w:r>
        <w:t>Planning and Development Act 2007</w:t>
      </w:r>
      <w:bookmarkEnd w:id="8"/>
    </w:p>
    <w:p w:rsidR="00BA29FF" w:rsidRDefault="00BA29FF">
      <w:pPr>
        <w:pStyle w:val="N-line3"/>
      </w:pPr>
    </w:p>
    <w:p w:rsidR="00BA29FF" w:rsidRDefault="00BA29FF">
      <w:pPr>
        <w:pStyle w:val="Placeholder"/>
      </w:pPr>
      <w:r>
        <w:rPr>
          <w:rStyle w:val="charContents"/>
          <w:sz w:val="16"/>
        </w:rPr>
        <w:t xml:space="preserve">  </w:t>
      </w:r>
      <w:r>
        <w:rPr>
          <w:rStyle w:val="charPage"/>
        </w:rPr>
        <w:t xml:space="preserve">  </w:t>
      </w:r>
    </w:p>
    <w:p w:rsidR="00BA29FF" w:rsidRDefault="00BA29FF">
      <w:pPr>
        <w:pStyle w:val="Placeholder"/>
      </w:pPr>
      <w:r>
        <w:rPr>
          <w:rStyle w:val="CharChapNo"/>
        </w:rPr>
        <w:t xml:space="preserve">  </w:t>
      </w:r>
      <w:r>
        <w:rPr>
          <w:rStyle w:val="CharChapText"/>
        </w:rPr>
        <w:t xml:space="preserve">  </w:t>
      </w:r>
    </w:p>
    <w:p w:rsidR="00BA29FF" w:rsidRDefault="00BA29FF">
      <w:pPr>
        <w:pStyle w:val="Placeholder"/>
      </w:pPr>
      <w:r>
        <w:rPr>
          <w:rStyle w:val="CharPartNo"/>
        </w:rPr>
        <w:t xml:space="preserve">  </w:t>
      </w:r>
      <w:r>
        <w:rPr>
          <w:rStyle w:val="CharPartText"/>
        </w:rPr>
        <w:t xml:space="preserve">  </w:t>
      </w:r>
    </w:p>
    <w:p w:rsidR="00BA29FF" w:rsidRDefault="00BA29FF">
      <w:pPr>
        <w:pStyle w:val="Placeholder"/>
      </w:pPr>
      <w:r>
        <w:rPr>
          <w:rStyle w:val="CharDivNo"/>
        </w:rPr>
        <w:t xml:space="preserve">  </w:t>
      </w:r>
      <w:r>
        <w:rPr>
          <w:rStyle w:val="CharDivText"/>
        </w:rPr>
        <w:t xml:space="preserve">  </w:t>
      </w:r>
    </w:p>
    <w:p w:rsidR="00BA29FF" w:rsidRDefault="00BA29FF">
      <w:pPr>
        <w:pStyle w:val="Placeholder"/>
      </w:pPr>
      <w:r>
        <w:rPr>
          <w:rStyle w:val="CharSectNo"/>
        </w:rPr>
        <w:t xml:space="preserve">  </w:t>
      </w:r>
    </w:p>
    <w:p w:rsidR="00BA29FF" w:rsidRDefault="00BA29FF"/>
    <w:p w:rsidR="00BA29FF" w:rsidRDefault="00BA29FF">
      <w:pPr>
        <w:pStyle w:val="Placeholder"/>
      </w:pPr>
      <w:r>
        <w:rPr>
          <w:rStyle w:val="CharSectNo"/>
        </w:rPr>
        <w:t xml:space="preserve"> </w:t>
      </w:r>
    </w:p>
    <w:p w:rsidR="00BA29FF" w:rsidRDefault="00BA29FF">
      <w:r>
        <w:rPr>
          <w:rStyle w:val="CharDivText"/>
        </w:rPr>
        <w:t xml:space="preserve">  </w:t>
      </w:r>
    </w:p>
    <w:p w:rsidR="00BA29FF" w:rsidRDefault="00BA29FF">
      <w:pPr>
        <w:pStyle w:val="PageBreak"/>
      </w:pPr>
      <w:r>
        <w:br w:type="page"/>
      </w:r>
    </w:p>
    <w:p w:rsidR="00BA29FF" w:rsidRDefault="00BA29FF">
      <w:pPr>
        <w:pStyle w:val="AH1Chapter"/>
      </w:pPr>
      <w:bookmarkStart w:id="9" w:name="_Toc206921198"/>
      <w:r>
        <w:rPr>
          <w:rStyle w:val="CharChapNo"/>
        </w:rPr>
        <w:lastRenderedPageBreak/>
        <w:t>Chapter 1</w:t>
      </w:r>
      <w:r>
        <w:tab/>
      </w:r>
      <w:r>
        <w:rPr>
          <w:rStyle w:val="CharChapText"/>
        </w:rPr>
        <w:t>Preliminary</w:t>
      </w:r>
      <w:bookmarkEnd w:id="9"/>
    </w:p>
    <w:p w:rsidR="00BA29FF" w:rsidRDefault="00BA29FF">
      <w:pPr>
        <w:pStyle w:val="AH5Sec"/>
      </w:pPr>
      <w:bookmarkStart w:id="10" w:name="_Toc206921199"/>
      <w:r>
        <w:rPr>
          <w:rStyle w:val="CharSectNo"/>
        </w:rPr>
        <w:t>1</w:t>
      </w:r>
      <w:r>
        <w:tab/>
        <w:t>Name of regulation</w:t>
      </w:r>
      <w:bookmarkEnd w:id="10"/>
    </w:p>
    <w:p w:rsidR="00BA29FF" w:rsidRDefault="00BA29FF">
      <w:pPr>
        <w:pStyle w:val="Amainreturn"/>
      </w:pPr>
      <w:r>
        <w:t xml:space="preserve">This regulation is the </w:t>
      </w:r>
      <w:r>
        <w:rPr>
          <w:rStyle w:val="charItals"/>
        </w:rPr>
        <w:t>Planning and Development Regulation 2008</w:t>
      </w:r>
      <w:r>
        <w:rPr>
          <w:iCs/>
        </w:rPr>
        <w:t>.</w:t>
      </w:r>
    </w:p>
    <w:p w:rsidR="00BA29FF" w:rsidRDefault="00BA29FF">
      <w:pPr>
        <w:pStyle w:val="AH5Sec"/>
      </w:pPr>
      <w:bookmarkStart w:id="11" w:name="_Toc206921200"/>
      <w:r>
        <w:rPr>
          <w:rStyle w:val="CharSectNo"/>
        </w:rPr>
        <w:t>3</w:t>
      </w:r>
      <w:r>
        <w:tab/>
        <w:t>Dictionary</w:t>
      </w:r>
      <w:bookmarkEnd w:id="11"/>
    </w:p>
    <w:p w:rsidR="00BA29FF" w:rsidRDefault="00BA29FF">
      <w:pPr>
        <w:pStyle w:val="Amainreturn"/>
      </w:pPr>
      <w:r>
        <w:t>The dictionary at the end of this regulation is part of this regulation.</w:t>
      </w:r>
    </w:p>
    <w:p w:rsidR="00BA29FF" w:rsidRDefault="00BA29FF">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BA29FF" w:rsidRDefault="00BA29FF">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BA29FF" w:rsidRDefault="00BA29FF">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BA29FF" w:rsidRDefault="00BA29FF">
      <w:pPr>
        <w:pStyle w:val="AH5Sec"/>
      </w:pPr>
      <w:bookmarkStart w:id="12" w:name="_Toc206921201"/>
      <w:r>
        <w:rPr>
          <w:rStyle w:val="CharSectNo"/>
        </w:rPr>
        <w:t>4</w:t>
      </w:r>
      <w:r>
        <w:tab/>
        <w:t>Notes</w:t>
      </w:r>
      <w:bookmarkEnd w:id="12"/>
    </w:p>
    <w:p w:rsidR="00BA29FF" w:rsidRDefault="00BA29FF">
      <w:pPr>
        <w:pStyle w:val="Amainreturn"/>
        <w:keepNext/>
      </w:pPr>
      <w:r>
        <w:t>A note included in this regulation is explanatory and is not part of this regulation.</w:t>
      </w:r>
    </w:p>
    <w:p w:rsidR="00BA29FF" w:rsidRDefault="00BA29FF">
      <w:pPr>
        <w:pStyle w:val="aNote"/>
      </w:pPr>
      <w:r>
        <w:rPr>
          <w:rStyle w:val="charItals"/>
        </w:rPr>
        <w:t>Note</w:t>
      </w:r>
      <w:r>
        <w:rPr>
          <w:rStyle w:val="charItals"/>
        </w:rPr>
        <w:tab/>
      </w:r>
      <w:r>
        <w:t>See the Legislation Act, s 127 (1), (4) and (5) for the legal status of notes.</w:t>
      </w:r>
    </w:p>
    <w:p w:rsidR="00BA29FF" w:rsidRDefault="00BA29FF">
      <w:pPr>
        <w:pStyle w:val="AH5Sec"/>
      </w:pPr>
      <w:bookmarkStart w:id="13" w:name="_Toc206921202"/>
      <w:r>
        <w:rPr>
          <w:rStyle w:val="CharSectNo"/>
        </w:rPr>
        <w:t>5</w:t>
      </w:r>
      <w:r>
        <w:tab/>
        <w:t xml:space="preserve">Meaning of </w:t>
      </w:r>
      <w:r>
        <w:rPr>
          <w:i/>
          <w:iCs/>
        </w:rPr>
        <w:t>dwelling</w:t>
      </w:r>
      <w:r>
        <w:t>—regulation</w:t>
      </w:r>
      <w:bookmarkEnd w:id="13"/>
    </w:p>
    <w:p w:rsidR="00BA29FF" w:rsidRDefault="00BA29FF">
      <w:pPr>
        <w:pStyle w:val="Amain"/>
        <w:keepNext/>
      </w:pPr>
      <w:r>
        <w:tab/>
        <w:t>(1)</w:t>
      </w:r>
      <w:r>
        <w:tab/>
        <w:t>In this regulation:</w:t>
      </w:r>
    </w:p>
    <w:p w:rsidR="00BA29FF" w:rsidRDefault="00BA29FF">
      <w:pPr>
        <w:pStyle w:val="aDef"/>
        <w:keepNext/>
      </w:pPr>
      <w:r>
        <w:rPr>
          <w:rStyle w:val="charBoldItals"/>
        </w:rPr>
        <w:t>dwelling</w:t>
      </w:r>
      <w:r>
        <w:t>—</w:t>
      </w:r>
    </w:p>
    <w:p w:rsidR="00BA29FF" w:rsidRDefault="00BA29FF">
      <w:pPr>
        <w:pStyle w:val="aDefpara"/>
      </w:pPr>
      <w:r>
        <w:tab/>
        <w:t>(a)</w:t>
      </w:r>
      <w:r>
        <w:tab/>
        <w:t>means a class 1 building, or a self-contained part of a class 2 building, that—</w:t>
      </w:r>
    </w:p>
    <w:p w:rsidR="00BA29FF" w:rsidRDefault="00BA29FF">
      <w:pPr>
        <w:pStyle w:val="aDefsubpara"/>
        <w:keepNext/>
      </w:pPr>
      <w:r>
        <w:tab/>
        <w:t>(i)</w:t>
      </w:r>
      <w:r>
        <w:tab/>
        <w:t>includes the following that are accessible from within the building, or the self-contained part of the building:</w:t>
      </w:r>
    </w:p>
    <w:p w:rsidR="00BA29FF" w:rsidRDefault="00BA29FF">
      <w:pPr>
        <w:pStyle w:val="Asubsubpara"/>
      </w:pPr>
      <w:r>
        <w:tab/>
        <w:t>(A)</w:t>
      </w:r>
      <w:r>
        <w:tab/>
        <w:t xml:space="preserve">not more than 2 kitchens; </w:t>
      </w:r>
    </w:p>
    <w:p w:rsidR="00BA29FF" w:rsidRDefault="00BA29FF">
      <w:pPr>
        <w:pStyle w:val="Asubsubpara"/>
      </w:pPr>
      <w:r>
        <w:lastRenderedPageBreak/>
        <w:tab/>
        <w:t>(B)</w:t>
      </w:r>
      <w:r>
        <w:tab/>
        <w:t xml:space="preserve">at least 1 bath or shower; </w:t>
      </w:r>
    </w:p>
    <w:p w:rsidR="00BA29FF" w:rsidRDefault="00BA29FF">
      <w:pPr>
        <w:pStyle w:val="Asubsubpara"/>
      </w:pPr>
      <w:r>
        <w:tab/>
        <w:t>(C)</w:t>
      </w:r>
      <w:r>
        <w:tab/>
        <w:t>at least 1 toilet pan; and</w:t>
      </w:r>
    </w:p>
    <w:p w:rsidR="00BA29FF" w:rsidRDefault="00BA29FF">
      <w:pPr>
        <w:pStyle w:val="aDefsubpara"/>
        <w:keepNext/>
      </w:pPr>
      <w:r>
        <w:tab/>
        <w:t>(ii)</w:t>
      </w:r>
      <w:r>
        <w:tab/>
        <w:t>does not have access from another building that is either a class 1 building or the self</w:t>
      </w:r>
      <w:r>
        <w:noBreakHyphen/>
        <w:t>contained part of a class 2 building; and</w:t>
      </w:r>
    </w:p>
    <w:p w:rsidR="00BA29FF" w:rsidRDefault="00BA29FF">
      <w:pPr>
        <w:pStyle w:val="aDefpara"/>
      </w:pPr>
      <w:r>
        <w:tab/>
        <w:t>(b)</w:t>
      </w:r>
      <w:r>
        <w:tab/>
        <w:t>includes any ancillary parts of the building and any class 10a buildings associated with the building.</w:t>
      </w:r>
    </w:p>
    <w:p w:rsidR="00BA29FF" w:rsidRDefault="00BA29FF">
      <w:pPr>
        <w:pStyle w:val="Amain"/>
        <w:keepNext/>
      </w:pPr>
      <w:r>
        <w:tab/>
        <w:t>(2)</w:t>
      </w:r>
      <w:r>
        <w:tab/>
        <w:t>In this section:</w:t>
      </w:r>
    </w:p>
    <w:p w:rsidR="00BA29FF" w:rsidRDefault="00BA29FF">
      <w:pPr>
        <w:pStyle w:val="aDef"/>
        <w:keepNext/>
      </w:pPr>
      <w:r>
        <w:rPr>
          <w:rStyle w:val="charBoldItals"/>
        </w:rPr>
        <w:t>kitchen</w:t>
      </w:r>
      <w:r>
        <w:t xml:space="preserve"> does not include—</w:t>
      </w:r>
    </w:p>
    <w:p w:rsidR="00BA29FF" w:rsidRDefault="00BA29FF">
      <w:pPr>
        <w:pStyle w:val="aDefpara"/>
      </w:pPr>
      <w:r>
        <w:tab/>
        <w:t>(a)</w:t>
      </w:r>
      <w:r>
        <w:tab/>
        <w:t>outdoor cooking facilities; or</w:t>
      </w:r>
    </w:p>
    <w:p w:rsidR="00BA29FF" w:rsidRDefault="00BA29FF">
      <w:pPr>
        <w:pStyle w:val="aDefpara"/>
      </w:pPr>
      <w:r>
        <w:tab/>
        <w:t>(b)</w:t>
      </w:r>
      <w:r>
        <w:tab/>
        <w:t>a barbeque in an enclosed garden room.</w:t>
      </w:r>
    </w:p>
    <w:p w:rsidR="00BA29FF" w:rsidRDefault="00BA29FF">
      <w:pPr>
        <w:pStyle w:val="PageBreak"/>
      </w:pPr>
      <w:r>
        <w:br w:type="page"/>
      </w:r>
    </w:p>
    <w:p w:rsidR="00BA29FF" w:rsidRDefault="00BA29FF">
      <w:pPr>
        <w:pStyle w:val="AH1Chapter"/>
      </w:pPr>
      <w:bookmarkStart w:id="14" w:name="_Toc206921203"/>
      <w:r>
        <w:rPr>
          <w:rStyle w:val="CharChapNo"/>
        </w:rPr>
        <w:lastRenderedPageBreak/>
        <w:t>Chapter 2</w:t>
      </w:r>
      <w:r>
        <w:tab/>
      </w:r>
      <w:r>
        <w:rPr>
          <w:rStyle w:val="CharChapText"/>
        </w:rPr>
        <w:t>Strategic environmental assessments</w:t>
      </w:r>
      <w:bookmarkEnd w:id="14"/>
    </w:p>
    <w:p w:rsidR="00BA29FF" w:rsidRDefault="00BA29FF">
      <w:pPr>
        <w:pStyle w:val="AH5Sec"/>
      </w:pPr>
      <w:bookmarkStart w:id="15" w:name="_Toc206921204"/>
      <w:r>
        <w:rPr>
          <w:rStyle w:val="CharSectNo"/>
        </w:rPr>
        <w:t>10</w:t>
      </w:r>
      <w:r>
        <w:tab/>
        <w:t xml:space="preserve">Meaning of </w:t>
      </w:r>
      <w:r>
        <w:rPr>
          <w:i/>
          <w:iCs/>
        </w:rPr>
        <w:t>proposal</w:t>
      </w:r>
      <w:r>
        <w:t>—ch 2</w:t>
      </w:r>
      <w:bookmarkEnd w:id="15"/>
    </w:p>
    <w:p w:rsidR="00BA29FF" w:rsidRDefault="00BA29FF">
      <w:pPr>
        <w:pStyle w:val="Amainreturn"/>
        <w:keepNext/>
      </w:pPr>
      <w:r>
        <w:t>In this chapter:</w:t>
      </w:r>
    </w:p>
    <w:p w:rsidR="00BA29FF" w:rsidRDefault="00BA29FF">
      <w:pPr>
        <w:pStyle w:val="aDef"/>
        <w:keepNext/>
      </w:pPr>
      <w:r>
        <w:rPr>
          <w:rStyle w:val="charBoldItals"/>
        </w:rPr>
        <w:t>proposal</w:t>
      </w:r>
      <w:r>
        <w:t>, for a strategic environmental assessment, means—</w:t>
      </w:r>
    </w:p>
    <w:p w:rsidR="00BA29FF" w:rsidRDefault="00BA29FF">
      <w:pPr>
        <w:pStyle w:val="aDefpara"/>
      </w:pPr>
      <w:r>
        <w:tab/>
        <w:t>(a)</w:t>
      </w:r>
      <w:r>
        <w:tab/>
        <w:t>for an assessment prepared under the Act, section 100 (Preparation of strategic environmental assessments)—the matter to which the assessment relates; or</w:t>
      </w:r>
    </w:p>
    <w:p w:rsidR="00BA29FF" w:rsidRDefault="00BA29FF">
      <w:pPr>
        <w:pStyle w:val="aDefpara"/>
      </w:pPr>
      <w:r>
        <w:tab/>
        <w:t>(b)</w:t>
      </w:r>
      <w:r>
        <w:tab/>
        <w:t>for an assessment prepared under the Act, section 103 (2) (Review of territory plan)—the review of the territory plan to which the assessment relates.</w:t>
      </w:r>
    </w:p>
    <w:p w:rsidR="00BA29FF" w:rsidRDefault="00BA29FF">
      <w:pPr>
        <w:pStyle w:val="AH5Sec"/>
      </w:pPr>
      <w:bookmarkStart w:id="16" w:name="_Toc206921205"/>
      <w:r>
        <w:rPr>
          <w:rStyle w:val="CharSectNo"/>
        </w:rPr>
        <w:t>11</w:t>
      </w:r>
      <w:r>
        <w:tab/>
        <w:t>Development of strategic environmental assessments—Act, s 101 (a)</w:t>
      </w:r>
      <w:bookmarkEnd w:id="16"/>
    </w:p>
    <w:p w:rsidR="00BA29FF" w:rsidRDefault="00BA29FF">
      <w:pPr>
        <w:pStyle w:val="Amain"/>
        <w:keepNext/>
      </w:pPr>
      <w:r>
        <w:tab/>
        <w:t>(1)</w:t>
      </w:r>
      <w:r>
        <w:tab/>
        <w:t xml:space="preserve">A person developing a strategic environmental assessment must complete each of the following stages: </w:t>
      </w:r>
    </w:p>
    <w:p w:rsidR="00BA29FF" w:rsidRDefault="00BA29FF">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BA29FF" w:rsidRDefault="00BA29FF">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BA29FF" w:rsidRDefault="00BA29FF">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BA29FF" w:rsidRDefault="00BA29FF">
      <w:pPr>
        <w:pStyle w:val="Amainbullet"/>
        <w:tabs>
          <w:tab w:val="left" w:pos="1500"/>
        </w:tabs>
        <w:ind w:left="1539"/>
      </w:pPr>
      <w:r>
        <w:rPr>
          <w:rFonts w:ascii="Symbol" w:hAnsi="Symbol"/>
          <w:sz w:val="20"/>
        </w:rPr>
        <w:t></w:t>
      </w:r>
      <w:r>
        <w:rPr>
          <w:rFonts w:ascii="Symbol" w:hAnsi="Symbol"/>
          <w:sz w:val="20"/>
        </w:rPr>
        <w:tab/>
      </w:r>
      <w:r>
        <w:t>stage D—consultation</w:t>
      </w:r>
    </w:p>
    <w:p w:rsidR="00BA29FF" w:rsidRDefault="00BA29FF">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BA29FF" w:rsidRDefault="00BA29FF">
      <w:pPr>
        <w:pStyle w:val="Amain"/>
        <w:keepNext/>
      </w:pPr>
      <w:r>
        <w:lastRenderedPageBreak/>
        <w:tab/>
        <w:t>(2)</w:t>
      </w:r>
      <w:r>
        <w:tab/>
        <w:t>To remove any doubt—</w:t>
      </w:r>
    </w:p>
    <w:p w:rsidR="00BA29FF" w:rsidRDefault="00BA29FF">
      <w:pPr>
        <w:pStyle w:val="Apara"/>
        <w:keepNext/>
      </w:pPr>
      <w:r>
        <w:tab/>
        <w:t>(a)</w:t>
      </w:r>
      <w:r>
        <w:tab/>
        <w:t>the person does not have to complete the stages in any particular order; and</w:t>
      </w:r>
    </w:p>
    <w:p w:rsidR="00BA29FF" w:rsidRDefault="00BA29FF">
      <w:pPr>
        <w:pStyle w:val="Apara"/>
        <w:keepNext/>
      </w:pPr>
      <w:r>
        <w:tab/>
        <w:t>(b)</w:t>
      </w:r>
      <w:r>
        <w:tab/>
        <w:t>the person may complete more than 1 stage at a time.</w:t>
      </w:r>
    </w:p>
    <w:p w:rsidR="00BA29FF" w:rsidRDefault="00BA29FF">
      <w:pPr>
        <w:pStyle w:val="aExamHdgss"/>
      </w:pPr>
      <w:r>
        <w:t>Example</w:t>
      </w:r>
    </w:p>
    <w:p w:rsidR="00BA29FF" w:rsidRDefault="00BA29FF">
      <w:pPr>
        <w:pStyle w:val="aExamss"/>
        <w:keepNext/>
      </w:pPr>
      <w:r>
        <w:t>A person may carry out consultation (stage D) during the course of considering alternatives (stage B) and again when assessing environmental benefits and impact (stage C).</w:t>
      </w:r>
    </w:p>
    <w:p w:rsidR="00BA29FF" w:rsidRDefault="00BA29FF">
      <w:pPr>
        <w:pStyle w:val="aNote"/>
      </w:pPr>
      <w:r>
        <w:rPr>
          <w:rStyle w:val="charItals"/>
        </w:rPr>
        <w:t>Note</w:t>
      </w:r>
      <w:r>
        <w:tab/>
        <w:t>An example is part of the regulation, is not exhaustive and may extend, but does not limit, the meaning of the provision in which it appears (see Legislation Act, s 126 and s 132).</w:t>
      </w:r>
    </w:p>
    <w:p w:rsidR="00BA29FF" w:rsidRDefault="00BA29FF">
      <w:pPr>
        <w:pStyle w:val="AH5Sec"/>
      </w:pPr>
      <w:bookmarkStart w:id="17" w:name="_Toc206921206"/>
      <w:r>
        <w:rPr>
          <w:rStyle w:val="CharSectNo"/>
        </w:rPr>
        <w:t>12</w:t>
      </w:r>
      <w:r>
        <w:tab/>
        <w:t>Stage A—setting context and establishing baseline</w:t>
      </w:r>
      <w:bookmarkEnd w:id="17"/>
    </w:p>
    <w:p w:rsidR="00BA29FF" w:rsidRDefault="00BA29FF">
      <w:pPr>
        <w:pStyle w:val="Amainreturn"/>
      </w:pPr>
      <w:r>
        <w:t>A person developing a strategic environmental assessment must, in completing stage A, set the context for the proposal and establish the baseline for the strategic environmental assessment by—</w:t>
      </w:r>
    </w:p>
    <w:p w:rsidR="00BA29FF" w:rsidRDefault="00BA29FF">
      <w:pPr>
        <w:pStyle w:val="Apara"/>
      </w:pPr>
      <w:r>
        <w:tab/>
        <w:t>(a)</w:t>
      </w:r>
      <w:r>
        <w:tab/>
        <w:t>screening the proposal; and</w:t>
      </w:r>
    </w:p>
    <w:p w:rsidR="00BA29FF" w:rsidRDefault="00BA29FF">
      <w:pPr>
        <w:pStyle w:val="Apara"/>
      </w:pPr>
      <w:r>
        <w:tab/>
        <w:t>(b)</w:t>
      </w:r>
      <w:r>
        <w:tab/>
        <w:t>establishing the environmental baseline; and</w:t>
      </w:r>
    </w:p>
    <w:p w:rsidR="00BA29FF" w:rsidRDefault="00BA29FF">
      <w:pPr>
        <w:pStyle w:val="Apara"/>
      </w:pPr>
      <w:r>
        <w:tab/>
        <w:t>(c)</w:t>
      </w:r>
      <w:r>
        <w:tab/>
        <w:t>identifying the environmental issues; and</w:t>
      </w:r>
    </w:p>
    <w:p w:rsidR="00BA29FF" w:rsidRDefault="00BA29FF">
      <w:pPr>
        <w:pStyle w:val="Apara"/>
      </w:pPr>
      <w:r>
        <w:tab/>
        <w:t>(d)</w:t>
      </w:r>
      <w:r>
        <w:tab/>
        <w:t>setting the objectives for the strategic environmental assessment.</w:t>
      </w:r>
    </w:p>
    <w:p w:rsidR="00BA29FF" w:rsidRDefault="00BA29FF">
      <w:pPr>
        <w:pStyle w:val="AH5Sec"/>
      </w:pPr>
      <w:bookmarkStart w:id="18" w:name="_Toc206921207"/>
      <w:r>
        <w:rPr>
          <w:rStyle w:val="CharSectNo"/>
        </w:rPr>
        <w:lastRenderedPageBreak/>
        <w:t>13</w:t>
      </w:r>
      <w:r>
        <w:tab/>
        <w:t>Stage B—developing alternatives and deciding scope</w:t>
      </w:r>
      <w:bookmarkEnd w:id="18"/>
    </w:p>
    <w:p w:rsidR="00BA29FF" w:rsidRDefault="00BA29FF">
      <w:pPr>
        <w:pStyle w:val="Amain"/>
        <w:keepNext/>
      </w:pPr>
      <w:r>
        <w:tab/>
        <w:t>(1)</w:t>
      </w:r>
      <w:r>
        <w:tab/>
        <w:t>A person developing a strategic environmental assessment must, in completing stage B, develop alternatives for the proposal and decide the scope of the strategic environmental assessment by—</w:t>
      </w:r>
    </w:p>
    <w:p w:rsidR="00BA29FF" w:rsidRDefault="00BA29FF">
      <w:pPr>
        <w:pStyle w:val="Apara"/>
        <w:keepNext/>
      </w:pPr>
      <w:r>
        <w:tab/>
        <w:t>(a)</w:t>
      </w:r>
      <w:r>
        <w:tab/>
        <w:t>considering alternatives to the proposal; and</w:t>
      </w:r>
    </w:p>
    <w:p w:rsidR="00BA29FF" w:rsidRDefault="00BA29FF">
      <w:pPr>
        <w:pStyle w:val="aExamHdgpar"/>
      </w:pPr>
      <w:r>
        <w:t>Examples—alternatives</w:t>
      </w:r>
    </w:p>
    <w:p w:rsidR="00BA29FF" w:rsidRDefault="00BA29FF">
      <w:pPr>
        <w:pStyle w:val="aExamINumpar"/>
        <w:keepNext/>
      </w:pPr>
      <w:r>
        <w:t>1</w:t>
      </w:r>
      <w:r>
        <w:tab/>
        <w:t>alternative siting within the proposed location or at another location</w:t>
      </w:r>
    </w:p>
    <w:p w:rsidR="00BA29FF" w:rsidRDefault="00BA29FF">
      <w:pPr>
        <w:pStyle w:val="aExamINumpar"/>
        <w:keepNext/>
      </w:pPr>
      <w:r>
        <w:t>2</w:t>
      </w:r>
      <w:r>
        <w:tab/>
        <w:t>alternative uses of the site</w:t>
      </w:r>
    </w:p>
    <w:p w:rsidR="00BA29FF" w:rsidRDefault="00BA29FF">
      <w:pPr>
        <w:pStyle w:val="aExamINumpar"/>
        <w:keepNext/>
      </w:pPr>
      <w:r>
        <w:t>3</w:t>
      </w:r>
      <w:r>
        <w:tab/>
        <w:t>alternative designs</w:t>
      </w:r>
    </w:p>
    <w:p w:rsidR="00BA29FF" w:rsidRDefault="00BA29FF">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BA29FF" w:rsidRDefault="00BA29FF">
      <w:pPr>
        <w:pStyle w:val="Apara"/>
      </w:pPr>
      <w:r>
        <w:tab/>
        <w:t>(b)</w:t>
      </w:r>
      <w:r>
        <w:tab/>
        <w:t>deciding and finalising the scope of the strategic environmental assessment; and</w:t>
      </w:r>
    </w:p>
    <w:p w:rsidR="00BA29FF" w:rsidRDefault="00BA29FF">
      <w:pPr>
        <w:pStyle w:val="Apara"/>
      </w:pPr>
      <w:r>
        <w:tab/>
        <w:t>(c)</w:t>
      </w:r>
      <w:r>
        <w:tab/>
        <w:t xml:space="preserve">preparing a document about the scope of the strategic environmental assessment (a </w:t>
      </w:r>
      <w:r>
        <w:rPr>
          <w:rStyle w:val="charBoldItals"/>
        </w:rPr>
        <w:t>SEA scoping document</w:t>
      </w:r>
      <w:r>
        <w:t>).</w:t>
      </w:r>
    </w:p>
    <w:p w:rsidR="00BA29FF" w:rsidRDefault="00BA29FF">
      <w:pPr>
        <w:pStyle w:val="Amain"/>
        <w:keepNext/>
      </w:pPr>
      <w:r>
        <w:tab/>
        <w:t>(2)</w:t>
      </w:r>
      <w:r>
        <w:tab/>
        <w:t>The SEA scoping document must contain the following:</w:t>
      </w:r>
    </w:p>
    <w:p w:rsidR="00BA29FF" w:rsidRDefault="00BA29FF">
      <w:pPr>
        <w:pStyle w:val="Apara"/>
      </w:pPr>
      <w:r>
        <w:tab/>
        <w:t>(a)</w:t>
      </w:r>
      <w:r>
        <w:tab/>
        <w:t>the aims and objectives of the strategic environmental assessment;</w:t>
      </w:r>
    </w:p>
    <w:p w:rsidR="00BA29FF" w:rsidRDefault="00BA29FF">
      <w:pPr>
        <w:pStyle w:val="Apara"/>
      </w:pPr>
      <w:r>
        <w:tab/>
        <w:t>(b)</w:t>
      </w:r>
      <w:r>
        <w:tab/>
        <w:t>the relevant policies, plans and programs to be considered in the strategic environmental assessment;</w:t>
      </w:r>
    </w:p>
    <w:p w:rsidR="00BA29FF" w:rsidRDefault="00BA29FF">
      <w:pPr>
        <w:pStyle w:val="Apara"/>
      </w:pPr>
      <w:r>
        <w:tab/>
        <w:t>(c)</w:t>
      </w:r>
      <w:r>
        <w:tab/>
        <w:t>the methods to be used in the strategic environmental assessment, including—</w:t>
      </w:r>
    </w:p>
    <w:p w:rsidR="00BA29FF" w:rsidRDefault="00BA29FF">
      <w:pPr>
        <w:pStyle w:val="Asubpara"/>
      </w:pPr>
      <w:r>
        <w:tab/>
        <w:t>(i)</w:t>
      </w:r>
      <w:r>
        <w:tab/>
        <w:t>assessment requirements; and</w:t>
      </w:r>
    </w:p>
    <w:p w:rsidR="00BA29FF" w:rsidRDefault="00BA29FF">
      <w:pPr>
        <w:pStyle w:val="Asubpara"/>
      </w:pPr>
      <w:r>
        <w:tab/>
        <w:t>(ii)</w:t>
      </w:r>
      <w:r>
        <w:tab/>
        <w:t>indicators to be used; and</w:t>
      </w:r>
    </w:p>
    <w:p w:rsidR="00BA29FF" w:rsidRDefault="00BA29FF">
      <w:pPr>
        <w:pStyle w:val="Asubpara"/>
      </w:pPr>
      <w:r>
        <w:tab/>
        <w:t>(iii)</w:t>
      </w:r>
      <w:r>
        <w:tab/>
        <w:t>data requirements; and</w:t>
      </w:r>
    </w:p>
    <w:p w:rsidR="00BA29FF" w:rsidRDefault="00BA29FF">
      <w:pPr>
        <w:pStyle w:val="Asubpara"/>
      </w:pPr>
      <w:r>
        <w:tab/>
        <w:t>(iv)</w:t>
      </w:r>
      <w:r>
        <w:tab/>
        <w:t>the range of supporting studies to be considered, or to be commissioned;</w:t>
      </w:r>
    </w:p>
    <w:p w:rsidR="00BA29FF" w:rsidRDefault="00BA29FF">
      <w:pPr>
        <w:pStyle w:val="Apara"/>
      </w:pPr>
      <w:r>
        <w:lastRenderedPageBreak/>
        <w:tab/>
        <w:t>(d)</w:t>
      </w:r>
      <w:r>
        <w:tab/>
        <w:t>the key environmental issues to be addressed in the strategic environmental assessment.</w:t>
      </w:r>
    </w:p>
    <w:p w:rsidR="00BA29FF" w:rsidRDefault="00BA29FF">
      <w:pPr>
        <w:pStyle w:val="AH5Sec"/>
      </w:pPr>
      <w:bookmarkStart w:id="19" w:name="_Toc206921208"/>
      <w:r>
        <w:rPr>
          <w:rStyle w:val="CharSectNo"/>
        </w:rPr>
        <w:t>14</w:t>
      </w:r>
      <w:r>
        <w:tab/>
        <w:t>Stage C—assessing environmental benefits and impacts</w:t>
      </w:r>
      <w:bookmarkEnd w:id="19"/>
    </w:p>
    <w:p w:rsidR="00BA29FF" w:rsidRDefault="00BA29FF">
      <w:pPr>
        <w:pStyle w:val="Amainreturn"/>
      </w:pPr>
      <w:r>
        <w:t>A person developing a strategic environmental assessment must, in completing stage C, assess the environmental benefits and impacts of the proposal by—</w:t>
      </w:r>
    </w:p>
    <w:p w:rsidR="00BA29FF" w:rsidRDefault="00BA29FF">
      <w:pPr>
        <w:pStyle w:val="Apara"/>
        <w:keepNext/>
      </w:pPr>
      <w:r>
        <w:tab/>
        <w:t>(a)</w:t>
      </w:r>
      <w:r>
        <w:tab/>
        <w:t>assessing the effects of the proposal against the SEA scoping document having regard to the following:</w:t>
      </w:r>
    </w:p>
    <w:p w:rsidR="00BA29FF" w:rsidRDefault="00BA29FF">
      <w:pPr>
        <w:pStyle w:val="aNotepar"/>
      </w:pPr>
      <w:r>
        <w:rPr>
          <w:rStyle w:val="charItals"/>
        </w:rPr>
        <w:t>Note</w:t>
      </w:r>
      <w:r>
        <w:rPr>
          <w:rStyle w:val="charItals"/>
        </w:rPr>
        <w:tab/>
      </w:r>
      <w:r>
        <w:t>The SEA scoping document is prepared in stage B (see s 13).</w:t>
      </w:r>
    </w:p>
    <w:p w:rsidR="00BA29FF" w:rsidRDefault="00BA29FF">
      <w:pPr>
        <w:pStyle w:val="Asubpara"/>
      </w:pPr>
      <w:r>
        <w:tab/>
        <w:t>(i)</w:t>
      </w:r>
      <w:r>
        <w:tab/>
        <w:t>the probability, duration, frequency and reversibility of the effects of the proposal;</w:t>
      </w:r>
    </w:p>
    <w:p w:rsidR="00BA29FF" w:rsidRDefault="00BA29FF">
      <w:pPr>
        <w:pStyle w:val="Asubpara"/>
      </w:pPr>
      <w:r>
        <w:tab/>
        <w:t>(ii)</w:t>
      </w:r>
      <w:r>
        <w:tab/>
        <w:t>the cumulative nature of the effects of the proposal, both positive and negative, and any identified alternatives to the proposal;</w:t>
      </w:r>
    </w:p>
    <w:p w:rsidR="00BA29FF" w:rsidRDefault="00BA29FF">
      <w:pPr>
        <w:pStyle w:val="Asubpara"/>
      </w:pPr>
      <w:r>
        <w:tab/>
        <w:t>(iii)</w:t>
      </w:r>
      <w:r>
        <w:tab/>
        <w:t>whether the effects of the proposal are likely to extend outside the ACT;</w:t>
      </w:r>
    </w:p>
    <w:p w:rsidR="00BA29FF" w:rsidRDefault="00BA29FF">
      <w:pPr>
        <w:pStyle w:val="Asubpara"/>
      </w:pPr>
      <w:r>
        <w:tab/>
        <w:t>(iv)</w:t>
      </w:r>
      <w:r>
        <w:tab/>
        <w:t>the risks to any identified environmental values;</w:t>
      </w:r>
    </w:p>
    <w:p w:rsidR="00BA29FF" w:rsidRDefault="00BA29FF">
      <w:pPr>
        <w:pStyle w:val="aExamHdgsubpar"/>
      </w:pPr>
      <w:r>
        <w:t>Examples—identified environment values</w:t>
      </w:r>
    </w:p>
    <w:p w:rsidR="00BA29FF" w:rsidRDefault="00BA29FF">
      <w:pPr>
        <w:pStyle w:val="aExamsubpar"/>
        <w:tabs>
          <w:tab w:val="left" w:pos="2565"/>
        </w:tabs>
        <w:ind w:left="2565" w:hanging="425"/>
      </w:pPr>
      <w:r>
        <w:t>1</w:t>
      </w:r>
      <w:r>
        <w:tab/>
        <w:t>environmental values identified in the SEA scoping document</w:t>
      </w:r>
    </w:p>
    <w:p w:rsidR="00BA29FF" w:rsidRDefault="00BA29FF">
      <w:pPr>
        <w:pStyle w:val="aExamsubpar"/>
        <w:keepNext/>
        <w:tabs>
          <w:tab w:val="left" w:pos="2560"/>
        </w:tabs>
        <w:ind w:left="2560" w:hanging="420"/>
      </w:pPr>
      <w:r>
        <w:t>2</w:t>
      </w:r>
      <w:r>
        <w:tab/>
        <w:t>environmental values identified or targeted in relevant:</w:t>
      </w:r>
    </w:p>
    <w:p w:rsidR="00BA29FF" w:rsidRDefault="00BA29FF">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BA29FF" w:rsidRDefault="00BA29FF">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BA29FF" w:rsidRDefault="00BA29FF">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BA29FF" w:rsidRDefault="00BA29F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BA29FF" w:rsidRDefault="00BA29FF">
      <w:pPr>
        <w:pStyle w:val="Asubpara"/>
      </w:pPr>
      <w:r>
        <w:tab/>
        <w:t>(v)</w:t>
      </w:r>
      <w:r>
        <w:tab/>
        <w:t>the magnitude and spatial extent of the effects of the proposal;</w:t>
      </w:r>
    </w:p>
    <w:p w:rsidR="00BA29FF" w:rsidRDefault="00BA29FF">
      <w:pPr>
        <w:pStyle w:val="Asubpara"/>
      </w:pPr>
      <w:r>
        <w:lastRenderedPageBreak/>
        <w:tab/>
        <w:t>(vi)</w:t>
      </w:r>
      <w:r>
        <w:tab/>
        <w:t>the effects of the proposal on areas or landscapes that have a recognised local, regional or national protection status; and</w:t>
      </w:r>
    </w:p>
    <w:p w:rsidR="00BA29FF" w:rsidRDefault="00BA29FF">
      <w:pPr>
        <w:pStyle w:val="Apara"/>
      </w:pPr>
      <w:r>
        <w:tab/>
        <w:t>(b)</w:t>
      </w:r>
      <w:r>
        <w:tab/>
        <w:t>considering how the environmental impacts can be managed through mitigation, offsetting, avoidance or another way.</w:t>
      </w:r>
    </w:p>
    <w:p w:rsidR="00BA29FF" w:rsidRDefault="00BA29FF">
      <w:pPr>
        <w:pStyle w:val="AH5Sec"/>
      </w:pPr>
      <w:bookmarkStart w:id="20" w:name="_Toc206921209"/>
      <w:r>
        <w:rPr>
          <w:rStyle w:val="CharSectNo"/>
        </w:rPr>
        <w:t>15</w:t>
      </w:r>
      <w:r>
        <w:tab/>
        <w:t>Stage D—consultation</w:t>
      </w:r>
      <w:bookmarkEnd w:id="20"/>
    </w:p>
    <w:p w:rsidR="00BA29FF" w:rsidRDefault="00BA29FF">
      <w:pPr>
        <w:pStyle w:val="Amain"/>
      </w:pPr>
      <w:r>
        <w:tab/>
        <w:t>(1)</w:t>
      </w:r>
      <w:r>
        <w:tab/>
        <w:t>A person developing a strategic environmental assessment must, in completing stage D, carry out consultation about the strategic environmental assessment by—</w:t>
      </w:r>
    </w:p>
    <w:p w:rsidR="00BA29FF" w:rsidRDefault="00BA29FF">
      <w:pPr>
        <w:pStyle w:val="Apara"/>
      </w:pPr>
      <w:r>
        <w:tab/>
        <w:t>(a)</w:t>
      </w:r>
      <w:r>
        <w:tab/>
        <w:t xml:space="preserve">preparing a plan (a </w:t>
      </w:r>
      <w:r>
        <w:rPr>
          <w:rStyle w:val="charBoldItals"/>
        </w:rPr>
        <w:t>consultation plan</w:t>
      </w:r>
      <w:r>
        <w:t>) for the consultation; and</w:t>
      </w:r>
    </w:p>
    <w:p w:rsidR="00BA29FF" w:rsidRDefault="00BA29FF">
      <w:pPr>
        <w:pStyle w:val="aNotepar"/>
      </w:pPr>
      <w:r>
        <w:rPr>
          <w:rStyle w:val="charItals"/>
        </w:rPr>
        <w:t>Note</w:t>
      </w:r>
      <w:r>
        <w:rPr>
          <w:rStyle w:val="charItals"/>
        </w:rPr>
        <w:tab/>
      </w:r>
      <w:r>
        <w:t>The consultation plan must be agreed to by either the Minister or chief planning executive (see s (3)).</w:t>
      </w:r>
    </w:p>
    <w:p w:rsidR="00BA29FF" w:rsidRDefault="00BA29FF">
      <w:pPr>
        <w:pStyle w:val="Apara"/>
      </w:pPr>
      <w:r>
        <w:tab/>
        <w:t>(b)</w:t>
      </w:r>
      <w:r>
        <w:tab/>
        <w:t>carrying out consultation in accordance with the consultation plan; and</w:t>
      </w:r>
    </w:p>
    <w:p w:rsidR="00BA29FF" w:rsidRDefault="00BA29FF">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BA29FF" w:rsidRDefault="00BA29FF">
      <w:pPr>
        <w:pStyle w:val="Amain"/>
      </w:pPr>
      <w:r>
        <w:tab/>
        <w:t>(2)</w:t>
      </w:r>
      <w:r>
        <w:tab/>
        <w:t>The consultation plan must—</w:t>
      </w:r>
    </w:p>
    <w:p w:rsidR="00BA29FF" w:rsidRDefault="00BA29FF">
      <w:pPr>
        <w:pStyle w:val="Apara"/>
      </w:pPr>
      <w:r>
        <w:tab/>
        <w:t>(a)</w:t>
      </w:r>
      <w:r>
        <w:tab/>
        <w:t>identify the approach to be taken for public consultation; and</w:t>
      </w:r>
    </w:p>
    <w:p w:rsidR="00BA29FF" w:rsidRDefault="00BA29FF">
      <w:pPr>
        <w:pStyle w:val="Apara"/>
      </w:pPr>
      <w:r>
        <w:tab/>
        <w:t>(b)</w:t>
      </w:r>
      <w:r>
        <w:tab/>
        <w:t>include a list of stakeholders.</w:t>
      </w:r>
    </w:p>
    <w:p w:rsidR="00BA29FF" w:rsidRDefault="00BA29FF">
      <w:pPr>
        <w:pStyle w:val="Amain"/>
        <w:keepNext/>
      </w:pPr>
      <w:r>
        <w:tab/>
        <w:t>(3)</w:t>
      </w:r>
      <w:r>
        <w:tab/>
        <w:t>Before carrying out the consultation, the person must have the following person’s agreement to the consultation plan:</w:t>
      </w:r>
    </w:p>
    <w:p w:rsidR="00BA29FF" w:rsidRDefault="00BA29FF">
      <w:pPr>
        <w:pStyle w:val="Apara"/>
      </w:pPr>
      <w:r>
        <w:tab/>
        <w:t>(a)</w:t>
      </w:r>
      <w:r>
        <w:tab/>
        <w:t>for a strategic environmental assessment prepared at the Minister’s direction under the Act, section 100 (1) (Preparation of strategic environmental assessments)—the Minister;</w:t>
      </w:r>
    </w:p>
    <w:p w:rsidR="00BA29FF" w:rsidRDefault="00BA29FF">
      <w:pPr>
        <w:pStyle w:val="Apara"/>
      </w:pPr>
      <w:r>
        <w:tab/>
        <w:t>(b)</w:t>
      </w:r>
      <w:r>
        <w:tab/>
        <w:t>for a strategic environmental assessment prepared under the Act, section 100 (2) or section 103 (2) (Review of territory plan)—the chief planning executive.</w:t>
      </w:r>
    </w:p>
    <w:p w:rsidR="00BA29FF" w:rsidRDefault="00BA29FF">
      <w:pPr>
        <w:pStyle w:val="AH5Sec"/>
      </w:pPr>
      <w:bookmarkStart w:id="21" w:name="_Toc206921210"/>
      <w:r>
        <w:rPr>
          <w:rStyle w:val="CharSectNo"/>
        </w:rPr>
        <w:lastRenderedPageBreak/>
        <w:t>16</w:t>
      </w:r>
      <w:r>
        <w:tab/>
        <w:t>Stage E—monitoring</w:t>
      </w:r>
      <w:bookmarkEnd w:id="21"/>
    </w:p>
    <w:p w:rsidR="00BA29FF" w:rsidRDefault="00BA29FF">
      <w:pPr>
        <w:pStyle w:val="Amainreturn"/>
      </w:pPr>
      <w:r>
        <w:t>A person developing a strategic environmental assessment must, in completing stage E, monitor the strategic environmental assessment by—</w:t>
      </w:r>
    </w:p>
    <w:p w:rsidR="00BA29FF" w:rsidRDefault="00BA29FF">
      <w:pPr>
        <w:pStyle w:val="Apara"/>
      </w:pPr>
      <w:r>
        <w:tab/>
        <w:t>(a)</w:t>
      </w:r>
      <w:r>
        <w:tab/>
        <w:t>developing a monitoring plan; and</w:t>
      </w:r>
    </w:p>
    <w:p w:rsidR="00BA29FF" w:rsidRDefault="00BA29FF">
      <w:pPr>
        <w:pStyle w:val="Apara"/>
      </w:pPr>
      <w:r>
        <w:tab/>
        <w:t>(b)</w:t>
      </w:r>
      <w:r>
        <w:tab/>
        <w:t>if required by the monitoring plan—establishing a monitoring regime; and</w:t>
      </w:r>
    </w:p>
    <w:p w:rsidR="00BA29FF" w:rsidRDefault="00BA29FF">
      <w:pPr>
        <w:pStyle w:val="Apara"/>
        <w:keepNext/>
      </w:pPr>
      <w:r>
        <w:tab/>
        <w:t>(c)</w:t>
      </w:r>
      <w:r>
        <w:tab/>
        <w:t>if appropriate—carrying out remedial action.</w:t>
      </w:r>
    </w:p>
    <w:p w:rsidR="00BA29FF" w:rsidRDefault="00BA29FF">
      <w:pPr>
        <w:pStyle w:val="aNote"/>
      </w:pPr>
      <w:r>
        <w:rPr>
          <w:rStyle w:val="charItals"/>
        </w:rPr>
        <w:t>Note</w:t>
      </w:r>
      <w:r>
        <w:rPr>
          <w:rStyle w:val="charItals"/>
        </w:rPr>
        <w:tab/>
      </w:r>
      <w:r>
        <w:t>This stage is required only if a decision is made at stage C that monitoring is required (see s 11).</w:t>
      </w:r>
    </w:p>
    <w:p w:rsidR="00BA29FF" w:rsidRDefault="00BA29FF">
      <w:pPr>
        <w:pStyle w:val="AH5Sec"/>
      </w:pPr>
      <w:bookmarkStart w:id="22" w:name="_Toc206921211"/>
      <w:r>
        <w:rPr>
          <w:rStyle w:val="CharSectNo"/>
        </w:rPr>
        <w:t>17</w:t>
      </w:r>
      <w:r>
        <w:tab/>
        <w:t>Contents of strategic environmental assessments—Act, s 101 (b)</w:t>
      </w:r>
      <w:bookmarkEnd w:id="22"/>
    </w:p>
    <w:p w:rsidR="00BA29FF" w:rsidRDefault="00BA29FF">
      <w:pPr>
        <w:pStyle w:val="Amain"/>
        <w:keepNext/>
      </w:pPr>
      <w:r>
        <w:tab/>
        <w:t>(1)</w:t>
      </w:r>
      <w:r>
        <w:tab/>
        <w:t>A strategic environmental assessment must contain the following:</w:t>
      </w:r>
    </w:p>
    <w:p w:rsidR="00BA29FF" w:rsidRDefault="00BA29FF">
      <w:pPr>
        <w:pStyle w:val="Apara"/>
      </w:pPr>
      <w:r>
        <w:tab/>
        <w:t>(a)</w:t>
      </w:r>
      <w:r>
        <w:tab/>
        <w:t>a non-technical summary of the strategic environmental assessment, including a summary of the recommendations;</w:t>
      </w:r>
    </w:p>
    <w:p w:rsidR="00BA29FF" w:rsidRDefault="00BA29FF">
      <w:pPr>
        <w:pStyle w:val="Apara"/>
      </w:pPr>
      <w:r>
        <w:tab/>
        <w:t>(b)</w:t>
      </w:r>
      <w:r>
        <w:tab/>
        <w:t>an outline of—</w:t>
      </w:r>
    </w:p>
    <w:p w:rsidR="00BA29FF" w:rsidRDefault="00BA29FF">
      <w:pPr>
        <w:pStyle w:val="Asubpara"/>
      </w:pPr>
      <w:r>
        <w:tab/>
        <w:t>(i)</w:t>
      </w:r>
      <w:r>
        <w:tab/>
        <w:t>the content of the proposal; and</w:t>
      </w:r>
    </w:p>
    <w:p w:rsidR="00BA29FF" w:rsidRDefault="00BA29FF">
      <w:pPr>
        <w:pStyle w:val="Asubpara"/>
      </w:pPr>
      <w:r>
        <w:tab/>
        <w:t>(ii)</w:t>
      </w:r>
      <w:r>
        <w:tab/>
        <w:t>the main objectives of the proposal; and</w:t>
      </w:r>
    </w:p>
    <w:p w:rsidR="00BA29FF" w:rsidRDefault="00BA29FF">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BA29FF" w:rsidRDefault="00BA29F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BA29FF" w:rsidRDefault="00BA29FF">
      <w:pPr>
        <w:pStyle w:val="Apara"/>
      </w:pPr>
      <w:r>
        <w:tab/>
        <w:t>(c)</w:t>
      </w:r>
      <w:r>
        <w:tab/>
        <w:t>a description, including a description of the environmental, social and economic characteristics of—</w:t>
      </w:r>
    </w:p>
    <w:p w:rsidR="00BA29FF" w:rsidRDefault="00BA29FF">
      <w:pPr>
        <w:pStyle w:val="Asubpara"/>
      </w:pPr>
      <w:r>
        <w:tab/>
        <w:t>(i)</w:t>
      </w:r>
      <w:r>
        <w:tab/>
        <w:t>the area covered by the proposal; and</w:t>
      </w:r>
    </w:p>
    <w:p w:rsidR="00BA29FF" w:rsidRDefault="00BA29FF">
      <w:pPr>
        <w:pStyle w:val="Asubpara"/>
      </w:pPr>
      <w:r>
        <w:tab/>
        <w:t>(ii)</w:t>
      </w:r>
      <w:r>
        <w:tab/>
        <w:t>the region around the area covered by the proposal;</w:t>
      </w:r>
    </w:p>
    <w:p w:rsidR="00BA29FF" w:rsidRDefault="00BA29FF">
      <w:pPr>
        <w:pStyle w:val="Apara"/>
      </w:pPr>
      <w:r>
        <w:lastRenderedPageBreak/>
        <w:tab/>
        <w:t>(d)</w:t>
      </w:r>
      <w:r>
        <w:tab/>
        <w:t>a description of the environmental characteristics of any area likely to be significantly affected by the proposal, including—</w:t>
      </w:r>
    </w:p>
    <w:p w:rsidR="00BA29FF" w:rsidRDefault="00BA29FF">
      <w:pPr>
        <w:pStyle w:val="Asubpara"/>
      </w:pPr>
      <w:r>
        <w:tab/>
        <w:t>(i)</w:t>
      </w:r>
      <w:r>
        <w:tab/>
        <w:t>any existing environmental issues that are relevant to the proposal, including those relating to any areas of particular environmental importance; and</w:t>
      </w:r>
    </w:p>
    <w:p w:rsidR="00BA29FF" w:rsidRDefault="00BA29FF">
      <w:pPr>
        <w:pStyle w:val="Asubpara"/>
      </w:pPr>
      <w:r>
        <w:tab/>
        <w:t>(ii)</w:t>
      </w:r>
      <w:r>
        <w:tab/>
        <w:t>any plans to improve environmental management objectives relating to territory and national legislation and agreed policies;</w:t>
      </w:r>
    </w:p>
    <w:p w:rsidR="00BA29FF" w:rsidRDefault="00BA29FF">
      <w:pPr>
        <w:pStyle w:val="aExamHdgsubpar"/>
      </w:pPr>
      <w:r>
        <w:t>Examples—policies</w:t>
      </w:r>
    </w:p>
    <w:p w:rsidR="00BA29FF" w:rsidRDefault="00BA29FF">
      <w:pPr>
        <w:pStyle w:val="aExamsubpar"/>
        <w:tabs>
          <w:tab w:val="left" w:pos="2565"/>
        </w:tabs>
      </w:pPr>
      <w:r>
        <w:t>1</w:t>
      </w:r>
      <w:r>
        <w:tab/>
        <w:t>climate change policy</w:t>
      </w:r>
    </w:p>
    <w:p w:rsidR="00BA29FF" w:rsidRDefault="00BA29FF">
      <w:pPr>
        <w:pStyle w:val="aExamsubpar"/>
        <w:tabs>
          <w:tab w:val="left" w:pos="2565"/>
        </w:tabs>
      </w:pPr>
      <w:r>
        <w:t>2</w:t>
      </w:r>
      <w:r>
        <w:tab/>
        <w:t>COAG climate change adaptation framework</w:t>
      </w:r>
    </w:p>
    <w:p w:rsidR="00BA29FF" w:rsidRDefault="00BA29FF">
      <w:pPr>
        <w:pStyle w:val="Apara"/>
      </w:pPr>
      <w:r>
        <w:tab/>
        <w:t>(e)</w:t>
      </w:r>
      <w:r>
        <w:tab/>
        <w:t>details of all processes and methods used in the strategic environmental assessment;</w:t>
      </w:r>
    </w:p>
    <w:p w:rsidR="00BA29FF" w:rsidRDefault="00BA29FF">
      <w:pPr>
        <w:pStyle w:val="Apara"/>
      </w:pPr>
      <w:r>
        <w:tab/>
        <w:t>(f)</w:t>
      </w:r>
      <w:r>
        <w:tab/>
        <w:t>an assessment of the likely environmental effects of the proposal, including the results and findings of the matters identified in the SEA scoping document;</w:t>
      </w:r>
    </w:p>
    <w:p w:rsidR="00BA29FF" w:rsidRDefault="00BA29FF">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BA29FF" w:rsidRDefault="00BA29FF">
      <w:pPr>
        <w:pStyle w:val="Apara"/>
      </w:pPr>
      <w:r>
        <w:tab/>
        <w:t>(g)</w:t>
      </w:r>
      <w:r>
        <w:tab/>
        <w:t>a discussion of the alternatives for the proposal including—</w:t>
      </w:r>
    </w:p>
    <w:p w:rsidR="00BA29FF" w:rsidRDefault="00BA29FF">
      <w:pPr>
        <w:pStyle w:val="Asubpara"/>
      </w:pPr>
      <w:r>
        <w:tab/>
        <w:t>(i)</w:t>
      </w:r>
      <w:r>
        <w:tab/>
        <w:t>an outline of the reasons for selecting, or not selecting, the alternatives; and</w:t>
      </w:r>
    </w:p>
    <w:p w:rsidR="00BA29FF" w:rsidRDefault="00BA29FF">
      <w:pPr>
        <w:pStyle w:val="Asubpara"/>
      </w:pPr>
      <w:r>
        <w:tab/>
        <w:t>(ii)</w:t>
      </w:r>
      <w:r>
        <w:tab/>
        <w:t>a description of how the alternatives were assessed; and</w:t>
      </w:r>
    </w:p>
    <w:p w:rsidR="00BA29FF" w:rsidRDefault="00BA29FF">
      <w:pPr>
        <w:pStyle w:val="Asubpara"/>
      </w:pPr>
      <w:r>
        <w:tab/>
        <w:t>(iii)</w:t>
      </w:r>
      <w:r>
        <w:tab/>
        <w:t>details of any difficulties in assessing the alternatives;</w:t>
      </w:r>
    </w:p>
    <w:p w:rsidR="00BA29FF" w:rsidRDefault="00BA29FF">
      <w:pPr>
        <w:pStyle w:val="aExamHdgsubpar"/>
      </w:pPr>
      <w:r>
        <w:t>Examples—difficulties</w:t>
      </w:r>
    </w:p>
    <w:p w:rsidR="00BA29FF" w:rsidRDefault="00BA29FF">
      <w:pPr>
        <w:pStyle w:val="aExamINumpar"/>
        <w:tabs>
          <w:tab w:val="clear" w:pos="2000"/>
          <w:tab w:val="left" w:pos="2508"/>
        </w:tabs>
        <w:ind w:left="2508" w:hanging="342"/>
      </w:pPr>
      <w:r>
        <w:t>1</w:t>
      </w:r>
      <w:r>
        <w:tab/>
        <w:t>technical deficiencies</w:t>
      </w:r>
    </w:p>
    <w:p w:rsidR="00BA29FF" w:rsidRDefault="00BA29FF">
      <w:pPr>
        <w:pStyle w:val="aExamINumpar"/>
        <w:tabs>
          <w:tab w:val="clear" w:pos="2000"/>
          <w:tab w:val="left" w:pos="2508"/>
        </w:tabs>
        <w:ind w:left="2508" w:hanging="342"/>
      </w:pPr>
      <w:r>
        <w:t>2</w:t>
      </w:r>
      <w:r>
        <w:tab/>
        <w:t>lack of expertise</w:t>
      </w:r>
    </w:p>
    <w:p w:rsidR="00BA29FF" w:rsidRDefault="00BA29FF">
      <w:pPr>
        <w:pStyle w:val="aNotesubpar"/>
      </w:pPr>
      <w:r>
        <w:rPr>
          <w:rStyle w:val="charItals"/>
        </w:rPr>
        <w:t>Note</w:t>
      </w:r>
      <w:r>
        <w:rPr>
          <w:rStyle w:val="charItals"/>
        </w:rPr>
        <w:tab/>
      </w:r>
      <w:r>
        <w:t>Development of alternatives is carried out in stage B (see s 13).</w:t>
      </w:r>
    </w:p>
    <w:p w:rsidR="00BA29FF" w:rsidRDefault="00BA29FF">
      <w:pPr>
        <w:pStyle w:val="Apara"/>
      </w:pPr>
      <w:r>
        <w:lastRenderedPageBreak/>
        <w:tab/>
        <w:t>(h)</w:t>
      </w:r>
      <w:r>
        <w:tab/>
        <w:t>the measures proposed to avoid or manage any significant adverse environmental effects of implementing the proposal, including a description of any measures required for monitoring;</w:t>
      </w:r>
    </w:p>
    <w:p w:rsidR="00BA29FF" w:rsidRDefault="00BA29FF">
      <w:pPr>
        <w:pStyle w:val="Apara"/>
      </w:pPr>
      <w:r>
        <w:tab/>
        <w:t>(i)</w:t>
      </w:r>
      <w:r>
        <w:tab/>
        <w:t>recommendations about how conclusions of the strategic environmental assessment should be considered in future planning.</w:t>
      </w:r>
    </w:p>
    <w:p w:rsidR="00BA29FF" w:rsidRDefault="00BA29FF">
      <w:pPr>
        <w:pStyle w:val="Amain"/>
        <w:keepNext/>
      </w:pPr>
      <w:r>
        <w:tab/>
        <w:t>(2)</w:t>
      </w:r>
      <w:r>
        <w:tab/>
        <w:t>The following documents must be attached to the strategic environmental assessment:</w:t>
      </w:r>
    </w:p>
    <w:p w:rsidR="00BA29FF" w:rsidRDefault="00BA29FF">
      <w:pPr>
        <w:pStyle w:val="Apara"/>
      </w:pPr>
      <w:r>
        <w:tab/>
        <w:t>(a)</w:t>
      </w:r>
      <w:r>
        <w:tab/>
        <w:t>the SEA scoping document;</w:t>
      </w:r>
    </w:p>
    <w:p w:rsidR="00BA29FF" w:rsidRDefault="00BA29FF">
      <w:pPr>
        <w:pStyle w:val="Apara"/>
      </w:pPr>
      <w:r>
        <w:tab/>
        <w:t>(b)</w:t>
      </w:r>
      <w:r>
        <w:tab/>
        <w:t>the consultation plan;</w:t>
      </w:r>
    </w:p>
    <w:p w:rsidR="00BA29FF" w:rsidRDefault="00BA29FF">
      <w:pPr>
        <w:pStyle w:val="Apara"/>
        <w:keepNext/>
      </w:pPr>
      <w:r>
        <w:tab/>
        <w:t>(c)</w:t>
      </w:r>
      <w:r>
        <w:tab/>
        <w:t>the consultation report.</w:t>
      </w:r>
    </w:p>
    <w:p w:rsidR="00BA29FF" w:rsidRDefault="00BA29FF">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BA29FF" w:rsidRDefault="00BA29FF">
      <w:pPr>
        <w:pStyle w:val="PageBreak"/>
      </w:pPr>
      <w:r>
        <w:br w:type="page"/>
      </w:r>
    </w:p>
    <w:p w:rsidR="00BA29FF" w:rsidRDefault="00BA29FF">
      <w:pPr>
        <w:pStyle w:val="AH1Chapter"/>
      </w:pPr>
      <w:bookmarkStart w:id="23" w:name="_Toc206921212"/>
      <w:r>
        <w:rPr>
          <w:rStyle w:val="CharChapNo"/>
        </w:rPr>
        <w:lastRenderedPageBreak/>
        <w:t>Chapter 3</w:t>
      </w:r>
      <w:r>
        <w:tab/>
      </w:r>
      <w:r>
        <w:rPr>
          <w:rStyle w:val="CharChapText"/>
        </w:rPr>
        <w:t>Development approvals</w:t>
      </w:r>
      <w:bookmarkEnd w:id="23"/>
    </w:p>
    <w:p w:rsidR="00BA29FF" w:rsidRDefault="00BA29FF">
      <w:pPr>
        <w:pStyle w:val="AH2Part"/>
      </w:pPr>
      <w:bookmarkStart w:id="24" w:name="_Toc206921213"/>
      <w:r>
        <w:rPr>
          <w:rStyle w:val="CharPartNo"/>
        </w:rPr>
        <w:t>Part 3.1</w:t>
      </w:r>
      <w:r>
        <w:tab/>
      </w:r>
      <w:r>
        <w:rPr>
          <w:rStyle w:val="CharPartText"/>
        </w:rPr>
        <w:t>Exemptions from requirement for development approval</w:t>
      </w:r>
      <w:bookmarkEnd w:id="24"/>
    </w:p>
    <w:p w:rsidR="00BA29FF" w:rsidRDefault="00BA29FF">
      <w:pPr>
        <w:pStyle w:val="AH5Sec"/>
        <w:rPr>
          <w:lang w:val="en-US"/>
        </w:rPr>
      </w:pPr>
      <w:bookmarkStart w:id="25" w:name="_Toc206921214"/>
      <w:r>
        <w:rPr>
          <w:rStyle w:val="CharSectNo"/>
        </w:rPr>
        <w:t>20</w:t>
      </w:r>
      <w:r>
        <w:rPr>
          <w:lang w:val="en-US"/>
        </w:rPr>
        <w:tab/>
        <w:t xml:space="preserve">Exempt developments—Act, s 133, def </w:t>
      </w:r>
      <w:r>
        <w:rPr>
          <w:rStyle w:val="charItals"/>
        </w:rPr>
        <w:t>exempt development</w:t>
      </w:r>
      <w:r>
        <w:rPr>
          <w:lang w:val="en-US"/>
        </w:rPr>
        <w:t>, par (c)</w:t>
      </w:r>
      <w:bookmarkEnd w:id="25"/>
    </w:p>
    <w:p w:rsidR="00BA29FF" w:rsidRDefault="00BA29FF">
      <w:pPr>
        <w:pStyle w:val="Amain"/>
      </w:pPr>
      <w:r>
        <w:tab/>
        <w:t>(1)</w:t>
      </w:r>
      <w:r>
        <w:tab/>
        <w:t xml:space="preserve">Development that complies with schedule 1 (Exemptions from requirement for development approval) is exempt from requiring development approval. </w:t>
      </w:r>
    </w:p>
    <w:p w:rsidR="00BA29FF" w:rsidRDefault="00BA29FF">
      <w:pPr>
        <w:pStyle w:val="aNote"/>
      </w:pPr>
      <w:r>
        <w:rPr>
          <w:rStyle w:val="charItals"/>
        </w:rPr>
        <w:t>Note</w:t>
      </w:r>
      <w:r>
        <w:rPr>
          <w:rStyle w:val="charItals"/>
        </w:rPr>
        <w:tab/>
      </w:r>
      <w:r>
        <w:t>For other exemptions, see the Act, div 7.2.6 (Exempt development).</w:t>
      </w:r>
    </w:p>
    <w:p w:rsidR="00BA29FF" w:rsidRDefault="00BA29FF">
      <w:pPr>
        <w:pStyle w:val="Amain"/>
        <w:rPr>
          <w:lang w:val="en-US"/>
        </w:rPr>
      </w:pPr>
      <w:r>
        <w:rPr>
          <w:lang w:val="en-US"/>
        </w:rPr>
        <w:tab/>
        <w:t>(2)</w:t>
      </w:r>
      <w:r>
        <w:rPr>
          <w:lang w:val="en-US"/>
        </w:rPr>
        <w:tab/>
      </w:r>
      <w:r>
        <w:t>Also, development is exempt from requiring development approval if—</w:t>
      </w:r>
    </w:p>
    <w:p w:rsidR="00BA29FF" w:rsidRDefault="00BA29FF">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BA29FF" w:rsidRDefault="00BA29FF">
      <w:pPr>
        <w:pStyle w:val="Apara"/>
        <w:rPr>
          <w:lang w:val="en-US"/>
        </w:rPr>
      </w:pPr>
      <w:r>
        <w:rPr>
          <w:lang w:val="en-US"/>
        </w:rPr>
        <w:tab/>
        <w:t>(b)</w:t>
      </w:r>
      <w:r>
        <w:rPr>
          <w:lang w:val="en-US"/>
        </w:rPr>
        <w:tab/>
        <w:t>the relevant matter complies with the criteria for the matter in schedule 1A; and</w:t>
      </w:r>
    </w:p>
    <w:p w:rsidR="00BA29FF" w:rsidRDefault="00BA29FF">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sch 1, s 1.2.</w:t>
      </w:r>
    </w:p>
    <w:p w:rsidR="00BA29FF" w:rsidRDefault="00BA29FF">
      <w:pPr>
        <w:pStyle w:val="aNote"/>
      </w:pPr>
      <w:r>
        <w:rPr>
          <w:i/>
          <w:iCs/>
        </w:rPr>
        <w:t>Note 2</w:t>
      </w:r>
      <w:r>
        <w:rPr>
          <w:i/>
          <w:iCs/>
        </w:rPr>
        <w:tab/>
      </w:r>
      <w:r>
        <w:rPr>
          <w:b/>
          <w:bCs/>
          <w:i/>
          <w:iCs/>
        </w:rPr>
        <w:t>General exemption criteria</w:t>
      </w:r>
      <w:r>
        <w:t>—see sch 1, s 1.10.</w:t>
      </w:r>
    </w:p>
    <w:p w:rsidR="00BA29FF" w:rsidRDefault="00BA29FF">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BA29FF" w:rsidRDefault="00BA29FF">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BA29FF" w:rsidRDefault="00BA29FF">
      <w:pPr>
        <w:pStyle w:val="aNote"/>
      </w:pPr>
      <w:r>
        <w:rPr>
          <w:i/>
        </w:rPr>
        <w:t>Note 5</w:t>
      </w:r>
      <w:r>
        <w:rPr>
          <w:i/>
        </w:rPr>
        <w:tab/>
      </w:r>
      <w:r>
        <w:t>The development must also comply with the lease for the land on which it is carried out.</w:t>
      </w:r>
    </w:p>
    <w:p w:rsidR="00BA29FF" w:rsidRDefault="00BA29FF">
      <w:pPr>
        <w:pStyle w:val="PageBreak"/>
      </w:pPr>
      <w:r>
        <w:lastRenderedPageBreak/>
        <w:br w:type="page"/>
      </w:r>
    </w:p>
    <w:p w:rsidR="00BA29FF" w:rsidRDefault="00BA29FF">
      <w:pPr>
        <w:pStyle w:val="AH2Part"/>
      </w:pPr>
      <w:bookmarkStart w:id="26" w:name="_Toc206921215"/>
      <w:r>
        <w:rPr>
          <w:rStyle w:val="CharPartNo"/>
        </w:rPr>
        <w:lastRenderedPageBreak/>
        <w:t>Part 3.2</w:t>
      </w:r>
      <w:r>
        <w:tab/>
      </w:r>
      <w:r>
        <w:rPr>
          <w:rStyle w:val="CharPartText"/>
        </w:rPr>
        <w:t>Development applications</w:t>
      </w:r>
      <w:bookmarkEnd w:id="26"/>
    </w:p>
    <w:p w:rsidR="00BA29FF" w:rsidRDefault="00BA29FF">
      <w:pPr>
        <w:pStyle w:val="AH5Sec"/>
      </w:pPr>
      <w:bookmarkStart w:id="27" w:name="_Toc206921216"/>
      <w:r>
        <w:rPr>
          <w:rStyle w:val="CharSectNo"/>
        </w:rPr>
        <w:t>25</w:t>
      </w:r>
      <w:r>
        <w:tab/>
        <w:t>When survey certificate not required for development applications—Act, s 139 (2) (j)</w:t>
      </w:r>
      <w:bookmarkEnd w:id="27"/>
    </w:p>
    <w:p w:rsidR="00BA29FF" w:rsidRDefault="00BA29FF">
      <w:pPr>
        <w:pStyle w:val="Amain"/>
      </w:pPr>
      <w:r>
        <w:tab/>
        <w:t>(1)</w:t>
      </w:r>
      <w:r>
        <w:tab/>
        <w:t>A survey certificate need not accompany a development application if the proposed development is—</w:t>
      </w:r>
    </w:p>
    <w:p w:rsidR="00BA29FF" w:rsidRDefault="00BA29FF">
      <w:pPr>
        <w:pStyle w:val="Apara"/>
      </w:pPr>
      <w:r>
        <w:tab/>
        <w:t>(a)</w:t>
      </w:r>
      <w:r>
        <w:tab/>
        <w:t>the demolition only of a building or structure; or</w:t>
      </w:r>
    </w:p>
    <w:p w:rsidR="00BA29FF" w:rsidRDefault="00BA29FF">
      <w:pPr>
        <w:pStyle w:val="aNotepar"/>
      </w:pPr>
      <w:r>
        <w:rPr>
          <w:rStyle w:val="charItals"/>
        </w:rPr>
        <w:t>Note</w:t>
      </w:r>
      <w:r>
        <w:rPr>
          <w:rStyle w:val="charItals"/>
        </w:rPr>
        <w:tab/>
      </w:r>
      <w:r>
        <w:rPr>
          <w:rStyle w:val="charBoldItals"/>
        </w:rPr>
        <w:t>Structure</w:t>
      </w:r>
      <w:r>
        <w:t>—see the Act, dictionary.</w:t>
      </w:r>
    </w:p>
    <w:p w:rsidR="00BA29FF" w:rsidRDefault="00BA29FF">
      <w:pPr>
        <w:pStyle w:val="Apara"/>
      </w:pPr>
      <w:r>
        <w:tab/>
        <w:t>(b)</w:t>
      </w:r>
      <w:r>
        <w:tab/>
        <w:t>public works on unleased land, or land leased to the Territory, if the works are—</w:t>
      </w:r>
    </w:p>
    <w:p w:rsidR="00BA29FF" w:rsidRDefault="00BA29FF">
      <w:pPr>
        <w:pStyle w:val="Asubpara"/>
      </w:pPr>
      <w:r>
        <w:tab/>
        <w:t>(i)</w:t>
      </w:r>
      <w:r>
        <w:tab/>
        <w:t>at least 50m from land in a residential zone; and</w:t>
      </w:r>
    </w:p>
    <w:p w:rsidR="00BA29FF" w:rsidRDefault="00BA29FF">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BA29FF" w:rsidRDefault="00BA29FF">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BA29FF" w:rsidRDefault="00BA29FF">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BA29FF" w:rsidRDefault="00BA29FF">
      <w:pPr>
        <w:pStyle w:val="Apara"/>
      </w:pPr>
      <w:r>
        <w:tab/>
        <w:t>(c)</w:t>
      </w:r>
      <w:r>
        <w:tab/>
        <w:t>a sign located completely within a lease; or</w:t>
      </w:r>
    </w:p>
    <w:p w:rsidR="00BA29FF" w:rsidRDefault="00BA29FF">
      <w:pPr>
        <w:pStyle w:val="Apara"/>
        <w:rPr>
          <w:b/>
          <w:bCs/>
        </w:rPr>
      </w:pPr>
      <w:r>
        <w:rPr>
          <w:bCs/>
        </w:rPr>
        <w:tab/>
        <w:t>(d)</w:t>
      </w:r>
      <w:r>
        <w:rPr>
          <w:bCs/>
        </w:rPr>
        <w:tab/>
      </w:r>
      <w:r>
        <w:t>the installation of an attachment to the roof of an existing building or structure if the attachment—</w:t>
      </w:r>
    </w:p>
    <w:p w:rsidR="00BA29FF" w:rsidRDefault="00BA29FF">
      <w:pPr>
        <w:pStyle w:val="Asubpara"/>
        <w:rPr>
          <w:b/>
          <w:bCs/>
        </w:rPr>
      </w:pPr>
      <w:r>
        <w:rPr>
          <w:bCs/>
        </w:rPr>
        <w:tab/>
        <w:t>(i)</w:t>
      </w:r>
      <w:r>
        <w:rPr>
          <w:bCs/>
        </w:rPr>
        <w:tab/>
      </w:r>
      <w:r>
        <w:t xml:space="preserve">does not extend more than 600mm beyond the existing building’s or structure’s plan area; and </w:t>
      </w:r>
    </w:p>
    <w:p w:rsidR="00BA29FF" w:rsidRDefault="00BA29FF">
      <w:pPr>
        <w:pStyle w:val="Asubpara"/>
        <w:rPr>
          <w:b/>
          <w:bCs/>
        </w:rPr>
      </w:pPr>
      <w:r>
        <w:rPr>
          <w:bCs/>
        </w:rPr>
        <w:tab/>
        <w:t>(ii)</w:t>
      </w:r>
      <w:r>
        <w:rPr>
          <w:bCs/>
        </w:rPr>
        <w:tab/>
      </w:r>
      <w:r>
        <w:t>is completely within the lease on which the existing building or structure stands.</w:t>
      </w:r>
    </w:p>
    <w:p w:rsidR="00BA29FF" w:rsidRDefault="00BA29FF">
      <w:pPr>
        <w:pStyle w:val="aNotepar"/>
      </w:pPr>
      <w:r>
        <w:rPr>
          <w:rStyle w:val="charItals"/>
        </w:rPr>
        <w:t>Note 1</w:t>
      </w:r>
      <w:r>
        <w:rPr>
          <w:rStyle w:val="charItals"/>
        </w:rPr>
        <w:tab/>
      </w:r>
      <w:r>
        <w:rPr>
          <w:rStyle w:val="charBoldItals"/>
        </w:rPr>
        <w:t>Attachment</w:t>
      </w:r>
      <w:r>
        <w:t>—see s (4).</w:t>
      </w:r>
      <w:r>
        <w:tab/>
      </w:r>
    </w:p>
    <w:p w:rsidR="00BA29FF" w:rsidRDefault="00BA29FF">
      <w:pPr>
        <w:pStyle w:val="aNotepar"/>
      </w:pPr>
      <w:r>
        <w:rPr>
          <w:rStyle w:val="charItals"/>
        </w:rPr>
        <w:t>Note 2</w:t>
      </w:r>
      <w:r>
        <w:rPr>
          <w:rStyle w:val="charItals"/>
        </w:rPr>
        <w:tab/>
      </w:r>
      <w:r>
        <w:rPr>
          <w:rStyle w:val="charBoldItals"/>
        </w:rPr>
        <w:t>Plan area</w:t>
      </w:r>
      <w:r>
        <w:t>—see the dictionary.</w:t>
      </w:r>
      <w:r>
        <w:tab/>
      </w:r>
    </w:p>
    <w:p w:rsidR="00BA29FF" w:rsidRDefault="00BA29FF">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BA29FF" w:rsidRDefault="00BA29FF">
      <w:pPr>
        <w:pStyle w:val="Apara"/>
      </w:pPr>
      <w:r>
        <w:tab/>
        <w:t>(a)</w:t>
      </w:r>
      <w:r>
        <w:tab/>
        <w:t>has a plan area of not more than 75m</w:t>
      </w:r>
      <w:r>
        <w:rPr>
          <w:vertAlign w:val="superscript"/>
        </w:rPr>
        <w:t>2</w:t>
      </w:r>
      <w:r>
        <w:t>; and</w:t>
      </w:r>
    </w:p>
    <w:p w:rsidR="00BA29FF" w:rsidRDefault="00BA29FF">
      <w:pPr>
        <w:pStyle w:val="Apara"/>
      </w:pPr>
      <w:r>
        <w:tab/>
        <w:t>(b)</w:t>
      </w:r>
      <w:r>
        <w:tab/>
        <w:t>is located completely within the lease on which the existing building or structure stands.</w:t>
      </w:r>
    </w:p>
    <w:p w:rsidR="00BA29FF" w:rsidRDefault="00BA29FF">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BA29FF" w:rsidRDefault="00BA29FF">
      <w:pPr>
        <w:pStyle w:val="Apara"/>
      </w:pPr>
      <w:r>
        <w:tab/>
        <w:t>(a)</w:t>
      </w:r>
      <w:r>
        <w:tab/>
        <w:t>has a plan area of not more than 150m</w:t>
      </w:r>
      <w:r>
        <w:rPr>
          <w:vertAlign w:val="superscript"/>
        </w:rPr>
        <w:t>2</w:t>
      </w:r>
      <w:r>
        <w:t>; and</w:t>
      </w:r>
    </w:p>
    <w:p w:rsidR="00BA29FF" w:rsidRDefault="00BA29FF">
      <w:pPr>
        <w:pStyle w:val="Apara"/>
      </w:pPr>
      <w:r>
        <w:tab/>
        <w:t>(b)</w:t>
      </w:r>
      <w:r>
        <w:tab/>
        <w:t>is located completely within the lease on which the existing building or structure stands.</w:t>
      </w:r>
    </w:p>
    <w:p w:rsidR="00BA29FF" w:rsidRDefault="00BA29FF">
      <w:pPr>
        <w:pStyle w:val="Amain"/>
        <w:keepNext/>
      </w:pPr>
      <w:r>
        <w:tab/>
        <w:t>(4)</w:t>
      </w:r>
      <w:r>
        <w:tab/>
        <w:t>In this section:</w:t>
      </w:r>
    </w:p>
    <w:p w:rsidR="00BA29FF" w:rsidRDefault="00BA29FF">
      <w:pPr>
        <w:pStyle w:val="aDef"/>
        <w:keepNext/>
        <w:rPr>
          <w:rStyle w:val="charBoldItals"/>
          <w:b w:val="0"/>
          <w:i w:val="0"/>
        </w:rPr>
      </w:pPr>
      <w:r>
        <w:rPr>
          <w:rStyle w:val="charBoldItals"/>
        </w:rPr>
        <w:t>attachment</w:t>
      </w:r>
      <w:r>
        <w:rPr>
          <w:rStyle w:val="charBoldItals"/>
          <w:b w:val="0"/>
          <w:bCs/>
          <w:i w:val="0"/>
          <w:iCs/>
        </w:rPr>
        <w:t>—</w:t>
      </w:r>
    </w:p>
    <w:p w:rsidR="00BA29FF" w:rsidRDefault="00BA29FF">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BA29FF" w:rsidRDefault="00BA29FF">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BA29FF" w:rsidRDefault="00BA29FF">
      <w:pPr>
        <w:pStyle w:val="aDefpara"/>
      </w:pPr>
      <w:r>
        <w:tab/>
        <w:t>(b)</w:t>
      </w:r>
      <w:r>
        <w:tab/>
      </w:r>
      <w:r>
        <w:rPr>
          <w:rStyle w:val="charBoldItals"/>
          <w:b w:val="0"/>
          <w:bCs/>
          <w:i w:val="0"/>
          <w:iCs/>
        </w:rPr>
        <w:t>includes</w:t>
      </w:r>
      <w:r>
        <w:t xml:space="preserve"> a chimney, flue, vent, satellite dish, air conditioning unit, solar panel or similar installation.</w:t>
      </w:r>
    </w:p>
    <w:p w:rsidR="00BA29FF" w:rsidRDefault="00BA29FF">
      <w:pPr>
        <w:pStyle w:val="AH5Sec"/>
      </w:pPr>
      <w:bookmarkStart w:id="28" w:name="_Toc206921217"/>
      <w:r>
        <w:rPr>
          <w:rStyle w:val="CharSectNo"/>
        </w:rPr>
        <w:t>26</w:t>
      </w:r>
      <w:r>
        <w:tab/>
        <w:t>Referral of certain development applications—Act, s 148 (1)</w:t>
      </w:r>
      <w:bookmarkEnd w:id="28"/>
    </w:p>
    <w:p w:rsidR="00BA29FF" w:rsidRDefault="00BA29FF">
      <w:pPr>
        <w:pStyle w:val="Amain"/>
        <w:keepNext/>
      </w:pPr>
      <w:r>
        <w:tab/>
        <w:t>(1)</w:t>
      </w:r>
      <w:r>
        <w:tab/>
        <w:t>The following entities are prescribed for a development application in the impact track:</w:t>
      </w:r>
    </w:p>
    <w:p w:rsidR="00BA29FF" w:rsidRDefault="00BA29FF">
      <w:pPr>
        <w:pStyle w:val="Apara"/>
      </w:pPr>
      <w:r>
        <w:tab/>
        <w:t>(a)</w:t>
      </w:r>
      <w:r>
        <w:tab/>
        <w:t>ACTEW Corporation Limited;</w:t>
      </w:r>
    </w:p>
    <w:p w:rsidR="00BA29FF" w:rsidRDefault="00BA29FF">
      <w:pPr>
        <w:pStyle w:val="Apara"/>
      </w:pPr>
      <w:r>
        <w:tab/>
        <w:t>(b)</w:t>
      </w:r>
      <w:r>
        <w:tab/>
        <w:t>ActewAGL Distribution;</w:t>
      </w:r>
    </w:p>
    <w:p w:rsidR="00BA29FF" w:rsidRDefault="00BA29FF">
      <w:pPr>
        <w:pStyle w:val="Apara"/>
      </w:pPr>
      <w:r>
        <w:tab/>
        <w:t>(c)</w:t>
      </w:r>
      <w:r>
        <w:tab/>
        <w:t>the conservator of flora and fauna;</w:t>
      </w:r>
    </w:p>
    <w:p w:rsidR="00BA29FF" w:rsidRDefault="00BA29FF">
      <w:pPr>
        <w:pStyle w:val="Apara"/>
      </w:pPr>
      <w:r>
        <w:tab/>
        <w:t>(d)</w:t>
      </w:r>
      <w:r>
        <w:tab/>
        <w:t>the emergency services commissioner;</w:t>
      </w:r>
    </w:p>
    <w:p w:rsidR="00BA29FF" w:rsidRDefault="00BA29FF">
      <w:pPr>
        <w:pStyle w:val="Apara"/>
      </w:pPr>
      <w:r>
        <w:lastRenderedPageBreak/>
        <w:tab/>
        <w:t>(e)</w:t>
      </w:r>
      <w:r>
        <w:tab/>
        <w:t>the environment protection authority;</w:t>
      </w:r>
    </w:p>
    <w:p w:rsidR="00BA29FF" w:rsidRDefault="00BA29FF">
      <w:pPr>
        <w:pStyle w:val="Apara"/>
      </w:pPr>
      <w:r>
        <w:tab/>
        <w:t>(f)</w:t>
      </w:r>
      <w:r>
        <w:tab/>
        <w:t>the heritage council;</w:t>
      </w:r>
    </w:p>
    <w:p w:rsidR="00BA29FF" w:rsidRDefault="00BA29FF">
      <w:pPr>
        <w:pStyle w:val="Apara"/>
        <w:keepNext/>
      </w:pPr>
      <w:r>
        <w:tab/>
        <w:t>(g)</w:t>
      </w:r>
      <w:r>
        <w:tab/>
        <w:t>the chief executive of the administrative units responsible for the following matters:</w:t>
      </w:r>
    </w:p>
    <w:p w:rsidR="00BA29FF" w:rsidRDefault="00BA29FF">
      <w:pPr>
        <w:pStyle w:val="Asubpara"/>
      </w:pPr>
      <w:r>
        <w:tab/>
        <w:t>(i)</w:t>
      </w:r>
      <w:r>
        <w:tab/>
        <w:t>health policy;</w:t>
      </w:r>
    </w:p>
    <w:p w:rsidR="00BA29FF" w:rsidRDefault="00BA29FF">
      <w:pPr>
        <w:pStyle w:val="Asubpara"/>
      </w:pPr>
      <w:r>
        <w:tab/>
        <w:t>(ii)</w:t>
      </w:r>
      <w:r>
        <w:tab/>
        <w:t>municipal services;</w:t>
      </w:r>
    </w:p>
    <w:p w:rsidR="00BA29FF" w:rsidRDefault="00BA29FF">
      <w:pPr>
        <w:pStyle w:val="Apara"/>
      </w:pPr>
      <w:r>
        <w:tab/>
        <w:t>(h)</w:t>
      </w:r>
      <w:r>
        <w:tab/>
        <w:t>if the application relates to unleased land or public land—the custodian of the land.</w:t>
      </w:r>
    </w:p>
    <w:p w:rsidR="00BA29FF" w:rsidRDefault="00BA29FF">
      <w:pPr>
        <w:pStyle w:val="aNotepar"/>
      </w:pPr>
      <w:r>
        <w:rPr>
          <w:rStyle w:val="charItals"/>
        </w:rPr>
        <w:t>Note</w:t>
      </w:r>
      <w:r>
        <w:rPr>
          <w:rStyle w:val="charItals"/>
        </w:rPr>
        <w:tab/>
      </w:r>
      <w:r>
        <w:rPr>
          <w:rStyle w:val="charBoldItals"/>
        </w:rPr>
        <w:t>Custodian</w:t>
      </w:r>
      <w:r>
        <w:t>—see the Act, s 333.</w:t>
      </w:r>
    </w:p>
    <w:p w:rsidR="00BA29FF" w:rsidRDefault="00BA29FF">
      <w:pPr>
        <w:pStyle w:val="Amain"/>
        <w:keepNext/>
      </w:pPr>
      <w:r>
        <w:tab/>
        <w:t>(2)</w:t>
      </w:r>
      <w:r>
        <w:tab/>
        <w:t>The following entities are prescribed for a development application in the merit track:</w:t>
      </w:r>
    </w:p>
    <w:p w:rsidR="00BA29FF" w:rsidRDefault="00BA29FF">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BA29FF" w:rsidRDefault="00BA29FF">
      <w:pPr>
        <w:pStyle w:val="Apara"/>
      </w:pPr>
      <w:r>
        <w:tab/>
        <w:t>(b)</w:t>
      </w:r>
      <w:r>
        <w:tab/>
        <w:t>if the application relates to unleased land or public land—the custodian of the land.</w:t>
      </w:r>
    </w:p>
    <w:p w:rsidR="00BA29FF" w:rsidRDefault="00BA29FF">
      <w:pPr>
        <w:pStyle w:val="Amain"/>
        <w:keepNext/>
      </w:pPr>
      <w:r>
        <w:tab/>
        <w:t>(3)</w:t>
      </w:r>
      <w:r>
        <w:tab/>
        <w:t>If the territory plan requires a development application to be referred to an entity, the entity is prescribed.</w:t>
      </w:r>
    </w:p>
    <w:p w:rsidR="00BA29FF" w:rsidRDefault="00BA29FF">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BA29FF" w:rsidRDefault="00BA29FF">
      <w:pPr>
        <w:pStyle w:val="Amain"/>
        <w:keepNext/>
      </w:pPr>
      <w:r>
        <w:tab/>
        <w:t>(4)</w:t>
      </w:r>
      <w:r>
        <w:tab/>
        <w:t>In this section:</w:t>
      </w:r>
    </w:p>
    <w:p w:rsidR="00BA29FF" w:rsidRDefault="00BA29FF">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BA29FF" w:rsidRDefault="00BA29FF">
      <w:pPr>
        <w:pStyle w:val="AH5Sec"/>
      </w:pPr>
      <w:bookmarkStart w:id="29" w:name="_Toc206921218"/>
      <w:r>
        <w:rPr>
          <w:rStyle w:val="CharSectNo"/>
        </w:rPr>
        <w:lastRenderedPageBreak/>
        <w:t>27</w:t>
      </w:r>
      <w:r>
        <w:tab/>
        <w:t>Public notification of merit track development applications—Act, s 152 (1) (a) and (2)</w:t>
      </w:r>
      <w:bookmarkEnd w:id="29"/>
    </w:p>
    <w:p w:rsidR="00BA29FF" w:rsidRDefault="00BA29FF">
      <w:pPr>
        <w:pStyle w:val="Amain"/>
      </w:pPr>
      <w:r>
        <w:tab/>
        <w:t>(1)</w:t>
      </w:r>
      <w:r>
        <w:tab/>
        <w:t>An application mentioned in subsections (2) and (3) is prescribed for the Act, section 152 (1) (a).</w:t>
      </w:r>
    </w:p>
    <w:p w:rsidR="00BA29FF" w:rsidRDefault="00BA29FF">
      <w:pPr>
        <w:pStyle w:val="Amain"/>
      </w:pPr>
      <w:r>
        <w:tab/>
        <w:t>(2)</w:t>
      </w:r>
      <w:r>
        <w:tab/>
        <w:t>An application for a development proposal in the merit track for a estate development plan in a future urban area must be notified in accordance with the Act, section 152 (2) (a).</w:t>
      </w:r>
    </w:p>
    <w:p w:rsidR="00BA29FF" w:rsidRDefault="00BA29FF">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BA29FF" w:rsidRDefault="00BA29FF">
      <w:pPr>
        <w:pStyle w:val="AH5Sec"/>
      </w:pPr>
      <w:bookmarkStart w:id="30" w:name="_Toc206921219"/>
      <w:r>
        <w:rPr>
          <w:rStyle w:val="CharSectNo"/>
        </w:rPr>
        <w:t>28</w:t>
      </w:r>
      <w:r>
        <w:tab/>
        <w:t>Public consultation period—Act, s 157, def </w:t>
      </w:r>
      <w:r>
        <w:rPr>
          <w:rStyle w:val="charItals"/>
        </w:rPr>
        <w:t>public consultation period</w:t>
      </w:r>
      <w:r>
        <w:t>, par (a)</w:t>
      </w:r>
      <w:bookmarkEnd w:id="30"/>
    </w:p>
    <w:p w:rsidR="00BA29FF" w:rsidRDefault="00BA29FF">
      <w:pPr>
        <w:pStyle w:val="Amainreturn"/>
      </w:pPr>
      <w:r>
        <w:t>The following periods are prescribed:</w:t>
      </w:r>
    </w:p>
    <w:p w:rsidR="00BA29FF" w:rsidRDefault="00BA29FF">
      <w:pPr>
        <w:pStyle w:val="Apara"/>
      </w:pPr>
      <w:r>
        <w:tab/>
        <w:t>(a)</w:t>
      </w:r>
      <w:r>
        <w:tab/>
        <w:t>for a development application notified in accordance with the Act, section 152 (1) (a)—10 working days after the day the application is notified;</w:t>
      </w:r>
    </w:p>
    <w:p w:rsidR="00BA29FF" w:rsidRDefault="00BA29FF">
      <w:pPr>
        <w:pStyle w:val="Apara"/>
      </w:pPr>
      <w:r>
        <w:tab/>
        <w:t>(b)</w:t>
      </w:r>
      <w:r>
        <w:tab/>
        <w:t>for a development application notified in accordance with the Act, section 152 (1) (b)—15 working days after the day the application is notified.</w:t>
      </w:r>
    </w:p>
    <w:p w:rsidR="00BA29FF" w:rsidRDefault="00BA29FF">
      <w:pPr>
        <w:pStyle w:val="AH5Sec"/>
      </w:pPr>
      <w:bookmarkStart w:id="31" w:name="_Toc206921220"/>
      <w:r>
        <w:rPr>
          <w:rStyle w:val="CharSectNo"/>
        </w:rPr>
        <w:t>29</w:t>
      </w:r>
      <w:r>
        <w:tab/>
        <w:t>Conditions for code track proposals—Act, s 165 (4)</w:t>
      </w:r>
      <w:bookmarkEnd w:id="31"/>
    </w:p>
    <w:p w:rsidR="00BA29FF" w:rsidRDefault="00BA29FF">
      <w:pPr>
        <w:pStyle w:val="Amainreturn"/>
        <w:keepNext/>
      </w:pPr>
      <w:r>
        <w:t>The following conditions are prescribed:</w:t>
      </w:r>
    </w:p>
    <w:p w:rsidR="00BA29FF" w:rsidRDefault="00BA29FF">
      <w:pPr>
        <w:pStyle w:val="Apara"/>
      </w:pPr>
      <w:r>
        <w:tab/>
        <w:t>(a)</w:t>
      </w:r>
      <w:r>
        <w:tab/>
        <w:t>that information relating to compliance with stated conditions be given to the planning and land authority;</w:t>
      </w:r>
    </w:p>
    <w:p w:rsidR="00BA29FF" w:rsidRDefault="00BA29FF">
      <w:pPr>
        <w:pStyle w:val="Apara"/>
      </w:pPr>
      <w:r>
        <w:tab/>
        <w:t>(b)</w:t>
      </w:r>
      <w:r>
        <w:tab/>
        <w:t>that the development be carried out within a stated period;</w:t>
      </w:r>
    </w:p>
    <w:p w:rsidR="00BA29FF" w:rsidRDefault="00BA29FF">
      <w:pPr>
        <w:pStyle w:val="Apara"/>
      </w:pPr>
      <w:r>
        <w:tab/>
        <w:t>(c)</w:t>
      </w:r>
      <w:r>
        <w:tab/>
        <w:t>that stated action be taken to manage the impact of the development, whether on or off the development site, including—</w:t>
      </w:r>
    </w:p>
    <w:p w:rsidR="00BA29FF" w:rsidRDefault="00BA29FF">
      <w:pPr>
        <w:pStyle w:val="Asubpara"/>
      </w:pPr>
      <w:r>
        <w:lastRenderedPageBreak/>
        <w:tab/>
        <w:t>(i)</w:t>
      </w:r>
      <w:r>
        <w:tab/>
        <w:t>storing and disposing of waste; and</w:t>
      </w:r>
    </w:p>
    <w:p w:rsidR="00BA29FF" w:rsidRDefault="00BA29FF">
      <w:pPr>
        <w:pStyle w:val="Asubpara"/>
      </w:pPr>
      <w:r>
        <w:tab/>
        <w:t>(ii)</w:t>
      </w:r>
      <w:r>
        <w:tab/>
        <w:t>managing hazardous material; and</w:t>
      </w:r>
    </w:p>
    <w:p w:rsidR="00BA29FF" w:rsidRDefault="00BA29FF">
      <w:pPr>
        <w:pStyle w:val="Asubpara"/>
      </w:pPr>
      <w:r>
        <w:tab/>
        <w:t>(iii)</w:t>
      </w:r>
      <w:r>
        <w:tab/>
        <w:t>protecting trees; and</w:t>
      </w:r>
    </w:p>
    <w:p w:rsidR="00BA29FF" w:rsidRDefault="00BA29FF">
      <w:pPr>
        <w:pStyle w:val="Asubpara"/>
      </w:pPr>
      <w:r>
        <w:tab/>
        <w:t>(iv)</w:t>
      </w:r>
      <w:r>
        <w:tab/>
        <w:t>minimising erosion;</w:t>
      </w:r>
    </w:p>
    <w:p w:rsidR="00BA29FF" w:rsidRDefault="00BA29FF">
      <w:pPr>
        <w:pStyle w:val="Apara"/>
      </w:pPr>
      <w:r>
        <w:tab/>
        <w:t>(d)</w:t>
      </w:r>
      <w:r>
        <w:tab/>
        <w:t>that a bond be entered into securing performance against the conditions of the approval;</w:t>
      </w:r>
    </w:p>
    <w:p w:rsidR="00BA29FF" w:rsidRDefault="00BA29FF">
      <w:pPr>
        <w:pStyle w:val="Apara"/>
      </w:pPr>
      <w:r>
        <w:tab/>
        <w:t>(e)</w:t>
      </w:r>
      <w:r>
        <w:tab/>
        <w:t>that stated documents be maintained and kept at the development site;</w:t>
      </w:r>
    </w:p>
    <w:p w:rsidR="00BA29FF" w:rsidRDefault="00BA29FF">
      <w:pPr>
        <w:pStyle w:val="Apara"/>
      </w:pPr>
      <w:r>
        <w:tab/>
        <w:t>(f)</w:t>
      </w:r>
      <w:r>
        <w:tab/>
        <w:t>that an approval under another Act be given;</w:t>
      </w:r>
    </w:p>
    <w:p w:rsidR="00BA29FF" w:rsidRDefault="00BA29FF">
      <w:pPr>
        <w:pStyle w:val="Apara"/>
      </w:pPr>
      <w:r>
        <w:tab/>
        <w:t>(g)</w:t>
      </w:r>
      <w:r>
        <w:tab/>
        <w:t xml:space="preserve">that a stated thing be registered under the </w:t>
      </w:r>
      <w:r>
        <w:rPr>
          <w:rStyle w:val="charItals"/>
        </w:rPr>
        <w:t>Land Titles Act 1925</w:t>
      </w:r>
      <w:r>
        <w:t>;</w:t>
      </w:r>
    </w:p>
    <w:p w:rsidR="00BA29FF" w:rsidRDefault="00BA29FF">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BA29FF" w:rsidRDefault="00BA29FF">
      <w:pPr>
        <w:pStyle w:val="Apara"/>
      </w:pPr>
      <w:r>
        <w:tab/>
        <w:t>(i)</w:t>
      </w:r>
      <w:r>
        <w:tab/>
        <w:t>that stated conditions be complied with within a stated period.</w:t>
      </w:r>
    </w:p>
    <w:p w:rsidR="00BA29FF" w:rsidRDefault="00BA29FF">
      <w:pPr>
        <w:pStyle w:val="PageBreak"/>
      </w:pPr>
      <w:r>
        <w:br w:type="page"/>
      </w:r>
    </w:p>
    <w:p w:rsidR="00BA29FF" w:rsidRDefault="00BA29FF">
      <w:pPr>
        <w:pStyle w:val="AH2Part"/>
      </w:pPr>
      <w:bookmarkStart w:id="32" w:name="_Toc206921221"/>
      <w:r>
        <w:rPr>
          <w:rStyle w:val="CharPartNo"/>
        </w:rPr>
        <w:lastRenderedPageBreak/>
        <w:t>Part 3.3</w:t>
      </w:r>
      <w:r>
        <w:tab/>
      </w:r>
      <w:r>
        <w:rPr>
          <w:rStyle w:val="CharPartText"/>
        </w:rPr>
        <w:t>Development approvals—when amendment not required</w:t>
      </w:r>
      <w:bookmarkEnd w:id="32"/>
    </w:p>
    <w:p w:rsidR="00BA29FF" w:rsidRDefault="00BA29FF">
      <w:pPr>
        <w:pStyle w:val="AH5Sec"/>
      </w:pPr>
      <w:bookmarkStart w:id="33" w:name="_Toc206921222"/>
      <w:r>
        <w:rPr>
          <w:rStyle w:val="CharSectNo"/>
        </w:rPr>
        <w:t>35</w:t>
      </w:r>
      <w:r>
        <w:tab/>
        <w:t>When development approvals do not require amendment—Act, s 198C (2)</w:t>
      </w:r>
      <w:bookmarkEnd w:id="33"/>
    </w:p>
    <w:p w:rsidR="00BA29FF" w:rsidRDefault="00BA29FF">
      <w:pPr>
        <w:pStyle w:val="Amainreturn"/>
      </w:pPr>
      <w:r>
        <w:t>Development in accordance with the changed development proposal is taken to be in accordance with the development approval if—</w:t>
      </w:r>
    </w:p>
    <w:p w:rsidR="00BA29FF" w:rsidRDefault="00BA29FF">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BA29FF" w:rsidRDefault="00BA29FF">
      <w:pPr>
        <w:pStyle w:val="Apara"/>
        <w:rPr>
          <w:lang w:val="en-US"/>
        </w:rPr>
      </w:pPr>
      <w:r>
        <w:rPr>
          <w:lang w:val="en-US"/>
        </w:rPr>
        <w:tab/>
        <w:t>(b)</w:t>
      </w:r>
      <w:r>
        <w:rPr>
          <w:lang w:val="en-US"/>
        </w:rPr>
        <w:tab/>
        <w:t>the change complies with the criteria for the relevant matter in schedule 1A; and</w:t>
      </w:r>
    </w:p>
    <w:p w:rsidR="00BA29FF" w:rsidRDefault="00BA29FF">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BA29FF" w:rsidRDefault="00BA29FF">
      <w:pPr>
        <w:pStyle w:val="aNote"/>
      </w:pPr>
      <w:r>
        <w:rPr>
          <w:i/>
          <w:iCs/>
        </w:rPr>
        <w:t>Note 1</w:t>
      </w:r>
      <w:r>
        <w:rPr>
          <w:i/>
          <w:iCs/>
        </w:rPr>
        <w:tab/>
      </w:r>
      <w:r>
        <w:rPr>
          <w:b/>
          <w:bCs/>
          <w:i/>
          <w:iCs/>
        </w:rPr>
        <w:t>Designated development</w:t>
      </w:r>
      <w:r>
        <w:t>—see sch 1, s 1.2.</w:t>
      </w:r>
    </w:p>
    <w:p w:rsidR="00BA29FF" w:rsidRDefault="00BA29FF">
      <w:pPr>
        <w:pStyle w:val="aNote"/>
      </w:pPr>
      <w:r>
        <w:rPr>
          <w:i/>
          <w:iCs/>
        </w:rPr>
        <w:t>Note 2</w:t>
      </w:r>
      <w:r>
        <w:rPr>
          <w:i/>
          <w:iCs/>
        </w:rPr>
        <w:tab/>
      </w:r>
      <w:r>
        <w:rPr>
          <w:b/>
          <w:bCs/>
          <w:i/>
          <w:iCs/>
        </w:rPr>
        <w:t>General exemption criteria</w:t>
      </w:r>
      <w:r>
        <w:t>—see sch 1, s 1.10.</w:t>
      </w:r>
    </w:p>
    <w:p w:rsidR="00BA29FF" w:rsidRDefault="00BA29FF">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BA29FF" w:rsidRDefault="00BA29FF">
      <w:pPr>
        <w:pStyle w:val="aNote"/>
      </w:pPr>
      <w:r>
        <w:rPr>
          <w:i/>
        </w:rPr>
        <w:t>Note 4</w:t>
      </w:r>
      <w:r>
        <w:rPr>
          <w:i/>
        </w:rPr>
        <w:tab/>
      </w:r>
      <w:r>
        <w:t>The development must also comply with the lease for the land on which it is carried out.</w:t>
      </w:r>
    </w:p>
    <w:p w:rsidR="00BA29FF" w:rsidRDefault="00BA29FF">
      <w:pPr>
        <w:pStyle w:val="AH5Sec"/>
      </w:pPr>
      <w:bookmarkStart w:id="34" w:name="_Toc206921223"/>
      <w:r>
        <w:rPr>
          <w:rStyle w:val="CharSectNo"/>
        </w:rPr>
        <w:t>36</w:t>
      </w:r>
      <w:r>
        <w:tab/>
        <w:t>Expiry—pt 3.3</w:t>
      </w:r>
      <w:bookmarkEnd w:id="34"/>
    </w:p>
    <w:p w:rsidR="00BA29FF" w:rsidRDefault="00BA29FF">
      <w:pPr>
        <w:pStyle w:val="Amainreturn"/>
      </w:pPr>
      <w:r>
        <w:t>This part expires on 31 March 2010.</w:t>
      </w:r>
    </w:p>
    <w:p w:rsidR="00BA29FF" w:rsidRDefault="00BA29FF">
      <w:pPr>
        <w:pStyle w:val="PageBreak"/>
      </w:pPr>
      <w:r>
        <w:br w:type="page"/>
      </w:r>
    </w:p>
    <w:p w:rsidR="00BA29FF" w:rsidRDefault="00BA29FF">
      <w:pPr>
        <w:pStyle w:val="AH1Chapter"/>
      </w:pPr>
      <w:bookmarkStart w:id="35" w:name="_Toc206921224"/>
      <w:r>
        <w:rPr>
          <w:rStyle w:val="CharChapNo"/>
        </w:rPr>
        <w:lastRenderedPageBreak/>
        <w:t>Chapter 4</w:t>
      </w:r>
      <w:r>
        <w:tab/>
      </w:r>
      <w:r>
        <w:rPr>
          <w:rStyle w:val="CharChapText"/>
        </w:rPr>
        <w:t>Environmental impact statements and inquiries</w:t>
      </w:r>
      <w:bookmarkEnd w:id="35"/>
    </w:p>
    <w:p w:rsidR="00BA29FF" w:rsidRDefault="00BA29FF">
      <w:pPr>
        <w:pStyle w:val="AH2Part"/>
      </w:pPr>
      <w:bookmarkStart w:id="36" w:name="_Toc206921225"/>
      <w:r>
        <w:rPr>
          <w:rStyle w:val="CharPartNo"/>
        </w:rPr>
        <w:t>Part 4.1</w:t>
      </w:r>
      <w:r>
        <w:tab/>
      </w:r>
      <w:r>
        <w:rPr>
          <w:rStyle w:val="CharPartText"/>
        </w:rPr>
        <w:t>Environmental impact statements</w:t>
      </w:r>
      <w:bookmarkEnd w:id="36"/>
    </w:p>
    <w:p w:rsidR="00BA29FF" w:rsidRDefault="00BA29FF">
      <w:pPr>
        <w:pStyle w:val="AH5Sec"/>
      </w:pPr>
      <w:bookmarkStart w:id="37" w:name="_Toc206921226"/>
      <w:r>
        <w:rPr>
          <w:rStyle w:val="CharSectNo"/>
        </w:rPr>
        <w:t>50</w:t>
      </w:r>
      <w:r>
        <w:tab/>
        <w:t>Preparation of EIS—Act, s 208 (1)</w:t>
      </w:r>
      <w:bookmarkEnd w:id="37"/>
    </w:p>
    <w:p w:rsidR="00BA29FF" w:rsidRDefault="00BA29FF">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BA29FF" w:rsidRDefault="00BA29FF">
      <w:pPr>
        <w:pStyle w:val="Amain"/>
        <w:keepNext/>
      </w:pPr>
      <w:r>
        <w:tab/>
        <w:t>(2)</w:t>
      </w:r>
      <w:r>
        <w:tab/>
        <w:t>An EIS in relation to a development proposal (including a proposal to which subsection (1) applies) must include the following:</w:t>
      </w:r>
    </w:p>
    <w:p w:rsidR="00BA29FF" w:rsidRDefault="00BA29FF">
      <w:pPr>
        <w:pStyle w:val="Apara"/>
      </w:pPr>
      <w:r>
        <w:tab/>
        <w:t>(a)</w:t>
      </w:r>
      <w:r>
        <w:tab/>
        <w:t>a non-technical summary of the EIS, including a summary of its recommendations;</w:t>
      </w:r>
    </w:p>
    <w:p w:rsidR="00BA29FF" w:rsidRDefault="00BA29FF">
      <w:pPr>
        <w:pStyle w:val="Apara"/>
      </w:pPr>
      <w:r>
        <w:tab/>
        <w:t>(b)</w:t>
      </w:r>
      <w:r>
        <w:tab/>
        <w:t>a glossary of technical terms and any abbreviations and acronyms used in the EIS;</w:t>
      </w:r>
    </w:p>
    <w:p w:rsidR="00BA29FF" w:rsidRDefault="00BA29FF">
      <w:pPr>
        <w:pStyle w:val="Apara"/>
      </w:pPr>
      <w:r>
        <w:tab/>
        <w:t>(c)</w:t>
      </w:r>
      <w:r>
        <w:tab/>
        <w:t>a description of the proposal, including—</w:t>
      </w:r>
    </w:p>
    <w:p w:rsidR="00BA29FF" w:rsidRDefault="00BA29FF">
      <w:pPr>
        <w:pStyle w:val="Asubpara"/>
      </w:pPr>
      <w:r>
        <w:tab/>
        <w:t>(i)</w:t>
      </w:r>
      <w:r>
        <w:tab/>
      </w:r>
      <w:r>
        <w:tab/>
        <w:t>the location of the land to which the proposal relates; and</w:t>
      </w:r>
    </w:p>
    <w:p w:rsidR="00BA29FF" w:rsidRDefault="00BA29FF">
      <w:pPr>
        <w:pStyle w:val="Asubpara"/>
      </w:pPr>
      <w:r>
        <w:tab/>
        <w:t>(ii)</w:t>
      </w:r>
      <w:r>
        <w:tab/>
      </w:r>
      <w:r>
        <w:tab/>
        <w:t>if the land is leased—the lessee’s name; and</w:t>
      </w:r>
    </w:p>
    <w:p w:rsidR="00BA29FF" w:rsidRDefault="00BA29FF">
      <w:pPr>
        <w:pStyle w:val="Asubpara"/>
      </w:pPr>
      <w:r>
        <w:tab/>
        <w:t>(iii)</w:t>
      </w:r>
      <w:r>
        <w:tab/>
        <w:t>if the land is unleased land or public land—the custodian of the land; and</w:t>
      </w:r>
    </w:p>
    <w:p w:rsidR="00BA29FF" w:rsidRDefault="00BA29FF">
      <w:pPr>
        <w:pStyle w:val="aNotesubpar"/>
      </w:pPr>
      <w:r>
        <w:rPr>
          <w:rStyle w:val="charItals"/>
        </w:rPr>
        <w:t>Note</w:t>
      </w:r>
      <w:r>
        <w:rPr>
          <w:rStyle w:val="charItals"/>
        </w:rPr>
        <w:tab/>
      </w:r>
      <w:r>
        <w:rPr>
          <w:rStyle w:val="charBoldItals"/>
        </w:rPr>
        <w:t>Custodian</w:t>
      </w:r>
      <w:r>
        <w:t>—see the Act, s 333.</w:t>
      </w:r>
    </w:p>
    <w:p w:rsidR="00BA29FF" w:rsidRDefault="00BA29FF">
      <w:pPr>
        <w:pStyle w:val="Asubpara"/>
      </w:pPr>
      <w:r>
        <w:tab/>
        <w:t>(iv)</w:t>
      </w:r>
      <w:r>
        <w:tab/>
        <w:t>the purposes for which the land may be used; and</w:t>
      </w:r>
    </w:p>
    <w:p w:rsidR="00BA29FF" w:rsidRDefault="00BA29FF">
      <w:pPr>
        <w:pStyle w:val="Asubpara"/>
        <w:keepNext/>
      </w:pPr>
      <w:r>
        <w:lastRenderedPageBreak/>
        <w:tab/>
        <w:t>(v)</w:t>
      </w:r>
      <w:r>
        <w:tab/>
        <w:t>if the land is leased—</w:t>
      </w:r>
    </w:p>
    <w:p w:rsidR="00BA29FF" w:rsidRDefault="00BA29FF">
      <w:pPr>
        <w:pStyle w:val="Asubsubpara"/>
      </w:pPr>
      <w:r>
        <w:tab/>
        <w:t>(A)</w:t>
      </w:r>
      <w:r>
        <w:tab/>
        <w:t xml:space="preserve">the division name, and block and section number, of the land under the </w:t>
      </w:r>
      <w:r>
        <w:rPr>
          <w:rStyle w:val="charItals"/>
        </w:rPr>
        <w:t>Districts Act 2002</w:t>
      </w:r>
      <w:r>
        <w:t>; and</w:t>
      </w:r>
    </w:p>
    <w:p w:rsidR="00BA29FF" w:rsidRDefault="00BA29FF">
      <w:pPr>
        <w:pStyle w:val="Asubsubpara"/>
      </w:pPr>
      <w:r>
        <w:tab/>
        <w:t>(B)</w:t>
      </w:r>
      <w:r>
        <w:tab/>
        <w:t xml:space="preserve">the volume and folio of the lease in the register under the </w:t>
      </w:r>
      <w:r>
        <w:rPr>
          <w:rStyle w:val="charItals"/>
        </w:rPr>
        <w:t>Land Titles Act 1925</w:t>
      </w:r>
      <w:r>
        <w:t>; and</w:t>
      </w:r>
    </w:p>
    <w:p w:rsidR="00BA29FF" w:rsidRDefault="00BA29FF">
      <w:pPr>
        <w:pStyle w:val="Asubpara"/>
      </w:pPr>
      <w:r>
        <w:tab/>
        <w:t>(vi)</w:t>
      </w:r>
      <w:r>
        <w:tab/>
        <w:t>a statement of the proposal’s objectives; and</w:t>
      </w:r>
    </w:p>
    <w:p w:rsidR="00BA29FF" w:rsidRDefault="00BA29FF">
      <w:pPr>
        <w:pStyle w:val="Asubpara"/>
      </w:pPr>
      <w:r>
        <w:tab/>
        <w:t>(vii)</w:t>
      </w:r>
      <w:r>
        <w:tab/>
        <w:t>the time for implementation of the proposal, including for any stage; and</w:t>
      </w:r>
    </w:p>
    <w:p w:rsidR="00BA29FF" w:rsidRDefault="00BA29FF">
      <w:pPr>
        <w:pStyle w:val="Asubpara"/>
      </w:pPr>
      <w:r>
        <w:tab/>
        <w:t>(viii)</w:t>
      </w:r>
      <w:r>
        <w:tab/>
        <w:t>details of any action that has been, or is being, taken by the proponent, or any other entity, in relation to the land to which the proposal relates; and</w:t>
      </w:r>
    </w:p>
    <w:p w:rsidR="00BA29FF" w:rsidRDefault="00BA29FF">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BA29FF" w:rsidRDefault="00BA29FF">
      <w:pPr>
        <w:pStyle w:val="Asubpara"/>
      </w:pPr>
      <w:r>
        <w:tab/>
        <w:t>(ix)</w:t>
      </w:r>
      <w:r>
        <w:tab/>
        <w:t xml:space="preserve">details of any alternatives to the proposal considered in developing the proposal; </w:t>
      </w:r>
    </w:p>
    <w:p w:rsidR="00BA29FF" w:rsidRDefault="00BA29FF">
      <w:pPr>
        <w:pStyle w:val="aExamHdgsubpar"/>
      </w:pPr>
      <w:r>
        <w:t>Examples—alternatives</w:t>
      </w:r>
    </w:p>
    <w:p w:rsidR="00BA29FF" w:rsidRDefault="00BA29FF">
      <w:pPr>
        <w:pStyle w:val="aExamsubpar"/>
        <w:tabs>
          <w:tab w:val="left" w:pos="2565"/>
        </w:tabs>
      </w:pPr>
      <w:r>
        <w:t>1</w:t>
      </w:r>
      <w:r>
        <w:tab/>
        <w:t>alternative siting within the land to which the proposal relates</w:t>
      </w:r>
    </w:p>
    <w:p w:rsidR="00BA29FF" w:rsidRDefault="00BA29FF">
      <w:pPr>
        <w:pStyle w:val="aExamsubpar"/>
        <w:tabs>
          <w:tab w:val="left" w:pos="2565"/>
        </w:tabs>
        <w:ind w:left="2565" w:hanging="425"/>
      </w:pPr>
      <w:r>
        <w:t>2</w:t>
      </w:r>
      <w:r>
        <w:tab/>
        <w:t>alternative designs, methods of construction, materials and sources of materials</w:t>
      </w:r>
    </w:p>
    <w:p w:rsidR="00BA29FF" w:rsidRDefault="00BA29FF">
      <w:pPr>
        <w:pStyle w:val="aExamsubpar"/>
        <w:tabs>
          <w:tab w:val="left" w:pos="2565"/>
        </w:tabs>
      </w:pPr>
      <w:r>
        <w:t>3</w:t>
      </w:r>
      <w:r>
        <w:tab/>
        <w:t>alternative locations for the development</w:t>
      </w:r>
    </w:p>
    <w:p w:rsidR="00BA29FF" w:rsidRDefault="00BA29FF">
      <w:pPr>
        <w:pStyle w:val="aExamsubpar"/>
        <w:tabs>
          <w:tab w:val="left" w:pos="2565"/>
        </w:tabs>
      </w:pPr>
      <w:r>
        <w:t>4</w:t>
      </w:r>
      <w:r>
        <w:tab/>
        <w:t>alternative uses of the land to which the proposal relates</w:t>
      </w:r>
    </w:p>
    <w:p w:rsidR="00BA29FF" w:rsidRDefault="00BA29FF">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BA29FF" w:rsidRDefault="00BA29FF">
      <w:pPr>
        <w:pStyle w:val="Apara"/>
      </w:pPr>
      <w:r>
        <w:tab/>
        <w:t>(d)</w:t>
      </w:r>
      <w:r>
        <w:tab/>
        <w:t>a description of the EIS process, including—</w:t>
      </w:r>
    </w:p>
    <w:p w:rsidR="00BA29FF" w:rsidRDefault="00BA29FF">
      <w:pPr>
        <w:pStyle w:val="Asubpara"/>
      </w:pPr>
      <w:r>
        <w:tab/>
        <w:t>(i)</w:t>
      </w:r>
      <w:r>
        <w:tab/>
      </w:r>
      <w:r>
        <w:tab/>
        <w:t>any statutory approval obtained or required for the proposal; and</w:t>
      </w:r>
    </w:p>
    <w:p w:rsidR="00BA29FF" w:rsidRDefault="00BA29FF">
      <w:pPr>
        <w:pStyle w:val="Asubpara"/>
      </w:pPr>
      <w:r>
        <w:lastRenderedPageBreak/>
        <w:tab/>
        <w:t>(ii)</w:t>
      </w:r>
      <w:r>
        <w:tab/>
        <w:t>the base information used for predicting each potentially significant environmental impact identified in the scoping document for the EIS; and</w:t>
      </w:r>
    </w:p>
    <w:p w:rsidR="00BA29FF" w:rsidRDefault="00BA29FF">
      <w:pPr>
        <w:pStyle w:val="Asubpara"/>
      </w:pPr>
      <w:r>
        <w:tab/>
        <w:t>(iii)</w:t>
      </w:r>
      <w:r>
        <w:tab/>
        <w:t>the criteria used for assessing the significance of each environmental impact and the performance of any alternative to the proposal considered under paragraph (c) (ix);</w:t>
      </w:r>
    </w:p>
    <w:p w:rsidR="00BA29FF" w:rsidRDefault="00BA29FF">
      <w:pPr>
        <w:pStyle w:val="Apara"/>
      </w:pPr>
      <w:r>
        <w:tab/>
        <w:t>(e)</w:t>
      </w:r>
      <w:r>
        <w:tab/>
        <w:t>a statement about the proposal’s compatibility with the principles for environmental sustainability in the territory plan (2 Strategic Direction);</w:t>
      </w:r>
    </w:p>
    <w:p w:rsidR="00BA29FF" w:rsidRDefault="00BA29FF">
      <w:pPr>
        <w:pStyle w:val="Apara"/>
      </w:pPr>
      <w:r>
        <w:tab/>
        <w:t>(f)</w:t>
      </w:r>
      <w:r>
        <w:tab/>
        <w:t>for each potentially significant environmental impact identified in the scoping document for the development proposal—</w:t>
      </w:r>
    </w:p>
    <w:p w:rsidR="00BA29FF" w:rsidRDefault="00BA29FF">
      <w:pPr>
        <w:pStyle w:val="Asubpara"/>
      </w:pPr>
      <w:r>
        <w:tab/>
        <w:t>(i)</w:t>
      </w:r>
      <w:r>
        <w:tab/>
        <w:t>an identification of the relevant environmental values; and</w:t>
      </w:r>
    </w:p>
    <w:p w:rsidR="00BA29FF" w:rsidRDefault="00BA29FF">
      <w:pPr>
        <w:pStyle w:val="Asubpara"/>
      </w:pPr>
      <w:r>
        <w:tab/>
        <w:t>(ii)</w:t>
      </w:r>
      <w:r>
        <w:tab/>
        <w:t>an identification of the findings and results of any environmental investigation in relation to the land to which the proposal relates; and</w:t>
      </w:r>
    </w:p>
    <w:p w:rsidR="00BA29FF" w:rsidRDefault="00BA29FF">
      <w:pPr>
        <w:pStyle w:val="Asubpara"/>
      </w:pPr>
      <w:r>
        <w:tab/>
        <w:t>(iii)</w:t>
      </w:r>
      <w:r>
        <w:tab/>
        <w:t>a description of the effects of the environmental impact (including cumulative and indirect effects) on physical and ecological systems and human communities; and</w:t>
      </w:r>
    </w:p>
    <w:p w:rsidR="00BA29FF" w:rsidRDefault="00BA29FF">
      <w:pPr>
        <w:pStyle w:val="Asubpara"/>
      </w:pPr>
      <w:r>
        <w:tab/>
        <w:t>(iv)</w:t>
      </w:r>
      <w:r>
        <w:tab/>
        <w:t>an analysis of the significance of the potential environmental impact of the development; and</w:t>
      </w:r>
    </w:p>
    <w:p w:rsidR="00BA29FF" w:rsidRDefault="00BA29FF">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BA29FF" w:rsidRDefault="00BA29FF">
      <w:pPr>
        <w:pStyle w:val="aNotepar"/>
      </w:pPr>
      <w:r>
        <w:rPr>
          <w:rStyle w:val="charItals"/>
        </w:rPr>
        <w:t>Note</w:t>
      </w:r>
      <w:r>
        <w:rPr>
          <w:rStyle w:val="charItals"/>
        </w:rPr>
        <w:tab/>
      </w:r>
      <w:r>
        <w:t>An EIS must also address each matter raised in the scoping document for the development proposal, see the Act, s 216 (2) (a) and s 221 (3) (a).</w:t>
      </w:r>
    </w:p>
    <w:p w:rsidR="00BA29FF" w:rsidRDefault="00BA29FF">
      <w:pPr>
        <w:pStyle w:val="Apara"/>
      </w:pPr>
      <w:r>
        <w:tab/>
        <w:t>(g)</w:t>
      </w:r>
      <w:r>
        <w:tab/>
        <w:t xml:space="preserve">a description of consultation undertaken for the EIS; </w:t>
      </w:r>
    </w:p>
    <w:p w:rsidR="00BA29FF" w:rsidRDefault="00BA29FF">
      <w:pPr>
        <w:pStyle w:val="Apara"/>
      </w:pPr>
      <w:r>
        <w:lastRenderedPageBreak/>
        <w:tab/>
        <w:t>(h)</w:t>
      </w:r>
      <w:r>
        <w:tab/>
        <w:t>for a revised EIS—a summary of the representations made within the public consultation period;</w:t>
      </w:r>
    </w:p>
    <w:p w:rsidR="00BA29FF" w:rsidRDefault="00BA29FF">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BA29FF" w:rsidRDefault="00BA29FF">
      <w:pPr>
        <w:pStyle w:val="Apara"/>
      </w:pPr>
      <w:r>
        <w:tab/>
        <w:t>(i)</w:t>
      </w:r>
      <w:r>
        <w:tab/>
        <w:t>the EIS’s recommendations.</w:t>
      </w:r>
    </w:p>
    <w:p w:rsidR="00BA29FF" w:rsidRDefault="00BA29FF">
      <w:pPr>
        <w:pStyle w:val="Amain"/>
      </w:pPr>
      <w:r>
        <w:tab/>
        <w:t>(3)</w:t>
      </w:r>
      <w:r>
        <w:tab/>
        <w:t>For subsection (2) (f), each potentially significant environmental impact identified in the scoping document for the EIS must be addressed in its own part of the EIS.</w:t>
      </w:r>
    </w:p>
    <w:p w:rsidR="00BA29FF" w:rsidRDefault="00BA29FF">
      <w:pPr>
        <w:pStyle w:val="Amain"/>
      </w:pPr>
      <w:r>
        <w:tab/>
        <w:t>(4)</w:t>
      </w:r>
      <w:r>
        <w:tab/>
        <w:t>For subsection (2) (f) (v), the approach proposed to be taken to the environmental management of the land may be set out in a management plan for the land.</w:t>
      </w:r>
    </w:p>
    <w:p w:rsidR="00BA29FF" w:rsidRDefault="00BA29FF">
      <w:pPr>
        <w:pStyle w:val="Amain"/>
      </w:pPr>
      <w:r>
        <w:tab/>
        <w:t>(5)</w:t>
      </w:r>
      <w:r>
        <w:tab/>
        <w:t>An EIS must be prepared in accordance with any requirement set out in the scoping document for the EIS.</w:t>
      </w:r>
    </w:p>
    <w:p w:rsidR="00BA29FF" w:rsidRDefault="00BA29FF">
      <w:pPr>
        <w:pStyle w:val="Amain"/>
        <w:keepNext/>
      </w:pPr>
      <w:r>
        <w:tab/>
        <w:t>(6)</w:t>
      </w:r>
      <w:r>
        <w:tab/>
        <w:t>In this section:</w:t>
      </w:r>
    </w:p>
    <w:p w:rsidR="00BA29FF" w:rsidRDefault="00BA29FF">
      <w:pPr>
        <w:pStyle w:val="aDef"/>
      </w:pPr>
      <w:r>
        <w:rPr>
          <w:rStyle w:val="charBoldItals"/>
        </w:rPr>
        <w:t>EIS</w:t>
      </w:r>
      <w:r>
        <w:t xml:space="preserve"> means an environmental impact statement proposed to be prepared for the Act.</w:t>
      </w:r>
    </w:p>
    <w:p w:rsidR="00BA29FF" w:rsidRDefault="00BA29FF">
      <w:pPr>
        <w:pStyle w:val="AH5Sec"/>
      </w:pPr>
      <w:bookmarkStart w:id="38" w:name="_Toc206921227"/>
      <w:r>
        <w:rPr>
          <w:rStyle w:val="CharSectNo"/>
        </w:rPr>
        <w:t>51</w:t>
      </w:r>
      <w:r>
        <w:tab/>
        <w:t>Entities relevant for preparation of scoping documents—Act, s 212 (3)</w:t>
      </w:r>
      <w:bookmarkEnd w:id="38"/>
    </w:p>
    <w:p w:rsidR="00BA29FF" w:rsidRDefault="00BA29FF">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BA29FF" w:rsidRDefault="00BA29FF">
      <w:pPr>
        <w:pStyle w:val="Amain"/>
      </w:pPr>
      <w:r>
        <w:tab/>
        <w:t>(2)</w:t>
      </w:r>
      <w:r>
        <w:tab/>
        <w:t>However, if an entity to which subsection (1) applies is the proponent of the development proposal, the planning and land authority must not consult the entity.</w:t>
      </w:r>
    </w:p>
    <w:p w:rsidR="00BA29FF" w:rsidRDefault="00BA29FF">
      <w:pPr>
        <w:pStyle w:val="Amain"/>
        <w:keepNext/>
      </w:pPr>
      <w:r>
        <w:tab/>
        <w:t>(3)</w:t>
      </w:r>
      <w:r>
        <w:tab/>
        <w:t>The planning and land authority may also consult with the following in preparing a scoping document for a development proposal:</w:t>
      </w:r>
    </w:p>
    <w:p w:rsidR="00BA29FF" w:rsidRDefault="00BA29FF">
      <w:pPr>
        <w:pStyle w:val="Apara"/>
      </w:pPr>
      <w:r>
        <w:tab/>
        <w:t>(a)</w:t>
      </w:r>
      <w:r>
        <w:tab/>
        <w:t xml:space="preserve">the ACT community (including a part of the community); </w:t>
      </w:r>
    </w:p>
    <w:p w:rsidR="00BA29FF" w:rsidRDefault="00BA29FF">
      <w:pPr>
        <w:pStyle w:val="Apara"/>
      </w:pPr>
      <w:r>
        <w:lastRenderedPageBreak/>
        <w:tab/>
        <w:t>(b)</w:t>
      </w:r>
      <w:r>
        <w:tab/>
        <w:t>an entity that the authority is not required to consult with under subsection (1).</w:t>
      </w:r>
    </w:p>
    <w:p w:rsidR="00BA29FF" w:rsidRDefault="00BA29FF">
      <w:pPr>
        <w:pStyle w:val="aExamHdgpar"/>
      </w:pPr>
      <w:r>
        <w:t>Examples—entities</w:t>
      </w:r>
    </w:p>
    <w:p w:rsidR="00BA29FF" w:rsidRDefault="00BA29FF">
      <w:pPr>
        <w:pStyle w:val="aExamINumpar"/>
      </w:pPr>
      <w:r>
        <w:t>1</w:t>
      </w:r>
      <w:r>
        <w:tab/>
        <w:t>a territory-owned corporation</w:t>
      </w:r>
    </w:p>
    <w:p w:rsidR="00BA29FF" w:rsidRDefault="00BA29FF">
      <w:pPr>
        <w:pStyle w:val="aExamINumpar"/>
      </w:pPr>
      <w:r>
        <w:t>2</w:t>
      </w:r>
      <w:r>
        <w:tab/>
        <w:t>the chief executive of an administrative unit not mentioned in s 26 (1)</w:t>
      </w:r>
    </w:p>
    <w:p w:rsidR="00BA29FF" w:rsidRDefault="00BA29FF">
      <w:pPr>
        <w:pStyle w:val="aExamINumpar"/>
      </w:pPr>
      <w:r>
        <w:t>3</w:t>
      </w:r>
      <w:r>
        <w:tab/>
        <w:t>a NSW local council</w:t>
      </w:r>
    </w:p>
    <w:p w:rsidR="00BA29FF" w:rsidRDefault="00BA29FF">
      <w:pPr>
        <w:pStyle w:val="aExamINumpar"/>
      </w:pPr>
      <w:r>
        <w:t>4</w:t>
      </w:r>
      <w:r>
        <w:tab/>
        <w:t>a government department or body established under a Commonwealth or NSW Act</w:t>
      </w:r>
    </w:p>
    <w:p w:rsidR="00BA29FF" w:rsidRDefault="00BA29FF">
      <w:pPr>
        <w:pStyle w:val="aExamINumpar"/>
        <w:tabs>
          <w:tab w:val="clear" w:pos="2000"/>
          <w:tab w:val="left" w:pos="1990"/>
        </w:tabs>
        <w:ind w:left="1990" w:hanging="390"/>
      </w:pPr>
      <w:r>
        <w:t>5</w:t>
      </w:r>
      <w:r>
        <w:tab/>
        <w:t>a non-government organisation</w:t>
      </w:r>
    </w:p>
    <w:p w:rsidR="00BA29FF" w:rsidRDefault="00BA29FF">
      <w:pPr>
        <w:pStyle w:val="aExamINumpar"/>
        <w:tabs>
          <w:tab w:val="clear" w:pos="2000"/>
          <w:tab w:val="left" w:pos="1990"/>
        </w:tabs>
        <w:ind w:left="1990" w:hanging="390"/>
      </w:pPr>
      <w:r>
        <w:t>6</w:t>
      </w:r>
      <w:r>
        <w:tab/>
        <w:t>an expert in a relevant environmental matter</w:t>
      </w:r>
    </w:p>
    <w:p w:rsidR="00BA29FF" w:rsidRDefault="00BA29FF">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BA29FF" w:rsidRDefault="00BA29FF">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BA29FF" w:rsidRDefault="00BA29FF">
      <w:pPr>
        <w:pStyle w:val="AH5Sec"/>
      </w:pPr>
      <w:bookmarkStart w:id="39" w:name="_Toc206921228"/>
      <w:r>
        <w:rPr>
          <w:rStyle w:val="CharSectNo"/>
        </w:rPr>
        <w:t>52</w:t>
      </w:r>
      <w:r>
        <w:tab/>
        <w:t>Time for consulting entities on preparation of scoping documents</w:t>
      </w:r>
      <w:bookmarkEnd w:id="39"/>
    </w:p>
    <w:p w:rsidR="00BA29FF" w:rsidRDefault="00BA29FF">
      <w:pPr>
        <w:pStyle w:val="Amain"/>
      </w:pPr>
      <w:r>
        <w:tab/>
        <w:t>(1)</w:t>
      </w:r>
      <w:r>
        <w:tab/>
        <w:t>This section applies if the planning and land authority receives an application under the Act, section 212 (Scoping of EIS) in relation to a development proposal.</w:t>
      </w:r>
    </w:p>
    <w:p w:rsidR="00BA29FF" w:rsidRDefault="00BA29FF">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BA29FF" w:rsidRDefault="00BA29FF">
      <w:pPr>
        <w:pStyle w:val="Apara"/>
      </w:pPr>
      <w:r>
        <w:tab/>
        <w:t>(a)</w:t>
      </w:r>
      <w:r>
        <w:tab/>
        <w:t>the scoping documentation for the development proposal; and</w:t>
      </w:r>
    </w:p>
    <w:p w:rsidR="00BA29FF" w:rsidRDefault="00BA29FF">
      <w:pPr>
        <w:pStyle w:val="Apara"/>
      </w:pPr>
      <w:r>
        <w:tab/>
        <w:t>(b)</w:t>
      </w:r>
      <w:r>
        <w:tab/>
        <w:t>a written notice that—</w:t>
      </w:r>
    </w:p>
    <w:p w:rsidR="00BA29FF" w:rsidRDefault="00BA29FF">
      <w:pPr>
        <w:pStyle w:val="Asubpara"/>
      </w:pPr>
      <w:r>
        <w:tab/>
        <w:t>(i)</w:t>
      </w:r>
      <w:r>
        <w:tab/>
        <w:t>invites written comments on the scoping documentation; and</w:t>
      </w:r>
    </w:p>
    <w:p w:rsidR="00BA29FF" w:rsidRDefault="00BA29FF">
      <w:pPr>
        <w:pStyle w:val="Asubpara"/>
      </w:pPr>
      <w:r>
        <w:tab/>
        <w:t>(ii)</w:t>
      </w:r>
      <w:r>
        <w:tab/>
        <w:t>gives the entity 15 working days after the day the entity receives the notice to make written comments to the authority on the scoping documentation.</w:t>
      </w:r>
    </w:p>
    <w:p w:rsidR="00BA29FF" w:rsidRDefault="00BA29FF">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BA29FF" w:rsidRDefault="00BA29FF">
      <w:pPr>
        <w:pStyle w:val="Apara"/>
      </w:pPr>
      <w:r>
        <w:tab/>
        <w:t>(a)</w:t>
      </w:r>
      <w:r>
        <w:tab/>
        <w:t>the 15-working day period under subsection (2) (b) (ii); or</w:t>
      </w:r>
    </w:p>
    <w:p w:rsidR="00BA29FF" w:rsidRDefault="00BA29FF">
      <w:pPr>
        <w:pStyle w:val="Apara"/>
      </w:pPr>
      <w:r>
        <w:tab/>
        <w:t>(b)</w:t>
      </w:r>
      <w:r>
        <w:tab/>
        <w:t>if the period is extended under section 53—the extended period.</w:t>
      </w:r>
    </w:p>
    <w:p w:rsidR="00BA29FF" w:rsidRDefault="00BA29FF">
      <w:pPr>
        <w:pStyle w:val="Amain"/>
        <w:keepNext/>
      </w:pPr>
      <w:r>
        <w:tab/>
        <w:t>(4)</w:t>
      </w:r>
      <w:r>
        <w:tab/>
        <w:t>In this section:</w:t>
      </w:r>
    </w:p>
    <w:p w:rsidR="00BA29FF" w:rsidRDefault="00BA29FF">
      <w:pPr>
        <w:pStyle w:val="aDef"/>
        <w:keepNext/>
      </w:pPr>
      <w:r>
        <w:rPr>
          <w:rStyle w:val="charBoldItals"/>
        </w:rPr>
        <w:t>scoping documentation</w:t>
      </w:r>
      <w:r>
        <w:t>, in relation to an application, means—</w:t>
      </w:r>
    </w:p>
    <w:p w:rsidR="00BA29FF" w:rsidRDefault="00BA29FF">
      <w:pPr>
        <w:pStyle w:val="aDefpara"/>
      </w:pPr>
      <w:r>
        <w:tab/>
        <w:t>(a)</w:t>
      </w:r>
      <w:r>
        <w:tab/>
        <w:t>the application; and</w:t>
      </w:r>
    </w:p>
    <w:p w:rsidR="00BA29FF" w:rsidRDefault="00BA29FF">
      <w:pPr>
        <w:pStyle w:val="aDefpara"/>
      </w:pPr>
      <w:r>
        <w:tab/>
        <w:t>(b)</w:t>
      </w:r>
      <w:r>
        <w:tab/>
        <w:t>a draft of the scoping document for the development proposal to which the application relates; and</w:t>
      </w:r>
    </w:p>
    <w:p w:rsidR="00BA29FF" w:rsidRDefault="00BA29FF">
      <w:pPr>
        <w:pStyle w:val="aDefpara"/>
      </w:pPr>
      <w:r>
        <w:tab/>
        <w:t>(c)</w:t>
      </w:r>
      <w:r>
        <w:tab/>
        <w:t>any other documents the planning and land authority considers are relevant to the proposal.</w:t>
      </w:r>
    </w:p>
    <w:p w:rsidR="00BA29FF" w:rsidRDefault="00BA29FF">
      <w:pPr>
        <w:pStyle w:val="AH5Sec"/>
      </w:pPr>
      <w:bookmarkStart w:id="40" w:name="_Toc206921229"/>
      <w:r>
        <w:rPr>
          <w:rStyle w:val="CharSectNo"/>
        </w:rPr>
        <w:t>53</w:t>
      </w:r>
      <w:r>
        <w:tab/>
        <w:t>Extension of time for giving comments on scoping documentation</w:t>
      </w:r>
      <w:bookmarkEnd w:id="40"/>
    </w:p>
    <w:p w:rsidR="00BA29FF" w:rsidRDefault="00BA29FF">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BA29FF" w:rsidRDefault="00BA29FF">
      <w:pPr>
        <w:pStyle w:val="Amain"/>
      </w:pPr>
      <w:r>
        <w:tab/>
        <w:t>(2)</w:t>
      </w:r>
      <w:r>
        <w:tab/>
        <w:t>The application must—</w:t>
      </w:r>
    </w:p>
    <w:p w:rsidR="00BA29FF" w:rsidRDefault="00BA29FF">
      <w:pPr>
        <w:pStyle w:val="Apara"/>
      </w:pPr>
      <w:r>
        <w:tab/>
        <w:t>(a)</w:t>
      </w:r>
      <w:r>
        <w:tab/>
        <w:t xml:space="preserve">be in writing; and </w:t>
      </w:r>
    </w:p>
    <w:p w:rsidR="00BA29FF" w:rsidRDefault="00BA29FF">
      <w:pPr>
        <w:pStyle w:val="Apara"/>
      </w:pPr>
      <w:r>
        <w:tab/>
        <w:t>(b)</w:t>
      </w:r>
      <w:r>
        <w:tab/>
        <w:t xml:space="preserve">state the reasons for making the application; and </w:t>
      </w:r>
    </w:p>
    <w:p w:rsidR="00BA29FF" w:rsidRDefault="00BA29FF">
      <w:pPr>
        <w:pStyle w:val="Apara"/>
      </w:pPr>
      <w:r>
        <w:tab/>
        <w:t>(c)</w:t>
      </w:r>
      <w:r>
        <w:tab/>
        <w:t>state the additional period the entity considers necessary for making comments.</w:t>
      </w:r>
    </w:p>
    <w:p w:rsidR="00BA29FF" w:rsidRDefault="00BA29FF">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BA29FF" w:rsidRDefault="00BA29FF">
      <w:pPr>
        <w:pStyle w:val="aNote"/>
      </w:pPr>
      <w:r>
        <w:rPr>
          <w:rStyle w:val="charItals"/>
        </w:rPr>
        <w:t>Note</w:t>
      </w:r>
      <w:r>
        <w:rPr>
          <w:rStyle w:val="charItals"/>
        </w:rPr>
        <w:tab/>
      </w:r>
      <w:r>
        <w:rPr>
          <w:rStyle w:val="charBoldItals"/>
        </w:rPr>
        <w:t>Scoping documentation</w:t>
      </w:r>
      <w:r>
        <w:t>—see s 52 (4).</w:t>
      </w:r>
    </w:p>
    <w:p w:rsidR="00BA29FF" w:rsidRDefault="00BA29FF">
      <w:pPr>
        <w:pStyle w:val="AH5Sec"/>
      </w:pPr>
      <w:bookmarkStart w:id="41" w:name="_Toc206921230"/>
      <w:r>
        <w:rPr>
          <w:rStyle w:val="CharSectNo"/>
        </w:rPr>
        <w:t>54</w:t>
      </w:r>
      <w:r>
        <w:tab/>
        <w:t>Content of scoping documents—Act, s 213 (1)</w:t>
      </w:r>
      <w:bookmarkEnd w:id="41"/>
    </w:p>
    <w:p w:rsidR="00BA29FF" w:rsidRDefault="00BA29FF">
      <w:pPr>
        <w:pStyle w:val="Amain"/>
        <w:keepNext/>
      </w:pPr>
      <w:r>
        <w:tab/>
        <w:t>(1)</w:t>
      </w:r>
      <w:r>
        <w:tab/>
        <w:t>A scoping document for an EIS must contain the following:</w:t>
      </w:r>
    </w:p>
    <w:p w:rsidR="00BA29FF" w:rsidRDefault="00BA29FF">
      <w:pPr>
        <w:pStyle w:val="Apara"/>
      </w:pPr>
      <w:r>
        <w:tab/>
        <w:t>(a)</w:t>
      </w:r>
      <w:r>
        <w:tab/>
        <w:t>the name, address, telephone number and email address of the people who prepared the document;</w:t>
      </w:r>
    </w:p>
    <w:p w:rsidR="00BA29FF" w:rsidRDefault="00BA29FF">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BA29FF" w:rsidRDefault="00BA29FF">
      <w:pPr>
        <w:pStyle w:val="Apara"/>
      </w:pPr>
      <w:r>
        <w:tab/>
        <w:t>(c)</w:t>
      </w:r>
      <w:r>
        <w:tab/>
        <w:t>a list of entities that the proponent must consult in preparing the EIS;</w:t>
      </w:r>
    </w:p>
    <w:p w:rsidR="00BA29FF" w:rsidRDefault="00BA29FF">
      <w:pPr>
        <w:pStyle w:val="Apara"/>
      </w:pPr>
      <w:r>
        <w:tab/>
        <w:t>(d)</w:t>
      </w:r>
      <w:r>
        <w:tab/>
        <w:t>each potentially significant environmental impact that must be addressed in the EIS;</w:t>
      </w:r>
    </w:p>
    <w:p w:rsidR="00BA29FF" w:rsidRDefault="00BA29FF">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BA29FF" w:rsidRDefault="00BA29FF">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BA29FF" w:rsidRDefault="00BA29FF">
      <w:pPr>
        <w:pStyle w:val="aNotepar"/>
      </w:pPr>
      <w:r>
        <w:rPr>
          <w:rStyle w:val="charItals"/>
        </w:rPr>
        <w:t>Note</w:t>
      </w:r>
      <w:r>
        <w:rPr>
          <w:rStyle w:val="charItals"/>
        </w:rPr>
        <w:tab/>
      </w:r>
      <w:r>
        <w:t xml:space="preserve">For </w:t>
      </w:r>
      <w:r>
        <w:rPr>
          <w:rStyle w:val="charBoldItals"/>
        </w:rPr>
        <w:t>s 125-related EIS</w:t>
      </w:r>
      <w:r>
        <w:t>, see the Act, s 208.</w:t>
      </w:r>
    </w:p>
    <w:p w:rsidR="00BA29FF" w:rsidRDefault="00BA29FF">
      <w:pPr>
        <w:pStyle w:val="Apara"/>
      </w:pPr>
      <w:r>
        <w:tab/>
        <w:t>(g)</w:t>
      </w:r>
      <w:r>
        <w:tab/>
        <w:t>any current relevant information held by the Territory, of which the planning and land authority is aware, that would be of use in preparing the EIS;</w:t>
      </w:r>
    </w:p>
    <w:p w:rsidR="00BA29FF" w:rsidRDefault="00BA29FF">
      <w:pPr>
        <w:pStyle w:val="Apara"/>
      </w:pPr>
      <w:r>
        <w:lastRenderedPageBreak/>
        <w:tab/>
        <w:t>(h)</w:t>
      </w:r>
      <w:r>
        <w:tab/>
        <w:t>the requirements for the form and format of the EIS;</w:t>
      </w:r>
    </w:p>
    <w:p w:rsidR="00BA29FF" w:rsidRDefault="00BA29FF">
      <w:pPr>
        <w:pStyle w:val="aExamHdgpar"/>
      </w:pPr>
      <w:r>
        <w:t>Examples—requirements about format of EIS</w:t>
      </w:r>
    </w:p>
    <w:p w:rsidR="00BA29FF" w:rsidRDefault="00BA29FF">
      <w:pPr>
        <w:pStyle w:val="aExamINumpar"/>
        <w:tabs>
          <w:tab w:val="clear" w:pos="2000"/>
          <w:tab w:val="left" w:pos="1990"/>
        </w:tabs>
        <w:ind w:left="1990" w:hanging="390"/>
      </w:pPr>
      <w:r>
        <w:t>1</w:t>
      </w:r>
      <w:r>
        <w:tab/>
        <w:t>the structure of the EIS</w:t>
      </w:r>
    </w:p>
    <w:p w:rsidR="00BA29FF" w:rsidRDefault="00BA29FF">
      <w:pPr>
        <w:pStyle w:val="aExamINumpar"/>
        <w:tabs>
          <w:tab w:val="clear" w:pos="2000"/>
          <w:tab w:val="left" w:pos="1990"/>
        </w:tabs>
        <w:ind w:left="1990" w:hanging="390"/>
      </w:pPr>
      <w:r>
        <w:t>2</w:t>
      </w:r>
      <w:r>
        <w:tab/>
        <w:t>how factual information is to be referenced in the EIS</w:t>
      </w:r>
    </w:p>
    <w:p w:rsidR="00BA29FF" w:rsidRDefault="00BA29FF">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BA29FF" w:rsidRDefault="00BA29FF">
      <w:pPr>
        <w:pStyle w:val="Apara"/>
      </w:pPr>
      <w:r>
        <w:tab/>
        <w:t>(i)</w:t>
      </w:r>
      <w:r>
        <w:tab/>
        <w:t>the number of copies of the EIS to be given to the planning and land authority.</w:t>
      </w:r>
    </w:p>
    <w:p w:rsidR="00BA29FF" w:rsidRDefault="00BA29FF">
      <w:pPr>
        <w:pStyle w:val="Amain"/>
      </w:pPr>
      <w:r>
        <w:tab/>
        <w:t>(2)</w:t>
      </w:r>
      <w:r>
        <w:tab/>
        <w:t>For subsection (1) (c), the scoping document may include requirements that affected groups with particular communication needs have adequate opportunity to comment on the EIS.</w:t>
      </w:r>
    </w:p>
    <w:p w:rsidR="00BA29FF" w:rsidRDefault="00BA29FF">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BA29FF" w:rsidRDefault="00BA29FF">
      <w:pPr>
        <w:pStyle w:val="Amain"/>
        <w:keepNext/>
      </w:pPr>
      <w:r>
        <w:tab/>
        <w:t>(4)</w:t>
      </w:r>
      <w:r>
        <w:tab/>
        <w:t>A scoping document for an EIS may also include any of the following:</w:t>
      </w:r>
    </w:p>
    <w:p w:rsidR="00BA29FF" w:rsidRDefault="00BA29FF">
      <w:pPr>
        <w:pStyle w:val="Apara"/>
      </w:pPr>
      <w:r>
        <w:tab/>
        <w:t>(a)</w:t>
      </w:r>
      <w:r>
        <w:tab/>
        <w:t>requirements in relation to the methods of assessment to be used in the EIS;</w:t>
      </w:r>
    </w:p>
    <w:p w:rsidR="00BA29FF" w:rsidRDefault="00BA29FF">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BA29FF" w:rsidRDefault="00BA29FF">
      <w:pPr>
        <w:pStyle w:val="Apara"/>
        <w:keepNext/>
        <w:keepLines/>
      </w:pPr>
      <w:r>
        <w:lastRenderedPageBreak/>
        <w:tab/>
        <w:t>(c)</w:t>
      </w:r>
      <w:r>
        <w:tab/>
        <w:t>a list of impacts that are not significant environmental impacts that can be addressed through an altered design or in some other way.</w:t>
      </w:r>
    </w:p>
    <w:p w:rsidR="00BA29FF" w:rsidRDefault="00BA29FF">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BA29FF" w:rsidRDefault="00BA29FF">
      <w:pPr>
        <w:pStyle w:val="AH5Sec"/>
      </w:pPr>
      <w:bookmarkStart w:id="42" w:name="_Toc206921231"/>
      <w:r>
        <w:rPr>
          <w:rStyle w:val="CharSectNo"/>
        </w:rPr>
        <w:t>55</w:t>
      </w:r>
      <w:r>
        <w:tab/>
        <w:t>Criteria for consultants—Act, s 213 (3), def </w:t>
      </w:r>
      <w:r>
        <w:rPr>
          <w:i/>
          <w:iCs/>
        </w:rPr>
        <w:t>consultant</w:t>
      </w:r>
      <w:bookmarkEnd w:id="42"/>
    </w:p>
    <w:p w:rsidR="00BA29FF" w:rsidRDefault="00BA29FF">
      <w:pPr>
        <w:pStyle w:val="Amainreturn"/>
      </w:pPr>
      <w:r>
        <w:t>The criteria are that the planning and land authority is satisfied the person holds relevant professional qualifications in relation to the preparation of environmental impact statements and has—</w:t>
      </w:r>
    </w:p>
    <w:p w:rsidR="00BA29FF" w:rsidRDefault="00BA29FF">
      <w:pPr>
        <w:pStyle w:val="Apara"/>
      </w:pPr>
      <w:r>
        <w:tab/>
        <w:t>(a)</w:t>
      </w:r>
      <w:r>
        <w:tab/>
        <w:t>experience in the preparation of environmental impact statements; or</w:t>
      </w:r>
    </w:p>
    <w:p w:rsidR="00BA29FF" w:rsidRDefault="00BA29FF">
      <w:pPr>
        <w:pStyle w:val="Apara"/>
      </w:pPr>
      <w:r>
        <w:tab/>
        <w:t>(b)</w:t>
      </w:r>
      <w:r>
        <w:tab/>
        <w:t>the capacity to prepare environmental impact statements.</w:t>
      </w:r>
    </w:p>
    <w:p w:rsidR="00BA29FF" w:rsidRDefault="00BA29FF">
      <w:pPr>
        <w:pStyle w:val="PageBreak"/>
      </w:pPr>
      <w:r>
        <w:br w:type="page"/>
      </w:r>
    </w:p>
    <w:p w:rsidR="00BA29FF" w:rsidRDefault="00BA29FF">
      <w:pPr>
        <w:pStyle w:val="AH2Part"/>
      </w:pPr>
      <w:bookmarkStart w:id="43" w:name="_Toc206921232"/>
      <w:r>
        <w:rPr>
          <w:rStyle w:val="CharPartNo"/>
        </w:rPr>
        <w:lastRenderedPageBreak/>
        <w:t>Part 4.2</w:t>
      </w:r>
      <w:r>
        <w:tab/>
      </w:r>
      <w:r>
        <w:rPr>
          <w:rStyle w:val="CharPartText"/>
        </w:rPr>
        <w:t>Inquiry panels</w:t>
      </w:r>
      <w:bookmarkEnd w:id="43"/>
    </w:p>
    <w:p w:rsidR="00BA29FF" w:rsidRDefault="00BA29FF">
      <w:pPr>
        <w:pStyle w:val="AH5Sec"/>
      </w:pPr>
      <w:bookmarkStart w:id="44" w:name="_Toc206921233"/>
      <w:r>
        <w:rPr>
          <w:rStyle w:val="CharSectNo"/>
        </w:rPr>
        <w:t>70</w:t>
      </w:r>
      <w:r>
        <w:tab/>
        <w:t>Definitions—pt 4.2</w:t>
      </w:r>
      <w:bookmarkEnd w:id="44"/>
    </w:p>
    <w:p w:rsidR="00BA29FF" w:rsidRDefault="00BA29FF">
      <w:pPr>
        <w:pStyle w:val="Amainreturn"/>
        <w:keepNext/>
      </w:pPr>
      <w:r>
        <w:t>In this part:</w:t>
      </w:r>
    </w:p>
    <w:p w:rsidR="00BA29FF" w:rsidRDefault="00BA29FF">
      <w:pPr>
        <w:pStyle w:val="aDef"/>
      </w:pPr>
      <w:r>
        <w:rPr>
          <w:rStyle w:val="charBoldItals"/>
        </w:rPr>
        <w:t xml:space="preserve">member </w:t>
      </w:r>
      <w:r>
        <w:t>means a member of an inquiry panel.</w:t>
      </w:r>
    </w:p>
    <w:p w:rsidR="00BA29FF" w:rsidRDefault="00BA29FF">
      <w:pPr>
        <w:pStyle w:val="aDef"/>
      </w:pPr>
      <w:r>
        <w:rPr>
          <w:rStyle w:val="charBoldItals"/>
        </w:rPr>
        <w:t>presiding member</w:t>
      </w:r>
      <w:r>
        <w:t>, of an inquiry panel, means the member nominated under the Act, section 229 (2) as the presiding member of the panel.</w:t>
      </w:r>
    </w:p>
    <w:p w:rsidR="00BA29FF" w:rsidRDefault="00BA29FF">
      <w:pPr>
        <w:pStyle w:val="AH5Sec"/>
      </w:pPr>
      <w:bookmarkStart w:id="45" w:name="_Toc206921234"/>
      <w:r>
        <w:rPr>
          <w:rStyle w:val="CharSectNo"/>
        </w:rPr>
        <w:t>71</w:t>
      </w:r>
      <w:r>
        <w:tab/>
        <w:t>List of experts for inquiry panels</w:t>
      </w:r>
      <w:bookmarkEnd w:id="45"/>
    </w:p>
    <w:p w:rsidR="00BA29FF" w:rsidRDefault="00BA29FF">
      <w:pPr>
        <w:pStyle w:val="Amain"/>
      </w:pPr>
      <w:r>
        <w:tab/>
        <w:t>(1)</w:t>
      </w:r>
      <w:r>
        <w:tab/>
        <w:t>The planning and land authority may keep a list of people who may be appointed to an inquiry panel.</w:t>
      </w:r>
    </w:p>
    <w:p w:rsidR="00BA29FF" w:rsidRDefault="00BA29FF">
      <w:pPr>
        <w:pStyle w:val="Amain"/>
      </w:pPr>
      <w:r>
        <w:tab/>
        <w:t>(2)</w:t>
      </w:r>
      <w:r>
        <w:tab/>
        <w:t>A person may, in writing, apply to the planning and land authority to be included on the list.</w:t>
      </w:r>
    </w:p>
    <w:p w:rsidR="00BA29FF" w:rsidRDefault="00BA29FF">
      <w:pPr>
        <w:pStyle w:val="Amain"/>
      </w:pPr>
      <w:r>
        <w:tab/>
        <w:t>(3)</w:t>
      </w:r>
      <w:r>
        <w:tab/>
        <w:t>The planning and land authority may include a person on the list if satisfied the person—</w:t>
      </w:r>
    </w:p>
    <w:p w:rsidR="00BA29FF" w:rsidRDefault="00BA29FF">
      <w:pPr>
        <w:pStyle w:val="Apara"/>
      </w:pPr>
      <w:r>
        <w:tab/>
        <w:t>(a)</w:t>
      </w:r>
      <w:r>
        <w:tab/>
        <w:t>holds professional qualifications relevant to inquiries; or</w:t>
      </w:r>
    </w:p>
    <w:p w:rsidR="00BA29FF" w:rsidRDefault="00BA29FF">
      <w:pPr>
        <w:pStyle w:val="Apara"/>
      </w:pPr>
      <w:r>
        <w:tab/>
        <w:t>(b)</w:t>
      </w:r>
      <w:r>
        <w:tab/>
        <w:t>has expertise in an area relevant to inquiries.</w:t>
      </w:r>
    </w:p>
    <w:p w:rsidR="00BA29FF" w:rsidRDefault="00BA29FF">
      <w:pPr>
        <w:pStyle w:val="aExamHdgpar"/>
      </w:pPr>
      <w:r>
        <w:t>Examples—areas of expertise</w:t>
      </w:r>
    </w:p>
    <w:p w:rsidR="00BA29FF" w:rsidRDefault="00BA29FF">
      <w:pPr>
        <w:pStyle w:val="aExamBulletpar"/>
        <w:tabs>
          <w:tab w:val="left" w:pos="2000"/>
        </w:tabs>
      </w:pPr>
      <w:r>
        <w:rPr>
          <w:rFonts w:ascii="Symbol" w:hAnsi="Symbol"/>
        </w:rPr>
        <w:t></w:t>
      </w:r>
      <w:r>
        <w:rPr>
          <w:rFonts w:ascii="Symbol" w:hAnsi="Symbol"/>
        </w:rPr>
        <w:tab/>
      </w:r>
      <w:r>
        <w:t>environmental science</w:t>
      </w:r>
    </w:p>
    <w:p w:rsidR="00BA29FF" w:rsidRDefault="00BA29FF">
      <w:pPr>
        <w:pStyle w:val="aExamBulletpar"/>
        <w:tabs>
          <w:tab w:val="left" w:pos="2000"/>
        </w:tabs>
      </w:pPr>
      <w:r>
        <w:rPr>
          <w:rFonts w:ascii="Symbol" w:hAnsi="Symbol"/>
        </w:rPr>
        <w:t></w:t>
      </w:r>
      <w:r>
        <w:rPr>
          <w:rFonts w:ascii="Symbol" w:hAnsi="Symbol"/>
        </w:rPr>
        <w:tab/>
      </w:r>
      <w:r>
        <w:t>urban, transport and landscape planning</w:t>
      </w:r>
    </w:p>
    <w:p w:rsidR="00BA29FF" w:rsidRDefault="00BA29FF">
      <w:pPr>
        <w:pStyle w:val="aExamBulletpar"/>
        <w:tabs>
          <w:tab w:val="left" w:pos="2000"/>
        </w:tabs>
      </w:pPr>
      <w:r>
        <w:rPr>
          <w:rFonts w:ascii="Symbol" w:hAnsi="Symbol"/>
        </w:rPr>
        <w:t></w:t>
      </w:r>
      <w:r>
        <w:rPr>
          <w:rFonts w:ascii="Symbol" w:hAnsi="Symbol"/>
        </w:rPr>
        <w:tab/>
      </w:r>
      <w:r>
        <w:t>infrastructure planning and management</w:t>
      </w:r>
    </w:p>
    <w:p w:rsidR="00BA29FF" w:rsidRDefault="00BA29FF">
      <w:pPr>
        <w:pStyle w:val="aExamBulletpar"/>
        <w:tabs>
          <w:tab w:val="left" w:pos="2000"/>
        </w:tabs>
      </w:pPr>
      <w:r>
        <w:rPr>
          <w:rFonts w:ascii="Symbol" w:hAnsi="Symbol"/>
        </w:rPr>
        <w:t></w:t>
      </w:r>
      <w:r>
        <w:rPr>
          <w:rFonts w:ascii="Symbol" w:hAnsi="Symbol"/>
        </w:rPr>
        <w:tab/>
      </w:r>
      <w:r>
        <w:t>economics</w:t>
      </w:r>
    </w:p>
    <w:p w:rsidR="00BA29FF" w:rsidRDefault="00BA29FF">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BA29FF" w:rsidRDefault="00BA29FF">
      <w:pPr>
        <w:pStyle w:val="Amain"/>
      </w:pPr>
      <w:r>
        <w:tab/>
        <w:t>(4)</w:t>
      </w:r>
      <w:r>
        <w:tab/>
        <w:t>The planning and land authority must review the list at least once every 3 years.</w:t>
      </w:r>
    </w:p>
    <w:p w:rsidR="00BA29FF" w:rsidRDefault="00BA29FF">
      <w:pPr>
        <w:pStyle w:val="AH5Sec"/>
      </w:pPr>
      <w:bookmarkStart w:id="46" w:name="_Toc206921235"/>
      <w:r>
        <w:rPr>
          <w:rStyle w:val="CharSectNo"/>
        </w:rPr>
        <w:lastRenderedPageBreak/>
        <w:t>72</w:t>
      </w:r>
      <w:r>
        <w:tab/>
        <w:t>Conflict of interests to be considered in appointing panel members</w:t>
      </w:r>
      <w:bookmarkEnd w:id="46"/>
    </w:p>
    <w:p w:rsidR="00BA29FF" w:rsidRDefault="00BA29FF">
      <w:pPr>
        <w:pStyle w:val="Amainreturn"/>
      </w:pPr>
      <w:r>
        <w:t>The Minister may appoint a person as a member of an inquiry panel for an EIS only if the Minister has received a declaration from the person whether—</w:t>
      </w:r>
    </w:p>
    <w:p w:rsidR="00BA29FF" w:rsidRDefault="00BA29FF">
      <w:pPr>
        <w:pStyle w:val="Apara"/>
      </w:pPr>
      <w:r>
        <w:tab/>
        <w:t>(a)</w:t>
      </w:r>
      <w:r>
        <w:tab/>
        <w:t>the person has a direct or indirect financial or personal interest in a matter to which the EIS to be considered by the panel relates; and</w:t>
      </w:r>
    </w:p>
    <w:p w:rsidR="00BA29FF" w:rsidRDefault="00BA29FF">
      <w:pPr>
        <w:pStyle w:val="Apara"/>
      </w:pPr>
      <w:r>
        <w:tab/>
        <w:t>(b)</w:t>
      </w:r>
      <w:r>
        <w:tab/>
        <w:t>the interest could conflict with the proper exercise of the person’s functions as a member of the panel in relation to the panel’s consideration of the EIS.</w:t>
      </w:r>
    </w:p>
    <w:p w:rsidR="00BA29FF" w:rsidRDefault="00BA29FF">
      <w:pPr>
        <w:pStyle w:val="AH5Sec"/>
      </w:pPr>
      <w:bookmarkStart w:id="47" w:name="_Toc206921236"/>
      <w:r>
        <w:rPr>
          <w:rStyle w:val="CharSectNo"/>
        </w:rPr>
        <w:t>73</w:t>
      </w:r>
      <w:r>
        <w:tab/>
        <w:t>Disclosure of interests by panel members</w:t>
      </w:r>
      <w:bookmarkEnd w:id="47"/>
    </w:p>
    <w:p w:rsidR="00BA29FF" w:rsidRDefault="00BA29FF">
      <w:pPr>
        <w:pStyle w:val="Amain"/>
      </w:pPr>
      <w:r>
        <w:tab/>
        <w:t>(1)</w:t>
      </w:r>
      <w:r>
        <w:tab/>
        <w:t>This section applies if—</w:t>
      </w:r>
    </w:p>
    <w:p w:rsidR="00BA29FF" w:rsidRDefault="00BA29FF">
      <w:pPr>
        <w:pStyle w:val="Apara"/>
      </w:pPr>
      <w:r>
        <w:tab/>
        <w:t>(a)</w:t>
      </w:r>
      <w:r>
        <w:tab/>
        <w:t>a member of an inquiry panel has a direct or indirect financial or personal interest in an issue being considered, or to be considered, by the panel; and</w:t>
      </w:r>
    </w:p>
    <w:p w:rsidR="00BA29FF" w:rsidRDefault="00BA29FF">
      <w:pPr>
        <w:pStyle w:val="Apara"/>
      </w:pPr>
      <w:r>
        <w:tab/>
        <w:t>(b)</w:t>
      </w:r>
      <w:r>
        <w:tab/>
        <w:t>the interest could conflict with the proper exercise of the member’s functions in relation to the panel’s consideration of the issue.</w:t>
      </w:r>
    </w:p>
    <w:p w:rsidR="00BA29FF" w:rsidRDefault="00BA29FF">
      <w:pPr>
        <w:pStyle w:val="Amain"/>
      </w:pPr>
      <w:r>
        <w:tab/>
        <w:t>(2)</w:t>
      </w:r>
      <w:r>
        <w:tab/>
        <w:t>As soon as practicable after the relevant facts come to the member’s knowledge, the member must—</w:t>
      </w:r>
    </w:p>
    <w:p w:rsidR="00BA29FF" w:rsidRDefault="00BA29FF">
      <w:pPr>
        <w:pStyle w:val="Apara"/>
      </w:pPr>
      <w:r>
        <w:tab/>
        <w:t>(a)</w:t>
      </w:r>
      <w:r>
        <w:tab/>
        <w:t>disclose the nature of the interest to a meeting of the inquiry panel; and</w:t>
      </w:r>
    </w:p>
    <w:p w:rsidR="00BA29FF" w:rsidRDefault="00BA29FF">
      <w:pPr>
        <w:pStyle w:val="Apara"/>
      </w:pPr>
      <w:r>
        <w:tab/>
        <w:t>(b)</w:t>
      </w:r>
      <w:r>
        <w:tab/>
        <w:t>tell the parties to the inquiry about the interest; and</w:t>
      </w:r>
    </w:p>
    <w:p w:rsidR="00BA29FF" w:rsidRDefault="00BA29FF">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BA29FF" w:rsidRDefault="00BA29FF">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BA29FF" w:rsidRDefault="00BA29FF">
      <w:pPr>
        <w:pStyle w:val="Amain"/>
      </w:pPr>
      <w:r>
        <w:tab/>
        <w:t>(4)</w:t>
      </w:r>
      <w:r>
        <w:tab/>
        <w:t>Within 14 days after the day an interest is disclosed to the presiding member under this section, the presiding member must give the Minister a statement of the disclosure.</w:t>
      </w:r>
    </w:p>
    <w:p w:rsidR="00BA29FF" w:rsidRDefault="00BA29FF">
      <w:pPr>
        <w:pStyle w:val="AH5Sec"/>
      </w:pPr>
      <w:bookmarkStart w:id="48" w:name="_Toc206921237"/>
      <w:r>
        <w:rPr>
          <w:rStyle w:val="CharSectNo"/>
        </w:rPr>
        <w:t>74</w:t>
      </w:r>
      <w:r>
        <w:tab/>
        <w:t>Presiding member’s functions</w:t>
      </w:r>
      <w:bookmarkEnd w:id="48"/>
    </w:p>
    <w:p w:rsidR="00BA29FF" w:rsidRDefault="00BA29FF">
      <w:pPr>
        <w:pStyle w:val="Amainreturn"/>
        <w:keepNext/>
      </w:pPr>
      <w:r>
        <w:t>The presiding member of an inquiry panel has the following functions:</w:t>
      </w:r>
    </w:p>
    <w:p w:rsidR="00BA29FF" w:rsidRDefault="00BA29FF">
      <w:pPr>
        <w:pStyle w:val="Apara"/>
      </w:pPr>
      <w:r>
        <w:tab/>
        <w:t>(a)</w:t>
      </w:r>
      <w:r>
        <w:tab/>
        <w:t>managing the affairs of the panel, including ensuring the expeditious conduct of the inquiry and issuing directions in relation to the conduct of the inquiry;</w:t>
      </w:r>
    </w:p>
    <w:p w:rsidR="00BA29FF" w:rsidRDefault="00BA29FF">
      <w:pPr>
        <w:pStyle w:val="Apara"/>
      </w:pPr>
      <w:r>
        <w:tab/>
        <w:t>(b)</w:t>
      </w:r>
      <w:r>
        <w:tab/>
        <w:t>ensuring, as far as practicable, that there is a good working relationship between the panel and all relevant parties;</w:t>
      </w:r>
    </w:p>
    <w:p w:rsidR="00BA29FF" w:rsidRDefault="00BA29FF">
      <w:pPr>
        <w:pStyle w:val="Apara"/>
      </w:pPr>
      <w:r>
        <w:tab/>
        <w:t>(c)</w:t>
      </w:r>
      <w:r>
        <w:tab/>
        <w:t>ensuring the Minister is kept informed about the operations of the panel.</w:t>
      </w:r>
    </w:p>
    <w:p w:rsidR="00BA29FF" w:rsidRDefault="00BA29FF">
      <w:pPr>
        <w:pStyle w:val="AH5Sec"/>
      </w:pPr>
      <w:bookmarkStart w:id="49" w:name="_Toc206921238"/>
      <w:r>
        <w:rPr>
          <w:rStyle w:val="CharSectNo"/>
        </w:rPr>
        <w:t>75</w:t>
      </w:r>
      <w:r>
        <w:tab/>
        <w:t>Constitution of inquiry panels</w:t>
      </w:r>
      <w:bookmarkEnd w:id="49"/>
    </w:p>
    <w:p w:rsidR="00BA29FF" w:rsidRDefault="00BA29FF">
      <w:pPr>
        <w:pStyle w:val="Amain"/>
      </w:pPr>
      <w:r>
        <w:tab/>
        <w:t>(1)</w:t>
      </w:r>
      <w:r>
        <w:tab/>
        <w:t>An inquiry panel must not exercise its functions unless—</w:t>
      </w:r>
    </w:p>
    <w:p w:rsidR="00BA29FF" w:rsidRDefault="00BA29FF">
      <w:pPr>
        <w:pStyle w:val="Apara"/>
      </w:pPr>
      <w:r>
        <w:tab/>
        <w:t>(a)</w:t>
      </w:r>
      <w:r>
        <w:tab/>
        <w:t>all members of the panel are present; or</w:t>
      </w:r>
    </w:p>
    <w:p w:rsidR="00BA29FF" w:rsidRDefault="00BA29FF">
      <w:pPr>
        <w:pStyle w:val="Apara"/>
      </w:pPr>
      <w:r>
        <w:tab/>
        <w:t>(b)</w:t>
      </w:r>
      <w:r>
        <w:tab/>
        <w:t>the panel is reconstituted in accordance with this section.</w:t>
      </w:r>
    </w:p>
    <w:p w:rsidR="00BA29FF" w:rsidRDefault="00BA29FF">
      <w:pPr>
        <w:pStyle w:val="Amain"/>
      </w:pPr>
      <w:r>
        <w:tab/>
        <w:t>(2)</w:t>
      </w:r>
      <w:r>
        <w:tab/>
        <w:t>If, before the inquiry panel has completed its inquiry, 1 of the members stops being a member of the panel or is unable to continue to be a member of the panel, the Minister must, in writing—</w:t>
      </w:r>
    </w:p>
    <w:p w:rsidR="00BA29FF" w:rsidRDefault="00BA29FF">
      <w:pPr>
        <w:pStyle w:val="Apara"/>
      </w:pPr>
      <w:r>
        <w:tab/>
        <w:t>(a)</w:t>
      </w:r>
      <w:r>
        <w:tab/>
        <w:t>end the inquiry by the panel and appoint a new panel to conduct the inquiry afresh; or</w:t>
      </w:r>
    </w:p>
    <w:p w:rsidR="00BA29FF" w:rsidRDefault="00BA29FF">
      <w:pPr>
        <w:pStyle w:val="Apara"/>
      </w:pPr>
      <w:r>
        <w:tab/>
        <w:t>(b)</w:t>
      </w:r>
      <w:r>
        <w:tab/>
        <w:t>appoint a new member to reconstitute the panel.</w:t>
      </w:r>
    </w:p>
    <w:p w:rsidR="00BA29FF" w:rsidRDefault="00BA29FF">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BA29FF" w:rsidRDefault="00BA29FF">
      <w:pPr>
        <w:pStyle w:val="AH5Sec"/>
      </w:pPr>
      <w:bookmarkStart w:id="50" w:name="_Toc206921239"/>
      <w:r>
        <w:rPr>
          <w:rStyle w:val="CharSectNo"/>
        </w:rPr>
        <w:t>76</w:t>
      </w:r>
      <w:r>
        <w:tab/>
        <w:t>Inquiries to be public</w:t>
      </w:r>
      <w:bookmarkEnd w:id="50"/>
    </w:p>
    <w:p w:rsidR="00BA29FF" w:rsidRDefault="00BA29FF">
      <w:pPr>
        <w:pStyle w:val="Amain"/>
      </w:pPr>
      <w:r>
        <w:tab/>
        <w:t>(1)</w:t>
      </w:r>
      <w:r>
        <w:tab/>
        <w:t>An inquiry panel must conduct its inquiry in public.</w:t>
      </w:r>
    </w:p>
    <w:p w:rsidR="00BA29FF" w:rsidRDefault="00BA29FF">
      <w:pPr>
        <w:pStyle w:val="Amain"/>
      </w:pPr>
      <w:r>
        <w:tab/>
        <w:t>(2)</w:t>
      </w:r>
      <w:r>
        <w:tab/>
        <w:t>However, an inquiry panel may—</w:t>
      </w:r>
    </w:p>
    <w:p w:rsidR="00BA29FF" w:rsidRDefault="00BA29FF">
      <w:pPr>
        <w:pStyle w:val="Apara"/>
      </w:pPr>
      <w:r>
        <w:tab/>
        <w:t>(a)</w:t>
      </w:r>
      <w:r>
        <w:tab/>
        <w:t>direct that the inquiry or any part of it be conducted in private, and give directions about who may be present during any private hearing; or</w:t>
      </w:r>
    </w:p>
    <w:p w:rsidR="00BA29FF" w:rsidRDefault="00BA29FF">
      <w:pPr>
        <w:pStyle w:val="Apara"/>
      </w:pPr>
      <w:r>
        <w:tab/>
        <w:t>(b)</w:t>
      </w:r>
      <w:r>
        <w:tab/>
        <w:t>give directions prohibiting or restricting the publication of information given to the inquiry, or of matters contained in documents lodged with the inquiry.</w:t>
      </w:r>
    </w:p>
    <w:p w:rsidR="00BA29FF" w:rsidRDefault="00BA29FF">
      <w:pPr>
        <w:pStyle w:val="Amain"/>
      </w:pPr>
      <w:r>
        <w:tab/>
        <w:t>(3)</w:t>
      </w:r>
      <w:r>
        <w:tab/>
        <w:t>In making a direction under subsection (2), an inquiry panel must consider—</w:t>
      </w:r>
    </w:p>
    <w:p w:rsidR="00BA29FF" w:rsidRDefault="00BA29FF">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BA29FF" w:rsidRDefault="00BA29FF">
      <w:pPr>
        <w:pStyle w:val="Apara"/>
      </w:pPr>
      <w:r>
        <w:tab/>
        <w:t>(b)</w:t>
      </w:r>
      <w:r>
        <w:tab/>
        <w:t>in the circumstances, whether confidentiality is required.</w:t>
      </w:r>
    </w:p>
    <w:p w:rsidR="00BA29FF" w:rsidRDefault="00BA29FF">
      <w:pPr>
        <w:pStyle w:val="Amain"/>
        <w:keepNext/>
      </w:pPr>
      <w:r>
        <w:tab/>
        <w:t>(4)</w:t>
      </w:r>
      <w:r>
        <w:tab/>
        <w:t>A person must not contravene a direction under subsection (2).</w:t>
      </w:r>
    </w:p>
    <w:p w:rsidR="00BA29FF" w:rsidRDefault="00BA29FF">
      <w:pPr>
        <w:pStyle w:val="Penalty"/>
        <w:keepNext/>
      </w:pPr>
      <w:r>
        <w:t>Maximum penalty:  10 penalty units.</w:t>
      </w:r>
    </w:p>
    <w:p w:rsidR="00BA29FF" w:rsidRDefault="00BA29FF">
      <w:pPr>
        <w:pStyle w:val="Amain"/>
      </w:pPr>
      <w:r>
        <w:tab/>
        <w:t>(5)</w:t>
      </w:r>
      <w:r>
        <w:tab/>
        <w:t>An offence against this section is a strict liability offence.</w:t>
      </w:r>
    </w:p>
    <w:p w:rsidR="00BA29FF" w:rsidRDefault="00BA29FF">
      <w:pPr>
        <w:pStyle w:val="AH5Sec"/>
      </w:pPr>
      <w:bookmarkStart w:id="51" w:name="_Toc206921240"/>
      <w:r>
        <w:rPr>
          <w:rStyle w:val="CharSectNo"/>
        </w:rPr>
        <w:lastRenderedPageBreak/>
        <w:t>77</w:t>
      </w:r>
      <w:r>
        <w:tab/>
        <w:t>General procedure for inquiry panels</w:t>
      </w:r>
      <w:bookmarkEnd w:id="51"/>
    </w:p>
    <w:p w:rsidR="00BA29FF" w:rsidRDefault="00BA29FF">
      <w:pPr>
        <w:pStyle w:val="Amain"/>
        <w:keepNext/>
      </w:pPr>
      <w:r>
        <w:tab/>
        <w:t>(1)</w:t>
      </w:r>
      <w:r>
        <w:tab/>
        <w:t>In this section:</w:t>
      </w:r>
    </w:p>
    <w:p w:rsidR="00BA29FF" w:rsidRDefault="00BA29FF">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BA29FF" w:rsidRDefault="00BA29FF">
      <w:pPr>
        <w:pStyle w:val="aDefpara"/>
      </w:pPr>
      <w:r>
        <w:tab/>
        <w:t>(a)</w:t>
      </w:r>
      <w:r>
        <w:tab/>
        <w:t>the proponent of the development proposal to which the EIS relates;</w:t>
      </w:r>
    </w:p>
    <w:p w:rsidR="00BA29FF" w:rsidRDefault="00BA29FF">
      <w:pPr>
        <w:pStyle w:val="aDefpara"/>
      </w:pPr>
      <w:r>
        <w:tab/>
        <w:t>(b)</w:t>
      </w:r>
      <w:r>
        <w:tab/>
        <w:t>an owner or prospective owner of land located near the land to which the EIS relates;</w:t>
      </w:r>
    </w:p>
    <w:p w:rsidR="00BA29FF" w:rsidRDefault="00BA29FF">
      <w:pPr>
        <w:pStyle w:val="aDefpara"/>
      </w:pPr>
      <w:r>
        <w:tab/>
        <w:t>(c)</w:t>
      </w:r>
      <w:r>
        <w:tab/>
        <w:t>anyone who made a representation about the EIS under the Act, section 219 (Representations about draft EIS);</w:t>
      </w:r>
    </w:p>
    <w:p w:rsidR="00BA29FF" w:rsidRDefault="00BA29FF">
      <w:pPr>
        <w:pStyle w:val="aDefpara"/>
      </w:pPr>
      <w:r>
        <w:tab/>
        <w:t>(d)</w:t>
      </w:r>
      <w:r>
        <w:tab/>
        <w:t>anyone else who has, in the inquiry panel’s opinion, a proper interest in the inquiry.</w:t>
      </w:r>
    </w:p>
    <w:p w:rsidR="00BA29FF" w:rsidRDefault="00BA29FF">
      <w:pPr>
        <w:pStyle w:val="Amain"/>
      </w:pPr>
      <w:r>
        <w:tab/>
        <w:t>(2)</w:t>
      </w:r>
      <w:r>
        <w:tab/>
        <w:t>An inquiry panel—</w:t>
      </w:r>
    </w:p>
    <w:p w:rsidR="00BA29FF" w:rsidRDefault="00BA29FF">
      <w:pPr>
        <w:pStyle w:val="Apara"/>
      </w:pPr>
      <w:r>
        <w:tab/>
        <w:t>(a)</w:t>
      </w:r>
      <w:r>
        <w:tab/>
        <w:t>must conduct the inquiry as informally as practicable; and</w:t>
      </w:r>
    </w:p>
    <w:p w:rsidR="00BA29FF" w:rsidRDefault="00BA29FF">
      <w:pPr>
        <w:pStyle w:val="Apara"/>
      </w:pPr>
      <w:r>
        <w:tab/>
        <w:t>(b)</w:t>
      </w:r>
      <w:r>
        <w:tab/>
        <w:t>is not bound by the rules of evidence, and may inform itself—</w:t>
      </w:r>
    </w:p>
    <w:p w:rsidR="00BA29FF" w:rsidRDefault="00BA29FF">
      <w:pPr>
        <w:pStyle w:val="Asubpara"/>
      </w:pPr>
      <w:r>
        <w:tab/>
        <w:t>(i)</w:t>
      </w:r>
      <w:r>
        <w:tab/>
      </w:r>
      <w:r>
        <w:tab/>
        <w:t>in any way it considers appropriate; and</w:t>
      </w:r>
    </w:p>
    <w:p w:rsidR="00BA29FF" w:rsidRDefault="00BA29FF">
      <w:pPr>
        <w:pStyle w:val="Asubpara"/>
      </w:pPr>
      <w:r>
        <w:tab/>
        <w:t>(ii)</w:t>
      </w:r>
      <w:r>
        <w:tab/>
      </w:r>
      <w:r>
        <w:tab/>
        <w:t>without notice to any person who has made a submission to the inquiry; and</w:t>
      </w:r>
    </w:p>
    <w:p w:rsidR="00BA29FF" w:rsidRDefault="00BA29FF">
      <w:pPr>
        <w:pStyle w:val="Apara"/>
      </w:pPr>
      <w:r>
        <w:tab/>
        <w:t>(c)</w:t>
      </w:r>
      <w:r>
        <w:tab/>
        <w:t>may consider submissions by an interested person without hearing the person who made the submission if the person is not present or represented at the time the inquiry is considering the submission; and</w:t>
      </w:r>
    </w:p>
    <w:p w:rsidR="00BA29FF" w:rsidRDefault="00BA29FF">
      <w:pPr>
        <w:pStyle w:val="Apara"/>
        <w:keepNext/>
      </w:pPr>
      <w:r>
        <w:tab/>
        <w:t>(d)</w:t>
      </w:r>
      <w:r>
        <w:tab/>
        <w:t>may refuse to hear anyone who has failed to comply with a direction given by the presiding member of the panel; and</w:t>
      </w:r>
    </w:p>
    <w:p w:rsidR="00BA29FF" w:rsidRDefault="00BA29FF">
      <w:pPr>
        <w:pStyle w:val="aNotepar"/>
      </w:pPr>
      <w:r>
        <w:rPr>
          <w:rStyle w:val="charItals"/>
        </w:rPr>
        <w:t>Note</w:t>
      </w:r>
      <w:r>
        <w:rPr>
          <w:rStyle w:val="charItals"/>
        </w:rPr>
        <w:tab/>
      </w:r>
      <w:r>
        <w:rPr>
          <w:rStyle w:val="charBoldItals"/>
        </w:rPr>
        <w:t>Fail</w:t>
      </w:r>
      <w:r>
        <w:t xml:space="preserve"> includes refuse (see Legislation Act, dict, pt 1).</w:t>
      </w:r>
    </w:p>
    <w:p w:rsidR="00BA29FF" w:rsidRDefault="00BA29FF">
      <w:pPr>
        <w:pStyle w:val="Apara"/>
      </w:pPr>
      <w:r>
        <w:tab/>
        <w:t>(e)</w:t>
      </w:r>
      <w:r>
        <w:tab/>
        <w:t>subject to this part, may otherwise decide its own procedures.</w:t>
      </w:r>
    </w:p>
    <w:p w:rsidR="00BA29FF" w:rsidRDefault="00BA29FF">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BA29FF" w:rsidRDefault="00BA29FF">
      <w:pPr>
        <w:pStyle w:val="Amain"/>
      </w:pPr>
      <w:r>
        <w:tab/>
        <w:t>(4)</w:t>
      </w:r>
      <w:r>
        <w:tab/>
        <w:t>Unless otherwise required by an inquiry panel, an interested person may make a submission to the panel orally or in writing or partly orally and partly in writing.</w:t>
      </w:r>
    </w:p>
    <w:p w:rsidR="00BA29FF" w:rsidRDefault="00BA29FF">
      <w:pPr>
        <w:pStyle w:val="Amain"/>
      </w:pPr>
      <w:r>
        <w:tab/>
        <w:t>(5)</w:t>
      </w:r>
      <w:r>
        <w:tab/>
        <w:t>An interested person may appear and be heard by an inquiry panel in person or may be represented by another person.</w:t>
      </w:r>
    </w:p>
    <w:p w:rsidR="00BA29FF" w:rsidRDefault="00BA29FF">
      <w:pPr>
        <w:pStyle w:val="Amain"/>
      </w:pPr>
      <w:r>
        <w:tab/>
        <w:t>(6)</w:t>
      </w:r>
      <w:r>
        <w:tab/>
        <w:t>Meetings of an inquiry panel are to be held when and where the presiding member decides in consultation with the other members of the panel.</w:t>
      </w:r>
    </w:p>
    <w:p w:rsidR="00BA29FF" w:rsidRDefault="00BA29FF">
      <w:pPr>
        <w:pStyle w:val="AH5Sec"/>
      </w:pPr>
      <w:bookmarkStart w:id="52" w:name="_Toc206921241"/>
      <w:r>
        <w:rPr>
          <w:rStyle w:val="CharSectNo"/>
        </w:rPr>
        <w:t>78</w:t>
      </w:r>
      <w:r>
        <w:tab/>
        <w:t>Arrangements for the use of staff and facilities</w:t>
      </w:r>
      <w:bookmarkEnd w:id="52"/>
    </w:p>
    <w:p w:rsidR="00BA29FF" w:rsidRDefault="00BA29FF">
      <w:pPr>
        <w:pStyle w:val="Amain"/>
        <w:keepNext/>
      </w:pPr>
      <w:r>
        <w:tab/>
        <w:t>(1)</w:t>
      </w:r>
      <w:r>
        <w:tab/>
        <w:t>An inquiry panel may make arrangements with the planning and land authority for the use of the following:</w:t>
      </w:r>
    </w:p>
    <w:p w:rsidR="00BA29FF" w:rsidRDefault="00BA29FF">
      <w:pPr>
        <w:pStyle w:val="Apara"/>
      </w:pPr>
      <w:r>
        <w:tab/>
        <w:t>(a)</w:t>
      </w:r>
      <w:r>
        <w:tab/>
        <w:t xml:space="preserve">the services of public servants in the authority; </w:t>
      </w:r>
    </w:p>
    <w:p w:rsidR="00BA29FF" w:rsidRDefault="00BA29FF">
      <w:pPr>
        <w:pStyle w:val="Apara"/>
      </w:pPr>
      <w:r>
        <w:tab/>
        <w:t>(b)</w:t>
      </w:r>
      <w:r>
        <w:tab/>
        <w:t>facilities of the authority.</w:t>
      </w:r>
    </w:p>
    <w:p w:rsidR="00BA29FF" w:rsidRDefault="00BA29FF">
      <w:pPr>
        <w:pStyle w:val="Amain"/>
      </w:pPr>
      <w:r>
        <w:tab/>
        <w:t>(2)</w:t>
      </w:r>
      <w:r>
        <w:tab/>
        <w:t>While a public servant is exercising functions for an inquiry panel, he or she must exercise the functions in accordance with the directions of the presiding member of the panel.</w:t>
      </w:r>
    </w:p>
    <w:p w:rsidR="00BA29FF" w:rsidRDefault="00BA29FF">
      <w:pPr>
        <w:pStyle w:val="PageBreak"/>
      </w:pPr>
      <w:r>
        <w:br w:type="page"/>
      </w:r>
    </w:p>
    <w:p w:rsidR="00BA29FF" w:rsidRDefault="00BA29FF">
      <w:pPr>
        <w:pStyle w:val="AH1Chapter"/>
      </w:pPr>
      <w:bookmarkStart w:id="53" w:name="_Toc206921242"/>
      <w:r>
        <w:rPr>
          <w:rStyle w:val="CharChapNo"/>
        </w:rPr>
        <w:lastRenderedPageBreak/>
        <w:t>Chapter 5</w:t>
      </w:r>
      <w:r>
        <w:tab/>
      </w:r>
      <w:r>
        <w:rPr>
          <w:rStyle w:val="CharChapText"/>
        </w:rPr>
        <w:t>Leases generally</w:t>
      </w:r>
      <w:bookmarkEnd w:id="53"/>
    </w:p>
    <w:p w:rsidR="00BA29FF" w:rsidRDefault="00BA29FF">
      <w:pPr>
        <w:pStyle w:val="AH2Part"/>
      </w:pPr>
      <w:bookmarkStart w:id="54" w:name="_Toc206921243"/>
      <w:r>
        <w:rPr>
          <w:rStyle w:val="CharPartNo"/>
        </w:rPr>
        <w:t>Part 5.1</w:t>
      </w:r>
      <w:r>
        <w:tab/>
      </w:r>
      <w:r>
        <w:rPr>
          <w:rStyle w:val="CharPartText"/>
        </w:rPr>
        <w:t>Direct sale of leases</w:t>
      </w:r>
      <w:bookmarkEnd w:id="54"/>
    </w:p>
    <w:p w:rsidR="00BA29FF" w:rsidRDefault="00BA29FF">
      <w:pPr>
        <w:pStyle w:val="AH3Div"/>
      </w:pPr>
      <w:bookmarkStart w:id="55" w:name="_Toc206921244"/>
      <w:r>
        <w:rPr>
          <w:rStyle w:val="CharDivNo"/>
        </w:rPr>
        <w:t>Division 5.1.1</w:t>
      </w:r>
      <w:r>
        <w:tab/>
      </w:r>
      <w:r>
        <w:rPr>
          <w:rStyle w:val="CharDivText"/>
        </w:rPr>
        <w:t>Interpretation—pt 5.1</w:t>
      </w:r>
      <w:bookmarkEnd w:id="55"/>
    </w:p>
    <w:p w:rsidR="00BA29FF" w:rsidRDefault="00BA29FF">
      <w:pPr>
        <w:pStyle w:val="AH5Sec"/>
      </w:pPr>
      <w:bookmarkStart w:id="56" w:name="_Toc206921245"/>
      <w:r>
        <w:rPr>
          <w:rStyle w:val="CharSectNo"/>
        </w:rPr>
        <w:t>100</w:t>
      </w:r>
      <w:r>
        <w:tab/>
        <w:t>Definitions—pt 5.1</w:t>
      </w:r>
      <w:bookmarkEnd w:id="56"/>
    </w:p>
    <w:p w:rsidR="00BA29FF" w:rsidRDefault="00BA29FF">
      <w:pPr>
        <w:pStyle w:val="Amainreturn"/>
        <w:keepNext/>
      </w:pPr>
      <w:r>
        <w:t>In this part:</w:t>
      </w:r>
    </w:p>
    <w:p w:rsidR="00BA29FF" w:rsidRDefault="00BA29FF">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BA29FF" w:rsidRDefault="00BA29FF">
      <w:pPr>
        <w:pStyle w:val="aDef"/>
      </w:pPr>
      <w:r>
        <w:rPr>
          <w:rStyle w:val="charBoldItals"/>
        </w:rPr>
        <w:t>Australian National University</w:t>
      </w:r>
      <w:r>
        <w:t xml:space="preserve"> means the Australian National University under the </w:t>
      </w:r>
      <w:r>
        <w:rPr>
          <w:rStyle w:val="charItals"/>
        </w:rPr>
        <w:t>Australian National University Act 1991</w:t>
      </w:r>
      <w:r>
        <w:t xml:space="preserve"> (Cwlth).</w:t>
      </w:r>
    </w:p>
    <w:p w:rsidR="00BA29FF" w:rsidRDefault="00BA29FF">
      <w:pPr>
        <w:pStyle w:val="aDef"/>
      </w:pPr>
      <w:r>
        <w:rPr>
          <w:rStyle w:val="charBoldItals"/>
        </w:rPr>
        <w:t>business-case criteria</w:t>
      </w:r>
      <w:r>
        <w:rPr>
          <w:bCs/>
          <w:iCs/>
        </w:rPr>
        <w:t>, in relation to the direct sale of a lease to a person—see section 101.</w:t>
      </w:r>
    </w:p>
    <w:p w:rsidR="00BA29FF" w:rsidRDefault="00BA29FF">
      <w:pPr>
        <w:pStyle w:val="aDef"/>
      </w:pPr>
      <w:r>
        <w:rPr>
          <w:rStyle w:val="charBoldItals"/>
        </w:rPr>
        <w:t>business-case documentation</w:t>
      </w:r>
      <w:r>
        <w:rPr>
          <w:bCs/>
          <w:iCs/>
        </w:rPr>
        <w:t>, in relation to a proposed development by a person—see section 101.</w:t>
      </w:r>
    </w:p>
    <w:p w:rsidR="00BA29FF" w:rsidRDefault="00BA29FF">
      <w:pPr>
        <w:pStyle w:val="aDef"/>
      </w:pPr>
      <w:r>
        <w:rPr>
          <w:rStyle w:val="charBoldItals"/>
        </w:rPr>
        <w:t>City West precinct</w:t>
      </w:r>
      <w:r>
        <w:t>—see section 102.</w:t>
      </w:r>
    </w:p>
    <w:p w:rsidR="00BA29FF" w:rsidRDefault="00BA29FF">
      <w:pPr>
        <w:pStyle w:val="aDef"/>
      </w:pPr>
      <w:r>
        <w:rPr>
          <w:rStyle w:val="charBoldItals"/>
        </w:rPr>
        <w:t>City West precinct deed</w:t>
      </w:r>
      <w:r>
        <w:t xml:space="preserve"> means the precinct deed between the Territory and the Australian National University dated 21 December 2004.</w:t>
      </w:r>
    </w:p>
    <w:p w:rsidR="00BA29FF" w:rsidRDefault="00BA29FF">
      <w:pPr>
        <w:pStyle w:val="aDef"/>
        <w:keepNext/>
      </w:pPr>
      <w:r>
        <w:rPr>
          <w:rStyle w:val="charBoldItals"/>
        </w:rPr>
        <w:t>Commonwealth entity</w:t>
      </w:r>
      <w:r>
        <w:t xml:space="preserve"> means—</w:t>
      </w:r>
    </w:p>
    <w:p w:rsidR="00BA29FF" w:rsidRDefault="00BA29FF">
      <w:pPr>
        <w:pStyle w:val="aDefpara"/>
      </w:pPr>
      <w:r>
        <w:tab/>
        <w:t>(a)</w:t>
      </w:r>
      <w:r>
        <w:tab/>
        <w:t>a body established under a Commonwealth Act; or</w:t>
      </w:r>
    </w:p>
    <w:p w:rsidR="00BA29FF" w:rsidRDefault="00BA29FF">
      <w:pPr>
        <w:pStyle w:val="aDefpara"/>
      </w:pPr>
      <w:r>
        <w:tab/>
        <w:t>(b)</w:t>
      </w:r>
      <w:r>
        <w:tab/>
        <w:t>a corporation established for a public purpose under a Commonwealth Act; or</w:t>
      </w:r>
    </w:p>
    <w:p w:rsidR="00BA29FF" w:rsidRDefault="00BA29FF">
      <w:pPr>
        <w:pStyle w:val="aDefpara"/>
        <w:keepNext/>
      </w:pPr>
      <w:r>
        <w:lastRenderedPageBreak/>
        <w:tab/>
        <w:t>(c)</w:t>
      </w:r>
      <w:r>
        <w:tab/>
        <w:t>a company in which a controlling interest is held by either of the following, or by both of the following together:</w:t>
      </w:r>
    </w:p>
    <w:p w:rsidR="00BA29FF" w:rsidRDefault="00BA29FF">
      <w:pPr>
        <w:pStyle w:val="aDefsubpara"/>
      </w:pPr>
      <w:r>
        <w:tab/>
        <w:t>(i)</w:t>
      </w:r>
      <w:r>
        <w:tab/>
        <w:t>the Commonwealth;</w:t>
      </w:r>
    </w:p>
    <w:p w:rsidR="00BA29FF" w:rsidRDefault="00BA29FF">
      <w:pPr>
        <w:pStyle w:val="aDefsubpara"/>
      </w:pPr>
      <w:r>
        <w:tab/>
        <w:t>(ii)</w:t>
      </w:r>
      <w:r>
        <w:tab/>
        <w:t>a corporation mentioned in paragraph (b).</w:t>
      </w:r>
    </w:p>
    <w:p w:rsidR="00BA29FF" w:rsidRDefault="00BA29FF">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BA29FF" w:rsidRDefault="00BA29FF">
      <w:pPr>
        <w:pStyle w:val="aNote"/>
      </w:pPr>
      <w:r>
        <w:rPr>
          <w:rStyle w:val="charItals"/>
        </w:rPr>
        <w:t>Note</w:t>
      </w:r>
      <w:r>
        <w:rPr>
          <w:rStyle w:val="charItals"/>
        </w:rPr>
        <w:tab/>
      </w:r>
      <w:r>
        <w:t xml:space="preserve">For an incorporated association, see the definition of </w:t>
      </w:r>
      <w:r>
        <w:rPr>
          <w:rStyle w:val="charBoldItals"/>
        </w:rPr>
        <w:t>rules</w:t>
      </w:r>
      <w:r>
        <w:t>.</w:t>
      </w:r>
    </w:p>
    <w:p w:rsidR="00BA29FF" w:rsidRDefault="00BA29FF">
      <w:pPr>
        <w:pStyle w:val="aDef"/>
      </w:pPr>
      <w:r>
        <w:rPr>
          <w:rStyle w:val="charBoldItals"/>
        </w:rPr>
        <w:t>direct sale</w:t>
      </w:r>
      <w:r>
        <w:t>, in relation to a lease, means the grant of the lease under the Act, section 238 (1) (d).</w:t>
      </w:r>
    </w:p>
    <w:p w:rsidR="00BA29FF" w:rsidRDefault="00BA29FF">
      <w:pPr>
        <w:pStyle w:val="aDef"/>
      </w:pPr>
      <w:r>
        <w:rPr>
          <w:rStyle w:val="charBoldItals"/>
        </w:rPr>
        <w:t>educational establishment</w:t>
      </w:r>
      <w:r>
        <w:t>—see the territory plan (13 Definitions).</w:t>
      </w:r>
    </w:p>
    <w:p w:rsidR="00BA29FF" w:rsidRDefault="00BA29FF">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BA29FF" w:rsidRDefault="00BA29FF">
      <w:pPr>
        <w:pStyle w:val="aDef"/>
        <w:keepNext/>
      </w:pPr>
      <w:r>
        <w:rPr>
          <w:rStyle w:val="charBoldItals"/>
        </w:rPr>
        <w:t>supportive accommodation</w:t>
      </w:r>
      <w:r>
        <w:t xml:space="preserve"> means any of the following within the meaning of the territory plan (13 Definitions):</w:t>
      </w:r>
    </w:p>
    <w:p w:rsidR="00BA29FF" w:rsidRDefault="00BA29FF">
      <w:pPr>
        <w:pStyle w:val="aDefpara"/>
      </w:pPr>
      <w:r>
        <w:tab/>
        <w:t>(a)</w:t>
      </w:r>
      <w:r>
        <w:tab/>
        <w:t>a retirement complex;</w:t>
      </w:r>
    </w:p>
    <w:p w:rsidR="00BA29FF" w:rsidRDefault="00BA29FF">
      <w:pPr>
        <w:pStyle w:val="aDefpara"/>
      </w:pPr>
      <w:r>
        <w:tab/>
        <w:t>(b)</w:t>
      </w:r>
      <w:r>
        <w:tab/>
        <w:t>residential care accommodation;</w:t>
      </w:r>
    </w:p>
    <w:p w:rsidR="00BA29FF" w:rsidRDefault="00BA29FF">
      <w:pPr>
        <w:pStyle w:val="aDefpara"/>
      </w:pPr>
      <w:r>
        <w:tab/>
        <w:t>(c)</w:t>
      </w:r>
      <w:r>
        <w:tab/>
        <w:t xml:space="preserve">supportive housing. </w:t>
      </w:r>
    </w:p>
    <w:p w:rsidR="00BA29FF" w:rsidRDefault="00BA29FF">
      <w:pPr>
        <w:pStyle w:val="aDef"/>
        <w:keepNext/>
      </w:pPr>
      <w:r>
        <w:rPr>
          <w:rStyle w:val="charBoldItals"/>
        </w:rPr>
        <w:t>territory entity</w:t>
      </w:r>
      <w:r>
        <w:t xml:space="preserve"> means—</w:t>
      </w:r>
    </w:p>
    <w:p w:rsidR="00BA29FF" w:rsidRDefault="00BA29FF">
      <w:pPr>
        <w:pStyle w:val="aDefpara"/>
      </w:pPr>
      <w:r>
        <w:tab/>
        <w:t>(a)</w:t>
      </w:r>
      <w:r>
        <w:tab/>
        <w:t>a territory authority (other than the housing commissioner); or</w:t>
      </w:r>
    </w:p>
    <w:p w:rsidR="00BA29FF" w:rsidRDefault="00BA29FF">
      <w:pPr>
        <w:pStyle w:val="aDefpara"/>
      </w:pPr>
      <w:r>
        <w:tab/>
        <w:t>(b)</w:t>
      </w:r>
      <w:r>
        <w:tab/>
        <w:t xml:space="preserve">a territory instrumentality; or </w:t>
      </w:r>
    </w:p>
    <w:p w:rsidR="00BA29FF" w:rsidRDefault="00BA29FF">
      <w:pPr>
        <w:pStyle w:val="aDefpara"/>
        <w:keepNext/>
      </w:pPr>
      <w:r>
        <w:tab/>
        <w:t>(c)</w:t>
      </w:r>
      <w:r>
        <w:tab/>
        <w:t>a territory-owned corporation.</w:t>
      </w:r>
    </w:p>
    <w:p w:rsidR="00BA29FF" w:rsidRDefault="00BA29FF">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BA29FF" w:rsidRDefault="00BA29FF">
      <w:pPr>
        <w:pStyle w:val="aNote"/>
        <w:rPr>
          <w:iCs/>
        </w:rPr>
      </w:pPr>
      <w:r>
        <w:rPr>
          <w:i/>
        </w:rPr>
        <w:t>Note 2</w:t>
      </w:r>
      <w:r>
        <w:rPr>
          <w:i/>
        </w:rPr>
        <w:tab/>
      </w:r>
      <w:r>
        <w:t xml:space="preserve">For </w:t>
      </w:r>
      <w:r>
        <w:rPr>
          <w:bCs/>
          <w:iCs/>
        </w:rPr>
        <w:t>direct sale</w:t>
      </w:r>
      <w:r>
        <w:t>s to the housing commissioner</w:t>
      </w:r>
      <w:r>
        <w:rPr>
          <w:iCs/>
        </w:rPr>
        <w:t>, see s 109 and s 130.</w:t>
      </w:r>
    </w:p>
    <w:p w:rsidR="00BA29FF" w:rsidRDefault="00BA29FF">
      <w:pPr>
        <w:pStyle w:val="AH5Sec"/>
      </w:pPr>
      <w:bookmarkStart w:id="57" w:name="_Toc206921246"/>
      <w:r>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BA29FF" w:rsidRDefault="00BA29FF">
      <w:pPr>
        <w:pStyle w:val="Amainreturn"/>
        <w:keepNext/>
      </w:pPr>
      <w:r>
        <w:t>In this part:</w:t>
      </w:r>
    </w:p>
    <w:p w:rsidR="00BA29FF" w:rsidRDefault="00BA29FF">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BA29FF" w:rsidRDefault="00BA29FF">
      <w:pPr>
        <w:pStyle w:val="aDefpara"/>
      </w:pPr>
      <w:r>
        <w:tab/>
        <w:t>(a)</w:t>
      </w:r>
      <w:r>
        <w:tab/>
        <w:t xml:space="preserve">the person has the financial capacity, and relevant experience, qualifications, expertise and other resources, to develop and manage the land; </w:t>
      </w:r>
    </w:p>
    <w:p w:rsidR="00BA29FF" w:rsidRDefault="00BA29FF">
      <w:pPr>
        <w:pStyle w:val="aDefpara"/>
      </w:pPr>
      <w:r>
        <w:tab/>
        <w:t>(b)</w:t>
      </w:r>
      <w:r>
        <w:tab/>
        <w:t xml:space="preserve">the community has a genuine need for the proposed use of the land; </w:t>
      </w:r>
    </w:p>
    <w:p w:rsidR="00BA29FF" w:rsidRDefault="00BA29FF">
      <w:pPr>
        <w:pStyle w:val="aDefpara"/>
      </w:pPr>
      <w:r>
        <w:tab/>
        <w:t>(c)</w:t>
      </w:r>
      <w:r>
        <w:tab/>
        <w:t>the person has a genuine need for the land.</w:t>
      </w:r>
    </w:p>
    <w:p w:rsidR="00BA29FF" w:rsidRDefault="00BA29FF">
      <w:pPr>
        <w:pStyle w:val="aDef"/>
        <w:keepNext/>
      </w:pPr>
      <w:r>
        <w:rPr>
          <w:rStyle w:val="charBoldItals"/>
        </w:rPr>
        <w:t>business-case documentation</w:t>
      </w:r>
      <w:r>
        <w:rPr>
          <w:bCs/>
          <w:iCs/>
        </w:rPr>
        <w:t>, in relation to a proposed development by a person, means</w:t>
      </w:r>
      <w:r>
        <w:t xml:space="preserve"> the following:</w:t>
      </w:r>
    </w:p>
    <w:p w:rsidR="00BA29FF" w:rsidRDefault="00BA29FF">
      <w:pPr>
        <w:pStyle w:val="aDefpara"/>
        <w:keepNext/>
      </w:pPr>
      <w:r>
        <w:tab/>
        <w:t>(a)</w:t>
      </w:r>
      <w:r>
        <w:tab/>
        <w:t>a plan that outlines the nature and scale of the development that includes (but is not limited to) the following:</w:t>
      </w:r>
    </w:p>
    <w:p w:rsidR="00BA29FF" w:rsidRDefault="00BA29FF">
      <w:pPr>
        <w:pStyle w:val="aDefsubpara"/>
      </w:pPr>
      <w:r>
        <w:tab/>
        <w:t>(i)</w:t>
      </w:r>
      <w:r>
        <w:tab/>
        <w:t>how the land will be developed and used, including any staging requirements for the proposed development;</w:t>
      </w:r>
    </w:p>
    <w:p w:rsidR="00BA29FF" w:rsidRDefault="00BA29FF">
      <w:pPr>
        <w:pStyle w:val="aDefsubpara"/>
      </w:pPr>
      <w:r>
        <w:tab/>
        <w:t>(ii)</w:t>
      </w:r>
      <w:r>
        <w:tab/>
        <w:t>details of the proposed buildings and car parking facilities for the land;</w:t>
      </w:r>
    </w:p>
    <w:p w:rsidR="00BA29FF" w:rsidRDefault="00BA29FF">
      <w:pPr>
        <w:pStyle w:val="aDefsubpara"/>
        <w:keepNext/>
      </w:pPr>
      <w:r>
        <w:tab/>
        <w:t>(iii)</w:t>
      </w:r>
      <w:r>
        <w:tab/>
        <w:t>details of the proposed public access to the land;</w:t>
      </w:r>
    </w:p>
    <w:p w:rsidR="00BA29FF" w:rsidRDefault="00BA29FF">
      <w:pPr>
        <w:pStyle w:val="aDefpara"/>
        <w:keepNext/>
      </w:pPr>
      <w:r>
        <w:tab/>
        <w:t>(b)</w:t>
      </w:r>
      <w:r>
        <w:tab/>
        <w:t>a business plan for the land that includes (but is not limited to) the following:</w:t>
      </w:r>
    </w:p>
    <w:p w:rsidR="00BA29FF" w:rsidRDefault="00BA29FF">
      <w:pPr>
        <w:pStyle w:val="aDefsubpara"/>
      </w:pPr>
      <w:r>
        <w:tab/>
        <w:t>(i)</w:t>
      </w:r>
      <w:r>
        <w:tab/>
        <w:t>the proposed strategies for the successful development and use of the land;</w:t>
      </w:r>
    </w:p>
    <w:p w:rsidR="00BA29FF" w:rsidRDefault="00BA29FF">
      <w:pPr>
        <w:pStyle w:val="aDefsubpara"/>
      </w:pPr>
      <w:r>
        <w:tab/>
        <w:t>(ii)</w:t>
      </w:r>
      <w:r>
        <w:tab/>
      </w:r>
      <w:r>
        <w:tab/>
        <w:t>an estimate of the development costs for the land;</w:t>
      </w:r>
    </w:p>
    <w:p w:rsidR="00BA29FF" w:rsidRDefault="00BA29FF">
      <w:pPr>
        <w:pStyle w:val="aDefsubpara"/>
        <w:keepNext/>
      </w:pPr>
      <w:r>
        <w:lastRenderedPageBreak/>
        <w:tab/>
        <w:t>(iii)</w:t>
      </w:r>
      <w:r>
        <w:tab/>
        <w:t>details of the goods or services to be provided from the land;</w:t>
      </w:r>
    </w:p>
    <w:p w:rsidR="00BA29FF" w:rsidRDefault="00BA29FF">
      <w:pPr>
        <w:pStyle w:val="aDefpara"/>
      </w:pPr>
      <w:r>
        <w:tab/>
        <w:t>(c)</w:t>
      </w:r>
      <w:r>
        <w:tab/>
        <w:t xml:space="preserve">a list of all land in the ACT in which the person has an interest or that is occupied by the person; </w:t>
      </w:r>
    </w:p>
    <w:p w:rsidR="00BA29FF" w:rsidRDefault="00BA29FF">
      <w:pPr>
        <w:pStyle w:val="aNotepar"/>
        <w:keepNext/>
      </w:pPr>
      <w:r>
        <w:rPr>
          <w:rStyle w:val="charItals"/>
        </w:rPr>
        <w:t>Note</w:t>
      </w:r>
      <w:r>
        <w:rPr>
          <w:rStyle w:val="charItals"/>
        </w:rPr>
        <w:tab/>
      </w:r>
      <w:r>
        <w:rPr>
          <w:rStyle w:val="charBoldItals"/>
        </w:rPr>
        <w:t>Interest</w:t>
      </w:r>
      <w:r>
        <w:t>—see the Legislation Act, dictionary, part 1.</w:t>
      </w:r>
    </w:p>
    <w:p w:rsidR="00BA29FF" w:rsidRDefault="00BA29FF">
      <w:pPr>
        <w:pStyle w:val="aDefpara"/>
      </w:pPr>
      <w:r>
        <w:tab/>
        <w:t>(d)</w:t>
      </w:r>
      <w:r>
        <w:tab/>
        <w:t>if the person is a corporation—proof of its incorporation and a copy of its constitution or rules.</w:t>
      </w:r>
    </w:p>
    <w:p w:rsidR="00BA29FF" w:rsidRDefault="00BA29FF">
      <w:pPr>
        <w:pStyle w:val="AH5Sec"/>
        <w:rPr>
          <w:i/>
          <w:iCs/>
        </w:rPr>
      </w:pPr>
      <w:bookmarkStart w:id="58" w:name="_Toc206921247"/>
      <w:r>
        <w:rPr>
          <w:rStyle w:val="CharSectNo"/>
        </w:rPr>
        <w:t>102</w:t>
      </w:r>
      <w:r>
        <w:rPr>
          <w:iCs/>
        </w:rPr>
        <w:tab/>
      </w:r>
      <w:r>
        <w:t xml:space="preserve">Meaning of </w:t>
      </w:r>
      <w:r>
        <w:rPr>
          <w:i/>
          <w:iCs/>
        </w:rPr>
        <w:t>City West precinct</w:t>
      </w:r>
      <w:r>
        <w:t>—pt 5.1</w:t>
      </w:r>
      <w:bookmarkEnd w:id="58"/>
    </w:p>
    <w:p w:rsidR="00BA29FF" w:rsidRDefault="00BA29FF">
      <w:pPr>
        <w:pStyle w:val="Amain"/>
        <w:keepNext/>
      </w:pPr>
      <w:r>
        <w:tab/>
        <w:t>(1)</w:t>
      </w:r>
      <w:r>
        <w:tab/>
        <w:t>In this part:</w:t>
      </w:r>
    </w:p>
    <w:p w:rsidR="00BA29FF" w:rsidRDefault="00BA29FF">
      <w:pPr>
        <w:pStyle w:val="aDef"/>
        <w:keepNext/>
      </w:pPr>
      <w:r>
        <w:rPr>
          <w:rStyle w:val="charBoldItals"/>
        </w:rPr>
        <w:t xml:space="preserve">City West precinct </w:t>
      </w:r>
      <w:r>
        <w:t>means the following land:</w:t>
      </w:r>
    </w:p>
    <w:p w:rsidR="00BA29FF" w:rsidRDefault="00BA29FF">
      <w:pPr>
        <w:pStyle w:val="aDefpara"/>
      </w:pPr>
      <w:r>
        <w:tab/>
        <w:t>(a)</w:t>
      </w:r>
      <w:r>
        <w:tab/>
        <w:t>district of Acton, section 63, block 6;</w:t>
      </w:r>
    </w:p>
    <w:p w:rsidR="00BA29FF" w:rsidRDefault="00BA29FF">
      <w:pPr>
        <w:pStyle w:val="aDefpara"/>
        <w:keepNext/>
      </w:pPr>
      <w:r>
        <w:tab/>
        <w:t>(b)</w:t>
      </w:r>
      <w:r>
        <w:tab/>
        <w:t>the following in the district of City:</w:t>
      </w:r>
    </w:p>
    <w:p w:rsidR="00BA29FF" w:rsidRDefault="00BA29FF">
      <w:pPr>
        <w:pStyle w:val="aDefsubpara"/>
      </w:pPr>
      <w:r>
        <w:tab/>
        <w:t>(i)</w:t>
      </w:r>
      <w:r>
        <w:tab/>
        <w:t>section 4, blocks 2 and 7;</w:t>
      </w:r>
    </w:p>
    <w:p w:rsidR="00BA29FF" w:rsidRDefault="00BA29FF">
      <w:pPr>
        <w:pStyle w:val="aDefsubpara"/>
      </w:pPr>
      <w:r>
        <w:tab/>
        <w:t>(ii)</w:t>
      </w:r>
      <w:r>
        <w:tab/>
        <w:t>section 20, blocks 2 and 3;</w:t>
      </w:r>
    </w:p>
    <w:p w:rsidR="00BA29FF" w:rsidRDefault="00BA29FF">
      <w:pPr>
        <w:pStyle w:val="aDefsubpara"/>
      </w:pPr>
      <w:r>
        <w:tab/>
        <w:t>(iii)</w:t>
      </w:r>
      <w:r>
        <w:tab/>
        <w:t>section 21, blocks 1 and 2;</w:t>
      </w:r>
    </w:p>
    <w:p w:rsidR="00BA29FF" w:rsidRDefault="00BA29FF">
      <w:pPr>
        <w:pStyle w:val="aDefsubpara"/>
      </w:pPr>
      <w:r>
        <w:tab/>
        <w:t>(iv)</w:t>
      </w:r>
      <w:r>
        <w:tab/>
        <w:t>section 28, blocks 5, 10 and 15;</w:t>
      </w:r>
    </w:p>
    <w:p w:rsidR="00BA29FF" w:rsidRDefault="00BA29FF">
      <w:pPr>
        <w:pStyle w:val="aDefsubpara"/>
      </w:pPr>
      <w:r>
        <w:tab/>
        <w:t>(v)</w:t>
      </w:r>
      <w:r>
        <w:tab/>
        <w:t>section 30, block 3;</w:t>
      </w:r>
    </w:p>
    <w:p w:rsidR="00BA29FF" w:rsidRDefault="00BA29FF">
      <w:pPr>
        <w:pStyle w:val="aDefsubpara"/>
      </w:pPr>
      <w:r>
        <w:tab/>
        <w:t>(vi)</w:t>
      </w:r>
      <w:r>
        <w:tab/>
        <w:t>section 68, blocks, 2, 4 and 5.</w:t>
      </w:r>
    </w:p>
    <w:p w:rsidR="00BA29FF" w:rsidRDefault="00BA29FF">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BA29FF" w:rsidRDefault="00BA29FF">
      <w:pPr>
        <w:pStyle w:val="aNote"/>
      </w:pPr>
      <w:r>
        <w:rPr>
          <w:rStyle w:val="charItals"/>
        </w:rPr>
        <w:t>Note</w:t>
      </w:r>
      <w:r>
        <w:rPr>
          <w:rStyle w:val="charItals"/>
        </w:rPr>
        <w:tab/>
      </w:r>
      <w:r>
        <w:t>For the expiry of this section and related provisions, see s 402.</w:t>
      </w:r>
    </w:p>
    <w:p w:rsidR="00BA29FF" w:rsidRDefault="00BA29FF">
      <w:pPr>
        <w:pStyle w:val="AH3Div"/>
      </w:pPr>
      <w:bookmarkStart w:id="59" w:name="_Toc206921248"/>
      <w:r>
        <w:rPr>
          <w:rStyle w:val="CharDivNo"/>
        </w:rPr>
        <w:lastRenderedPageBreak/>
        <w:t>Division 5.1.2</w:t>
      </w:r>
      <w:r>
        <w:tab/>
      </w:r>
      <w:r>
        <w:rPr>
          <w:rStyle w:val="CharDivText"/>
        </w:rPr>
        <w:t>Direct sales approved by Executive</w:t>
      </w:r>
      <w:bookmarkEnd w:id="59"/>
    </w:p>
    <w:p w:rsidR="00BA29FF" w:rsidRDefault="00BA29FF">
      <w:pPr>
        <w:pStyle w:val="AH5Sec"/>
      </w:pPr>
      <w:bookmarkStart w:id="60" w:name="_Toc206921249"/>
      <w:r>
        <w:rPr>
          <w:rStyle w:val="CharSectNo"/>
        </w:rPr>
        <w:t>105</w:t>
      </w:r>
      <w:r>
        <w:tab/>
        <w:t>Direct sales requiring approval by Executive—Act, s 240 (1) (a)</w:t>
      </w:r>
      <w:bookmarkEnd w:id="60"/>
    </w:p>
    <w:p w:rsidR="00BA29FF" w:rsidRDefault="00BA29FF">
      <w:pPr>
        <w:pStyle w:val="Amainreturn"/>
        <w:keepNext/>
      </w:pPr>
      <w:r>
        <w:t>The following leases are prescribed:</w:t>
      </w:r>
    </w:p>
    <w:p w:rsidR="00BA29FF" w:rsidRDefault="00BA29FF">
      <w:pPr>
        <w:pStyle w:val="Apara"/>
        <w:keepNext/>
      </w:pPr>
      <w:r>
        <w:tab/>
        <w:t>(a)</w:t>
      </w:r>
      <w:r>
        <w:tab/>
        <w:t>a lease granted to any of the following:</w:t>
      </w:r>
    </w:p>
    <w:p w:rsidR="00BA29FF" w:rsidRDefault="00BA29FF">
      <w:pPr>
        <w:pStyle w:val="Asubpara"/>
      </w:pPr>
      <w:r>
        <w:tab/>
        <w:t>(i)</w:t>
      </w:r>
      <w:r>
        <w:tab/>
        <w:t>a territory entity;</w:t>
      </w:r>
    </w:p>
    <w:p w:rsidR="00BA29FF" w:rsidRDefault="00BA29FF">
      <w:pPr>
        <w:pStyle w:val="aNotesubpar"/>
        <w:rPr>
          <w:iCs/>
        </w:rPr>
      </w:pPr>
      <w:r>
        <w:rPr>
          <w:rStyle w:val="charItals"/>
        </w:rPr>
        <w:t>Note</w:t>
      </w:r>
      <w:r>
        <w:rPr>
          <w:rStyle w:val="charItals"/>
        </w:rPr>
        <w:tab/>
      </w:r>
      <w:r>
        <w:rPr>
          <w:rStyle w:val="charBoldItals"/>
        </w:rPr>
        <w:t>Territory entity</w:t>
      </w:r>
      <w:r>
        <w:rPr>
          <w:iCs/>
        </w:rPr>
        <w:t>—see s 100.</w:t>
      </w:r>
    </w:p>
    <w:p w:rsidR="00BA29FF" w:rsidRDefault="00BA29FF">
      <w:pPr>
        <w:pStyle w:val="Asubpara"/>
      </w:pPr>
      <w:r>
        <w:tab/>
        <w:t>(ii)</w:t>
      </w:r>
      <w:r>
        <w:tab/>
        <w:t>a Commonwealth entity;</w:t>
      </w:r>
    </w:p>
    <w:p w:rsidR="00BA29FF" w:rsidRDefault="00BA29FF">
      <w:pPr>
        <w:pStyle w:val="aNotesubpar"/>
        <w:rPr>
          <w:iCs/>
        </w:rPr>
      </w:pPr>
      <w:r>
        <w:rPr>
          <w:rStyle w:val="charItals"/>
        </w:rPr>
        <w:t>Note</w:t>
      </w:r>
      <w:r>
        <w:rPr>
          <w:rStyle w:val="charItals"/>
        </w:rPr>
        <w:tab/>
      </w:r>
      <w:r>
        <w:rPr>
          <w:rStyle w:val="charBoldItals"/>
        </w:rPr>
        <w:t>Commonwealth entity</w:t>
      </w:r>
      <w:r>
        <w:rPr>
          <w:iCs/>
        </w:rPr>
        <w:t>—see s 100.</w:t>
      </w:r>
    </w:p>
    <w:p w:rsidR="00BA29FF" w:rsidRDefault="00BA29FF">
      <w:pPr>
        <w:pStyle w:val="Asubpara"/>
      </w:pPr>
      <w:r>
        <w:tab/>
        <w:t>(iii)</w:t>
      </w:r>
      <w:r>
        <w:tab/>
        <w:t>a non-government educational establishment;</w:t>
      </w:r>
    </w:p>
    <w:p w:rsidR="00BA29FF" w:rsidRDefault="00BA29FF">
      <w:pPr>
        <w:pStyle w:val="Apara"/>
      </w:pPr>
      <w:r>
        <w:tab/>
        <w:t>(b)</w:t>
      </w:r>
      <w:r>
        <w:tab/>
        <w:t>a lease to the housing commissioner if the land is not allocated land;</w:t>
      </w:r>
    </w:p>
    <w:p w:rsidR="00BA29FF" w:rsidRDefault="00BA29FF">
      <w:pPr>
        <w:pStyle w:val="aNotepar"/>
      </w:pPr>
      <w:r>
        <w:rPr>
          <w:rStyle w:val="charItals"/>
        </w:rPr>
        <w:t>Note</w:t>
      </w:r>
      <w:r>
        <w:rPr>
          <w:rStyle w:val="charItals"/>
        </w:rPr>
        <w:tab/>
      </w:r>
      <w:r>
        <w:rPr>
          <w:rStyle w:val="charBoldItals"/>
        </w:rPr>
        <w:t>Allocated land</w:t>
      </w:r>
      <w:r>
        <w:t xml:space="preserve">—see s </w:t>
      </w:r>
      <w:r>
        <w:rPr>
          <w:iCs/>
        </w:rPr>
        <w:t>100</w:t>
      </w:r>
      <w:r>
        <w:t>.</w:t>
      </w:r>
    </w:p>
    <w:p w:rsidR="00BA29FF" w:rsidRDefault="00BA29FF">
      <w:pPr>
        <w:pStyle w:val="Apara"/>
      </w:pPr>
      <w:r>
        <w:tab/>
        <w:t>(c)</w:t>
      </w:r>
      <w:r>
        <w:tab/>
        <w:t>a lease of public land to the lessee of a contiguous lease;</w:t>
      </w:r>
    </w:p>
    <w:p w:rsidR="00BA29FF" w:rsidRDefault="00BA29FF">
      <w:pPr>
        <w:pStyle w:val="Apara"/>
      </w:pPr>
      <w:r>
        <w:tab/>
        <w:t>(d)</w:t>
      </w:r>
      <w:r>
        <w:tab/>
        <w:t>a lease of land in the City West precinct to the Australian National University;</w:t>
      </w:r>
    </w:p>
    <w:p w:rsidR="00BA29FF" w:rsidRDefault="00BA29FF">
      <w:pPr>
        <w:pStyle w:val="Apara"/>
      </w:pPr>
      <w:r>
        <w:tab/>
        <w:t>(e)</w:t>
      </w:r>
      <w:r>
        <w:tab/>
        <w:t>a lease for community use;</w:t>
      </w:r>
    </w:p>
    <w:p w:rsidR="00BA29FF" w:rsidRDefault="00BA29FF">
      <w:pPr>
        <w:pStyle w:val="aNotepar"/>
      </w:pPr>
      <w:r>
        <w:rPr>
          <w:rStyle w:val="charItals"/>
        </w:rPr>
        <w:t>Note</w:t>
      </w:r>
      <w:r>
        <w:rPr>
          <w:rStyle w:val="charItals"/>
        </w:rPr>
        <w:tab/>
      </w:r>
      <w:r>
        <w:rPr>
          <w:rStyle w:val="charBoldItals"/>
        </w:rPr>
        <w:t>Community use</w:t>
      </w:r>
      <w:r>
        <w:t>—see the territory plan (13 Definitions).</w:t>
      </w:r>
    </w:p>
    <w:p w:rsidR="00BA29FF" w:rsidRDefault="00BA29FF">
      <w:pPr>
        <w:pStyle w:val="Apara"/>
      </w:pPr>
      <w:r>
        <w:tab/>
        <w:t>(f)</w:t>
      </w:r>
      <w:r>
        <w:tab/>
        <w:t>a lease for supportive accommodation;</w:t>
      </w:r>
    </w:p>
    <w:p w:rsidR="00BA29FF" w:rsidRDefault="00BA29FF">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BA29FF" w:rsidRDefault="00BA29FF">
      <w:pPr>
        <w:pStyle w:val="Apara"/>
        <w:keepNext/>
      </w:pPr>
      <w:r>
        <w:tab/>
        <w:t>(g)</w:t>
      </w:r>
      <w:r>
        <w:tab/>
        <w:t>a rural lease.</w:t>
      </w:r>
    </w:p>
    <w:p w:rsidR="00BA29FF" w:rsidRDefault="00BA29FF">
      <w:pPr>
        <w:pStyle w:val="aNote"/>
      </w:pPr>
      <w:r>
        <w:rPr>
          <w:rStyle w:val="charItals"/>
        </w:rPr>
        <w:t>Note</w:t>
      </w:r>
      <w:r>
        <w:rPr>
          <w:rStyle w:val="charItals"/>
        </w:rPr>
        <w:tab/>
      </w:r>
      <w:r>
        <w:t>The Executive may also approve the direct sale of a lease under the Act, s 240 (2).</w:t>
      </w:r>
    </w:p>
    <w:p w:rsidR="00BA29FF" w:rsidRDefault="00BA29FF">
      <w:pPr>
        <w:pStyle w:val="AH5Sec"/>
      </w:pPr>
      <w:bookmarkStart w:id="61" w:name="_Toc206921250"/>
      <w:r>
        <w:rPr>
          <w:rStyle w:val="CharSectNo"/>
        </w:rPr>
        <w:lastRenderedPageBreak/>
        <w:t>106</w:t>
      </w:r>
      <w:r>
        <w:tab/>
        <w:t>Direct sale criteria for territory entities—Act, s 240 (1) (a) (i)</w:t>
      </w:r>
      <w:bookmarkEnd w:id="61"/>
    </w:p>
    <w:p w:rsidR="00BA29FF" w:rsidRDefault="00BA29FF">
      <w:pPr>
        <w:pStyle w:val="Amainreturn"/>
      </w:pPr>
      <w:r>
        <w:t>The criteria for the direct sale of a lease to a territory entity are—</w:t>
      </w:r>
    </w:p>
    <w:p w:rsidR="00BA29FF" w:rsidRDefault="00BA29FF">
      <w:pPr>
        <w:pStyle w:val="Apara"/>
      </w:pPr>
      <w:r>
        <w:tab/>
        <w:t>(a)</w:t>
      </w:r>
      <w:r>
        <w:tab/>
        <w:t>there is no other land available to the entity suitable for the proposed use of the land; and</w:t>
      </w:r>
    </w:p>
    <w:p w:rsidR="00BA29FF" w:rsidRDefault="00BA29FF">
      <w:pPr>
        <w:pStyle w:val="Apara"/>
      </w:pPr>
      <w:r>
        <w:tab/>
        <w:t>(b)</w:t>
      </w:r>
      <w:r>
        <w:tab/>
        <w:t>an amount has been appropriated, or is otherwise available, to develop and manage the land; and</w:t>
      </w:r>
    </w:p>
    <w:p w:rsidR="00BA29FF" w:rsidRDefault="00BA29FF">
      <w:pPr>
        <w:pStyle w:val="Apara"/>
        <w:keepNext/>
      </w:pPr>
      <w:r>
        <w:tab/>
        <w:t>(c)</w:t>
      </w:r>
      <w:r>
        <w:tab/>
        <w:t>the proposed use of the land by the entity is consistent with the entity’s operations.</w:t>
      </w:r>
    </w:p>
    <w:p w:rsidR="00BA29FF" w:rsidRDefault="00BA29FF">
      <w:pPr>
        <w:pStyle w:val="aNote"/>
        <w:rPr>
          <w:iCs/>
        </w:rPr>
      </w:pPr>
      <w:r>
        <w:rPr>
          <w:rStyle w:val="charItals"/>
        </w:rPr>
        <w:t>Note</w:t>
      </w:r>
      <w:r>
        <w:rPr>
          <w:rStyle w:val="charItals"/>
        </w:rPr>
        <w:tab/>
      </w:r>
      <w:r>
        <w:rPr>
          <w:rStyle w:val="charBoldItals"/>
        </w:rPr>
        <w:t>Territory entity</w:t>
      </w:r>
      <w:r>
        <w:rPr>
          <w:iCs/>
        </w:rPr>
        <w:t>—see s 100.</w:t>
      </w:r>
    </w:p>
    <w:p w:rsidR="00BA29FF" w:rsidRDefault="00BA29FF">
      <w:pPr>
        <w:pStyle w:val="AH5Sec"/>
      </w:pPr>
      <w:bookmarkStart w:id="62" w:name="_Toc206921251"/>
      <w:r>
        <w:rPr>
          <w:rStyle w:val="CharSectNo"/>
        </w:rPr>
        <w:t>107</w:t>
      </w:r>
      <w:r>
        <w:tab/>
        <w:t>Direct sale criteria for Commonwealth entities—Act, s 240 (1) (a) (i)</w:t>
      </w:r>
      <w:bookmarkEnd w:id="62"/>
    </w:p>
    <w:p w:rsidR="00BA29FF" w:rsidRDefault="00BA29FF">
      <w:pPr>
        <w:pStyle w:val="Amain"/>
      </w:pPr>
      <w:r>
        <w:tab/>
        <w:t>(1)</w:t>
      </w:r>
      <w:r>
        <w:tab/>
        <w:t>The criteria for the direct sale of a lease to a Commonwealth entity are—</w:t>
      </w:r>
    </w:p>
    <w:p w:rsidR="00BA29FF" w:rsidRDefault="00BA29FF">
      <w:pPr>
        <w:pStyle w:val="Apara"/>
      </w:pPr>
      <w:r>
        <w:tab/>
        <w:t>(a)</w:t>
      </w:r>
      <w:r>
        <w:tab/>
        <w:t>there is no other land available to the entity suitable for the proposed use of the land; and</w:t>
      </w:r>
    </w:p>
    <w:p w:rsidR="00BA29FF" w:rsidRDefault="00BA29FF">
      <w:pPr>
        <w:pStyle w:val="Apara"/>
      </w:pPr>
      <w:r>
        <w:tab/>
        <w:t>(b)</w:t>
      </w:r>
      <w:r>
        <w:tab/>
        <w:t>an amount has been appropriated, or is otherwise available, to develop and manage the land; and</w:t>
      </w:r>
    </w:p>
    <w:p w:rsidR="00BA29FF" w:rsidRDefault="00BA29FF">
      <w:pPr>
        <w:pStyle w:val="Apara"/>
        <w:keepNext/>
      </w:pPr>
      <w:r>
        <w:tab/>
        <w:t>(c)</w:t>
      </w:r>
      <w:r>
        <w:tab/>
        <w:t>the proposed use of the land by the entity is consistent with the entity’s operations.</w:t>
      </w:r>
    </w:p>
    <w:p w:rsidR="00BA29FF" w:rsidRDefault="00BA29FF">
      <w:pPr>
        <w:pStyle w:val="aNote"/>
      </w:pPr>
      <w:r>
        <w:rPr>
          <w:rStyle w:val="charItals"/>
        </w:rPr>
        <w:t>Note</w:t>
      </w:r>
      <w:r>
        <w:rPr>
          <w:rStyle w:val="charItals"/>
        </w:rPr>
        <w:tab/>
      </w:r>
      <w:r>
        <w:rPr>
          <w:rStyle w:val="charBoldItals"/>
        </w:rPr>
        <w:t>Commonwealth entity</w:t>
      </w:r>
      <w:r>
        <w:rPr>
          <w:iCs/>
        </w:rPr>
        <w:t>—see s 100.</w:t>
      </w:r>
    </w:p>
    <w:p w:rsidR="00BA29FF" w:rsidRDefault="00BA29FF">
      <w:pPr>
        <w:pStyle w:val="Amain"/>
      </w:pPr>
      <w:r>
        <w:tab/>
        <w:t>(2)</w:t>
      </w:r>
      <w:r>
        <w:tab/>
        <w:t>This section does not apply to the direct sale to the Australian National University of a lease of land in the City West precinct.</w:t>
      </w:r>
    </w:p>
    <w:p w:rsidR="00BA29FF" w:rsidRDefault="00BA29FF">
      <w:pPr>
        <w:pStyle w:val="AH5Sec"/>
      </w:pPr>
      <w:bookmarkStart w:id="63" w:name="_Toc206921252"/>
      <w:r>
        <w:rPr>
          <w:rStyle w:val="CharSectNo"/>
        </w:rPr>
        <w:lastRenderedPageBreak/>
        <w:t>108</w:t>
      </w:r>
      <w:r>
        <w:tab/>
        <w:t>Direct sale criteria for non-government educational establishments—Act, s 240 (1) (a) (i)</w:t>
      </w:r>
      <w:bookmarkEnd w:id="63"/>
    </w:p>
    <w:p w:rsidR="00BA29FF" w:rsidRDefault="00BA29FF">
      <w:pPr>
        <w:pStyle w:val="Amain"/>
        <w:keepNext/>
      </w:pPr>
      <w:r>
        <w:tab/>
        <w:t>(1)</w:t>
      </w:r>
      <w:r>
        <w:tab/>
        <w:t>The criteria for the direct sale of a lease to a person for an educational establishment are—</w:t>
      </w:r>
    </w:p>
    <w:p w:rsidR="00BA29FF" w:rsidRDefault="00BA29FF">
      <w:pPr>
        <w:pStyle w:val="Apara"/>
      </w:pPr>
      <w:r>
        <w:tab/>
        <w:t>(a)</w:t>
      </w:r>
      <w:r>
        <w:tab/>
        <w:t>the person is—</w:t>
      </w:r>
    </w:p>
    <w:p w:rsidR="00BA29FF" w:rsidRDefault="00BA29FF">
      <w:pPr>
        <w:pStyle w:val="Asubpara"/>
      </w:pPr>
      <w:r>
        <w:tab/>
        <w:t>(i)</w:t>
      </w:r>
      <w:r>
        <w:tab/>
        <w:t>a registered non-government school; or</w:t>
      </w:r>
    </w:p>
    <w:p w:rsidR="00BA29FF" w:rsidRDefault="00BA29FF">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BA29FF" w:rsidRDefault="00BA29FF">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BA29FF" w:rsidRDefault="00BA29FF">
      <w:pPr>
        <w:pStyle w:val="Asubpara"/>
      </w:pPr>
      <w:r>
        <w:tab/>
        <w:t>(iii)</w:t>
      </w:r>
      <w:r>
        <w:tab/>
        <w:t xml:space="preserve">registered under the </w:t>
      </w:r>
      <w:r>
        <w:rPr>
          <w:rStyle w:val="charItals"/>
        </w:rPr>
        <w:t>Training and Tertiary Education Act 2003</w:t>
      </w:r>
      <w:r>
        <w:t>; or</w:t>
      </w:r>
    </w:p>
    <w:p w:rsidR="00BA29FF" w:rsidRDefault="00BA29FF">
      <w:pPr>
        <w:pStyle w:val="Asubpara"/>
      </w:pPr>
      <w:r>
        <w:tab/>
        <w:t>(iv)</w:t>
      </w:r>
      <w:r>
        <w:tab/>
        <w:t>authorised to operate a university; and</w:t>
      </w:r>
    </w:p>
    <w:p w:rsidR="00BA29FF" w:rsidRDefault="00BA29FF">
      <w:pPr>
        <w:pStyle w:val="aNotesubpar"/>
      </w:pPr>
      <w:r>
        <w:rPr>
          <w:rStyle w:val="charItals"/>
        </w:rPr>
        <w:t>Note</w:t>
      </w:r>
      <w:r>
        <w:rPr>
          <w:rStyle w:val="charItals"/>
        </w:rPr>
        <w:tab/>
      </w:r>
      <w:r>
        <w:rPr>
          <w:rStyle w:val="charBoldItals"/>
        </w:rPr>
        <w:t>Authorised</w:t>
      </w:r>
      <w:r>
        <w:t>—see s (5).</w:t>
      </w:r>
    </w:p>
    <w:p w:rsidR="00BA29FF" w:rsidRDefault="00BA29FF">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BA29FF" w:rsidRDefault="00BA29FF">
      <w:pPr>
        <w:pStyle w:val="Asubpara"/>
      </w:pPr>
      <w:r>
        <w:tab/>
        <w:t>(i)</w:t>
      </w:r>
      <w:r>
        <w:tab/>
        <w:t>the use of the land for an educational establishment will promote any ACT or Commonwealth government policies in relation to educational services; or</w:t>
      </w:r>
    </w:p>
    <w:p w:rsidR="00BA29FF" w:rsidRDefault="00BA29FF">
      <w:pPr>
        <w:pStyle w:val="Asubpara"/>
      </w:pPr>
      <w:r>
        <w:tab/>
        <w:t>(ii)</w:t>
      </w:r>
      <w:r>
        <w:tab/>
        <w:t>the educational establishment will meet an education need in the ACT that is not being met by existing education providers by providing—</w:t>
      </w:r>
    </w:p>
    <w:p w:rsidR="00BA29FF" w:rsidRDefault="00BA29FF">
      <w:pPr>
        <w:pStyle w:val="Asubsubpara"/>
      </w:pPr>
      <w:r>
        <w:tab/>
        <w:t>(A)</w:t>
      </w:r>
      <w:r>
        <w:tab/>
        <w:t>opportunities for education or training in an area of shortage of appropriately qualified or skilled people in the ACT; or</w:t>
      </w:r>
    </w:p>
    <w:p w:rsidR="00BA29FF" w:rsidRDefault="00BA29FF">
      <w:pPr>
        <w:pStyle w:val="Asubsubpara"/>
      </w:pPr>
      <w:r>
        <w:lastRenderedPageBreak/>
        <w:tab/>
        <w:t>(B)</w:t>
      </w:r>
      <w:r>
        <w:tab/>
        <w:t>education to people who, because of a group to which they belong, may suffer disadvantage in the provision of educational services unless their special needs are met.</w:t>
      </w:r>
    </w:p>
    <w:p w:rsidR="00BA29FF" w:rsidRDefault="00BA29FF">
      <w:pPr>
        <w:pStyle w:val="aExamHdgsubpar"/>
      </w:pPr>
      <w:r>
        <w:t>Examples of groups—s (1) (b) (ii) (B)</w:t>
      </w:r>
    </w:p>
    <w:p w:rsidR="00BA29FF" w:rsidRDefault="00BA29FF">
      <w:pPr>
        <w:pStyle w:val="aExamsubpar"/>
        <w:tabs>
          <w:tab w:val="left" w:pos="2565"/>
        </w:tabs>
        <w:ind w:left="2565" w:hanging="425"/>
      </w:pPr>
      <w:r>
        <w:t>1</w:t>
      </w:r>
      <w:r>
        <w:tab/>
        <w:t>aboriginals or Torres Strait Islanders</w:t>
      </w:r>
    </w:p>
    <w:p w:rsidR="00BA29FF" w:rsidRDefault="00BA29FF">
      <w:pPr>
        <w:pStyle w:val="aExamsubpar"/>
        <w:tabs>
          <w:tab w:val="left" w:pos="2565"/>
        </w:tabs>
        <w:ind w:left="2565" w:hanging="425"/>
      </w:pPr>
      <w:r>
        <w:t>2</w:t>
      </w:r>
      <w:r>
        <w:tab/>
        <w:t>people with a physical or medical disability</w:t>
      </w:r>
    </w:p>
    <w:p w:rsidR="00BA29FF" w:rsidRDefault="00BA29FF">
      <w:pPr>
        <w:pStyle w:val="aExamsubpar"/>
        <w:tabs>
          <w:tab w:val="left" w:pos="2565"/>
        </w:tabs>
        <w:ind w:left="2565" w:hanging="425"/>
      </w:pPr>
      <w:r>
        <w:t>3</w:t>
      </w:r>
      <w:r>
        <w:tab/>
        <w:t>people who are socially or financially disadvantaged</w:t>
      </w:r>
    </w:p>
    <w:p w:rsidR="00BA29FF" w:rsidRDefault="00BA29FF">
      <w:pPr>
        <w:pStyle w:val="aExamsubpar"/>
        <w:tabs>
          <w:tab w:val="left" w:pos="2565"/>
        </w:tabs>
        <w:ind w:left="2565" w:hanging="425"/>
      </w:pPr>
      <w:r>
        <w:t>4</w:t>
      </w:r>
      <w:r>
        <w:tab/>
        <w:t>people who cannot communicate, or who have difficulty communicating, in English</w:t>
      </w:r>
    </w:p>
    <w:p w:rsidR="00BA29FF" w:rsidRDefault="00BA29FF">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BA29FF" w:rsidRDefault="00BA29FF">
      <w:pPr>
        <w:pStyle w:val="Amain"/>
      </w:pPr>
      <w:r>
        <w:tab/>
        <w:t>(2)</w:t>
      </w:r>
      <w:r>
        <w:tab/>
        <w:t>For subsection (1) (b), the person must give the planning and land authority the business-case documentation for the proposed development.</w:t>
      </w:r>
    </w:p>
    <w:p w:rsidR="00BA29FF" w:rsidRDefault="00BA29FF">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BA29FF" w:rsidRDefault="00BA29FF">
      <w:pPr>
        <w:pStyle w:val="Apara"/>
      </w:pPr>
      <w:r>
        <w:tab/>
        <w:t>(a)</w:t>
      </w:r>
      <w:r>
        <w:tab/>
        <w:t>the support of any ACT or Commonwealth government agency responsible for implementing policy in relation to the land use;</w:t>
      </w:r>
    </w:p>
    <w:p w:rsidR="00BA29FF" w:rsidRDefault="00BA29FF">
      <w:pPr>
        <w:pStyle w:val="Apara"/>
      </w:pPr>
      <w:r>
        <w:tab/>
        <w:t>(b)</w:t>
      </w:r>
      <w:r>
        <w:tab/>
        <w:t>if the person is eligible for funding by an ACT or Commonwealth government agency—the person’s eligibility.</w:t>
      </w:r>
    </w:p>
    <w:p w:rsidR="00BA29FF" w:rsidRDefault="00BA29FF">
      <w:pPr>
        <w:pStyle w:val="Amain"/>
      </w:pPr>
      <w:r>
        <w:tab/>
        <w:t>(4)</w:t>
      </w:r>
      <w:r>
        <w:tab/>
        <w:t>This section does not apply to the direct sale to the Australian National University of a lease of land in the City West precinct.</w:t>
      </w:r>
    </w:p>
    <w:p w:rsidR="00BA29FF" w:rsidRDefault="00BA29FF">
      <w:pPr>
        <w:pStyle w:val="Amain"/>
        <w:keepNext/>
      </w:pPr>
      <w:r>
        <w:lastRenderedPageBreak/>
        <w:tab/>
        <w:t>(5)</w:t>
      </w:r>
      <w:r>
        <w:tab/>
        <w:t>In this section:</w:t>
      </w:r>
    </w:p>
    <w:p w:rsidR="00BA29FF" w:rsidRDefault="00BA29FF">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BA29FF" w:rsidRDefault="00BA29FF">
      <w:pPr>
        <w:pStyle w:val="aDef"/>
      </w:pPr>
      <w:r>
        <w:rPr>
          <w:rStyle w:val="charBoldItals"/>
        </w:rPr>
        <w:t>registered non-government school</w:t>
      </w:r>
      <w:r>
        <w:t xml:space="preserve">—see the </w:t>
      </w:r>
      <w:r>
        <w:rPr>
          <w:rStyle w:val="charItals"/>
        </w:rPr>
        <w:t>Education Act 2004</w:t>
      </w:r>
      <w:r>
        <w:t>, dictionary.</w:t>
      </w:r>
    </w:p>
    <w:p w:rsidR="00BA29FF" w:rsidRDefault="00BA29FF">
      <w:pPr>
        <w:pStyle w:val="aDef"/>
      </w:pPr>
      <w:r>
        <w:rPr>
          <w:rStyle w:val="charBoldItals"/>
        </w:rPr>
        <w:t>university</w:t>
      </w:r>
      <w:r>
        <w:t xml:space="preserve">—see the </w:t>
      </w:r>
      <w:r>
        <w:rPr>
          <w:rStyle w:val="charItals"/>
        </w:rPr>
        <w:t>Training and Tertiary Education Act 2003</w:t>
      </w:r>
      <w:r>
        <w:t>, dictionary.</w:t>
      </w:r>
    </w:p>
    <w:p w:rsidR="00BA29FF" w:rsidRDefault="00BA29FF">
      <w:pPr>
        <w:pStyle w:val="AH5Sec"/>
      </w:pPr>
      <w:bookmarkStart w:id="64" w:name="_Toc206921253"/>
      <w:r>
        <w:rPr>
          <w:rStyle w:val="CharSectNo"/>
        </w:rPr>
        <w:t>109</w:t>
      </w:r>
      <w:r>
        <w:tab/>
        <w:t>Direct sale criterion for unallocated land for housing commissioner—Act, s 240 (1) (a) (i)</w:t>
      </w:r>
      <w:bookmarkEnd w:id="64"/>
    </w:p>
    <w:p w:rsidR="00BA29FF" w:rsidRDefault="00BA29FF">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BA29FF" w:rsidRDefault="00BA29FF">
      <w:pPr>
        <w:pStyle w:val="aNote"/>
      </w:pPr>
      <w:r>
        <w:rPr>
          <w:rStyle w:val="charItals"/>
        </w:rPr>
        <w:t>Note</w:t>
      </w:r>
      <w:r>
        <w:rPr>
          <w:rStyle w:val="charItals"/>
        </w:rPr>
        <w:tab/>
      </w:r>
      <w:r>
        <w:rPr>
          <w:rStyle w:val="charBoldItals"/>
        </w:rPr>
        <w:t>Allocated land</w:t>
      </w:r>
      <w:r>
        <w:t xml:space="preserve">—see s </w:t>
      </w:r>
      <w:r>
        <w:rPr>
          <w:iCs/>
        </w:rPr>
        <w:t>100</w:t>
      </w:r>
      <w:r>
        <w:t>.</w:t>
      </w:r>
    </w:p>
    <w:p w:rsidR="00BA29FF" w:rsidRDefault="00BA29FF">
      <w:pPr>
        <w:pStyle w:val="AH5Sec"/>
      </w:pPr>
      <w:bookmarkStart w:id="65" w:name="_Toc206921254"/>
      <w:r>
        <w:rPr>
          <w:rStyle w:val="CharSectNo"/>
        </w:rPr>
        <w:t>110</w:t>
      </w:r>
      <w:r>
        <w:tab/>
        <w:t>Direct sale criteria for leases of contiguous unleased land that is public land—Act, s 240 (1) (a) (i)</w:t>
      </w:r>
      <w:bookmarkEnd w:id="65"/>
    </w:p>
    <w:p w:rsidR="00BA29FF" w:rsidRDefault="00BA29FF">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BA29FF" w:rsidRDefault="00BA29FF">
      <w:pPr>
        <w:pStyle w:val="Apara"/>
      </w:pPr>
      <w:r>
        <w:tab/>
        <w:t>(a)</w:t>
      </w:r>
      <w:r>
        <w:tab/>
        <w:t>the grant of the proposed lease will—</w:t>
      </w:r>
    </w:p>
    <w:p w:rsidR="00BA29FF" w:rsidRDefault="00BA29FF">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BA29FF" w:rsidRDefault="00BA29FF">
      <w:pPr>
        <w:pStyle w:val="Asubpara"/>
        <w:keepNext/>
      </w:pPr>
      <w:r>
        <w:lastRenderedPageBreak/>
        <w:tab/>
        <w:t>(ii)</w:t>
      </w:r>
      <w:r>
        <w:tab/>
        <w:t>facilitate the achievement of a good planning outcome; and</w:t>
      </w:r>
    </w:p>
    <w:p w:rsidR="00BA29FF" w:rsidRDefault="00BA29FF">
      <w:pPr>
        <w:pStyle w:val="aExamHdgsubpar"/>
      </w:pPr>
      <w:r>
        <w:t>Example—good planning outcome</w:t>
      </w:r>
    </w:p>
    <w:p w:rsidR="00BA29FF" w:rsidRDefault="00BA29FF">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BA29FF" w:rsidRDefault="00BA29F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BA29FF" w:rsidRDefault="00BA29FF">
      <w:pPr>
        <w:pStyle w:val="Apara"/>
      </w:pPr>
      <w:r>
        <w:tab/>
        <w:t>(b)</w:t>
      </w:r>
      <w:r>
        <w:tab/>
        <w:t>because of the size, location or configuration of the proposed lease, it is not reasonable or viable to grant the proposed lease as a separate independent lease; and</w:t>
      </w:r>
    </w:p>
    <w:p w:rsidR="00BA29FF" w:rsidRDefault="00BA29FF">
      <w:pPr>
        <w:pStyle w:val="Apara"/>
      </w:pPr>
      <w:r>
        <w:tab/>
        <w:t>(c)</w:t>
      </w:r>
      <w:r>
        <w:tab/>
        <w:t>the grant of the proposed lease—</w:t>
      </w:r>
    </w:p>
    <w:p w:rsidR="00BA29FF" w:rsidRDefault="00BA29FF">
      <w:pPr>
        <w:pStyle w:val="Asubpara"/>
      </w:pPr>
      <w:r>
        <w:tab/>
        <w:t>(i)</w:t>
      </w:r>
      <w:r>
        <w:tab/>
        <w:t>will not detract from the amenity of the surrounding area; and</w:t>
      </w:r>
    </w:p>
    <w:p w:rsidR="00BA29FF" w:rsidRDefault="00BA29FF">
      <w:pPr>
        <w:pStyle w:val="Asubpara"/>
      </w:pPr>
      <w:r>
        <w:tab/>
        <w:t>(ii)</w:t>
      </w:r>
      <w:r>
        <w:tab/>
        <w:t>will promote better land management; and</w:t>
      </w:r>
    </w:p>
    <w:p w:rsidR="00BA29FF" w:rsidRDefault="00BA29FF">
      <w:pPr>
        <w:pStyle w:val="Asubpara"/>
        <w:keepNext/>
      </w:pPr>
      <w:r>
        <w:tab/>
        <w:t>(iii)</w:t>
      </w:r>
      <w:r>
        <w:tab/>
        <w:t>will not unreasonably restrict public access to other land.</w:t>
      </w:r>
    </w:p>
    <w:p w:rsidR="00BA29FF" w:rsidRDefault="00BA29FF">
      <w:pPr>
        <w:pStyle w:val="aNote"/>
      </w:pPr>
      <w:r>
        <w:rPr>
          <w:rStyle w:val="charItals"/>
        </w:rPr>
        <w:t>Note</w:t>
      </w:r>
      <w:r>
        <w:rPr>
          <w:rStyle w:val="charItals"/>
        </w:rPr>
        <w:tab/>
      </w:r>
      <w:r>
        <w:rPr>
          <w:rStyle w:val="charBoldItals"/>
        </w:rPr>
        <w:t>Public land</w:t>
      </w:r>
      <w:r>
        <w:t>—see the Act, dictionary.</w:t>
      </w:r>
    </w:p>
    <w:p w:rsidR="00BA29FF" w:rsidRDefault="00BA29FF">
      <w:pPr>
        <w:pStyle w:val="Amain"/>
        <w:keepNext/>
      </w:pPr>
      <w:r>
        <w:tab/>
        <w:t>(2)</w:t>
      </w:r>
      <w:r>
        <w:tab/>
        <w:t>In this section:</w:t>
      </w:r>
    </w:p>
    <w:p w:rsidR="00BA29FF" w:rsidRDefault="00BA29FF">
      <w:pPr>
        <w:pStyle w:val="aDef"/>
      </w:pPr>
      <w:r>
        <w:rPr>
          <w:rStyle w:val="charBoldItals"/>
        </w:rPr>
        <w:t>encroachment</w:t>
      </w:r>
      <w:r>
        <w:t xml:space="preserve"> includes a projection at, above or below ground level.</w:t>
      </w:r>
    </w:p>
    <w:p w:rsidR="00BA29FF" w:rsidRDefault="00BA29FF">
      <w:pPr>
        <w:pStyle w:val="AH5Sec"/>
      </w:pPr>
      <w:bookmarkStart w:id="66" w:name="_Toc206921255"/>
      <w:r>
        <w:rPr>
          <w:rStyle w:val="CharSectNo"/>
        </w:rPr>
        <w:t>111</w:t>
      </w:r>
      <w:r>
        <w:tab/>
        <w:t>Direct sale criteria for City West precinct land for Australian National University—Act, s 240 (1) (a) (i)</w:t>
      </w:r>
      <w:bookmarkEnd w:id="66"/>
    </w:p>
    <w:p w:rsidR="00BA29FF" w:rsidRDefault="00BA29FF">
      <w:pPr>
        <w:pStyle w:val="Amain"/>
      </w:pPr>
      <w:r>
        <w:tab/>
        <w:t>(1)</w:t>
      </w:r>
      <w:r>
        <w:tab/>
        <w:t>The criteria for the direct sale of a lease of land in the City West precinct to the Australian National University are—</w:t>
      </w:r>
    </w:p>
    <w:p w:rsidR="00BA29FF" w:rsidRDefault="00BA29FF">
      <w:pPr>
        <w:pStyle w:val="Apara"/>
      </w:pPr>
      <w:r>
        <w:tab/>
        <w:t>(a)</w:t>
      </w:r>
      <w:r>
        <w:tab/>
        <w:t>a development deed for the land has been entered into between the university and the land agency; and</w:t>
      </w:r>
    </w:p>
    <w:p w:rsidR="00BA29FF" w:rsidRDefault="00BA29FF">
      <w:pPr>
        <w:pStyle w:val="Apara"/>
      </w:pPr>
      <w:r>
        <w:tab/>
        <w:t>(b)</w:t>
      </w:r>
      <w:r>
        <w:tab/>
        <w:t>the university has given the planning and land authority a development proposal for the land; and</w:t>
      </w:r>
    </w:p>
    <w:p w:rsidR="00BA29FF" w:rsidRDefault="00BA29FF">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BA29FF" w:rsidRDefault="00BA29FF">
      <w:pPr>
        <w:pStyle w:val="Amain"/>
        <w:keepNext/>
      </w:pPr>
      <w:r>
        <w:tab/>
        <w:t>(2)</w:t>
      </w:r>
      <w:r>
        <w:tab/>
        <w:t>In this section:</w:t>
      </w:r>
    </w:p>
    <w:p w:rsidR="00BA29FF" w:rsidRDefault="00BA29FF">
      <w:pPr>
        <w:pStyle w:val="aDef"/>
      </w:pPr>
      <w:r>
        <w:rPr>
          <w:rStyle w:val="charBoldItals"/>
        </w:rPr>
        <w:t>development deed</w:t>
      </w:r>
      <w:r>
        <w:t>—see the City West precinct deed, clause 1.1.</w:t>
      </w:r>
    </w:p>
    <w:p w:rsidR="00BA29FF" w:rsidRDefault="00BA29FF">
      <w:pPr>
        <w:pStyle w:val="aDef"/>
        <w:keepNext/>
      </w:pPr>
      <w:r>
        <w:rPr>
          <w:rStyle w:val="charBoldItals"/>
        </w:rPr>
        <w:t>development proposal</w:t>
      </w:r>
      <w:r>
        <w:t>—see the City West precinct deed, clause 1.1.</w:t>
      </w:r>
    </w:p>
    <w:p w:rsidR="00BA29FF" w:rsidRDefault="00BA29FF">
      <w:pPr>
        <w:pStyle w:val="aNote"/>
      </w:pPr>
      <w:r>
        <w:rPr>
          <w:rStyle w:val="charItals"/>
        </w:rPr>
        <w:t>Note</w:t>
      </w:r>
      <w:r>
        <w:rPr>
          <w:rStyle w:val="charItals"/>
        </w:rPr>
        <w:tab/>
      </w:r>
      <w:r>
        <w:t>For the expiry of this section and related provisions, see s 402.</w:t>
      </w:r>
    </w:p>
    <w:p w:rsidR="00BA29FF" w:rsidRDefault="00BA29FF">
      <w:pPr>
        <w:pStyle w:val="AH5Sec"/>
      </w:pPr>
      <w:bookmarkStart w:id="67" w:name="_Toc206921256"/>
      <w:r>
        <w:rPr>
          <w:rStyle w:val="CharSectNo"/>
        </w:rPr>
        <w:t>112</w:t>
      </w:r>
      <w:r>
        <w:tab/>
        <w:t>Direct sale criteria for community uses—Act, s 240 (1) (a) (i)</w:t>
      </w:r>
      <w:bookmarkEnd w:id="67"/>
    </w:p>
    <w:p w:rsidR="00BA29FF" w:rsidRDefault="00BA29FF">
      <w:pPr>
        <w:pStyle w:val="Amain"/>
      </w:pPr>
      <w:r>
        <w:tab/>
        <w:t>(1)</w:t>
      </w:r>
      <w:r>
        <w:tab/>
        <w:t>The criteria for the direct sale of a lease for community use are—</w:t>
      </w:r>
    </w:p>
    <w:p w:rsidR="00BA29FF" w:rsidRDefault="00BA29FF">
      <w:pPr>
        <w:pStyle w:val="Apara"/>
      </w:pPr>
      <w:r>
        <w:tab/>
        <w:t>(a)</w:t>
      </w:r>
      <w:r>
        <w:tab/>
        <w:t>the proposed lessee is a community organisation; and</w:t>
      </w:r>
    </w:p>
    <w:p w:rsidR="00BA29FF" w:rsidRDefault="00BA29FF">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BA29FF" w:rsidRDefault="00BA29FF">
      <w:pPr>
        <w:pStyle w:val="Apara"/>
      </w:pPr>
      <w:r>
        <w:tab/>
        <w:t>(c)</w:t>
      </w:r>
      <w:r>
        <w:tab/>
        <w:t>the planning and land authority is satisfied that the proposed use of the land is—</w:t>
      </w:r>
    </w:p>
    <w:p w:rsidR="00BA29FF" w:rsidRDefault="00BA29FF">
      <w:pPr>
        <w:pStyle w:val="Asubpara"/>
      </w:pPr>
      <w:r>
        <w:tab/>
        <w:t>(i)</w:t>
      </w:r>
      <w:r>
        <w:tab/>
        <w:t>consistent with the proposed lessee’s constitution or rules; and</w:t>
      </w:r>
    </w:p>
    <w:p w:rsidR="00BA29FF" w:rsidRDefault="00BA29FF">
      <w:pPr>
        <w:pStyle w:val="Asubpara"/>
        <w:keepNext/>
      </w:pPr>
      <w:r>
        <w:tab/>
        <w:t>(ii)</w:t>
      </w:r>
      <w:r>
        <w:tab/>
        <w:t>compatible with ACT or Commonwealth government policies applicable to the proposed use.</w:t>
      </w:r>
    </w:p>
    <w:p w:rsidR="00BA29FF" w:rsidRDefault="00BA29FF">
      <w:pPr>
        <w:pStyle w:val="aNote"/>
        <w:keepNext/>
      </w:pPr>
      <w:r>
        <w:rPr>
          <w:rStyle w:val="charItals"/>
        </w:rPr>
        <w:t>Note 1</w:t>
      </w:r>
      <w:r>
        <w:rPr>
          <w:rStyle w:val="charItals"/>
        </w:rPr>
        <w:tab/>
      </w:r>
      <w:r>
        <w:rPr>
          <w:rStyle w:val="charBoldItals"/>
        </w:rPr>
        <w:t>Community organisation</w:t>
      </w:r>
      <w:r>
        <w:t>—see the dictionary.</w:t>
      </w:r>
    </w:p>
    <w:p w:rsidR="00BA29FF" w:rsidRDefault="00BA29FF">
      <w:pPr>
        <w:pStyle w:val="aNote"/>
      </w:pPr>
      <w:r>
        <w:rPr>
          <w:rStyle w:val="charItals"/>
        </w:rPr>
        <w:t>Note 2</w:t>
      </w:r>
      <w:r>
        <w:rPr>
          <w:rStyle w:val="charItals"/>
        </w:rPr>
        <w:tab/>
      </w:r>
      <w:r>
        <w:rPr>
          <w:rStyle w:val="charBoldItals"/>
        </w:rPr>
        <w:t>Community use</w:t>
      </w:r>
      <w:r>
        <w:t>—see the territory plan (13 Definitions).</w:t>
      </w:r>
    </w:p>
    <w:p w:rsidR="00BA29FF" w:rsidRDefault="00BA29FF">
      <w:pPr>
        <w:pStyle w:val="Amain"/>
      </w:pPr>
      <w:r>
        <w:tab/>
        <w:t>(2)</w:t>
      </w:r>
      <w:r>
        <w:tab/>
        <w:t>For subsection (1) (b), the proposed lessee must give the planning and land authority the business-case documentation for the proposed development.</w:t>
      </w:r>
    </w:p>
    <w:p w:rsidR="00BA29FF" w:rsidRDefault="00BA29FF">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BA29FF" w:rsidRDefault="00BA29FF">
      <w:pPr>
        <w:pStyle w:val="Apara"/>
      </w:pPr>
      <w:r>
        <w:tab/>
        <w:t>(a)</w:t>
      </w:r>
      <w:r>
        <w:tab/>
        <w:t xml:space="preserve">the support of any ACT </w:t>
      </w:r>
      <w:r>
        <w:rPr>
          <w:szCs w:val="22"/>
        </w:rPr>
        <w:t xml:space="preserve">or Commonwealth </w:t>
      </w:r>
      <w:r>
        <w:t>government agency responsible for implementing policy in relation to the land use;</w:t>
      </w:r>
    </w:p>
    <w:p w:rsidR="00BA29FF" w:rsidRDefault="00BA29FF">
      <w:pPr>
        <w:pStyle w:val="Apara"/>
      </w:pPr>
      <w:r>
        <w:tab/>
        <w:t>(b)</w:t>
      </w:r>
      <w:r>
        <w:tab/>
        <w:t>if the person is eligible for funding by an ACT or Commonwealth government agency—the person’s eligibility.</w:t>
      </w:r>
    </w:p>
    <w:p w:rsidR="00BA29FF" w:rsidRDefault="00BA29FF">
      <w:pPr>
        <w:pStyle w:val="AH5Sec"/>
      </w:pPr>
      <w:bookmarkStart w:id="68" w:name="_Toc206921257"/>
      <w:r>
        <w:rPr>
          <w:rStyle w:val="CharSectNo"/>
        </w:rPr>
        <w:t>113</w:t>
      </w:r>
      <w:r>
        <w:tab/>
        <w:t>Direct sale criteria for supportive accommodation—Act, s 240 (1) (a) (i)</w:t>
      </w:r>
      <w:bookmarkEnd w:id="68"/>
    </w:p>
    <w:p w:rsidR="00BA29FF" w:rsidRDefault="00BA29FF">
      <w:pPr>
        <w:pStyle w:val="Amain"/>
      </w:pPr>
      <w:r>
        <w:tab/>
        <w:t>(1)</w:t>
      </w:r>
      <w:r>
        <w:tab/>
        <w:t>The criteria for the direct sale of a lease for supportive accommodation are—</w:t>
      </w:r>
    </w:p>
    <w:p w:rsidR="00BA29FF" w:rsidRDefault="00BA29FF">
      <w:pPr>
        <w:pStyle w:val="Apara"/>
      </w:pPr>
      <w:r>
        <w:tab/>
        <w:t>(a)</w:t>
      </w:r>
      <w:r>
        <w:tab/>
        <w:t>the proposed lessee is a community organisation; and</w:t>
      </w:r>
    </w:p>
    <w:p w:rsidR="00BA29FF" w:rsidRDefault="00BA29FF">
      <w:pPr>
        <w:pStyle w:val="aNotepar"/>
      </w:pPr>
      <w:r>
        <w:rPr>
          <w:rStyle w:val="charItals"/>
        </w:rPr>
        <w:t>Note</w:t>
      </w:r>
      <w:r>
        <w:rPr>
          <w:rStyle w:val="charItals"/>
        </w:rPr>
        <w:tab/>
      </w:r>
      <w:r>
        <w:rPr>
          <w:rStyle w:val="charBoldItals"/>
        </w:rPr>
        <w:t>Community organisation</w:t>
      </w:r>
      <w:r>
        <w:t>—see the dictionary.</w:t>
      </w:r>
    </w:p>
    <w:p w:rsidR="00BA29FF" w:rsidRDefault="00BA29FF">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BA29FF" w:rsidRDefault="00BA29FF">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BA29FF" w:rsidRDefault="00BA29FF">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BA29FF" w:rsidRDefault="00BA29FF">
      <w:pPr>
        <w:pStyle w:val="Apara"/>
      </w:pPr>
      <w:r>
        <w:tab/>
        <w:t>(d)</w:t>
      </w:r>
      <w:r>
        <w:tab/>
        <w:t>the planning and land authority is satisfied that the proposed use of the land—</w:t>
      </w:r>
    </w:p>
    <w:p w:rsidR="00BA29FF" w:rsidRDefault="00BA29FF">
      <w:pPr>
        <w:pStyle w:val="Asubpara"/>
      </w:pPr>
      <w:r>
        <w:tab/>
        <w:t>(i)</w:t>
      </w:r>
      <w:r>
        <w:tab/>
        <w:t>is consistent with the proposed lessee’s constitution or rules; and</w:t>
      </w:r>
    </w:p>
    <w:p w:rsidR="00BA29FF" w:rsidRDefault="00BA29FF">
      <w:pPr>
        <w:pStyle w:val="Asubpara"/>
      </w:pPr>
      <w:r>
        <w:tab/>
        <w:t>(ii)</w:t>
      </w:r>
      <w:r>
        <w:tab/>
        <w:t>will promote any ACT or Commonwealth government policies in relation to supportive accommodation; or</w:t>
      </w:r>
    </w:p>
    <w:p w:rsidR="00BA29FF" w:rsidRDefault="00BA29FF">
      <w:pPr>
        <w:pStyle w:val="Asubpara"/>
        <w:keepNext/>
      </w:pPr>
      <w:r>
        <w:lastRenderedPageBreak/>
        <w:tab/>
        <w:t>(iii)</w:t>
      </w:r>
      <w:r>
        <w:tab/>
        <w:t>will meet a need for additional supportive accommodation in the ACT.</w:t>
      </w:r>
    </w:p>
    <w:p w:rsidR="00BA29FF" w:rsidRDefault="00BA29FF">
      <w:pPr>
        <w:pStyle w:val="aNote"/>
      </w:pPr>
      <w:r>
        <w:rPr>
          <w:rStyle w:val="charItals"/>
        </w:rPr>
        <w:t>Note</w:t>
      </w:r>
      <w:r>
        <w:rPr>
          <w:rStyle w:val="charItals"/>
        </w:rPr>
        <w:tab/>
      </w:r>
      <w:r>
        <w:rPr>
          <w:rStyle w:val="charBoldItals"/>
        </w:rPr>
        <w:t>Supportive accommodation</w:t>
      </w:r>
      <w:r>
        <w:t xml:space="preserve">—see s </w:t>
      </w:r>
      <w:r>
        <w:rPr>
          <w:iCs/>
        </w:rPr>
        <w:t>100</w:t>
      </w:r>
      <w:r>
        <w:t>.</w:t>
      </w:r>
    </w:p>
    <w:p w:rsidR="00BA29FF" w:rsidRDefault="00BA29FF">
      <w:pPr>
        <w:pStyle w:val="Amain"/>
      </w:pPr>
      <w:r>
        <w:tab/>
        <w:t>(2)</w:t>
      </w:r>
      <w:r>
        <w:tab/>
        <w:t>For subsection (1) (c), the proposed lessee must give the planning and land authority the business-case documentation for the proposed development.</w:t>
      </w:r>
    </w:p>
    <w:p w:rsidR="00BA29FF" w:rsidRDefault="00BA29FF">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BA29FF" w:rsidRDefault="00BA29FF">
      <w:pPr>
        <w:pStyle w:val="Apara"/>
      </w:pPr>
      <w:r>
        <w:tab/>
        <w:t>(a)</w:t>
      </w:r>
      <w:r>
        <w:tab/>
        <w:t xml:space="preserve">the support of any ACT </w:t>
      </w:r>
      <w:r>
        <w:rPr>
          <w:szCs w:val="22"/>
        </w:rPr>
        <w:t xml:space="preserve">or Commonwealth </w:t>
      </w:r>
      <w:r>
        <w:t>government agency responsible for implementing policy in relation to the land use;</w:t>
      </w:r>
    </w:p>
    <w:p w:rsidR="00BA29FF" w:rsidRDefault="00BA29FF">
      <w:pPr>
        <w:pStyle w:val="Apara"/>
      </w:pPr>
      <w:r>
        <w:tab/>
        <w:t>(b)</w:t>
      </w:r>
      <w:r>
        <w:tab/>
        <w:t>if the person is eligible for funding by an ACT or Commonwealth government agency—the person’s eligibility.</w:t>
      </w:r>
    </w:p>
    <w:p w:rsidR="00BA29FF" w:rsidRDefault="00BA29FF">
      <w:pPr>
        <w:pStyle w:val="AH5Sec"/>
      </w:pPr>
      <w:bookmarkStart w:id="69" w:name="_Toc206921258"/>
      <w:r>
        <w:rPr>
          <w:rStyle w:val="CharSectNo"/>
        </w:rPr>
        <w:t>114</w:t>
      </w:r>
      <w:r>
        <w:tab/>
        <w:t>Direct sale criteria for rural leases—Act, s 240 (1) (a) (i)</w:t>
      </w:r>
      <w:bookmarkEnd w:id="69"/>
    </w:p>
    <w:p w:rsidR="00BA29FF" w:rsidRDefault="00BA29FF">
      <w:pPr>
        <w:pStyle w:val="Amain"/>
      </w:pPr>
      <w:r>
        <w:tab/>
        <w:t>(1)</w:t>
      </w:r>
      <w:r>
        <w:tab/>
        <w:t>The criteria for the direct sale of a rural lease to a person are—</w:t>
      </w:r>
    </w:p>
    <w:p w:rsidR="00BA29FF" w:rsidRDefault="00BA29FF">
      <w:pPr>
        <w:pStyle w:val="Apara"/>
      </w:pPr>
      <w:r>
        <w:tab/>
        <w:t>(a)</w:t>
      </w:r>
      <w:r>
        <w:tab/>
        <w:t xml:space="preserve">for at least 5 years before applying for the direct sale, the person has— </w:t>
      </w:r>
    </w:p>
    <w:p w:rsidR="00BA29FF" w:rsidRDefault="00BA29FF">
      <w:pPr>
        <w:pStyle w:val="Asubpara"/>
      </w:pPr>
      <w:r>
        <w:tab/>
        <w:t>(i)</w:t>
      </w:r>
      <w:r>
        <w:tab/>
        <w:t>lawfully occupied the land; or</w:t>
      </w:r>
    </w:p>
    <w:p w:rsidR="00BA29FF" w:rsidRDefault="00BA29FF">
      <w:pPr>
        <w:pStyle w:val="Asubpara"/>
      </w:pPr>
      <w:r>
        <w:tab/>
        <w:t>(ii)</w:t>
      </w:r>
      <w:r>
        <w:tab/>
        <w:t>been the occupier (whether as lessee, sublessee or licence-holder) of contiguous land; and</w:t>
      </w:r>
    </w:p>
    <w:p w:rsidR="00BA29FF" w:rsidRDefault="00BA29FF">
      <w:pPr>
        <w:pStyle w:val="Apara"/>
      </w:pPr>
      <w:r>
        <w:tab/>
        <w:t>(b)</w:t>
      </w:r>
      <w:r>
        <w:tab/>
        <w:t>the land’s custodian agrees to the grant.</w:t>
      </w:r>
    </w:p>
    <w:p w:rsidR="00BA29FF" w:rsidRDefault="00BA29FF">
      <w:pPr>
        <w:pStyle w:val="Amain"/>
        <w:keepNext/>
      </w:pPr>
      <w:r>
        <w:tab/>
        <w:t>(2)</w:t>
      </w:r>
      <w:r>
        <w:tab/>
        <w:t>For subsection (1) (b), the person must give the planning and land authority written evidence that the land’s custodian agrees to the grant.</w:t>
      </w:r>
    </w:p>
    <w:p w:rsidR="00BA29FF" w:rsidRDefault="00BA29FF">
      <w:pPr>
        <w:pStyle w:val="aNote"/>
      </w:pPr>
      <w:r>
        <w:rPr>
          <w:rStyle w:val="charItals"/>
        </w:rPr>
        <w:t>Note</w:t>
      </w:r>
      <w:r>
        <w:rPr>
          <w:rStyle w:val="charItals"/>
        </w:rPr>
        <w:tab/>
      </w:r>
      <w:r>
        <w:t>The person must have also signed a land management agreement in relation to the land, see the Act, s 283.</w:t>
      </w:r>
    </w:p>
    <w:p w:rsidR="00BA29FF" w:rsidRDefault="00BA29FF">
      <w:pPr>
        <w:pStyle w:val="AH3Div"/>
      </w:pPr>
      <w:bookmarkStart w:id="70" w:name="_Toc206921259"/>
      <w:r>
        <w:rPr>
          <w:rStyle w:val="CharDivNo"/>
        </w:rPr>
        <w:lastRenderedPageBreak/>
        <w:t>Division 5.1.3</w:t>
      </w:r>
      <w:r>
        <w:tab/>
      </w:r>
      <w:r>
        <w:rPr>
          <w:rStyle w:val="CharDivText"/>
        </w:rPr>
        <w:t>Direct sales approved by Minister</w:t>
      </w:r>
      <w:bookmarkEnd w:id="70"/>
    </w:p>
    <w:p w:rsidR="00BA29FF" w:rsidRDefault="00BA29FF">
      <w:pPr>
        <w:pStyle w:val="AH5Sec"/>
      </w:pPr>
      <w:bookmarkStart w:id="71" w:name="_Toc206921260"/>
      <w:r>
        <w:rPr>
          <w:rStyle w:val="CharSectNo"/>
        </w:rPr>
        <w:t>120</w:t>
      </w:r>
      <w:r>
        <w:tab/>
        <w:t>Direct sales requiring approval by Minister—Act, s 240 (1) (b)</w:t>
      </w:r>
      <w:bookmarkEnd w:id="71"/>
    </w:p>
    <w:p w:rsidR="00BA29FF" w:rsidRDefault="00BA29FF">
      <w:pPr>
        <w:pStyle w:val="Amainreturn"/>
        <w:keepNext/>
      </w:pPr>
      <w:r>
        <w:t>The following leases are prescribed:</w:t>
      </w:r>
    </w:p>
    <w:p w:rsidR="00BA29FF" w:rsidRDefault="00BA29FF">
      <w:pPr>
        <w:pStyle w:val="Apara"/>
      </w:pPr>
      <w:r>
        <w:tab/>
        <w:t>(a)</w:t>
      </w:r>
      <w:r>
        <w:tab/>
        <w:t>a lease granted to the Territory, other than a lease to which section 130 (1) (f) (Certain direct sales not requiring approval—Act, s 240 (1) (d)) applies;</w:t>
      </w:r>
    </w:p>
    <w:p w:rsidR="00BA29FF" w:rsidRDefault="00BA29FF">
      <w:pPr>
        <w:pStyle w:val="Apara"/>
      </w:pPr>
      <w:r>
        <w:tab/>
        <w:t>(b)</w:t>
      </w:r>
      <w:r>
        <w:tab/>
        <w:t>a lease of unleased land, other than public land, to the lessee of a contiguous lease.</w:t>
      </w:r>
    </w:p>
    <w:p w:rsidR="00BA29FF" w:rsidRDefault="00BA29FF">
      <w:pPr>
        <w:pStyle w:val="AH5Sec"/>
      </w:pPr>
      <w:bookmarkStart w:id="72" w:name="_Toc206921261"/>
      <w:r>
        <w:rPr>
          <w:rStyle w:val="CharSectNo"/>
        </w:rPr>
        <w:t>121</w:t>
      </w:r>
      <w:r>
        <w:tab/>
        <w:t>Direct sale criteria for Territory—Act, s 240 (1) (b) (i)</w:t>
      </w:r>
      <w:bookmarkEnd w:id="72"/>
    </w:p>
    <w:p w:rsidR="00BA29FF" w:rsidRDefault="00BA29FF">
      <w:pPr>
        <w:pStyle w:val="Amainreturn"/>
      </w:pPr>
      <w:r>
        <w:t>The criteria for the direct sale of a lease to the Territory are—</w:t>
      </w:r>
    </w:p>
    <w:p w:rsidR="00BA29FF" w:rsidRDefault="00BA29FF">
      <w:pPr>
        <w:pStyle w:val="Apara"/>
      </w:pPr>
      <w:r>
        <w:tab/>
        <w:t>(a)</w:t>
      </w:r>
      <w:r>
        <w:tab/>
        <w:t>the planning and land authority is satisfied that the land is suitable for the proposed use; and</w:t>
      </w:r>
    </w:p>
    <w:p w:rsidR="00BA29FF" w:rsidRDefault="00BA29FF">
      <w:pPr>
        <w:pStyle w:val="Apara"/>
      </w:pPr>
      <w:r>
        <w:tab/>
        <w:t>(b)</w:t>
      </w:r>
      <w:r>
        <w:tab/>
        <w:t>an amount has been appropriated to develop and manage the land.</w:t>
      </w:r>
    </w:p>
    <w:p w:rsidR="00BA29FF" w:rsidRDefault="00BA29FF">
      <w:pPr>
        <w:pStyle w:val="AH5Sec"/>
      </w:pPr>
      <w:bookmarkStart w:id="73" w:name="_Toc206921262"/>
      <w:r>
        <w:rPr>
          <w:rStyle w:val="CharSectNo"/>
        </w:rPr>
        <w:t>122</w:t>
      </w:r>
      <w:r>
        <w:tab/>
        <w:t>Direct sale criteria for leases of contiguous unleased land other than public land—Act, s 240 (1) (b) (i)</w:t>
      </w:r>
      <w:bookmarkEnd w:id="73"/>
    </w:p>
    <w:p w:rsidR="00BA29FF" w:rsidRDefault="00BA29FF">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BA29FF" w:rsidRDefault="00BA29FF">
      <w:pPr>
        <w:pStyle w:val="Apara"/>
      </w:pPr>
      <w:r>
        <w:tab/>
        <w:t>(a)</w:t>
      </w:r>
      <w:r>
        <w:tab/>
        <w:t>the grant of the proposed lease will—</w:t>
      </w:r>
    </w:p>
    <w:p w:rsidR="00BA29FF" w:rsidRDefault="00BA29FF">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BA29FF" w:rsidRDefault="00BA29FF">
      <w:pPr>
        <w:pStyle w:val="Asubpara"/>
        <w:keepNext/>
      </w:pPr>
      <w:r>
        <w:lastRenderedPageBreak/>
        <w:tab/>
        <w:t>(ii)</w:t>
      </w:r>
      <w:r>
        <w:tab/>
        <w:t>facilitate the achievement of a good planning outcome; and</w:t>
      </w:r>
    </w:p>
    <w:p w:rsidR="00BA29FF" w:rsidRDefault="00BA29FF">
      <w:pPr>
        <w:pStyle w:val="aExamHdgsubpar"/>
      </w:pPr>
      <w:r>
        <w:t>Example—good planning outcome</w:t>
      </w:r>
    </w:p>
    <w:p w:rsidR="00BA29FF" w:rsidRDefault="00BA29FF">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BA29FF" w:rsidRDefault="00BA29FF">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BA29FF" w:rsidRDefault="00BA29FF">
      <w:pPr>
        <w:pStyle w:val="Apara"/>
      </w:pPr>
      <w:r>
        <w:tab/>
        <w:t>(b)</w:t>
      </w:r>
      <w:r>
        <w:tab/>
        <w:t>because of the size, location or configuration of the proposed lease, it is not reasonable or viable to grant the proposed lease as a separate independent lease; and</w:t>
      </w:r>
    </w:p>
    <w:p w:rsidR="00BA29FF" w:rsidRDefault="00BA29FF">
      <w:pPr>
        <w:pStyle w:val="Apara"/>
      </w:pPr>
      <w:r>
        <w:tab/>
        <w:t>(c)</w:t>
      </w:r>
      <w:r>
        <w:tab/>
        <w:t>the grant of the proposed lease—</w:t>
      </w:r>
    </w:p>
    <w:p w:rsidR="00BA29FF" w:rsidRDefault="00BA29FF">
      <w:pPr>
        <w:pStyle w:val="Asubpara"/>
      </w:pPr>
      <w:r>
        <w:tab/>
        <w:t>(i)</w:t>
      </w:r>
      <w:r>
        <w:tab/>
        <w:t>will not detract from the amenity of the surrounding area; and</w:t>
      </w:r>
    </w:p>
    <w:p w:rsidR="00BA29FF" w:rsidRDefault="00BA29FF">
      <w:pPr>
        <w:pStyle w:val="Asubpara"/>
      </w:pPr>
      <w:r>
        <w:tab/>
        <w:t>(ii)</w:t>
      </w:r>
      <w:r>
        <w:tab/>
        <w:t>will promote better land management; and</w:t>
      </w:r>
    </w:p>
    <w:p w:rsidR="00BA29FF" w:rsidRDefault="00BA29FF">
      <w:pPr>
        <w:pStyle w:val="Asubpara"/>
        <w:keepNext/>
      </w:pPr>
      <w:r>
        <w:tab/>
        <w:t>(iii)</w:t>
      </w:r>
      <w:r>
        <w:tab/>
        <w:t>will not unreasonably restrict public access to other land.</w:t>
      </w:r>
    </w:p>
    <w:p w:rsidR="00BA29FF" w:rsidRDefault="00BA29FF">
      <w:pPr>
        <w:pStyle w:val="aNote"/>
      </w:pPr>
      <w:r>
        <w:rPr>
          <w:rStyle w:val="charItals"/>
        </w:rPr>
        <w:t>Note</w:t>
      </w:r>
      <w:r>
        <w:rPr>
          <w:rStyle w:val="charItals"/>
        </w:rPr>
        <w:tab/>
      </w:r>
      <w:r>
        <w:rPr>
          <w:rStyle w:val="charBoldItals"/>
        </w:rPr>
        <w:t>Public land</w:t>
      </w:r>
      <w:r>
        <w:t>—see the Act, dictionary.</w:t>
      </w:r>
    </w:p>
    <w:p w:rsidR="00BA29FF" w:rsidRDefault="00BA29FF">
      <w:pPr>
        <w:pStyle w:val="Amain"/>
      </w:pPr>
      <w:r>
        <w:tab/>
        <w:t>(2)</w:t>
      </w:r>
      <w:r>
        <w:tab/>
        <w:t>In this section:</w:t>
      </w:r>
    </w:p>
    <w:p w:rsidR="00BA29FF" w:rsidRDefault="00BA29FF">
      <w:pPr>
        <w:pStyle w:val="aDef"/>
      </w:pPr>
      <w:r>
        <w:rPr>
          <w:rStyle w:val="charBoldItals"/>
        </w:rPr>
        <w:t>encroachment</w:t>
      </w:r>
      <w:r>
        <w:t xml:space="preserve"> includes a projection at, above or below ground level.</w:t>
      </w:r>
    </w:p>
    <w:p w:rsidR="00BA29FF" w:rsidRDefault="00BA29FF">
      <w:pPr>
        <w:pStyle w:val="AH3Div"/>
      </w:pPr>
      <w:bookmarkStart w:id="74" w:name="_Toc206921263"/>
      <w:r>
        <w:rPr>
          <w:rStyle w:val="CharDivNo"/>
        </w:rPr>
        <w:t>Division 5.1.4</w:t>
      </w:r>
      <w:r>
        <w:tab/>
      </w:r>
      <w:r>
        <w:rPr>
          <w:rStyle w:val="CharDivText"/>
        </w:rPr>
        <w:t>Certain direct sales not requiring approval</w:t>
      </w:r>
      <w:bookmarkEnd w:id="74"/>
    </w:p>
    <w:p w:rsidR="00BA29FF" w:rsidRDefault="00BA29FF">
      <w:pPr>
        <w:pStyle w:val="aNote"/>
        <w:keepNext/>
      </w:pPr>
      <w:r>
        <w:rPr>
          <w:i/>
        </w:rPr>
        <w:t>Note</w:t>
      </w:r>
      <w:r>
        <w:rPr>
          <w:i/>
        </w:rPr>
        <w:tab/>
      </w:r>
      <w:r>
        <w:t>For other direct sales not requiring approval, see the Act, s 240 (1) (e) to (g).</w:t>
      </w:r>
    </w:p>
    <w:p w:rsidR="00BA29FF" w:rsidRDefault="00BA29FF">
      <w:pPr>
        <w:pStyle w:val="AH5Sec"/>
      </w:pPr>
      <w:bookmarkStart w:id="75" w:name="_Toc206921264"/>
      <w:r>
        <w:rPr>
          <w:rStyle w:val="CharSectNo"/>
        </w:rPr>
        <w:t>130</w:t>
      </w:r>
      <w:r>
        <w:tab/>
        <w:t>Certain direct sales not requiring approval—Act, s 240 (1) (d)</w:t>
      </w:r>
      <w:bookmarkEnd w:id="75"/>
    </w:p>
    <w:p w:rsidR="00BA29FF" w:rsidRDefault="00BA29FF">
      <w:pPr>
        <w:pStyle w:val="Amain"/>
      </w:pPr>
      <w:r>
        <w:tab/>
        <w:t>(1)</w:t>
      </w:r>
      <w:r>
        <w:tab/>
        <w:t>The direct sale of the following leases is prescribed:</w:t>
      </w:r>
    </w:p>
    <w:p w:rsidR="00BA29FF" w:rsidRDefault="00BA29FF">
      <w:pPr>
        <w:pStyle w:val="Apara"/>
      </w:pPr>
      <w:r>
        <w:tab/>
        <w:t>(a)</w:t>
      </w:r>
      <w:r>
        <w:tab/>
        <w:t>a lease offered at auction but not sold;</w:t>
      </w:r>
    </w:p>
    <w:p w:rsidR="00BA29FF" w:rsidRDefault="00BA29FF">
      <w:pPr>
        <w:pStyle w:val="Apara"/>
      </w:pPr>
      <w:r>
        <w:lastRenderedPageBreak/>
        <w:tab/>
        <w:t>(b)</w:t>
      </w:r>
      <w:r>
        <w:tab/>
        <w:t>a lease offered at ballot but not sold;</w:t>
      </w:r>
    </w:p>
    <w:p w:rsidR="00BA29FF" w:rsidRDefault="00BA29FF">
      <w:pPr>
        <w:pStyle w:val="Apara"/>
      </w:pPr>
      <w:r>
        <w:tab/>
        <w:t>(c)</w:t>
      </w:r>
      <w:r>
        <w:tab/>
        <w:t>a lease sold at ballot but the contract of sale is rescinded or otherwise ended before the lease is granted under the contract;</w:t>
      </w:r>
    </w:p>
    <w:p w:rsidR="00BA29FF" w:rsidRDefault="00BA29FF">
      <w:pPr>
        <w:pStyle w:val="Apara"/>
      </w:pPr>
      <w:r>
        <w:tab/>
        <w:t>(d)</w:t>
      </w:r>
      <w:r>
        <w:tab/>
        <w:t>a lease of allocated land to the housing commissioner;</w:t>
      </w:r>
    </w:p>
    <w:p w:rsidR="00BA29FF" w:rsidRDefault="00BA29FF">
      <w:pPr>
        <w:pStyle w:val="aNotepar"/>
      </w:pPr>
      <w:r>
        <w:rPr>
          <w:i/>
        </w:rPr>
        <w:t>Note</w:t>
      </w:r>
      <w:r>
        <w:rPr>
          <w:i/>
        </w:rPr>
        <w:tab/>
      </w:r>
      <w:r>
        <w:rPr>
          <w:b/>
          <w:bCs/>
          <w:i/>
          <w:iCs/>
        </w:rPr>
        <w:t>Allocated land</w:t>
      </w:r>
      <w:r>
        <w:t xml:space="preserve">—see s </w:t>
      </w:r>
      <w:r>
        <w:rPr>
          <w:iCs/>
        </w:rPr>
        <w:t>100</w:t>
      </w:r>
      <w:r>
        <w:t>.</w:t>
      </w:r>
    </w:p>
    <w:p w:rsidR="00BA29FF" w:rsidRDefault="00BA29FF">
      <w:pPr>
        <w:pStyle w:val="Apara"/>
      </w:pPr>
      <w:r>
        <w:tab/>
        <w:t>(e)</w:t>
      </w:r>
      <w:r>
        <w:tab/>
        <w:t>a lease to Community Housing Canberra Limited, ACN 081 354 752;</w:t>
      </w:r>
    </w:p>
    <w:p w:rsidR="00BA29FF" w:rsidRDefault="00BA29FF">
      <w:pPr>
        <w:pStyle w:val="Apara"/>
      </w:pPr>
      <w:r>
        <w:tab/>
        <w:t>(f)</w:t>
      </w:r>
      <w:r>
        <w:tab/>
        <w:t>a lease of land to the Territory if the land is used or occupied by the Territory.</w:t>
      </w:r>
    </w:p>
    <w:p w:rsidR="00BA29FF" w:rsidRDefault="00BA29FF">
      <w:pPr>
        <w:pStyle w:val="Amain"/>
      </w:pPr>
      <w:r>
        <w:tab/>
        <w:t>(2)</w:t>
      </w:r>
      <w:r>
        <w:tab/>
        <w:t>In this section:</w:t>
      </w:r>
    </w:p>
    <w:p w:rsidR="00BA29FF" w:rsidRDefault="00BA29FF">
      <w:pPr>
        <w:pStyle w:val="aDef"/>
      </w:pPr>
      <w:r>
        <w:rPr>
          <w:b/>
          <w:i/>
        </w:rPr>
        <w:t>auction</w:t>
      </w:r>
      <w:r>
        <w:t>, in relation to a lease, means an auction of the lease under the Act, section 238 (1) (a).</w:t>
      </w:r>
    </w:p>
    <w:p w:rsidR="00BA29FF" w:rsidRDefault="00BA29FF">
      <w:pPr>
        <w:pStyle w:val="aDef"/>
      </w:pPr>
      <w:r>
        <w:rPr>
          <w:b/>
          <w:i/>
        </w:rPr>
        <w:t>ballot</w:t>
      </w:r>
      <w:r>
        <w:t>, in relation to a lease, means a ballot of the lease under the Act, section 238 (1) (c).</w:t>
      </w:r>
    </w:p>
    <w:p w:rsidR="00BA29FF" w:rsidRDefault="00BA29FF">
      <w:pPr>
        <w:pStyle w:val="PageBreak"/>
      </w:pPr>
      <w:r>
        <w:br w:type="page"/>
      </w:r>
    </w:p>
    <w:p w:rsidR="00BA29FF" w:rsidRDefault="00BA29FF">
      <w:pPr>
        <w:pStyle w:val="AH2Part"/>
      </w:pPr>
      <w:bookmarkStart w:id="76" w:name="_Toc206921265"/>
      <w:r>
        <w:rPr>
          <w:rStyle w:val="CharPartNo"/>
        </w:rPr>
        <w:lastRenderedPageBreak/>
        <w:t>Part 5.2</w:t>
      </w:r>
      <w:r>
        <w:tab/>
      </w:r>
      <w:r>
        <w:rPr>
          <w:rStyle w:val="CharPartText"/>
        </w:rPr>
        <w:t>Grants of leases generally</w:t>
      </w:r>
      <w:bookmarkEnd w:id="76"/>
    </w:p>
    <w:p w:rsidR="00BA29FF" w:rsidRDefault="00BA29FF">
      <w:pPr>
        <w:pStyle w:val="Placeholder"/>
      </w:pPr>
      <w:r>
        <w:rPr>
          <w:rStyle w:val="CharDivNo"/>
        </w:rPr>
        <w:t xml:space="preserve">  </w:t>
      </w:r>
      <w:r>
        <w:rPr>
          <w:rStyle w:val="CharDivText"/>
        </w:rPr>
        <w:t xml:space="preserve">  </w:t>
      </w:r>
    </w:p>
    <w:p w:rsidR="00BA29FF" w:rsidRDefault="00BA29FF">
      <w:pPr>
        <w:pStyle w:val="AH5Sec"/>
      </w:pPr>
      <w:bookmarkStart w:id="77" w:name="_Toc206921266"/>
      <w:r>
        <w:rPr>
          <w:rStyle w:val="CharSectNo"/>
        </w:rPr>
        <w:t>140</w:t>
      </w:r>
      <w:r>
        <w:tab/>
        <w:t>Period for failure to accept and execute lease—Act, s 250 (1)</w:t>
      </w:r>
      <w:bookmarkEnd w:id="77"/>
    </w:p>
    <w:p w:rsidR="00BA29FF" w:rsidRDefault="00BA29FF">
      <w:pPr>
        <w:pStyle w:val="Amainreturn"/>
      </w:pPr>
      <w:r>
        <w:t>The period is 20 working days after the day when the planning and land authority notifies the person who is entitled to the grant of the lease that the lease is available for execution.</w:t>
      </w:r>
    </w:p>
    <w:p w:rsidR="00BA29FF" w:rsidRDefault="00BA29FF">
      <w:pPr>
        <w:pStyle w:val="AH5Sec"/>
      </w:pPr>
      <w:bookmarkStart w:id="78" w:name="_Toc206921267"/>
      <w:r>
        <w:rPr>
          <w:rStyle w:val="CharSectNo"/>
        </w:rPr>
        <w:t>141</w:t>
      </w:r>
      <w:r>
        <w:tab/>
        <w:t>Exemptions from restrictions on dealings with certain single dwelling house leases—Act, s 251 (1) (c) (ii)</w:t>
      </w:r>
      <w:bookmarkEnd w:id="78"/>
    </w:p>
    <w:p w:rsidR="00BA29FF" w:rsidRDefault="00BA29FF">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BA29FF" w:rsidRDefault="00BA29FF">
      <w:pPr>
        <w:pStyle w:val="aNote"/>
      </w:pPr>
      <w:r>
        <w:rPr>
          <w:i/>
        </w:rPr>
        <w:t>Note</w:t>
      </w:r>
      <w:r>
        <w:rPr>
          <w:i/>
        </w:rPr>
        <w:tab/>
      </w:r>
      <w:r>
        <w:rPr>
          <w:b/>
          <w:bCs/>
          <w:i/>
          <w:iCs/>
        </w:rPr>
        <w:t>Single dwelling house lease</w:t>
      </w:r>
      <w:r>
        <w:t xml:space="preserve"> means a lease granted under the Act, s 240 (1) (e) (see Act, s 234).</w:t>
      </w:r>
    </w:p>
    <w:p w:rsidR="00BA29FF" w:rsidRDefault="00BA29FF">
      <w:pPr>
        <w:pStyle w:val="AH5Sec"/>
      </w:pPr>
      <w:bookmarkStart w:id="79" w:name="_Toc206921268"/>
      <w:r>
        <w:rPr>
          <w:rStyle w:val="CharSectNo"/>
        </w:rPr>
        <w:t>142</w:t>
      </w:r>
      <w:r>
        <w:tab/>
        <w:t>Exemptions from restrictions on dealings with certain leases—Act, s 251 (3)</w:t>
      </w:r>
      <w:bookmarkEnd w:id="79"/>
    </w:p>
    <w:p w:rsidR="00BA29FF" w:rsidRDefault="00BA29FF">
      <w:pPr>
        <w:pStyle w:val="Amain"/>
      </w:pPr>
      <w:r>
        <w:tab/>
        <w:t>(1)</w:t>
      </w:r>
      <w:r>
        <w:tab/>
        <w:t>The following leases are exempt from the Act, section 251 (1) (a), (b) and (c):</w:t>
      </w:r>
    </w:p>
    <w:p w:rsidR="00BA29FF" w:rsidRDefault="00BA29FF">
      <w:pPr>
        <w:pStyle w:val="Apara"/>
      </w:pPr>
      <w:r>
        <w:tab/>
        <w:t>(a)</w:t>
      </w:r>
      <w:r>
        <w:tab/>
        <w:t xml:space="preserve">a concessional lease; </w:t>
      </w:r>
    </w:p>
    <w:p w:rsidR="00BA29FF" w:rsidRDefault="00BA29FF">
      <w:pPr>
        <w:pStyle w:val="Apara"/>
      </w:pPr>
      <w:r>
        <w:tab/>
        <w:t>(b)</w:t>
      </w:r>
      <w:r>
        <w:tab/>
        <w:t>a rural lease.</w:t>
      </w:r>
    </w:p>
    <w:p w:rsidR="00BA29FF" w:rsidRDefault="00BA29FF">
      <w:pPr>
        <w:pStyle w:val="aNote"/>
      </w:pPr>
      <w:r>
        <w:rPr>
          <w:i/>
          <w:iCs/>
        </w:rPr>
        <w:t>Note</w:t>
      </w:r>
      <w:r>
        <w:rPr>
          <w:i/>
          <w:iCs/>
        </w:rPr>
        <w:tab/>
      </w:r>
      <w:r>
        <w:t>For restrictions on dealings with concessional leases and rural leases, see the Act, s 265 and s 284.</w:t>
      </w:r>
    </w:p>
    <w:p w:rsidR="00BA29FF" w:rsidRDefault="00BA29FF">
      <w:pPr>
        <w:pStyle w:val="Amain"/>
      </w:pPr>
      <w:r>
        <w:tab/>
        <w:t>(2)</w:t>
      </w:r>
      <w:r>
        <w:tab/>
        <w:t>The following leases are exempt from the Act, section 251 (1) (b) and (c):</w:t>
      </w:r>
    </w:p>
    <w:p w:rsidR="00BA29FF" w:rsidRDefault="00BA29FF">
      <w:pPr>
        <w:pStyle w:val="Apara"/>
      </w:pPr>
      <w:r>
        <w:tab/>
        <w:t>(a)</w:t>
      </w:r>
      <w:r>
        <w:tab/>
        <w:t>a lease to Community Housing Canberra Limited, ACN 081 354 752;</w:t>
      </w:r>
    </w:p>
    <w:p w:rsidR="00BA29FF" w:rsidRDefault="00BA29FF">
      <w:pPr>
        <w:pStyle w:val="Apara"/>
      </w:pPr>
      <w:r>
        <w:lastRenderedPageBreak/>
        <w:tab/>
        <w:t>(b)</w:t>
      </w:r>
      <w:r>
        <w:tab/>
        <w:t>a lease granted under the Act, section 238 (1) by auction, tender or ballot if—</w:t>
      </w:r>
    </w:p>
    <w:p w:rsidR="00BA29FF" w:rsidRDefault="00BA29FF">
      <w:pPr>
        <w:pStyle w:val="Asubpara"/>
      </w:pPr>
      <w:r>
        <w:tab/>
        <w:t>(i)</w:t>
      </w:r>
      <w:r>
        <w:tab/>
        <w:t xml:space="preserve">the class of people eligible or ineligible for the grant was restricted under the Act, section 239; and </w:t>
      </w:r>
    </w:p>
    <w:p w:rsidR="00BA29FF" w:rsidRDefault="00BA29FF">
      <w:pPr>
        <w:pStyle w:val="Asubpara"/>
      </w:pPr>
      <w:r>
        <w:tab/>
        <w:t>(ii)</w:t>
      </w:r>
      <w:r>
        <w:tab/>
        <w:t>the lease is sold for market value; and</w:t>
      </w:r>
    </w:p>
    <w:p w:rsidR="00BA29FF" w:rsidRDefault="00BA29FF">
      <w:pPr>
        <w:pStyle w:val="Asubpara"/>
      </w:pPr>
      <w:r>
        <w:tab/>
        <w:t>(iii)</w:t>
      </w:r>
      <w:r>
        <w:tab/>
        <w:t>the Act, section 251 (1) (a) or (d) does not apply to the lease;</w:t>
      </w:r>
    </w:p>
    <w:p w:rsidR="00BA29FF" w:rsidRDefault="00BA29FF">
      <w:pPr>
        <w:pStyle w:val="Apara"/>
      </w:pPr>
      <w:r>
        <w:tab/>
        <w:t>(c)</w:t>
      </w:r>
      <w:r>
        <w:tab/>
        <w:t>a lease granted under the Act, section 241 if—</w:t>
      </w:r>
    </w:p>
    <w:p w:rsidR="00BA29FF" w:rsidRDefault="00BA29FF">
      <w:pPr>
        <w:pStyle w:val="Asubpara"/>
      </w:pPr>
      <w:r>
        <w:tab/>
        <w:t>(i)</w:t>
      </w:r>
      <w:r>
        <w:tab/>
        <w:t>the lease is sold for market value; and</w:t>
      </w:r>
    </w:p>
    <w:p w:rsidR="00BA29FF" w:rsidRDefault="00BA29FF">
      <w:pPr>
        <w:pStyle w:val="Asubpara"/>
      </w:pPr>
      <w:r>
        <w:tab/>
        <w:t>(ii)</w:t>
      </w:r>
      <w:r>
        <w:tab/>
        <w:t>the Act, section 251 (1) (a) or (d) does not apply to the lease.</w:t>
      </w:r>
    </w:p>
    <w:p w:rsidR="00BA29FF" w:rsidRDefault="00BA29FF">
      <w:pPr>
        <w:pStyle w:val="PageBreak"/>
      </w:pPr>
      <w:r>
        <w:br w:type="page"/>
      </w:r>
    </w:p>
    <w:p w:rsidR="00BA29FF" w:rsidRDefault="00BA29FF">
      <w:pPr>
        <w:pStyle w:val="AH2Part"/>
      </w:pPr>
      <w:bookmarkStart w:id="80" w:name="_Toc206921269"/>
      <w:r>
        <w:rPr>
          <w:rStyle w:val="CharPartNo"/>
        </w:rPr>
        <w:lastRenderedPageBreak/>
        <w:t>Part 5.3</w:t>
      </w:r>
      <w:r>
        <w:tab/>
      </w:r>
      <w:r>
        <w:rPr>
          <w:rStyle w:val="CharPartText"/>
        </w:rPr>
        <w:t>Grants of further leases</w:t>
      </w:r>
      <w:bookmarkEnd w:id="80"/>
    </w:p>
    <w:p w:rsidR="00BA29FF" w:rsidRDefault="00BA29FF">
      <w:pPr>
        <w:pStyle w:val="AH5Sec"/>
      </w:pPr>
      <w:bookmarkStart w:id="81" w:name="_Toc206921270"/>
      <w:r>
        <w:rPr>
          <w:rStyle w:val="CharSectNo"/>
        </w:rPr>
        <w:t>150</w:t>
      </w:r>
      <w:r>
        <w:tab/>
        <w:t>Criteria for grant of further leases for unit title schemes—Act, s 254 (1) (f)</w:t>
      </w:r>
      <w:bookmarkEnd w:id="81"/>
    </w:p>
    <w:p w:rsidR="00BA29FF" w:rsidRDefault="00BA29FF">
      <w:pPr>
        <w:pStyle w:val="Amain"/>
        <w:keepNext/>
      </w:pPr>
      <w:r>
        <w:tab/>
        <w:t>(1)</w:t>
      </w:r>
      <w:r>
        <w:tab/>
        <w:t>The following are the criteria for a further lease of a unit or the common property in a units plan:</w:t>
      </w:r>
    </w:p>
    <w:p w:rsidR="00BA29FF" w:rsidRDefault="00BA29FF">
      <w:pPr>
        <w:pStyle w:val="Apara"/>
      </w:pPr>
      <w:r>
        <w:tab/>
        <w:t>(a)</w:t>
      </w:r>
      <w:r>
        <w:tab/>
        <w:t xml:space="preserve">the application for the further lease is made by the owners corporation for the units plan; </w:t>
      </w:r>
    </w:p>
    <w:p w:rsidR="00BA29FF" w:rsidRDefault="00BA29FF">
      <w:pPr>
        <w:pStyle w:val="Apara"/>
      </w:pPr>
      <w:r>
        <w:tab/>
        <w:t>(b)</w:t>
      </w:r>
      <w:r>
        <w:tab/>
        <w:t xml:space="preserve">the application is supported by an ordinary resolution of the owners corporation; </w:t>
      </w:r>
    </w:p>
    <w:p w:rsidR="00BA29FF" w:rsidRDefault="00BA29FF">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BA29FF" w:rsidRDefault="00BA29FF">
      <w:pPr>
        <w:pStyle w:val="Apara"/>
      </w:pPr>
      <w:r>
        <w:tab/>
        <w:t>(d)</w:t>
      </w:r>
      <w:r>
        <w:tab/>
        <w:t xml:space="preserve">the planning and land authority is granting further leases for all the units and the common property in the units plan; </w:t>
      </w:r>
    </w:p>
    <w:p w:rsidR="00BA29FF" w:rsidRDefault="00BA29FF">
      <w:pPr>
        <w:pStyle w:val="Apara"/>
      </w:pPr>
      <w:r>
        <w:tab/>
        <w:t>(e)</w:t>
      </w:r>
      <w:r>
        <w:tab/>
        <w:t>the further leases are all granted for the same term.</w:t>
      </w:r>
    </w:p>
    <w:p w:rsidR="00BA29FF" w:rsidRDefault="00BA29FF">
      <w:pPr>
        <w:pStyle w:val="Amain"/>
        <w:keepNext/>
      </w:pPr>
      <w:r>
        <w:tab/>
        <w:t>(2)</w:t>
      </w:r>
      <w:r>
        <w:tab/>
        <w:t>In this section:</w:t>
      </w:r>
    </w:p>
    <w:p w:rsidR="00BA29FF" w:rsidRDefault="00BA29FF">
      <w:pPr>
        <w:pStyle w:val="aDef"/>
      </w:pPr>
      <w:r>
        <w:rPr>
          <w:rStyle w:val="charBoldItals"/>
        </w:rPr>
        <w:t>ordinary resolution</w:t>
      </w:r>
      <w:r>
        <w:t xml:space="preserve">—see the </w:t>
      </w:r>
      <w:r>
        <w:rPr>
          <w:rStyle w:val="charItals"/>
        </w:rPr>
        <w:t>Unit Titles Act 2001</w:t>
      </w:r>
      <w:r>
        <w:t>, dictionary.</w:t>
      </w:r>
    </w:p>
    <w:p w:rsidR="00BA29FF" w:rsidRDefault="00BA29FF">
      <w:pPr>
        <w:pStyle w:val="aDef"/>
      </w:pPr>
      <w:r>
        <w:rPr>
          <w:rStyle w:val="charBoldItals"/>
        </w:rPr>
        <w:t>owners corporation</w:t>
      </w:r>
      <w:r>
        <w:t xml:space="preserve">—see the </w:t>
      </w:r>
      <w:r>
        <w:rPr>
          <w:rStyle w:val="charItals"/>
        </w:rPr>
        <w:t>Unit Titles Act 2001</w:t>
      </w:r>
      <w:r>
        <w:t>, dictionary.</w:t>
      </w:r>
    </w:p>
    <w:p w:rsidR="00BA29FF" w:rsidRDefault="00BA29FF">
      <w:pPr>
        <w:pStyle w:val="aDef"/>
      </w:pPr>
      <w:r>
        <w:rPr>
          <w:rStyle w:val="charBoldItals"/>
        </w:rPr>
        <w:t>unit</w:t>
      </w:r>
      <w:r>
        <w:t xml:space="preserve">—see the </w:t>
      </w:r>
      <w:r>
        <w:rPr>
          <w:rStyle w:val="charItals"/>
        </w:rPr>
        <w:t>Unit Titles Act 2001</w:t>
      </w:r>
      <w:r>
        <w:t>, section 9.</w:t>
      </w:r>
    </w:p>
    <w:p w:rsidR="00BA29FF" w:rsidRDefault="00BA29FF">
      <w:pPr>
        <w:pStyle w:val="aDef"/>
      </w:pPr>
      <w:r>
        <w:rPr>
          <w:rStyle w:val="charBoldItals"/>
        </w:rPr>
        <w:t>units plan</w:t>
      </w:r>
      <w:r>
        <w:t xml:space="preserve">—see the </w:t>
      </w:r>
      <w:r>
        <w:rPr>
          <w:rStyle w:val="charItals"/>
        </w:rPr>
        <w:t>Unit Titles Act 2001</w:t>
      </w:r>
      <w:r>
        <w:t>, dictionary.</w:t>
      </w:r>
    </w:p>
    <w:p w:rsidR="00BA29FF" w:rsidRDefault="00BA29FF">
      <w:pPr>
        <w:pStyle w:val="AH5Sec"/>
      </w:pPr>
      <w:bookmarkStart w:id="82" w:name="_Toc206921271"/>
      <w:r>
        <w:rPr>
          <w:rStyle w:val="CharSectNo"/>
        </w:rPr>
        <w:t>151</w:t>
      </w:r>
      <w:r>
        <w:tab/>
        <w:t>Criteria for grant of further leases for community title schemes—Act, s 254 (1) (f)</w:t>
      </w:r>
      <w:bookmarkEnd w:id="82"/>
    </w:p>
    <w:p w:rsidR="00BA29FF" w:rsidRDefault="00BA29FF">
      <w:pPr>
        <w:pStyle w:val="Amain"/>
        <w:keepNext/>
      </w:pPr>
      <w:r>
        <w:tab/>
        <w:t>(1)</w:t>
      </w:r>
      <w:r>
        <w:tab/>
        <w:t>The following are the criteria for a further lease of a lot in a community title scheme:</w:t>
      </w:r>
    </w:p>
    <w:p w:rsidR="00BA29FF" w:rsidRDefault="00BA29FF">
      <w:pPr>
        <w:pStyle w:val="Apara"/>
      </w:pPr>
      <w:r>
        <w:tab/>
        <w:t>(a)</w:t>
      </w:r>
      <w:r>
        <w:tab/>
        <w:t xml:space="preserve">the application is made by the body corporate for the scheme; </w:t>
      </w:r>
    </w:p>
    <w:p w:rsidR="00BA29FF" w:rsidRDefault="00BA29FF">
      <w:pPr>
        <w:pStyle w:val="Apara"/>
      </w:pPr>
      <w:r>
        <w:tab/>
        <w:t>(b)</w:t>
      </w:r>
      <w:r>
        <w:tab/>
        <w:t xml:space="preserve">the application is supported by an ordinary resolution of the body corporate; </w:t>
      </w:r>
    </w:p>
    <w:p w:rsidR="00BA29FF" w:rsidRDefault="00BA29FF">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BA29FF" w:rsidRDefault="00BA29FF">
      <w:pPr>
        <w:pStyle w:val="Apara"/>
      </w:pPr>
      <w:r>
        <w:tab/>
        <w:t>(d)</w:t>
      </w:r>
      <w:r>
        <w:tab/>
        <w:t xml:space="preserve">the planning and land authority is granting further leases for all the lots in the scheme; </w:t>
      </w:r>
    </w:p>
    <w:p w:rsidR="00BA29FF" w:rsidRDefault="00BA29FF">
      <w:pPr>
        <w:pStyle w:val="Apara"/>
      </w:pPr>
      <w:r>
        <w:tab/>
        <w:t>(e)</w:t>
      </w:r>
      <w:r>
        <w:tab/>
        <w:t>the further leases are all granted for the same term.</w:t>
      </w:r>
    </w:p>
    <w:p w:rsidR="00BA29FF" w:rsidRDefault="00BA29FF">
      <w:pPr>
        <w:pStyle w:val="Amain"/>
        <w:keepNext/>
      </w:pPr>
      <w:r>
        <w:tab/>
        <w:t>(2)</w:t>
      </w:r>
      <w:r>
        <w:tab/>
        <w:t>In this section:</w:t>
      </w:r>
    </w:p>
    <w:p w:rsidR="00BA29FF" w:rsidRDefault="00BA29FF">
      <w:pPr>
        <w:pStyle w:val="aDef"/>
      </w:pPr>
      <w:r>
        <w:rPr>
          <w:rStyle w:val="charBoldItals"/>
        </w:rPr>
        <w:t>body corporate</w:t>
      </w:r>
      <w:r>
        <w:rPr>
          <w:bCs/>
          <w:iCs/>
        </w:rPr>
        <w:t xml:space="preserve">—see </w:t>
      </w:r>
      <w:r>
        <w:t xml:space="preserve">the </w:t>
      </w:r>
      <w:r>
        <w:rPr>
          <w:rStyle w:val="charItals"/>
        </w:rPr>
        <w:t>Community Title Act 2001</w:t>
      </w:r>
      <w:r>
        <w:t>, dictionary.</w:t>
      </w:r>
    </w:p>
    <w:p w:rsidR="00BA29FF" w:rsidRDefault="00BA29FF">
      <w:pPr>
        <w:pStyle w:val="aDef"/>
      </w:pPr>
      <w:r>
        <w:rPr>
          <w:rStyle w:val="charBoldItals"/>
        </w:rPr>
        <w:t>community title scheme</w:t>
      </w:r>
      <w:r>
        <w:t xml:space="preserve">—see the </w:t>
      </w:r>
      <w:r>
        <w:rPr>
          <w:rStyle w:val="charItals"/>
        </w:rPr>
        <w:t>Community Title Act 2001</w:t>
      </w:r>
      <w:r>
        <w:t>, dictionary.</w:t>
      </w:r>
    </w:p>
    <w:p w:rsidR="00BA29FF" w:rsidRDefault="00BA29FF">
      <w:pPr>
        <w:pStyle w:val="aDef"/>
      </w:pPr>
      <w:r>
        <w:rPr>
          <w:rStyle w:val="charBoldItals"/>
        </w:rPr>
        <w:t>lot</w:t>
      </w:r>
      <w:r>
        <w:t xml:space="preserve">—see the </w:t>
      </w:r>
      <w:r>
        <w:rPr>
          <w:rStyle w:val="charItals"/>
        </w:rPr>
        <w:t>Community Title Act 2001</w:t>
      </w:r>
      <w:r>
        <w:t>, dictionary.</w:t>
      </w:r>
    </w:p>
    <w:p w:rsidR="00BA29FF" w:rsidRDefault="00BA29FF">
      <w:pPr>
        <w:pStyle w:val="aDef"/>
      </w:pPr>
      <w:r>
        <w:rPr>
          <w:rStyle w:val="charBoldItals"/>
        </w:rPr>
        <w:t>ordinary resolution</w:t>
      </w:r>
      <w:r>
        <w:t xml:space="preserve">—see the </w:t>
      </w:r>
      <w:r>
        <w:rPr>
          <w:rStyle w:val="charItals"/>
        </w:rPr>
        <w:t>Community Title Act 2001</w:t>
      </w:r>
      <w:r>
        <w:t>, dictionary.</w:t>
      </w:r>
    </w:p>
    <w:p w:rsidR="00BA29FF" w:rsidRDefault="00BA29FF">
      <w:pPr>
        <w:pStyle w:val="PageBreak"/>
      </w:pPr>
      <w:r>
        <w:br w:type="page"/>
      </w:r>
    </w:p>
    <w:p w:rsidR="00BA29FF" w:rsidRDefault="00BA29FF">
      <w:pPr>
        <w:pStyle w:val="AH2Part"/>
      </w:pPr>
      <w:bookmarkStart w:id="83" w:name="_Toc206921272"/>
      <w:r>
        <w:rPr>
          <w:rStyle w:val="CharPartNo"/>
        </w:rPr>
        <w:lastRenderedPageBreak/>
        <w:t>Part 5.4</w:t>
      </w:r>
      <w:r>
        <w:tab/>
      </w:r>
      <w:r>
        <w:rPr>
          <w:rStyle w:val="CharPartText"/>
        </w:rPr>
        <w:t>Lease variations</w:t>
      </w:r>
      <w:bookmarkEnd w:id="83"/>
    </w:p>
    <w:p w:rsidR="00BA29FF" w:rsidRDefault="00BA29FF">
      <w:pPr>
        <w:pStyle w:val="AH5Sec"/>
      </w:pPr>
      <w:bookmarkStart w:id="84" w:name="_Toc206921273"/>
      <w:r>
        <w:rPr>
          <w:rStyle w:val="CharSectNo"/>
        </w:rPr>
        <w:t>160</w:t>
      </w:r>
      <w:r>
        <w:tab/>
        <w:t>Lease classes for variation to pay out rent—Act, s 272A (1)</w:t>
      </w:r>
      <w:bookmarkEnd w:id="84"/>
    </w:p>
    <w:p w:rsidR="00BA29FF" w:rsidRDefault="00BA29FF">
      <w:pPr>
        <w:pStyle w:val="Amainreturn"/>
        <w:keepNext/>
      </w:pPr>
      <w:r>
        <w:t xml:space="preserve">The classes of lease are as follows: </w:t>
      </w:r>
    </w:p>
    <w:p w:rsidR="00BA29FF" w:rsidRDefault="00BA29FF">
      <w:pPr>
        <w:pStyle w:val="Apara"/>
      </w:pPr>
      <w:r>
        <w:tab/>
        <w:t>(a)</w:t>
      </w:r>
      <w:r>
        <w:tab/>
        <w:t xml:space="preserve">rental leases granted for the full market rental value of the lease; </w:t>
      </w:r>
    </w:p>
    <w:p w:rsidR="00BA29FF" w:rsidRDefault="00BA29FF">
      <w:pPr>
        <w:pStyle w:val="aNotepar"/>
      </w:pPr>
      <w:r>
        <w:rPr>
          <w:rStyle w:val="charItals"/>
        </w:rPr>
        <w:t>Note</w:t>
      </w:r>
      <w:r>
        <w:rPr>
          <w:rStyle w:val="charItals"/>
        </w:rPr>
        <w:tab/>
      </w:r>
      <w:r>
        <w:rPr>
          <w:rStyle w:val="charBoldItals"/>
        </w:rPr>
        <w:t>Rental lease</w:t>
      </w:r>
      <w:r>
        <w:t>—see the Act, s 234.</w:t>
      </w:r>
    </w:p>
    <w:p w:rsidR="00BA29FF" w:rsidRDefault="00BA29FF">
      <w:pPr>
        <w:pStyle w:val="Apara"/>
      </w:pPr>
      <w:r>
        <w:tab/>
        <w:t>(b)</w:t>
      </w:r>
      <w:r>
        <w:tab/>
        <w:t>concessional leases, other than a concessional lease—</w:t>
      </w:r>
    </w:p>
    <w:p w:rsidR="00BA29FF" w:rsidRDefault="00BA29FF">
      <w:pPr>
        <w:pStyle w:val="Asubpara"/>
      </w:pPr>
      <w:r>
        <w:tab/>
        <w:t>(i)</w:t>
      </w:r>
      <w:r>
        <w:tab/>
        <w:t xml:space="preserve">that is a recently commenced lease within the meaning of section 180 (Meaning of </w:t>
      </w:r>
      <w:r>
        <w:rPr>
          <w:rStyle w:val="charItals"/>
        </w:rPr>
        <w:t>recently commenced lease</w:t>
      </w:r>
      <w:r>
        <w:t>—div 5.5.3); or</w:t>
      </w:r>
    </w:p>
    <w:p w:rsidR="00BA29FF" w:rsidRDefault="00BA29FF">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BA29FF" w:rsidRDefault="00BA29FF">
      <w:pPr>
        <w:pStyle w:val="AH5Sec"/>
      </w:pPr>
      <w:bookmarkStart w:id="85" w:name="_Toc206921274"/>
      <w:r>
        <w:rPr>
          <w:rStyle w:val="CharSectNo"/>
        </w:rPr>
        <w:t>161</w:t>
      </w:r>
      <w:r>
        <w:tab/>
        <w:t>Decision on rent payout lease variation application—Act, s 272B (1)</w:t>
      </w:r>
      <w:bookmarkEnd w:id="85"/>
    </w:p>
    <w:p w:rsidR="00BA29FF" w:rsidRDefault="00BA29FF">
      <w:pPr>
        <w:pStyle w:val="Amainreturn"/>
      </w:pPr>
      <w:r>
        <w:t>The period of 20 working days is prescribed.</w:t>
      </w:r>
    </w:p>
    <w:p w:rsidR="00BA29FF" w:rsidRDefault="00BA29FF">
      <w:pPr>
        <w:pStyle w:val="PageBreak"/>
      </w:pPr>
      <w:r>
        <w:br w:type="page"/>
      </w:r>
    </w:p>
    <w:p w:rsidR="00BA29FF" w:rsidRDefault="00BA29FF">
      <w:pPr>
        <w:pStyle w:val="AH2Part"/>
      </w:pPr>
      <w:bookmarkStart w:id="86" w:name="_Toc206921275"/>
      <w:r>
        <w:rPr>
          <w:rStyle w:val="CharPartNo"/>
        </w:rPr>
        <w:lastRenderedPageBreak/>
        <w:t>Part 5.5</w:t>
      </w:r>
      <w:r>
        <w:tab/>
      </w:r>
      <w:r>
        <w:rPr>
          <w:rStyle w:val="CharPartText"/>
        </w:rPr>
        <w:t>Change of use charges</w:t>
      </w:r>
      <w:bookmarkEnd w:id="86"/>
    </w:p>
    <w:p w:rsidR="00BA29FF" w:rsidRDefault="00BA29FF">
      <w:pPr>
        <w:pStyle w:val="AH3Div"/>
      </w:pPr>
      <w:bookmarkStart w:id="87" w:name="_Toc206921276"/>
      <w:r>
        <w:rPr>
          <w:rStyle w:val="CharDivNo"/>
        </w:rPr>
        <w:t>Division 5.5.1</w:t>
      </w:r>
      <w:r>
        <w:tab/>
      </w:r>
      <w:r>
        <w:rPr>
          <w:rStyle w:val="CharDivText"/>
        </w:rPr>
        <w:t>Added value</w:t>
      </w:r>
      <w:bookmarkEnd w:id="87"/>
    </w:p>
    <w:p w:rsidR="00BA29FF" w:rsidRDefault="00BA29FF">
      <w:pPr>
        <w:pStyle w:val="AH5Sec"/>
      </w:pPr>
      <w:bookmarkStart w:id="88" w:name="_Toc206921277"/>
      <w:r>
        <w:rPr>
          <w:rStyle w:val="CharSectNo"/>
        </w:rPr>
        <w:t>170</w:t>
      </w:r>
      <w:r>
        <w:tab/>
        <w:t xml:space="preserve">Meaning of </w:t>
      </w:r>
      <w:r>
        <w:rPr>
          <w:i/>
          <w:iCs/>
        </w:rPr>
        <w:t>added value</w:t>
      </w:r>
      <w:r>
        <w:t>—pt 5.5</w:t>
      </w:r>
      <w:bookmarkEnd w:id="88"/>
    </w:p>
    <w:p w:rsidR="00BA29FF" w:rsidRDefault="00BA29FF">
      <w:pPr>
        <w:pStyle w:val="Amain"/>
        <w:keepNext/>
      </w:pPr>
      <w:r>
        <w:tab/>
        <w:t>(1)</w:t>
      </w:r>
      <w:r>
        <w:tab/>
        <w:t>In this part:</w:t>
      </w:r>
    </w:p>
    <w:p w:rsidR="00BA29FF" w:rsidRDefault="00BA29FF">
      <w:pPr>
        <w:pStyle w:val="aDef"/>
        <w:keepNext/>
      </w:pPr>
      <w:r>
        <w:rPr>
          <w:rStyle w:val="charBoldItals"/>
        </w:rPr>
        <w:t>added value</w:t>
      </w:r>
      <w:r>
        <w:rPr>
          <w:bCs/>
          <w:iCs/>
        </w:rPr>
        <w:t>, for the variation of a lease, means the amount worked out as follows:</w:t>
      </w:r>
    </w:p>
    <w:p w:rsidR="00BA29FF" w:rsidRDefault="00BA29FF">
      <w:pPr>
        <w:pStyle w:val="aDef"/>
        <w:jc w:val="center"/>
        <w:rPr>
          <w:bCs/>
          <w:iCs/>
        </w:rPr>
      </w:pPr>
      <w:r>
        <w:rPr>
          <w:bCs/>
          <w:iCs/>
        </w:rPr>
        <w:t>V</w:t>
      </w:r>
      <w:r>
        <w:rPr>
          <w:bCs/>
          <w:iCs/>
          <w:vertAlign w:val="subscript"/>
        </w:rPr>
        <w:t>1</w:t>
      </w:r>
      <w:r>
        <w:rPr>
          <w:bCs/>
          <w:iCs/>
        </w:rPr>
        <w:t xml:space="preserve"> – V</w:t>
      </w:r>
      <w:r>
        <w:rPr>
          <w:bCs/>
          <w:iCs/>
          <w:vertAlign w:val="subscript"/>
        </w:rPr>
        <w:t>2</w:t>
      </w:r>
    </w:p>
    <w:p w:rsidR="00BA29FF" w:rsidRDefault="00BA29FF">
      <w:pPr>
        <w:pStyle w:val="Amain"/>
        <w:keepNext/>
      </w:pPr>
      <w:r>
        <w:tab/>
        <w:t>(2)</w:t>
      </w:r>
      <w:r>
        <w:tab/>
        <w:t>In this section:</w:t>
      </w:r>
    </w:p>
    <w:p w:rsidR="00BA29FF" w:rsidRDefault="00BA29FF">
      <w:pPr>
        <w:pStyle w:val="aDef"/>
      </w:pPr>
      <w:r>
        <w:rPr>
          <w:rStyle w:val="charBoldItals"/>
        </w:rPr>
        <w:t>V1</w:t>
      </w:r>
      <w:r>
        <w:rPr>
          <w:bCs/>
        </w:rPr>
        <w:t>—see the Act, section 277 (2).</w:t>
      </w:r>
    </w:p>
    <w:p w:rsidR="00BA29FF" w:rsidRDefault="00BA29FF">
      <w:pPr>
        <w:pStyle w:val="aDef"/>
      </w:pPr>
      <w:r>
        <w:rPr>
          <w:rStyle w:val="charBoldItals"/>
        </w:rPr>
        <w:t>V2</w:t>
      </w:r>
      <w:r>
        <w:rPr>
          <w:bCs/>
        </w:rPr>
        <w:t>—see the Act, section 277 (2).</w:t>
      </w:r>
    </w:p>
    <w:p w:rsidR="00BA29FF" w:rsidRDefault="00BA29FF">
      <w:pPr>
        <w:pStyle w:val="AH3Div"/>
      </w:pPr>
      <w:bookmarkStart w:id="89" w:name="_Toc206921278"/>
      <w:r>
        <w:rPr>
          <w:rStyle w:val="CharDivNo"/>
        </w:rPr>
        <w:t>Division 5.5.2</w:t>
      </w:r>
      <w:r>
        <w:tab/>
      </w:r>
      <w:r>
        <w:rPr>
          <w:rStyle w:val="CharDivText"/>
        </w:rPr>
        <w:t>Remission of change of use charges</w:t>
      </w:r>
      <w:bookmarkEnd w:id="89"/>
    </w:p>
    <w:p w:rsidR="00BA29FF" w:rsidRDefault="00BA29FF">
      <w:pPr>
        <w:pStyle w:val="AH5Sec"/>
      </w:pPr>
      <w:bookmarkStart w:id="90" w:name="_Toc206921279"/>
      <w:r>
        <w:rPr>
          <w:rStyle w:val="CharSectNo"/>
        </w:rPr>
        <w:t>175</w:t>
      </w:r>
      <w:r>
        <w:tab/>
        <w:t>Remission of change of use charges generally—Act, s 278 (1) and (2)</w:t>
      </w:r>
      <w:bookmarkEnd w:id="90"/>
    </w:p>
    <w:p w:rsidR="00BA29FF" w:rsidRDefault="00BA29FF">
      <w:pPr>
        <w:pStyle w:val="Amain"/>
        <w:keepNext/>
      </w:pPr>
      <w:r>
        <w:tab/>
        <w:t>(1)</w:t>
      </w:r>
      <w:r>
        <w:tab/>
        <w:t>The planning and land authority must remit all or part of a change of use charge for a variation of a lease in the following circumstances:</w:t>
      </w:r>
    </w:p>
    <w:p w:rsidR="00BA29FF" w:rsidRDefault="00BA29FF">
      <w:pPr>
        <w:pStyle w:val="Apara"/>
      </w:pPr>
      <w:r>
        <w:tab/>
        <w:t>(a)</w:t>
      </w:r>
      <w:r>
        <w:tab/>
        <w:t>the variation of the lease is necessary and desirable to—</w:t>
      </w:r>
    </w:p>
    <w:p w:rsidR="00BA29FF" w:rsidRDefault="00BA29FF">
      <w:pPr>
        <w:pStyle w:val="Asubpara"/>
      </w:pPr>
      <w:r>
        <w:tab/>
        <w:t>(i)</w:t>
      </w:r>
      <w:r>
        <w:tab/>
        <w:t>promote development in an area; or</w:t>
      </w:r>
    </w:p>
    <w:p w:rsidR="00BA29FF" w:rsidRDefault="00BA29FF">
      <w:pPr>
        <w:pStyle w:val="Asubpara"/>
      </w:pPr>
      <w:r>
        <w:tab/>
        <w:t>(ii)</w:t>
      </w:r>
      <w:r>
        <w:tab/>
        <w:t>change the purposes for which land or buildings, or parts of land or buildings, in an area may be used; or</w:t>
      </w:r>
    </w:p>
    <w:p w:rsidR="00BA29FF" w:rsidRDefault="00BA29FF">
      <w:pPr>
        <w:pStyle w:val="Asubpara"/>
      </w:pPr>
      <w:r>
        <w:tab/>
        <w:t>(iii)</w:t>
      </w:r>
      <w:r>
        <w:tab/>
        <w:t>promote the construction of well designed or constructed housing; or</w:t>
      </w:r>
    </w:p>
    <w:p w:rsidR="00BA29FF" w:rsidRDefault="00BA29FF">
      <w:pPr>
        <w:pStyle w:val="Asubpara"/>
      </w:pPr>
      <w:r>
        <w:tab/>
        <w:t>(iv)</w:t>
      </w:r>
      <w:r>
        <w:tab/>
        <w:t>promote the construction of attached houses, apartments or 2 or more detached houses on a single lease; or</w:t>
      </w:r>
    </w:p>
    <w:p w:rsidR="00BA29FF" w:rsidRDefault="00BA29FF">
      <w:pPr>
        <w:pStyle w:val="Asubpara"/>
      </w:pPr>
      <w:r>
        <w:lastRenderedPageBreak/>
        <w:tab/>
        <w:t>(v)</w:t>
      </w:r>
      <w:r>
        <w:tab/>
        <w:t>promote the construction of housing that is suitable for frail or disabled people; or</w:t>
      </w:r>
    </w:p>
    <w:p w:rsidR="00BA29FF" w:rsidRDefault="00BA29FF">
      <w:pPr>
        <w:pStyle w:val="Asubpara"/>
      </w:pPr>
      <w:r>
        <w:tab/>
        <w:t>(vi)</w:t>
      </w:r>
      <w:r>
        <w:tab/>
        <w:t>provide land for the exclusive use of a community organisation; or</w:t>
      </w:r>
    </w:p>
    <w:p w:rsidR="00BA29FF" w:rsidRDefault="00BA29FF">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BA29FF" w:rsidRDefault="00BA29FF">
      <w:pPr>
        <w:pStyle w:val="Apara"/>
      </w:pPr>
      <w:r>
        <w:tab/>
        <w:t>(b)</w:t>
      </w:r>
      <w:r>
        <w:tab/>
        <w:t>a circumstance stated in a policy direction.</w:t>
      </w:r>
    </w:p>
    <w:p w:rsidR="00BA29FF" w:rsidRDefault="00BA29FF">
      <w:pPr>
        <w:pStyle w:val="Amain"/>
      </w:pPr>
      <w:r>
        <w:tab/>
        <w:t>(2)</w:t>
      </w:r>
      <w:r>
        <w:tab/>
        <w:t>The amount of the change of use charge to be remitted is—</w:t>
      </w:r>
    </w:p>
    <w:p w:rsidR="00BA29FF" w:rsidRDefault="00BA29FF">
      <w:pPr>
        <w:pStyle w:val="Apara"/>
      </w:pPr>
      <w:r>
        <w:tab/>
        <w:t>(a)</w:t>
      </w:r>
      <w:r>
        <w:tab/>
        <w:t>if a policy direction applies to the circumstance—the amount worked out in accordance with the policy direction; or</w:t>
      </w:r>
    </w:p>
    <w:p w:rsidR="00BA29FF" w:rsidRDefault="00BA29FF">
      <w:pPr>
        <w:pStyle w:val="Apara"/>
      </w:pPr>
      <w:r>
        <w:tab/>
        <w:t>(b)</w:t>
      </w:r>
      <w:r>
        <w:tab/>
        <w:t>in any other case—the amount (if any) that the planning and land authority decides is appropriate in the circumstances.</w:t>
      </w:r>
    </w:p>
    <w:p w:rsidR="00BA29FF" w:rsidRDefault="00BA29FF">
      <w:pPr>
        <w:pStyle w:val="Amain"/>
      </w:pPr>
      <w:r>
        <w:tab/>
        <w:t>(3)</w:t>
      </w:r>
      <w:r>
        <w:tab/>
        <w:t>Subsection (1) (a) (vii) applies only if the application for a variation of the lease is made before 1 December 2009.</w:t>
      </w:r>
    </w:p>
    <w:p w:rsidR="00BA29FF" w:rsidRDefault="00BA29FF">
      <w:pPr>
        <w:pStyle w:val="Amain"/>
        <w:keepNext/>
      </w:pPr>
      <w:r>
        <w:tab/>
        <w:t>(4)</w:t>
      </w:r>
      <w:r>
        <w:tab/>
        <w:t>In this section:</w:t>
      </w:r>
    </w:p>
    <w:p w:rsidR="00BA29FF" w:rsidRDefault="00BA29FF">
      <w:pPr>
        <w:pStyle w:val="aDef"/>
      </w:pPr>
      <w:r>
        <w:rPr>
          <w:rStyle w:val="charBoldItals"/>
        </w:rPr>
        <w:t>policy direction</w:t>
      </w:r>
      <w:r>
        <w:rPr>
          <w:bCs/>
          <w:iCs/>
        </w:rPr>
        <w:t xml:space="preserve"> means a policy direction under section 177</w:t>
      </w:r>
      <w:r>
        <w:t>.</w:t>
      </w:r>
    </w:p>
    <w:p w:rsidR="00BA29FF" w:rsidRDefault="00BA29FF">
      <w:pPr>
        <w:pStyle w:val="Amain"/>
      </w:pPr>
      <w:r>
        <w:tab/>
        <w:t>(5)</w:t>
      </w:r>
      <w:r>
        <w:tab/>
        <w:t>Subsection (1) (a) (vii), subsection (3) and this subsection expire on 1 December 2010.</w:t>
      </w:r>
    </w:p>
    <w:p w:rsidR="00BA29FF" w:rsidRDefault="00BA29FF">
      <w:pPr>
        <w:pStyle w:val="AH5Sec"/>
      </w:pPr>
      <w:bookmarkStart w:id="91" w:name="_Toc206921280"/>
      <w:r>
        <w:rPr>
          <w:rStyle w:val="CharSectNo"/>
        </w:rPr>
        <w:t>176</w:t>
      </w:r>
      <w:r>
        <w:tab/>
        <w:t>Remission of change of use charges for housing commissioner—Act, s 278 (1) and (2)</w:t>
      </w:r>
      <w:bookmarkEnd w:id="91"/>
    </w:p>
    <w:p w:rsidR="00BA29FF" w:rsidRDefault="00BA29FF">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BA29FF" w:rsidRDefault="00BA29FF">
      <w:pPr>
        <w:pStyle w:val="AH5Sec"/>
      </w:pPr>
      <w:bookmarkStart w:id="92" w:name="_Toc206921281"/>
      <w:r>
        <w:rPr>
          <w:rStyle w:val="CharSectNo"/>
        </w:rPr>
        <w:lastRenderedPageBreak/>
        <w:t>177</w:t>
      </w:r>
      <w:r>
        <w:tab/>
        <w:t>Policy directions about remission of change of use charges—Act, s 278 (1) and (2)</w:t>
      </w:r>
      <w:bookmarkEnd w:id="92"/>
    </w:p>
    <w:p w:rsidR="00BA29FF" w:rsidRDefault="00BA29FF">
      <w:pPr>
        <w:pStyle w:val="Amain"/>
      </w:pPr>
      <w:r>
        <w:tab/>
        <w:t>(1)</w:t>
      </w:r>
      <w:r>
        <w:tab/>
        <w:t>The Minister may make a policy direction for section 175 (1) (b) or (2) (a).</w:t>
      </w:r>
    </w:p>
    <w:p w:rsidR="00BA29FF" w:rsidRDefault="00BA29FF">
      <w:pPr>
        <w:pStyle w:val="Amain"/>
        <w:keepNext/>
      </w:pPr>
      <w:r>
        <w:tab/>
        <w:t>(2)</w:t>
      </w:r>
      <w:r>
        <w:tab/>
        <w:t>A policy direction is a disallowable instrument.</w:t>
      </w:r>
    </w:p>
    <w:p w:rsidR="00BA29FF" w:rsidRDefault="00BA29FF">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BA29FF" w:rsidRDefault="00BA29FF">
      <w:pPr>
        <w:pStyle w:val="AH3Div"/>
      </w:pPr>
      <w:bookmarkStart w:id="93" w:name="_Toc206921282"/>
      <w:r>
        <w:rPr>
          <w:rStyle w:val="CharDivNo"/>
        </w:rPr>
        <w:t>Division 5.5.3</w:t>
      </w:r>
      <w:r>
        <w:tab/>
      </w:r>
      <w:r>
        <w:rPr>
          <w:rStyle w:val="CharDivText"/>
        </w:rPr>
        <w:t>Increase of change of use charge</w:t>
      </w:r>
      <w:bookmarkEnd w:id="93"/>
    </w:p>
    <w:p w:rsidR="00BA29FF" w:rsidRDefault="00BA29FF">
      <w:pPr>
        <w:pStyle w:val="AH5Sec"/>
      </w:pPr>
      <w:bookmarkStart w:id="94" w:name="_Toc206921283"/>
      <w:r>
        <w:rPr>
          <w:rStyle w:val="CharSectNo"/>
        </w:rPr>
        <w:t>180</w:t>
      </w:r>
      <w:r>
        <w:tab/>
        <w:t xml:space="preserve">Meaning of </w:t>
      </w:r>
      <w:r>
        <w:rPr>
          <w:i/>
          <w:iCs/>
        </w:rPr>
        <w:t>recently commenced lease</w:t>
      </w:r>
      <w:r>
        <w:t>—div 5.5.3</w:t>
      </w:r>
      <w:bookmarkEnd w:id="94"/>
    </w:p>
    <w:p w:rsidR="00BA29FF" w:rsidRDefault="00BA29FF">
      <w:pPr>
        <w:pStyle w:val="Amain"/>
        <w:keepNext/>
      </w:pPr>
      <w:r>
        <w:tab/>
        <w:t>(1)</w:t>
      </w:r>
      <w:r>
        <w:tab/>
        <w:t>In this division:</w:t>
      </w:r>
    </w:p>
    <w:p w:rsidR="00BA29FF" w:rsidRDefault="00BA29FF">
      <w:pPr>
        <w:pStyle w:val="aDef"/>
        <w:keepNext/>
      </w:pPr>
      <w:r>
        <w:rPr>
          <w:rStyle w:val="charBoldItals"/>
        </w:rPr>
        <w:t>recently commenced lease</w:t>
      </w:r>
      <w:r>
        <w:rPr>
          <w:bCs/>
          <w:iCs/>
        </w:rPr>
        <w:t>, in relation to the variation of a lease, means—</w:t>
      </w:r>
    </w:p>
    <w:p w:rsidR="00BA29FF" w:rsidRDefault="00BA29FF">
      <w:pPr>
        <w:pStyle w:val="aDefpara"/>
      </w:pPr>
      <w:r>
        <w:tab/>
        <w:t>(a)</w:t>
      </w:r>
      <w:r>
        <w:tab/>
        <w:t>a lease that commenced not more than 5 years before the application for the variation is made; or</w:t>
      </w:r>
    </w:p>
    <w:p w:rsidR="00BA29FF" w:rsidRDefault="00BA29FF">
      <w:pPr>
        <w:pStyle w:val="aDefpara"/>
      </w:pPr>
      <w:r>
        <w:tab/>
        <w:t>(b)</w:t>
      </w:r>
      <w:r>
        <w:tab/>
        <w:t>a further lease granted under the Act, section 254 following the surrender of a lease that commenced not more than 5 years before the application for the variation is made; or</w:t>
      </w:r>
    </w:p>
    <w:p w:rsidR="00BA29FF" w:rsidRDefault="00BA29FF">
      <w:pPr>
        <w:pStyle w:val="aDefpara"/>
      </w:pPr>
      <w:r>
        <w:tab/>
        <w:t>(c)</w:t>
      </w:r>
      <w:r>
        <w:tab/>
        <w:t>a lease regranted following the surrender of a lease if—</w:t>
      </w:r>
    </w:p>
    <w:p w:rsidR="00BA29FF" w:rsidRDefault="00BA29FF">
      <w:pPr>
        <w:pStyle w:val="aDefsubpara"/>
      </w:pPr>
      <w:r>
        <w:tab/>
        <w:t>(i)</w:t>
      </w:r>
      <w:r>
        <w:tab/>
        <w:t>the regranted lease includes all or part of the land comprised in the surrendered lease and is not in an area identified in the territory plan as a future urban area; and</w:t>
      </w:r>
    </w:p>
    <w:p w:rsidR="00BA29FF" w:rsidRDefault="00BA29FF">
      <w:pPr>
        <w:pStyle w:val="aDefsubpara"/>
        <w:keepNext/>
      </w:pPr>
      <w:r>
        <w:tab/>
        <w:t>(ii)</w:t>
      </w:r>
      <w:r>
        <w:tab/>
        <w:t xml:space="preserve">the surrendered lease commenced not more than 5 years before the application for the variation is made; or </w:t>
      </w:r>
    </w:p>
    <w:p w:rsidR="00BA29FF" w:rsidRDefault="00BA29FF">
      <w:pPr>
        <w:pStyle w:val="aDefpara"/>
      </w:pPr>
      <w:r>
        <w:tab/>
        <w:t>(d)</w:t>
      </w:r>
      <w:r>
        <w:tab/>
        <w:t>a market value lease granted following the surrender of a concessional lease if—</w:t>
      </w:r>
    </w:p>
    <w:p w:rsidR="00BA29FF" w:rsidRDefault="00BA29FF">
      <w:pPr>
        <w:pStyle w:val="aDefsubpara"/>
      </w:pPr>
      <w:r>
        <w:tab/>
        <w:t>(i)</w:t>
      </w:r>
      <w:r>
        <w:tab/>
        <w:t>the market value lease is granted to the same lessee as the surrendered lease; and</w:t>
      </w:r>
    </w:p>
    <w:p w:rsidR="00BA29FF" w:rsidRDefault="00BA29FF">
      <w:pPr>
        <w:pStyle w:val="aDefsubpara"/>
        <w:keepNext/>
      </w:pPr>
      <w:r>
        <w:lastRenderedPageBreak/>
        <w:tab/>
        <w:t>(ii)</w:t>
      </w:r>
      <w:r>
        <w:tab/>
        <w:t xml:space="preserve">the surrendered lease commenced not more than 5 years before the application for the variation is made; or </w:t>
      </w:r>
    </w:p>
    <w:p w:rsidR="00BA29FF" w:rsidRDefault="00BA29FF">
      <w:pPr>
        <w:pStyle w:val="aDefpara"/>
      </w:pPr>
      <w:r>
        <w:tab/>
        <w:t>(e)</w:t>
      </w:r>
      <w:r>
        <w:tab/>
        <w:t>a lease granted following the surrender of 2 or more leases of the same size if any of the leases commenced not more than 5 years before the application for the variation is made; or</w:t>
      </w:r>
    </w:p>
    <w:p w:rsidR="00BA29FF" w:rsidRDefault="00BA29FF">
      <w:pPr>
        <w:pStyle w:val="aDefpara"/>
      </w:pPr>
      <w:r>
        <w:tab/>
        <w:t>(f)</w:t>
      </w:r>
      <w:r>
        <w:tab/>
        <w:t>a lease granted following the surrender of 2 or more leases of at least 2 different sizes if the largest lease commenced not more than 5 years before the application for the variation is made.</w:t>
      </w:r>
    </w:p>
    <w:p w:rsidR="00BA29FF" w:rsidRDefault="00BA29FF">
      <w:pPr>
        <w:pStyle w:val="Amain"/>
        <w:keepNext/>
      </w:pPr>
      <w:r>
        <w:tab/>
        <w:t>(2)</w:t>
      </w:r>
      <w:r>
        <w:tab/>
        <w:t>In this section:</w:t>
      </w:r>
    </w:p>
    <w:p w:rsidR="00BA29FF" w:rsidRDefault="00BA29FF">
      <w:pPr>
        <w:pStyle w:val="aDef"/>
      </w:pPr>
      <w:r>
        <w:rPr>
          <w:rStyle w:val="charBoldItals"/>
        </w:rPr>
        <w:t>largest lease</w:t>
      </w:r>
      <w:r>
        <w:t>, of the surrendered leases, means the lease, or any of the leases, with the largest area.</w:t>
      </w:r>
    </w:p>
    <w:p w:rsidR="00BA29FF" w:rsidRDefault="00BA29FF">
      <w:pPr>
        <w:pStyle w:val="aDef"/>
      </w:pPr>
      <w:r>
        <w:rPr>
          <w:rStyle w:val="charBoldItals"/>
        </w:rPr>
        <w:t>regrant</w:t>
      </w:r>
      <w:r>
        <w:t>, of a surrendered lease, means the grant of a new lease, subject to different provisions, to the same lessee as the surrendered lease.</w:t>
      </w:r>
    </w:p>
    <w:p w:rsidR="00BA29FF" w:rsidRDefault="00BA29FF">
      <w:pPr>
        <w:pStyle w:val="AH5Sec"/>
      </w:pPr>
      <w:bookmarkStart w:id="95" w:name="_Toc206921284"/>
      <w:r>
        <w:rPr>
          <w:rStyle w:val="CharSectNo"/>
        </w:rPr>
        <w:t>181</w:t>
      </w:r>
      <w:r>
        <w:tab/>
        <w:t>Increase of change of use charge for concessional leases—Act, s 279 (1) and (2)</w:t>
      </w:r>
      <w:bookmarkEnd w:id="95"/>
    </w:p>
    <w:p w:rsidR="00BA29FF" w:rsidRDefault="00BA29FF">
      <w:pPr>
        <w:pStyle w:val="Amain"/>
      </w:pPr>
      <w:r>
        <w:tab/>
        <w:t>(1)</w:t>
      </w:r>
      <w:r>
        <w:tab/>
        <w:t>The variation of a concessional lease is prescribed if—</w:t>
      </w:r>
    </w:p>
    <w:p w:rsidR="00BA29FF" w:rsidRDefault="00BA29FF">
      <w:pPr>
        <w:pStyle w:val="Apara"/>
      </w:pPr>
      <w:r>
        <w:tab/>
        <w:t>(a)</w:t>
      </w:r>
      <w:r>
        <w:tab/>
        <w:t>the variation is for a use other than a community use; or</w:t>
      </w:r>
    </w:p>
    <w:p w:rsidR="00BA29FF" w:rsidRDefault="00BA29FF">
      <w:pPr>
        <w:pStyle w:val="aNotepar"/>
      </w:pPr>
      <w:r>
        <w:rPr>
          <w:rStyle w:val="charItals"/>
        </w:rPr>
        <w:t>Note</w:t>
      </w:r>
      <w:r>
        <w:rPr>
          <w:rStyle w:val="charItals"/>
        </w:rPr>
        <w:tab/>
      </w:r>
      <w:r>
        <w:rPr>
          <w:rStyle w:val="charBoldItals"/>
        </w:rPr>
        <w:t>Community use</w:t>
      </w:r>
      <w:r>
        <w:t>—see the territory plan (13 Definitions).</w:t>
      </w:r>
    </w:p>
    <w:p w:rsidR="00BA29FF" w:rsidRDefault="00BA29FF">
      <w:pPr>
        <w:pStyle w:val="Apara"/>
      </w:pPr>
      <w:r>
        <w:tab/>
        <w:t>(b)</w:t>
      </w:r>
      <w:r>
        <w:tab/>
        <w:t>the lease was not granted to the housing commissioner for a term beginning before 17 December 1987; or</w:t>
      </w:r>
    </w:p>
    <w:p w:rsidR="00BA29FF" w:rsidRDefault="00BA29FF">
      <w:pPr>
        <w:pStyle w:val="Apara"/>
      </w:pPr>
      <w:r>
        <w:tab/>
        <w:t>(c)</w:t>
      </w:r>
      <w:r>
        <w:tab/>
        <w:t>if the lease as varied is a consolidated or subdivided concessional lease—</w:t>
      </w:r>
    </w:p>
    <w:p w:rsidR="00BA29FF" w:rsidRDefault="00BA29FF">
      <w:pPr>
        <w:pStyle w:val="Asubpara"/>
      </w:pPr>
      <w:r>
        <w:tab/>
        <w:t>(i)</w:t>
      </w:r>
      <w:r>
        <w:tab/>
        <w:t xml:space="preserve">the lease is a recently commenced lease; and </w:t>
      </w:r>
    </w:p>
    <w:p w:rsidR="00BA29FF" w:rsidRDefault="00BA29FF">
      <w:pPr>
        <w:pStyle w:val="Asubpara"/>
      </w:pPr>
      <w:r>
        <w:tab/>
        <w:t>(ii)</w:t>
      </w:r>
      <w:r>
        <w:tab/>
        <w:t>the amount payable under section 182 in relation to the variation is less than the amount payable under this section for the variation.</w:t>
      </w:r>
    </w:p>
    <w:p w:rsidR="00BA29FF" w:rsidRDefault="00BA29FF">
      <w:pPr>
        <w:pStyle w:val="Amain"/>
      </w:pPr>
      <w:r>
        <w:lastRenderedPageBreak/>
        <w:tab/>
        <w:t>(2)</w:t>
      </w:r>
      <w:r>
        <w:tab/>
        <w:t>The change of use charge for the variation must be increased by an amount equal to 25% of the added value for the variation.</w:t>
      </w:r>
    </w:p>
    <w:p w:rsidR="00BA29FF" w:rsidRDefault="00BA29FF">
      <w:pPr>
        <w:pStyle w:val="Amain"/>
        <w:keepNext/>
      </w:pPr>
      <w:r>
        <w:tab/>
        <w:t>(3)</w:t>
      </w:r>
      <w:r>
        <w:tab/>
        <w:t>In this section:</w:t>
      </w:r>
    </w:p>
    <w:p w:rsidR="00BA29FF" w:rsidRDefault="00BA29FF">
      <w:pPr>
        <w:pStyle w:val="aDef"/>
      </w:pPr>
      <w:r>
        <w:rPr>
          <w:rStyle w:val="charBoldItals"/>
        </w:rPr>
        <w:t>consolidated or subdivided concessional lease</w:t>
      </w:r>
      <w:r>
        <w:t>—see the Act, section 235 (3).</w:t>
      </w:r>
    </w:p>
    <w:p w:rsidR="00BA29FF" w:rsidRDefault="00BA29FF">
      <w:pPr>
        <w:pStyle w:val="AH5Sec"/>
      </w:pPr>
      <w:bookmarkStart w:id="96" w:name="_Toc206921285"/>
      <w:r>
        <w:rPr>
          <w:rStyle w:val="CharSectNo"/>
        </w:rPr>
        <w:t>182</w:t>
      </w:r>
      <w:r>
        <w:tab/>
        <w:t>Increase of change of use charge for recently commenced leases—Act, s 279 (1) and (2)</w:t>
      </w:r>
      <w:bookmarkEnd w:id="96"/>
    </w:p>
    <w:p w:rsidR="00BA29FF" w:rsidRDefault="00BA29FF">
      <w:pPr>
        <w:pStyle w:val="Amain"/>
      </w:pPr>
      <w:r>
        <w:tab/>
        <w:t>(1)</w:t>
      </w:r>
      <w:r>
        <w:tab/>
        <w:t>The variation of a recently commenced lease is prescribed if—</w:t>
      </w:r>
    </w:p>
    <w:p w:rsidR="00BA29FF" w:rsidRDefault="00BA29FF">
      <w:pPr>
        <w:pStyle w:val="Apara"/>
      </w:pPr>
      <w:r>
        <w:tab/>
        <w:t>(a)</w:t>
      </w:r>
      <w:r>
        <w:tab/>
        <w:t>the variation is not only to correct an error in the surrendered lease; or</w:t>
      </w:r>
    </w:p>
    <w:p w:rsidR="00BA29FF" w:rsidRDefault="00BA29FF">
      <w:pPr>
        <w:pStyle w:val="Apara"/>
      </w:pPr>
      <w:r>
        <w:tab/>
        <w:t>(b)</w:t>
      </w:r>
      <w:r>
        <w:tab/>
        <w:t>the lease is a concessional lease and the amount payable under section 181 in relation to the variation is less than the amount payable under this section for the variation.</w:t>
      </w:r>
    </w:p>
    <w:p w:rsidR="00BA29FF" w:rsidRDefault="00BA29FF">
      <w:pPr>
        <w:pStyle w:val="aNotepar"/>
      </w:pPr>
      <w:r>
        <w:rPr>
          <w:rStyle w:val="charItals"/>
        </w:rPr>
        <w:t>Note</w:t>
      </w:r>
      <w:r>
        <w:rPr>
          <w:rStyle w:val="charItals"/>
        </w:rPr>
        <w:tab/>
      </w:r>
      <w:r>
        <w:rPr>
          <w:rStyle w:val="charBoldItals"/>
        </w:rPr>
        <w:t>Concessional lease</w:t>
      </w:r>
      <w:r>
        <w:rPr>
          <w:iCs/>
        </w:rPr>
        <w:t>—</w:t>
      </w:r>
      <w:r>
        <w:t>see the Act, s 235.</w:t>
      </w:r>
    </w:p>
    <w:p w:rsidR="00BA29FF" w:rsidRDefault="00BA29FF">
      <w:pPr>
        <w:pStyle w:val="Amain"/>
      </w:pPr>
      <w:r>
        <w:tab/>
        <w:t>(2)</w:t>
      </w:r>
      <w:r>
        <w:tab/>
        <w:t>The change of use charge for the variation must be increased by an amount equal to 25% of the added value for the variation.</w:t>
      </w:r>
    </w:p>
    <w:p w:rsidR="00BA29FF" w:rsidRDefault="00BA29FF">
      <w:pPr>
        <w:pStyle w:val="PageBreak"/>
      </w:pPr>
      <w:r>
        <w:br w:type="page"/>
      </w:r>
    </w:p>
    <w:p w:rsidR="00BA29FF" w:rsidRDefault="00BA29FF">
      <w:pPr>
        <w:pStyle w:val="AH2Part"/>
      </w:pPr>
      <w:bookmarkStart w:id="97" w:name="_Toc206921286"/>
      <w:r>
        <w:rPr>
          <w:rStyle w:val="CharPartNo"/>
        </w:rPr>
        <w:lastRenderedPageBreak/>
        <w:t>Part 5.6</w:t>
      </w:r>
      <w:r>
        <w:tab/>
      </w:r>
      <w:r>
        <w:rPr>
          <w:rStyle w:val="CharPartText"/>
        </w:rPr>
        <w:t>Discharge amounts for rural leases</w:t>
      </w:r>
      <w:bookmarkEnd w:id="97"/>
    </w:p>
    <w:p w:rsidR="00BA29FF" w:rsidRDefault="00BA29FF">
      <w:pPr>
        <w:pStyle w:val="Placeholder"/>
      </w:pPr>
      <w:r>
        <w:rPr>
          <w:rStyle w:val="CharDivNo"/>
        </w:rPr>
        <w:t xml:space="preserve">  </w:t>
      </w:r>
      <w:r>
        <w:rPr>
          <w:rStyle w:val="CharDivText"/>
        </w:rPr>
        <w:t xml:space="preserve">  </w:t>
      </w:r>
    </w:p>
    <w:p w:rsidR="00BA29FF" w:rsidRDefault="00BA29FF">
      <w:pPr>
        <w:pStyle w:val="AH5Sec"/>
      </w:pPr>
      <w:bookmarkStart w:id="98" w:name="_Toc206921287"/>
      <w:r>
        <w:rPr>
          <w:rStyle w:val="CharSectNo"/>
        </w:rPr>
        <w:t>190</w:t>
      </w:r>
      <w:r>
        <w:tab/>
        <w:t>Definitions—pt 5.6</w:t>
      </w:r>
      <w:bookmarkEnd w:id="98"/>
    </w:p>
    <w:p w:rsidR="00BA29FF" w:rsidRDefault="00BA29FF">
      <w:pPr>
        <w:pStyle w:val="Amainreturn"/>
        <w:keepNext/>
      </w:pPr>
      <w:r>
        <w:t>In this part:</w:t>
      </w:r>
    </w:p>
    <w:p w:rsidR="00BA29FF" w:rsidRDefault="00BA29FF">
      <w:pPr>
        <w:pStyle w:val="aDef"/>
        <w:keepNext/>
      </w:pPr>
      <w:r>
        <w:rPr>
          <w:rStyle w:val="charBoldItals"/>
        </w:rPr>
        <w:t>earlier index number</w:t>
      </w:r>
      <w:r>
        <w:rPr>
          <w:bCs/>
          <w:iCs/>
        </w:rPr>
        <w:t>, in relation to a lease, means—</w:t>
      </w:r>
    </w:p>
    <w:p w:rsidR="00BA29FF" w:rsidRDefault="00BA29FF">
      <w:pPr>
        <w:pStyle w:val="aDefpara"/>
      </w:pPr>
      <w:r>
        <w:tab/>
        <w:t>(a)</w:t>
      </w:r>
      <w:r>
        <w:tab/>
        <w:t>the index number published before the lease commenced; or</w:t>
      </w:r>
    </w:p>
    <w:p w:rsidR="00BA29FF" w:rsidRDefault="00BA29FF">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BA29FF" w:rsidRDefault="00BA29FF">
      <w:pPr>
        <w:pStyle w:val="aNotepar"/>
      </w:pPr>
      <w:r>
        <w:rPr>
          <w:rStyle w:val="charItals"/>
        </w:rPr>
        <w:t>Note</w:t>
      </w:r>
      <w:r>
        <w:rPr>
          <w:rStyle w:val="charItals"/>
        </w:rPr>
        <w:tab/>
      </w:r>
      <w:r>
        <w:rPr>
          <w:rStyle w:val="charBoldItals"/>
        </w:rPr>
        <w:t>Australian statistician</w:t>
      </w:r>
      <w:r>
        <w:t>—see the Legislation Act, dict, pt 1.</w:t>
      </w:r>
    </w:p>
    <w:p w:rsidR="00BA29FF" w:rsidRDefault="00BA29FF">
      <w:pPr>
        <w:pStyle w:val="aDef"/>
      </w:pPr>
      <w:r>
        <w:rPr>
          <w:rStyle w:val="charBoldItals"/>
        </w:rPr>
        <w:t>excluded amount</w:t>
      </w:r>
      <w:r>
        <w:rPr>
          <w:bCs/>
          <w:iCs/>
        </w:rPr>
        <w:t>, in relation to a lease, means the value of any l</w:t>
      </w:r>
      <w:r>
        <w:t>essee-owned improvements to the land comprised in the lease.</w:t>
      </w:r>
    </w:p>
    <w:p w:rsidR="00BA29FF" w:rsidRDefault="00BA29FF">
      <w:pPr>
        <w:pStyle w:val="aDef"/>
        <w:keepNext/>
      </w:pPr>
      <w:r>
        <w:rPr>
          <w:rStyle w:val="charBoldItals"/>
        </w:rPr>
        <w:t>index number</w:t>
      </w:r>
      <w:r>
        <w:rPr>
          <w:bCs/>
          <w:iCs/>
        </w:rPr>
        <w:t>—</w:t>
      </w:r>
    </w:p>
    <w:p w:rsidR="00BA29FF" w:rsidRDefault="00BA29FF">
      <w:pPr>
        <w:pStyle w:val="aDefpara"/>
      </w:pPr>
      <w:r>
        <w:tab/>
        <w:t>(a)</w:t>
      </w:r>
      <w:r>
        <w:tab/>
        <w:t xml:space="preserve">means the </w:t>
      </w:r>
      <w:r>
        <w:rPr>
          <w:rStyle w:val="charItals"/>
        </w:rPr>
        <w:t>All Groups Consumer Price Index</w:t>
      </w:r>
      <w:r>
        <w:t xml:space="preserve"> number published by the Australian statistician from time to time; but</w:t>
      </w:r>
    </w:p>
    <w:p w:rsidR="00BA29FF" w:rsidRDefault="00BA29FF">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BA29FF" w:rsidRDefault="00BA29FF">
      <w:pPr>
        <w:pStyle w:val="aDef"/>
      </w:pPr>
      <w:r>
        <w:rPr>
          <w:rStyle w:val="charBoldItals"/>
        </w:rPr>
        <w:t>special Pialligo lease</w:t>
      </w:r>
      <w:r>
        <w:rPr>
          <w:bCs/>
          <w:iCs/>
        </w:rPr>
        <w:t xml:space="preserve"> means a lease of the district of Majura, section 2, block 6, 12, 13, 14, 15, 19, 20 or 52. </w:t>
      </w:r>
    </w:p>
    <w:p w:rsidR="00BA29FF" w:rsidRDefault="00BA29FF">
      <w:pPr>
        <w:pStyle w:val="AH5Sec"/>
      </w:pPr>
      <w:bookmarkStart w:id="99" w:name="_Toc206921288"/>
      <w:r>
        <w:rPr>
          <w:rStyle w:val="CharSectNo"/>
        </w:rPr>
        <w:lastRenderedPageBreak/>
        <w:t>191</w:t>
      </w:r>
      <w:r>
        <w:tab/>
        <w:t xml:space="preserve">Discharge amount for rural leases other than special Pialligo leases—Act, s 282, def </w:t>
      </w:r>
      <w:r>
        <w:rPr>
          <w:i/>
          <w:iCs/>
        </w:rPr>
        <w:t>discharge amount</w:t>
      </w:r>
      <w:bookmarkEnd w:id="99"/>
    </w:p>
    <w:p w:rsidR="00BA29FF" w:rsidRDefault="00BA29FF">
      <w:pPr>
        <w:pStyle w:val="Amain"/>
        <w:keepNext/>
      </w:pPr>
      <w:r>
        <w:tab/>
        <w:t>(1)</w:t>
      </w:r>
      <w:r>
        <w:tab/>
        <w:t>The discharge amount in relation to a dealing with a rural lease, other than a special Pialligo lease, is the amount worked out as follows:</w:t>
      </w:r>
    </w:p>
    <w:p w:rsidR="00BA29FF" w:rsidRDefault="00DE64BD">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BA29FF" w:rsidRDefault="00BA29FF">
      <w:pPr>
        <w:pStyle w:val="aNote"/>
        <w:rPr>
          <w:iCs/>
        </w:rPr>
      </w:pPr>
      <w:r>
        <w:rPr>
          <w:rStyle w:val="charItals"/>
        </w:rPr>
        <w:t>Note</w:t>
      </w:r>
      <w:r>
        <w:rPr>
          <w:rStyle w:val="charItals"/>
        </w:rPr>
        <w:tab/>
      </w:r>
      <w:r>
        <w:rPr>
          <w:rStyle w:val="charBoldItals"/>
        </w:rPr>
        <w:t>Deal</w:t>
      </w:r>
      <w:r>
        <w:rPr>
          <w:iCs/>
        </w:rPr>
        <w:t xml:space="preserve"> with a lease—see the Act, s 234.</w:t>
      </w:r>
    </w:p>
    <w:p w:rsidR="00BA29FF" w:rsidRDefault="00BA29FF">
      <w:pPr>
        <w:pStyle w:val="Amain"/>
        <w:keepNext/>
      </w:pPr>
      <w:r>
        <w:tab/>
        <w:t>(2)</w:t>
      </w:r>
      <w:r>
        <w:tab/>
        <w:t>In this section:</w:t>
      </w:r>
    </w:p>
    <w:p w:rsidR="00BA29FF" w:rsidRDefault="00BA29FF">
      <w:pPr>
        <w:pStyle w:val="aDef"/>
        <w:keepNext/>
      </w:pPr>
      <w:r>
        <w:rPr>
          <w:rStyle w:val="charBoldItals"/>
        </w:rPr>
        <w:t>first amount</w:t>
      </w:r>
      <w:r>
        <w:rPr>
          <w:bCs/>
          <w:iCs/>
        </w:rPr>
        <w:t xml:space="preserve"> means—</w:t>
      </w:r>
    </w:p>
    <w:p w:rsidR="00BA29FF" w:rsidRDefault="00BA29FF">
      <w:pPr>
        <w:pStyle w:val="aDefpara"/>
      </w:pPr>
      <w:r>
        <w:tab/>
        <w:t>(a)</w:t>
      </w:r>
      <w:r>
        <w:tab/>
        <w:t>for a nominal rent lease—the consideration for the lease when it was granted less the excluded amount; or</w:t>
      </w:r>
    </w:p>
    <w:p w:rsidR="00BA29FF" w:rsidRDefault="00BA29FF">
      <w:pPr>
        <w:pStyle w:val="aDefpara"/>
      </w:pPr>
      <w:r>
        <w:tab/>
        <w:t>(b)</w:t>
      </w:r>
      <w:r>
        <w:tab/>
        <w:t>for a lease granted with a term of not longer than 21 years—the value of the lease when it was granted less the excluded amount; or</w:t>
      </w:r>
    </w:p>
    <w:p w:rsidR="00BA29FF" w:rsidRDefault="00BA29FF">
      <w:pPr>
        <w:pStyle w:val="aDefpara"/>
      </w:pPr>
      <w:r>
        <w:tab/>
        <w:t>(c)</w:t>
      </w:r>
      <w:r>
        <w:tab/>
        <w:t>for any other lease—the consideration for the lease when it was granted plus any amount to be paid under the lease less the excluded amount.</w:t>
      </w:r>
    </w:p>
    <w:p w:rsidR="00BA29FF" w:rsidRDefault="00BA29FF">
      <w:pPr>
        <w:pStyle w:val="aDef"/>
        <w:keepNext/>
      </w:pPr>
      <w:r>
        <w:rPr>
          <w:rStyle w:val="charBoldItals"/>
        </w:rPr>
        <w:t>indexed first amount</w:t>
      </w:r>
      <w:r>
        <w:t xml:space="preserve"> means the amount worked out as follows:</w:t>
      </w:r>
    </w:p>
    <w:p w:rsidR="00BA29FF" w:rsidRDefault="00DE64BD">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BA29FF" w:rsidRDefault="00BA29FF">
      <w:pPr>
        <w:pStyle w:val="aDef"/>
        <w:keepNext/>
      </w:pPr>
      <w:r>
        <w:rPr>
          <w:rStyle w:val="charBoldItals"/>
        </w:rPr>
        <w:t>last amount</w:t>
      </w:r>
      <w:r>
        <w:rPr>
          <w:bCs/>
          <w:iCs/>
        </w:rPr>
        <w:t>, in relation to a dealing with a lease, means—</w:t>
      </w:r>
    </w:p>
    <w:p w:rsidR="00BA29FF" w:rsidRDefault="00BA29FF">
      <w:pPr>
        <w:pStyle w:val="aDefpara"/>
      </w:pPr>
      <w:r>
        <w:tab/>
        <w:t>(a)</w:t>
      </w:r>
      <w:r>
        <w:tab/>
        <w:t xml:space="preserve">the market value of the lease less the excluded amount if— </w:t>
      </w:r>
    </w:p>
    <w:p w:rsidR="00BA29FF" w:rsidRDefault="00BA29FF">
      <w:pPr>
        <w:pStyle w:val="aDefsubpara"/>
      </w:pPr>
      <w:r>
        <w:tab/>
        <w:t>(i)</w:t>
      </w:r>
      <w:r>
        <w:tab/>
        <w:t xml:space="preserve">there is no consideration for the dealing; or </w:t>
      </w:r>
    </w:p>
    <w:p w:rsidR="00BA29FF" w:rsidRDefault="00BA29FF">
      <w:pPr>
        <w:pStyle w:val="aDefsubpara"/>
      </w:pPr>
      <w:r>
        <w:tab/>
        <w:t>(ii)</w:t>
      </w:r>
      <w:r>
        <w:tab/>
        <w:t>the dealing relates only to part of the land in the lease; or</w:t>
      </w:r>
    </w:p>
    <w:p w:rsidR="00BA29FF" w:rsidRDefault="00BA29FF">
      <w:pPr>
        <w:pStyle w:val="aDefsubpara"/>
        <w:keepNext/>
      </w:pPr>
      <w:r>
        <w:lastRenderedPageBreak/>
        <w:tab/>
        <w:t>(iii)</w:t>
      </w:r>
      <w:r>
        <w:tab/>
        <w:t>the consideration for the dealing is less than the market value of the lease; or</w:t>
      </w:r>
    </w:p>
    <w:p w:rsidR="00BA29FF" w:rsidRDefault="00BA29FF">
      <w:pPr>
        <w:pStyle w:val="aDefpara"/>
      </w:pPr>
      <w:r>
        <w:tab/>
        <w:t>(b)</w:t>
      </w:r>
      <w:r>
        <w:tab/>
        <w:t>in any other case—the consideration for the dealing less the excluded amount.</w:t>
      </w:r>
    </w:p>
    <w:p w:rsidR="00BA29FF" w:rsidRDefault="00BA29FF">
      <w:pPr>
        <w:pStyle w:val="aDef"/>
      </w:pPr>
      <w:r>
        <w:rPr>
          <w:rStyle w:val="charBoldItals"/>
        </w:rPr>
        <w:t>later index number</w:t>
      </w:r>
      <w:r>
        <w:rPr>
          <w:bCs/>
          <w:iCs/>
        </w:rPr>
        <w:t>, in relation to a lease, means the last index number published before the last amount is worked out for the lease</w:t>
      </w:r>
      <w:r>
        <w:t>.</w:t>
      </w:r>
    </w:p>
    <w:p w:rsidR="00BA29FF" w:rsidRDefault="00BA29FF">
      <w:pPr>
        <w:pStyle w:val="aDef"/>
        <w:keepNext/>
      </w:pPr>
      <w:r>
        <w:rPr>
          <w:rStyle w:val="charBoldItals"/>
        </w:rPr>
        <w:t>owed amount</w:t>
      </w:r>
      <w:r>
        <w:rPr>
          <w:bCs/>
          <w:iCs/>
        </w:rPr>
        <w:t>, in relation to a dealing with a lease, means—</w:t>
      </w:r>
    </w:p>
    <w:p w:rsidR="00BA29FF" w:rsidRDefault="00BA29FF">
      <w:pPr>
        <w:pStyle w:val="aDefpara"/>
      </w:pPr>
      <w:r>
        <w:tab/>
        <w:t>(a)</w:t>
      </w:r>
      <w:r>
        <w:tab/>
        <w:t>for a lease with a term of less than 21 years—any rent plus interest payable under the lease on the day of the dealing with the lease; or</w:t>
      </w:r>
    </w:p>
    <w:p w:rsidR="00BA29FF" w:rsidRDefault="00BA29FF">
      <w:pPr>
        <w:pStyle w:val="aDefpara"/>
      </w:pPr>
      <w:r>
        <w:tab/>
        <w:t>(b)</w:t>
      </w:r>
      <w:r>
        <w:tab/>
        <w:t>for a lease with a term of at least 21 years—any amount remaining to be paid under the lease, even if the amount is not yet owing.</w:t>
      </w:r>
    </w:p>
    <w:p w:rsidR="00BA29FF" w:rsidRDefault="00BA29FF">
      <w:pPr>
        <w:pStyle w:val="AH5Sec"/>
      </w:pPr>
      <w:bookmarkStart w:id="100" w:name="_Toc206921289"/>
      <w:r>
        <w:rPr>
          <w:rStyle w:val="CharSectNo"/>
        </w:rPr>
        <w:t>192</w:t>
      </w:r>
      <w:r>
        <w:tab/>
        <w:t xml:space="preserve">Discharge amount for special Pialligo leases—Act, s 282, def </w:t>
      </w:r>
      <w:r>
        <w:rPr>
          <w:i/>
          <w:iCs/>
        </w:rPr>
        <w:t>discharge amount</w:t>
      </w:r>
      <w:bookmarkEnd w:id="100"/>
    </w:p>
    <w:p w:rsidR="00BA29FF" w:rsidRDefault="00BA29FF">
      <w:pPr>
        <w:pStyle w:val="Amain"/>
        <w:keepNext/>
      </w:pPr>
      <w:r>
        <w:tab/>
        <w:t>(1)</w:t>
      </w:r>
      <w:r>
        <w:tab/>
        <w:t>The discharge amount for a special Pialligo lease that commenced less than 1 year before the discharge amount is paid is the amount worked out as follows:</w:t>
      </w:r>
    </w:p>
    <w:p w:rsidR="00BA29FF" w:rsidRDefault="00DE64BD">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BA29FF" w:rsidRDefault="00BA29FF">
      <w:pPr>
        <w:pStyle w:val="Amain"/>
        <w:keepNext/>
      </w:pPr>
      <w:r>
        <w:tab/>
        <w:t>(2)</w:t>
      </w:r>
      <w:r>
        <w:tab/>
        <w:t>The discharge amount for a special Pialligo lease that commenced at least 1 year before the discharge amount is paid is the amount worked out as follows:</w:t>
      </w:r>
    </w:p>
    <w:p w:rsidR="00BA29FF" w:rsidRDefault="00DE64BD">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BA29FF" w:rsidRDefault="00BA29FF">
      <w:pPr>
        <w:pStyle w:val="Amain"/>
        <w:keepNext/>
      </w:pPr>
      <w:r>
        <w:tab/>
        <w:t>(3)</w:t>
      </w:r>
      <w:r>
        <w:tab/>
        <w:t>In this section:</w:t>
      </w:r>
    </w:p>
    <w:p w:rsidR="00BA29FF" w:rsidRDefault="00BA29FF">
      <w:pPr>
        <w:pStyle w:val="aDef"/>
        <w:keepNext/>
      </w:pPr>
      <w:r>
        <w:rPr>
          <w:rStyle w:val="charBoldItals"/>
        </w:rPr>
        <w:t>amount paid</w:t>
      </w:r>
      <w:r>
        <w:rPr>
          <w:bCs/>
          <w:iCs/>
        </w:rPr>
        <w:t xml:space="preserve"> means—</w:t>
      </w:r>
    </w:p>
    <w:p w:rsidR="00BA29FF" w:rsidRDefault="00BA29FF">
      <w:pPr>
        <w:pStyle w:val="aDefpara"/>
      </w:pPr>
      <w:r>
        <w:tab/>
        <w:t>(a)</w:t>
      </w:r>
      <w:r>
        <w:tab/>
        <w:t>for a nominal rent lease—the consideration for the lease when it was granted less the excluded amount; or</w:t>
      </w:r>
    </w:p>
    <w:p w:rsidR="00BA29FF" w:rsidRDefault="00BA29FF">
      <w:pPr>
        <w:pStyle w:val="aDefpara"/>
      </w:pPr>
      <w:r>
        <w:lastRenderedPageBreak/>
        <w:tab/>
        <w:t>(b)</w:t>
      </w:r>
      <w:r>
        <w:tab/>
        <w:t>for any other lease—the consideration for the lease when it was granted plus any amount to be paid under the lease less the excluded amount.</w:t>
      </w:r>
    </w:p>
    <w:p w:rsidR="00BA29FF" w:rsidRDefault="00BA29FF">
      <w:pPr>
        <w:pStyle w:val="aDef"/>
        <w:keepNext/>
      </w:pPr>
      <w:r>
        <w:rPr>
          <w:rStyle w:val="charBoldItals"/>
        </w:rPr>
        <w:t>cpi adjusted amount</w:t>
      </w:r>
      <w:r>
        <w:rPr>
          <w:bCs/>
          <w:iCs/>
        </w:rPr>
        <w:t xml:space="preserve"> means the amount worked out as follows:</w:t>
      </w:r>
    </w:p>
    <w:p w:rsidR="00BA29FF" w:rsidRDefault="00DE64BD">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BA29FF" w:rsidRDefault="00BA29FF">
      <w:pPr>
        <w:pStyle w:val="aDef"/>
      </w:pPr>
      <w:r>
        <w:rPr>
          <w:rStyle w:val="charBoldItals"/>
        </w:rPr>
        <w:t>later index number</w:t>
      </w:r>
      <w:r>
        <w:rPr>
          <w:bCs/>
          <w:iCs/>
        </w:rPr>
        <w:t>, in relation to a lease, means the last index number published before the discharge amount for the lease is paid</w:t>
      </w:r>
      <w:r>
        <w:t>.</w:t>
      </w:r>
    </w:p>
    <w:p w:rsidR="00BA29FF" w:rsidRDefault="00BA29FF">
      <w:pPr>
        <w:pStyle w:val="aDef"/>
      </w:pPr>
      <w:r>
        <w:rPr>
          <w:rStyle w:val="charBoldItals"/>
        </w:rPr>
        <w:t>owed amount</w:t>
      </w:r>
      <w:r>
        <w:rPr>
          <w:bCs/>
          <w:iCs/>
        </w:rPr>
        <w:t>, in relation to a lease, means any amount remaining to be paid under the lease, even if the amount is not yet owing.</w:t>
      </w:r>
      <w:r>
        <w:t xml:space="preserve"> </w:t>
      </w:r>
    </w:p>
    <w:p w:rsidR="00BA29FF" w:rsidRDefault="00BA29FF">
      <w:pPr>
        <w:pStyle w:val="aDef"/>
      </w:pPr>
      <w:r>
        <w:rPr>
          <w:rStyle w:val="charBoldItals"/>
        </w:rPr>
        <w:t>whole years</w:t>
      </w:r>
      <w:r>
        <w:rPr>
          <w:bCs/>
          <w:iCs/>
        </w:rPr>
        <w:t>, in relation to a lease, means</w:t>
      </w:r>
      <w:r>
        <w:t xml:space="preserve"> the number of whole years since the lease commenced.</w:t>
      </w:r>
    </w:p>
    <w:p w:rsidR="00BA29FF" w:rsidRDefault="00BA29FF">
      <w:pPr>
        <w:pStyle w:val="02Text"/>
        <w:sectPr w:rsidR="00BA29FF">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BA29FF" w:rsidRDefault="00BA29FF">
      <w:pPr>
        <w:pStyle w:val="AH2Part"/>
      </w:pPr>
      <w:bookmarkStart w:id="101" w:name="_Toc206921290"/>
      <w:r>
        <w:rPr>
          <w:rStyle w:val="CharPartNo"/>
        </w:rPr>
        <w:lastRenderedPageBreak/>
        <w:t>Part 5.7</w:t>
      </w:r>
      <w:r>
        <w:tab/>
      </w:r>
      <w:r>
        <w:rPr>
          <w:rStyle w:val="CharPartText"/>
        </w:rPr>
        <w:t>Transfer or assignment of leases subject to building and development provision</w:t>
      </w:r>
      <w:bookmarkEnd w:id="101"/>
    </w:p>
    <w:p w:rsidR="00BA29FF" w:rsidRDefault="00BA29FF">
      <w:pPr>
        <w:pStyle w:val="AH5Sec"/>
      </w:pPr>
      <w:bookmarkStart w:id="102" w:name="_Toc206921291"/>
      <w:r>
        <w:rPr>
          <w:rStyle w:val="CharSectNo"/>
        </w:rPr>
        <w:t>200</w:t>
      </w:r>
      <w:r>
        <w:tab/>
        <w:t>Personal reasons for noncompliance with building and development provision—Act, s 298 (2) (b) (i)</w:t>
      </w:r>
      <w:bookmarkEnd w:id="102"/>
    </w:p>
    <w:p w:rsidR="00BA29FF" w:rsidRDefault="00BA29FF">
      <w:pPr>
        <w:pStyle w:val="Amain"/>
        <w:keepNext/>
      </w:pPr>
      <w:r>
        <w:tab/>
        <w:t>(1)</w:t>
      </w:r>
      <w:r>
        <w:tab/>
        <w:t>The following are prescribed:</w:t>
      </w:r>
    </w:p>
    <w:p w:rsidR="00BA29FF" w:rsidRDefault="00BA29FF">
      <w:pPr>
        <w:pStyle w:val="Apara"/>
      </w:pPr>
      <w:r>
        <w:tab/>
        <w:t>(a)</w:t>
      </w:r>
      <w:r>
        <w:tab/>
        <w:t>mental or physical illness or trauma to the lessee, or a member of the lessee’s immediate family, after the purchase of the lease that has a demonstrable effect on the lessee’s ability to develop the lease;</w:t>
      </w:r>
    </w:p>
    <w:p w:rsidR="00BA29FF" w:rsidRDefault="00BA29FF">
      <w:pPr>
        <w:pStyle w:val="Apara"/>
      </w:pPr>
      <w:r>
        <w:tab/>
        <w:t>(b)</w:t>
      </w:r>
      <w:r>
        <w:tab/>
        <w:t>the lessee moving to a place interstate or overseas because the lessee’s or the lessee’s domestic partner’s employment is or will be at the place;</w:t>
      </w:r>
    </w:p>
    <w:p w:rsidR="00BA29FF" w:rsidRDefault="00BA29FF">
      <w:pPr>
        <w:pStyle w:val="aNotepar"/>
      </w:pPr>
      <w:r>
        <w:rPr>
          <w:rStyle w:val="charItals"/>
        </w:rPr>
        <w:t>Note</w:t>
      </w:r>
      <w:r>
        <w:rPr>
          <w:rStyle w:val="charItals"/>
        </w:rPr>
        <w:tab/>
      </w:r>
      <w:r>
        <w:rPr>
          <w:rStyle w:val="charBoldItals"/>
        </w:rPr>
        <w:t>Domestic partner</w:t>
      </w:r>
      <w:r>
        <w:t>—see the Legislation Act, s 169 (1).</w:t>
      </w:r>
    </w:p>
    <w:p w:rsidR="00BA29FF" w:rsidRDefault="00BA29FF">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BA29FF" w:rsidRDefault="00BA29FF">
      <w:pPr>
        <w:pStyle w:val="Amain"/>
      </w:pPr>
      <w:r>
        <w:tab/>
        <w:t>(2)</w:t>
      </w:r>
      <w:r>
        <w:tab/>
        <w:t>For subsection (1) (a), the planning and land authority must consider any medical certificate by a doctor about the mental or physical illness or trauma.</w:t>
      </w:r>
    </w:p>
    <w:p w:rsidR="00BA29FF" w:rsidRDefault="00BA29FF">
      <w:pPr>
        <w:pStyle w:val="Amain"/>
        <w:keepNext/>
      </w:pPr>
      <w:r>
        <w:tab/>
        <w:t>(3)</w:t>
      </w:r>
      <w:r>
        <w:tab/>
        <w:t>In this section:</w:t>
      </w:r>
    </w:p>
    <w:p w:rsidR="00BA29FF" w:rsidRDefault="00BA29FF">
      <w:pPr>
        <w:pStyle w:val="aDef"/>
        <w:keepNext/>
      </w:pPr>
      <w:r>
        <w:rPr>
          <w:rStyle w:val="charBoldItals"/>
        </w:rPr>
        <w:t>immediate family</w:t>
      </w:r>
      <w:r>
        <w:t>, of a lessee, means—</w:t>
      </w:r>
    </w:p>
    <w:p w:rsidR="00BA29FF" w:rsidRDefault="00BA29FF">
      <w:pPr>
        <w:pStyle w:val="aDefpara"/>
      </w:pPr>
      <w:r>
        <w:tab/>
        <w:t>(a)</w:t>
      </w:r>
      <w:r>
        <w:tab/>
        <w:t>the lessee’s domestic partner; or</w:t>
      </w:r>
    </w:p>
    <w:p w:rsidR="00BA29FF" w:rsidRDefault="00BA29FF">
      <w:pPr>
        <w:pStyle w:val="aDefpara"/>
      </w:pPr>
      <w:r>
        <w:tab/>
        <w:t>(b)</w:t>
      </w:r>
      <w:r>
        <w:tab/>
        <w:t>a parent or sibling of the lessee; or</w:t>
      </w:r>
    </w:p>
    <w:p w:rsidR="00BA29FF" w:rsidRDefault="00BA29FF">
      <w:pPr>
        <w:pStyle w:val="aDefpara"/>
      </w:pPr>
      <w:r>
        <w:tab/>
        <w:t>(c)</w:t>
      </w:r>
      <w:r>
        <w:tab/>
        <w:t>an adult child of the lessee; or</w:t>
      </w:r>
    </w:p>
    <w:p w:rsidR="00BA29FF" w:rsidRDefault="00BA29FF">
      <w:pPr>
        <w:pStyle w:val="aDefpara"/>
      </w:pPr>
      <w:r>
        <w:lastRenderedPageBreak/>
        <w:tab/>
        <w:t>(d)</w:t>
      </w:r>
      <w:r>
        <w:tab/>
        <w:t>another relative of the lessee who is a member of the same household as the lessee; or</w:t>
      </w:r>
    </w:p>
    <w:p w:rsidR="00BA29FF" w:rsidRDefault="00BA29FF">
      <w:pPr>
        <w:pStyle w:val="aDefpara"/>
      </w:pPr>
      <w:r>
        <w:tab/>
        <w:t>(e)</w:t>
      </w:r>
      <w:r>
        <w:tab/>
        <w:t>a sole or primary carer who is living with a person mentioned in paragraph (a) to (d).</w:t>
      </w:r>
    </w:p>
    <w:p w:rsidR="00BA29FF" w:rsidRDefault="00BA29FF">
      <w:pPr>
        <w:pStyle w:val="AH5Sec"/>
      </w:pPr>
      <w:bookmarkStart w:id="103" w:name="_Toc206921292"/>
      <w:r>
        <w:rPr>
          <w:rStyle w:val="CharSectNo"/>
        </w:rPr>
        <w:t>201</w:t>
      </w:r>
      <w:r>
        <w:tab/>
        <w:t>Matters for transfer or assignment of leases—Act, s 298 (5)</w:t>
      </w:r>
      <w:bookmarkEnd w:id="103"/>
    </w:p>
    <w:p w:rsidR="00BA29FF" w:rsidRDefault="00BA29FF">
      <w:pPr>
        <w:pStyle w:val="Amainreturn"/>
        <w:keepNext/>
      </w:pPr>
      <w:r>
        <w:t>The following matters are prescribed:</w:t>
      </w:r>
    </w:p>
    <w:p w:rsidR="00BA29FF" w:rsidRDefault="00BA29FF">
      <w:pPr>
        <w:pStyle w:val="Apara"/>
      </w:pPr>
      <w:r>
        <w:tab/>
        <w:t>(a)</w:t>
      </w:r>
      <w:r>
        <w:tab/>
        <w:t xml:space="preserve">the proposed transferee’s or assignee’s financial ability to comply with the lease’s building and development provision; </w:t>
      </w:r>
    </w:p>
    <w:p w:rsidR="00BA29FF" w:rsidRDefault="00BA29FF">
      <w:pPr>
        <w:pStyle w:val="Apara"/>
      </w:pPr>
      <w:r>
        <w:tab/>
        <w:t>(b)</w:t>
      </w:r>
      <w:r>
        <w:tab/>
        <w:t>the proposed transferee’s or assignee’s history of compliance with building and development provisions in relation to leases in which the proposed assignee or transferee has, or has had, an interest;</w:t>
      </w:r>
    </w:p>
    <w:p w:rsidR="00BA29FF" w:rsidRDefault="00BA29FF">
      <w:pPr>
        <w:pStyle w:val="aNotepar"/>
      </w:pPr>
      <w:r>
        <w:rPr>
          <w:rStyle w:val="charItals"/>
        </w:rPr>
        <w:t>Note</w:t>
      </w:r>
      <w:r>
        <w:rPr>
          <w:rStyle w:val="charItals"/>
        </w:rPr>
        <w:tab/>
      </w:r>
      <w:r>
        <w:rPr>
          <w:rStyle w:val="charBoldItals"/>
        </w:rPr>
        <w:t>Interest</w:t>
      </w:r>
      <w:r>
        <w:t>—see the Legislation Act, dictionary, part 1.</w:t>
      </w:r>
    </w:p>
    <w:p w:rsidR="00BA29FF" w:rsidRDefault="00BA29FF">
      <w:pPr>
        <w:pStyle w:val="Apara"/>
      </w:pPr>
      <w:r>
        <w:tab/>
        <w:t>(c)</w:t>
      </w:r>
      <w:r>
        <w:tab/>
        <w:t>the lessee’s history of compliance with building and development provisions in relation to leases in which the lessee has, or has had, an interest;</w:t>
      </w:r>
    </w:p>
    <w:p w:rsidR="00BA29FF" w:rsidRDefault="00BA29FF">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BA29FF" w:rsidRDefault="00BA29FF">
      <w:pPr>
        <w:pStyle w:val="Apara"/>
      </w:pPr>
      <w:r>
        <w:tab/>
        <w:t>(e)</w:t>
      </w:r>
      <w:r>
        <w:tab/>
        <w:t>a written undertaking from the proposed transferee that the transferee will comply with the lease’s building and development provision.</w:t>
      </w:r>
    </w:p>
    <w:p w:rsidR="00BA29FF" w:rsidRDefault="00BA29FF">
      <w:pPr>
        <w:pStyle w:val="AH5Sec"/>
      </w:pPr>
      <w:bookmarkStart w:id="104" w:name="_Toc206921293"/>
      <w:r>
        <w:rPr>
          <w:rStyle w:val="CharSectNo"/>
        </w:rPr>
        <w:t>202</w:t>
      </w:r>
      <w:r>
        <w:tab/>
        <w:t>Application for extension of time to commence or complete building and development—Act, s 298A (5), def </w:t>
      </w:r>
      <w:r>
        <w:rPr>
          <w:i/>
          <w:iCs/>
        </w:rPr>
        <w:t>A</w:t>
      </w:r>
      <w:r>
        <w:t>, par (b)</w:t>
      </w:r>
      <w:bookmarkEnd w:id="104"/>
    </w:p>
    <w:p w:rsidR="00BA29FF" w:rsidRDefault="00BA29FF">
      <w:pPr>
        <w:pStyle w:val="Amain"/>
      </w:pPr>
      <w:r>
        <w:tab/>
        <w:t>(1)</w:t>
      </w:r>
      <w:r>
        <w:tab/>
        <w:t>The prescribed figure is 1 if a hardship reason applies to 1 or more of the lessees (whether or not the lessees are individuals only).</w:t>
      </w:r>
    </w:p>
    <w:p w:rsidR="00BA29FF" w:rsidRDefault="00BA29FF">
      <w:pPr>
        <w:pStyle w:val="Amain"/>
      </w:pPr>
      <w:r>
        <w:lastRenderedPageBreak/>
        <w:tab/>
        <w:t>(2)</w:t>
      </w:r>
      <w:r>
        <w:tab/>
        <w:t>The prescribed figure is 3 if—</w:t>
      </w:r>
    </w:p>
    <w:p w:rsidR="00BA29FF" w:rsidRDefault="00BA29FF">
      <w:pPr>
        <w:pStyle w:val="Apara"/>
      </w:pPr>
      <w:r>
        <w:tab/>
        <w:t>(a)</w:t>
      </w:r>
      <w:r>
        <w:tab/>
        <w:t>subsection (1) does not apply; and</w:t>
      </w:r>
    </w:p>
    <w:p w:rsidR="00BA29FF" w:rsidRDefault="00BA29FF">
      <w:pPr>
        <w:pStyle w:val="Apara"/>
      </w:pPr>
      <w:r>
        <w:tab/>
        <w:t>(b)</w:t>
      </w:r>
      <w:r>
        <w:tab/>
        <w:t>the lessee is 1 or more individuals only; and</w:t>
      </w:r>
    </w:p>
    <w:p w:rsidR="00BA29FF" w:rsidRDefault="00BA29FF">
      <w:pPr>
        <w:pStyle w:val="Apara"/>
      </w:pPr>
      <w:r>
        <w:tab/>
        <w:t>(c)</w:t>
      </w:r>
      <w:r>
        <w:tab/>
        <w:t>none of the individuals has made an application under the Act, section 298A in relation to another lease within the 3-year period before the day the application is made.</w:t>
      </w:r>
    </w:p>
    <w:p w:rsidR="00BA29FF" w:rsidRDefault="00BA29FF">
      <w:pPr>
        <w:pStyle w:val="Amain"/>
      </w:pPr>
      <w:r>
        <w:tab/>
        <w:t>(3)</w:t>
      </w:r>
      <w:r>
        <w:tab/>
        <w:t>In this section:</w:t>
      </w:r>
    </w:p>
    <w:p w:rsidR="00BA29FF" w:rsidRDefault="00BA29FF">
      <w:pPr>
        <w:pStyle w:val="aDef"/>
      </w:pPr>
      <w:r>
        <w:rPr>
          <w:b/>
          <w:i/>
        </w:rPr>
        <w:t>hardship reason</w:t>
      </w:r>
      <w:r>
        <w:t>, in relation to a lessee, means—</w:t>
      </w:r>
    </w:p>
    <w:p w:rsidR="00BA29FF" w:rsidRDefault="00BA29FF">
      <w:pPr>
        <w:pStyle w:val="Apara"/>
      </w:pPr>
      <w:r>
        <w:tab/>
        <w:t>(a)</w:t>
      </w:r>
      <w:r>
        <w:tab/>
        <w:t>a reason mentioned in the Act, section 298 (2) (b) (ii) or (iii); and</w:t>
      </w:r>
    </w:p>
    <w:p w:rsidR="00BA29FF" w:rsidRDefault="00BA29FF">
      <w:pPr>
        <w:pStyle w:val="Apara"/>
      </w:pPr>
      <w:r>
        <w:tab/>
        <w:t>(b)</w:t>
      </w:r>
      <w:r>
        <w:tab/>
        <w:t>for a lessee who is an individual—a reason mentioned in section 200.</w:t>
      </w:r>
    </w:p>
    <w:p w:rsidR="00BA29FF" w:rsidRDefault="00BA29FF">
      <w:pPr>
        <w:pStyle w:val="AH5Sec"/>
      </w:pPr>
      <w:bookmarkStart w:id="105" w:name="_Toc206921294"/>
      <w:r>
        <w:rPr>
          <w:rStyle w:val="CharSectNo"/>
        </w:rPr>
        <w:t>203</w:t>
      </w:r>
      <w:r>
        <w:tab/>
        <w:t xml:space="preserve">Extension of time to complete building or development on hardship grounds—Act, s 298B (6), def </w:t>
      </w:r>
      <w:r>
        <w:rPr>
          <w:i/>
          <w:iCs/>
        </w:rPr>
        <w:t>prescribed period</w:t>
      </w:r>
      <w:r>
        <w:t>, par (b)</w:t>
      </w:r>
      <w:bookmarkEnd w:id="105"/>
    </w:p>
    <w:p w:rsidR="00BA29FF" w:rsidRDefault="00BA29FF">
      <w:pPr>
        <w:pStyle w:val="Amainreturn"/>
        <w:keepNext/>
      </w:pPr>
      <w:r>
        <w:t>The period is 5 years if the planning and land authority is satisfied that—</w:t>
      </w:r>
    </w:p>
    <w:p w:rsidR="00BA29FF" w:rsidRDefault="00BA29FF">
      <w:pPr>
        <w:pStyle w:val="Apara"/>
      </w:pPr>
      <w:r>
        <w:tab/>
        <w:t>(a)</w:t>
      </w:r>
      <w:r>
        <w:tab/>
        <w:t xml:space="preserve">the applicant cannot comply with the building and development provision within the period stated in the lease (the </w:t>
      </w:r>
      <w:r>
        <w:rPr>
          <w:b/>
          <w:bCs/>
          <w:i/>
          <w:iCs/>
        </w:rPr>
        <w:t>original period</w:t>
      </w:r>
      <w:r>
        <w:t>) because of a reason mentioned in the Act—</w:t>
      </w:r>
    </w:p>
    <w:p w:rsidR="00BA29FF" w:rsidRDefault="00BA29FF">
      <w:pPr>
        <w:pStyle w:val="Asubpara"/>
      </w:pPr>
      <w:r>
        <w:tab/>
        <w:t>(A)</w:t>
      </w:r>
      <w:r>
        <w:tab/>
        <w:t>if the lessee is an individual—section 298 (2) (b) (i), (ii) or (iii); and</w:t>
      </w:r>
    </w:p>
    <w:p w:rsidR="00BA29FF" w:rsidRDefault="00BA29FF">
      <w:pPr>
        <w:pStyle w:val="Asubpara"/>
      </w:pPr>
      <w:r>
        <w:tab/>
        <w:t>(B)</w:t>
      </w:r>
      <w:r>
        <w:tab/>
        <w:t>if the lessee is a corporation—section 298 (2) (b) (ii) and (iii); and</w:t>
      </w:r>
    </w:p>
    <w:p w:rsidR="00BA29FF" w:rsidRDefault="00BA29FF">
      <w:pPr>
        <w:pStyle w:val="Apara"/>
        <w:keepNext/>
      </w:pPr>
      <w:r>
        <w:tab/>
        <w:t>(b)</w:t>
      </w:r>
      <w:r>
        <w:tab/>
        <w:t xml:space="preserve">the lessee is reasonably likely to be able to comply with the building and development provision by the end of the original </w:t>
      </w:r>
      <w:r>
        <w:lastRenderedPageBreak/>
        <w:t>period as extended by the period approved by the authority under the Act, section 298B.</w:t>
      </w:r>
    </w:p>
    <w:p w:rsidR="00BA29FF" w:rsidRDefault="00BA29FF">
      <w:pPr>
        <w:pStyle w:val="aNote"/>
      </w:pPr>
      <w:r>
        <w:rPr>
          <w:i/>
        </w:rPr>
        <w:t>Note</w:t>
      </w:r>
      <w:r>
        <w:rPr>
          <w:i/>
        </w:rPr>
        <w:tab/>
      </w:r>
      <w:r>
        <w:t>Also, the planning and land authority may approve the extension only if satisfied on reasonable grounds that the extension for the period sought would not cause an unacceptable delay to another development or land release (see Act, s 298B (3)).</w:t>
      </w:r>
    </w:p>
    <w:p w:rsidR="00BA29FF" w:rsidRDefault="00BA29FF">
      <w:pPr>
        <w:pStyle w:val="02Text"/>
        <w:sectPr w:rsidR="00BA29FF">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BA29FF" w:rsidRDefault="00BA29FF">
      <w:pPr>
        <w:pStyle w:val="PageBreak"/>
      </w:pPr>
      <w:r>
        <w:br w:type="page"/>
      </w:r>
    </w:p>
    <w:p w:rsidR="00BA29FF" w:rsidRDefault="00BA29FF">
      <w:pPr>
        <w:pStyle w:val="AH2Part"/>
      </w:pPr>
      <w:bookmarkStart w:id="106" w:name="_Toc206921295"/>
      <w:r>
        <w:rPr>
          <w:rStyle w:val="CharPartNo"/>
        </w:rPr>
        <w:lastRenderedPageBreak/>
        <w:t>Part 5.8</w:t>
      </w:r>
      <w:r>
        <w:tab/>
      </w:r>
      <w:r>
        <w:rPr>
          <w:rStyle w:val="CharPartText"/>
        </w:rPr>
        <w:t>Surrendering and terminating leases</w:t>
      </w:r>
      <w:bookmarkEnd w:id="106"/>
    </w:p>
    <w:p w:rsidR="00BA29FF" w:rsidRDefault="00BA29FF">
      <w:pPr>
        <w:pStyle w:val="AH5Sec"/>
      </w:pPr>
      <w:bookmarkStart w:id="107" w:name="_Toc206921296"/>
      <w:r>
        <w:rPr>
          <w:rStyle w:val="CharSectNo"/>
        </w:rPr>
        <w:t>210</w:t>
      </w:r>
      <w:r>
        <w:tab/>
        <w:t>Amount of refund on surrender or termination of certain leases—Act, s 300 (2)</w:t>
      </w:r>
      <w:bookmarkEnd w:id="107"/>
    </w:p>
    <w:p w:rsidR="00BA29FF" w:rsidRDefault="00BA29FF">
      <w:pPr>
        <w:pStyle w:val="Amain"/>
        <w:keepNext/>
      </w:pPr>
      <w:r>
        <w:tab/>
        <w:t>(1)</w:t>
      </w:r>
      <w:r>
        <w:tab/>
        <w:t>This section applies to the following leases:</w:t>
      </w:r>
    </w:p>
    <w:p w:rsidR="00BA29FF" w:rsidRDefault="00BA29FF">
      <w:pPr>
        <w:pStyle w:val="Apara"/>
      </w:pPr>
      <w:r>
        <w:tab/>
        <w:t>(a)</w:t>
      </w:r>
      <w:r>
        <w:tab/>
        <w:t>a residential lease granted for not more than 3 residential dwellings;</w:t>
      </w:r>
    </w:p>
    <w:p w:rsidR="00BA29FF" w:rsidRDefault="00BA29FF">
      <w:pPr>
        <w:pStyle w:val="Apara"/>
      </w:pPr>
      <w:r>
        <w:tab/>
        <w:t>(b)</w:t>
      </w:r>
      <w:r>
        <w:tab/>
        <w:t>a lease granted to a community organisation for community use.</w:t>
      </w:r>
    </w:p>
    <w:p w:rsidR="00BA29FF" w:rsidRDefault="00BA29FF">
      <w:pPr>
        <w:pStyle w:val="aNotepar"/>
      </w:pPr>
      <w:r>
        <w:rPr>
          <w:rStyle w:val="charItals"/>
        </w:rPr>
        <w:t>Note 1</w:t>
      </w:r>
      <w:r>
        <w:rPr>
          <w:rStyle w:val="charItals"/>
        </w:rPr>
        <w:tab/>
      </w:r>
      <w:r>
        <w:rPr>
          <w:rStyle w:val="charBoldItals"/>
        </w:rPr>
        <w:t>Community organisation</w:t>
      </w:r>
      <w:r>
        <w:t>—see the dictionary.</w:t>
      </w:r>
    </w:p>
    <w:p w:rsidR="00BA29FF" w:rsidRDefault="00BA29FF">
      <w:pPr>
        <w:pStyle w:val="aNotepar"/>
      </w:pPr>
      <w:r>
        <w:rPr>
          <w:rStyle w:val="charItals"/>
        </w:rPr>
        <w:t>Note 2</w:t>
      </w:r>
      <w:r>
        <w:rPr>
          <w:rStyle w:val="charItals"/>
        </w:rPr>
        <w:tab/>
      </w:r>
      <w:r>
        <w:rPr>
          <w:rStyle w:val="charBoldItals"/>
        </w:rPr>
        <w:t>Community use</w:t>
      </w:r>
      <w:r>
        <w:t>—see the territory plan (13 Definitions).</w:t>
      </w:r>
    </w:p>
    <w:p w:rsidR="00BA29FF" w:rsidRDefault="00BA29FF">
      <w:pPr>
        <w:pStyle w:val="Amain"/>
        <w:keepNext/>
      </w:pPr>
      <w:r>
        <w:tab/>
        <w:t>(2)</w:t>
      </w:r>
      <w:r>
        <w:tab/>
        <w:t>The prescribed amount is the lesser of the following amounts:</w:t>
      </w:r>
    </w:p>
    <w:p w:rsidR="00BA29FF" w:rsidRDefault="00BA29FF">
      <w:pPr>
        <w:pStyle w:val="Apara"/>
      </w:pPr>
      <w:r>
        <w:tab/>
        <w:t>(a)</w:t>
      </w:r>
      <w:r>
        <w:tab/>
        <w:t>the amount paid for the grant or transfer of the lease to the lessee less any amount payable to, or incurred by, the Territory under section 211;</w:t>
      </w:r>
    </w:p>
    <w:p w:rsidR="00BA29FF" w:rsidRDefault="00BA29FF">
      <w:pPr>
        <w:pStyle w:val="Apara"/>
      </w:pPr>
      <w:r>
        <w:tab/>
        <w:t>(b)</w:t>
      </w:r>
      <w:r>
        <w:tab/>
        <w:t>the market value of the lease less any amount payable to, or incurred by, the Territory under section 211.</w:t>
      </w:r>
    </w:p>
    <w:p w:rsidR="00BA29FF" w:rsidRDefault="00BA29FF">
      <w:pPr>
        <w:pStyle w:val="Amain"/>
      </w:pPr>
      <w:r>
        <w:tab/>
        <w:t>(3)</w:t>
      </w:r>
      <w:r>
        <w:tab/>
        <w:t>Despite subsection (2), the prescribed amount is the amount paid for the grant of the lease if—</w:t>
      </w:r>
    </w:p>
    <w:p w:rsidR="00BA29FF" w:rsidRDefault="00BA29FF">
      <w:pPr>
        <w:pStyle w:val="Apara"/>
      </w:pPr>
      <w:r>
        <w:tab/>
        <w:t>(a)</w:t>
      </w:r>
      <w:r>
        <w:tab/>
        <w:t xml:space="preserve">the person surrendering the lease, or the person whose lease has been terminated, is the person to whom the lease was originally granted; and </w:t>
      </w:r>
    </w:p>
    <w:p w:rsidR="00BA29FF" w:rsidRDefault="00BA29FF">
      <w:pPr>
        <w:pStyle w:val="Apara"/>
      </w:pPr>
      <w:r>
        <w:tab/>
        <w:t>(b)</w:t>
      </w:r>
      <w:r>
        <w:tab/>
        <w:t>the lease was granted before 1 November 2004.</w:t>
      </w:r>
    </w:p>
    <w:p w:rsidR="00BA29FF" w:rsidRDefault="00BA29FF">
      <w:pPr>
        <w:pStyle w:val="Amain"/>
      </w:pPr>
      <w:r>
        <w:tab/>
        <w:t>(4)</w:t>
      </w:r>
      <w:r>
        <w:tab/>
        <w:t>Subsection (3) and this subsection expire on 1 November 2011.</w:t>
      </w:r>
    </w:p>
    <w:p w:rsidR="00BA29FF" w:rsidRDefault="00BA29FF">
      <w:pPr>
        <w:pStyle w:val="AH5Sec"/>
      </w:pPr>
      <w:bookmarkStart w:id="108" w:name="_Toc206921297"/>
      <w:r>
        <w:rPr>
          <w:rStyle w:val="CharSectNo"/>
        </w:rPr>
        <w:lastRenderedPageBreak/>
        <w:t>211</w:t>
      </w:r>
      <w:r>
        <w:tab/>
        <w:t>Limitations for refund on surrender or termination of leases—Act, s 300 (3)</w:t>
      </w:r>
      <w:bookmarkEnd w:id="108"/>
    </w:p>
    <w:p w:rsidR="00BA29FF" w:rsidRDefault="00BA29FF">
      <w:pPr>
        <w:pStyle w:val="Amain"/>
        <w:keepNext/>
      </w:pPr>
      <w:r>
        <w:tab/>
        <w:t>(1)</w:t>
      </w:r>
      <w:r>
        <w:tab/>
        <w:t>This section applies to the following leases:</w:t>
      </w:r>
    </w:p>
    <w:p w:rsidR="00BA29FF" w:rsidRDefault="00BA29FF">
      <w:pPr>
        <w:pStyle w:val="Apara"/>
      </w:pPr>
      <w:r>
        <w:tab/>
        <w:t>(a)</w:t>
      </w:r>
      <w:r>
        <w:tab/>
        <w:t>a residential lease granted for not more than 3 residential dwellings;</w:t>
      </w:r>
    </w:p>
    <w:p w:rsidR="00BA29FF" w:rsidRDefault="00BA29FF">
      <w:pPr>
        <w:pStyle w:val="Apara"/>
      </w:pPr>
      <w:r>
        <w:tab/>
        <w:t>(b)</w:t>
      </w:r>
      <w:r>
        <w:tab/>
        <w:t>a lease granted to a community organisation for community use.</w:t>
      </w:r>
    </w:p>
    <w:p w:rsidR="00BA29FF" w:rsidRDefault="00BA29FF">
      <w:pPr>
        <w:pStyle w:val="Amain"/>
      </w:pPr>
      <w:r>
        <w:tab/>
        <w:t>(2)</w:t>
      </w:r>
      <w:r>
        <w:tab/>
        <w:t>The planning and land authority may pay an amount mentioned in section 210 if—</w:t>
      </w:r>
    </w:p>
    <w:p w:rsidR="00BA29FF" w:rsidRDefault="00BA29FF">
      <w:pPr>
        <w:pStyle w:val="Apara"/>
      </w:pPr>
      <w:r>
        <w:tab/>
        <w:t>(a)</w:t>
      </w:r>
      <w:r>
        <w:tab/>
        <w:t>the application for payment is made by the lessee—</w:t>
      </w:r>
    </w:p>
    <w:p w:rsidR="00BA29FF" w:rsidRDefault="00BA29FF">
      <w:pPr>
        <w:pStyle w:val="Asubpara"/>
      </w:pPr>
      <w:r>
        <w:tab/>
        <w:t>(i)</w:t>
      </w:r>
      <w:r>
        <w:tab/>
        <w:t>before the period for the lease’s building and development provision has ended; or</w:t>
      </w:r>
    </w:p>
    <w:p w:rsidR="00BA29FF" w:rsidRDefault="00BA29FF">
      <w:pPr>
        <w:pStyle w:val="Asubpara"/>
      </w:pPr>
      <w:r>
        <w:tab/>
        <w:t>(ii)</w:t>
      </w:r>
      <w:r>
        <w:tab/>
        <w:t>because the lease has been terminated; and</w:t>
      </w:r>
    </w:p>
    <w:p w:rsidR="00BA29FF" w:rsidRDefault="00BA29FF">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BA29FF" w:rsidRDefault="00BA29FF">
      <w:pPr>
        <w:pStyle w:val="Apara"/>
      </w:pPr>
      <w:r>
        <w:tab/>
        <w:t>(c)</w:t>
      </w:r>
      <w:r>
        <w:tab/>
        <w:t>all outstanding amounts payable to the Territory in relation to the lease (including rates, land tax, stamp duty and land rent) have been paid; and</w:t>
      </w:r>
    </w:p>
    <w:p w:rsidR="00BA29FF" w:rsidRDefault="00BA29FF">
      <w:pPr>
        <w:pStyle w:val="aNotepar"/>
      </w:pPr>
      <w:r>
        <w:rPr>
          <w:rStyle w:val="charItals"/>
        </w:rPr>
        <w:t>Note</w:t>
      </w:r>
      <w:r>
        <w:rPr>
          <w:rStyle w:val="charItals"/>
        </w:rPr>
        <w:tab/>
      </w:r>
      <w:r>
        <w:t>Any application fee must also have been paid, see the Legislation Act, s 57 (2).</w:t>
      </w:r>
    </w:p>
    <w:p w:rsidR="00BA29FF" w:rsidRDefault="00BA29FF">
      <w:pPr>
        <w:pStyle w:val="Apara"/>
      </w:pPr>
      <w:r>
        <w:tab/>
        <w:t>(d)</w:t>
      </w:r>
      <w:r>
        <w:tab/>
        <w:t>all amounts incurred by the Territory in relation to the surrender or termination of the lease have been paid.</w:t>
      </w:r>
    </w:p>
    <w:p w:rsidR="00BA29FF" w:rsidRDefault="00BA29FF">
      <w:pPr>
        <w:pStyle w:val="PageBreak"/>
      </w:pPr>
      <w:r>
        <w:br w:type="page"/>
      </w:r>
    </w:p>
    <w:p w:rsidR="00BA29FF" w:rsidRDefault="00BA29FF">
      <w:pPr>
        <w:pStyle w:val="AH2Part"/>
      </w:pPr>
      <w:bookmarkStart w:id="109" w:name="_Toc206921298"/>
      <w:r>
        <w:rPr>
          <w:rStyle w:val="CharPartNo"/>
        </w:rPr>
        <w:lastRenderedPageBreak/>
        <w:t>Part 5.9</w:t>
      </w:r>
      <w:r>
        <w:tab/>
      </w:r>
      <w:r>
        <w:rPr>
          <w:rStyle w:val="CharPartText"/>
        </w:rPr>
        <w:t>Subletting of leases</w:t>
      </w:r>
      <w:bookmarkEnd w:id="109"/>
    </w:p>
    <w:p w:rsidR="00BA29FF" w:rsidRDefault="00BA29FF">
      <w:pPr>
        <w:pStyle w:val="AH5Sec"/>
      </w:pPr>
      <w:bookmarkStart w:id="110" w:name="_Toc206921299"/>
      <w:r>
        <w:rPr>
          <w:rStyle w:val="CharSectNo"/>
        </w:rPr>
        <w:t>220</w:t>
      </w:r>
      <w:r>
        <w:tab/>
        <w:t>Criteria for approving subletting of land—Act, s 308 (2)</w:t>
      </w:r>
      <w:bookmarkEnd w:id="110"/>
    </w:p>
    <w:p w:rsidR="00BA29FF" w:rsidRDefault="00BA29FF">
      <w:pPr>
        <w:pStyle w:val="Amain"/>
        <w:keepNext/>
      </w:pPr>
      <w:r>
        <w:tab/>
        <w:t>(1)</w:t>
      </w:r>
      <w:r>
        <w:tab/>
        <w:t>The following are prescribed:</w:t>
      </w:r>
    </w:p>
    <w:p w:rsidR="00BA29FF" w:rsidRDefault="00BA29FF">
      <w:pPr>
        <w:pStyle w:val="Apara"/>
      </w:pPr>
      <w:r>
        <w:tab/>
        <w:t>(a)</w:t>
      </w:r>
      <w:r>
        <w:tab/>
        <w:t xml:space="preserve">the sublease must be for a use authorised by the lease; </w:t>
      </w:r>
    </w:p>
    <w:p w:rsidR="00BA29FF" w:rsidRDefault="00BA29FF">
      <w:pPr>
        <w:pStyle w:val="Apara"/>
      </w:pPr>
      <w:r>
        <w:tab/>
        <w:t>(b)</w:t>
      </w:r>
      <w:r>
        <w:tab/>
        <w:t>if the land is not leased to the Territory—the sublease must include a condition that a designated development that requires development approval must be started on the subleased land within—</w:t>
      </w:r>
    </w:p>
    <w:p w:rsidR="00BA29FF" w:rsidRDefault="00BA29FF">
      <w:pPr>
        <w:pStyle w:val="Asubpara"/>
      </w:pPr>
      <w:r>
        <w:tab/>
        <w:t>(i)</w:t>
      </w:r>
      <w:r>
        <w:tab/>
        <w:t>2 years after the day the sublease commences; or</w:t>
      </w:r>
    </w:p>
    <w:p w:rsidR="00BA29FF" w:rsidRDefault="00BA29FF">
      <w:pPr>
        <w:pStyle w:val="Asubpara"/>
      </w:pPr>
      <w:r>
        <w:tab/>
        <w:t>(ii)</w:t>
      </w:r>
      <w:r>
        <w:tab/>
        <w:t>if the planning and land authority extends, in writing, the 2-year period—the extended period.</w:t>
      </w:r>
    </w:p>
    <w:p w:rsidR="00BA29FF" w:rsidRDefault="00BA29FF">
      <w:pPr>
        <w:pStyle w:val="Amain"/>
        <w:keepNext/>
      </w:pPr>
      <w:r>
        <w:tab/>
        <w:t>(2)</w:t>
      </w:r>
      <w:r>
        <w:tab/>
        <w:t>In this section:</w:t>
      </w:r>
    </w:p>
    <w:p w:rsidR="00BA29FF" w:rsidRDefault="00BA29FF">
      <w:pPr>
        <w:pStyle w:val="aDef"/>
      </w:pPr>
      <w:r>
        <w:rPr>
          <w:rStyle w:val="charBoldItals"/>
        </w:rPr>
        <w:t xml:space="preserve">designated development </w:t>
      </w:r>
      <w:r>
        <w:t>means the building of a building or structure.</w:t>
      </w:r>
    </w:p>
    <w:p w:rsidR="00BA29FF" w:rsidRDefault="00BA29FF">
      <w:pPr>
        <w:pStyle w:val="PageBreak"/>
      </w:pPr>
      <w:r>
        <w:br w:type="page"/>
      </w:r>
    </w:p>
    <w:p w:rsidR="00BA29FF" w:rsidRDefault="00BA29FF">
      <w:pPr>
        <w:pStyle w:val="AH1Chapter"/>
      </w:pPr>
      <w:bookmarkStart w:id="111" w:name="_Toc206921300"/>
      <w:r>
        <w:rPr>
          <w:rStyle w:val="CharChapNo"/>
        </w:rPr>
        <w:lastRenderedPageBreak/>
        <w:t>Chapter 6</w:t>
      </w:r>
      <w:r>
        <w:tab/>
      </w:r>
      <w:r>
        <w:rPr>
          <w:rStyle w:val="CharChapText"/>
        </w:rPr>
        <w:t>Concessional leases</w:t>
      </w:r>
      <w:bookmarkEnd w:id="111"/>
    </w:p>
    <w:p w:rsidR="00BA29FF" w:rsidRDefault="00BA29FF">
      <w:pPr>
        <w:pStyle w:val="Placeholder"/>
      </w:pPr>
      <w:r>
        <w:rPr>
          <w:rStyle w:val="CharPartNo"/>
        </w:rPr>
        <w:t xml:space="preserve">  </w:t>
      </w:r>
      <w:r>
        <w:rPr>
          <w:rStyle w:val="CharPartText"/>
        </w:rPr>
        <w:t xml:space="preserve">  </w:t>
      </w:r>
    </w:p>
    <w:p w:rsidR="00BA29FF" w:rsidRDefault="00BA29FF">
      <w:pPr>
        <w:pStyle w:val="AH5Sec"/>
      </w:pPr>
      <w:bookmarkStart w:id="112" w:name="_Toc206921301"/>
      <w:r>
        <w:rPr>
          <w:rStyle w:val="CharSectNo"/>
        </w:rPr>
        <w:t>240</w:t>
      </w:r>
      <w:r>
        <w:tab/>
        <w:t xml:space="preserve">Concessional lease exclusions—Act, s 235 (1), def </w:t>
      </w:r>
      <w:r>
        <w:rPr>
          <w:i/>
          <w:iCs/>
        </w:rPr>
        <w:t>concessional lease</w:t>
      </w:r>
      <w:r>
        <w:t>, par (c) (v)</w:t>
      </w:r>
      <w:bookmarkEnd w:id="112"/>
    </w:p>
    <w:p w:rsidR="00BA29FF" w:rsidRDefault="00BA29FF">
      <w:pPr>
        <w:pStyle w:val="Amainreturn"/>
        <w:keepNext/>
      </w:pPr>
      <w:r>
        <w:t>The following leases are prescribed:</w:t>
      </w:r>
    </w:p>
    <w:p w:rsidR="00BA29FF" w:rsidRDefault="00BA29FF">
      <w:pPr>
        <w:pStyle w:val="Apara"/>
      </w:pPr>
      <w:r>
        <w:tab/>
        <w:t>(a)</w:t>
      </w:r>
      <w:r>
        <w:tab/>
        <w:t>a residential lease;</w:t>
      </w:r>
    </w:p>
    <w:p w:rsidR="00BA29FF" w:rsidRDefault="00BA29FF">
      <w:pPr>
        <w:pStyle w:val="aNotepar"/>
      </w:pPr>
      <w:r>
        <w:rPr>
          <w:rStyle w:val="charItals"/>
        </w:rPr>
        <w:t>Note</w:t>
      </w:r>
      <w:r>
        <w:rPr>
          <w:rStyle w:val="charItals"/>
        </w:rPr>
        <w:tab/>
      </w:r>
      <w:r>
        <w:rPr>
          <w:rStyle w:val="charBoldItals"/>
        </w:rPr>
        <w:t>Residential lease</w:t>
      </w:r>
      <w:r>
        <w:t>—see the Act, s 234.</w:t>
      </w:r>
    </w:p>
    <w:p w:rsidR="00BA29FF" w:rsidRDefault="00BA29FF">
      <w:pPr>
        <w:pStyle w:val="Apara"/>
      </w:pPr>
      <w:r>
        <w:tab/>
        <w:t>(b)</w:t>
      </w:r>
      <w:r>
        <w:tab/>
        <w:t>a lease granted to a territory-owned corporation;</w:t>
      </w:r>
    </w:p>
    <w:p w:rsidR="00BA29FF" w:rsidRDefault="00BA29FF">
      <w:pPr>
        <w:pStyle w:val="Apara"/>
      </w:pPr>
      <w:r>
        <w:tab/>
        <w:t>(c)</w:t>
      </w:r>
      <w:r>
        <w:tab/>
        <w:t>a rental lease granted for commercial purposes after 1 January 1974 if the rent was paid out—</w:t>
      </w:r>
    </w:p>
    <w:p w:rsidR="00BA29FF" w:rsidRDefault="00BA29FF">
      <w:pPr>
        <w:pStyle w:val="Asubpara"/>
      </w:pPr>
      <w:r>
        <w:tab/>
        <w:t>(i)</w:t>
      </w:r>
      <w:r>
        <w:tab/>
        <w:t>in accordance with a law in force in the territory; or</w:t>
      </w:r>
    </w:p>
    <w:p w:rsidR="00BA29FF" w:rsidRDefault="00BA29FF">
      <w:pPr>
        <w:pStyle w:val="Asubpara"/>
      </w:pPr>
      <w:r>
        <w:tab/>
        <w:t>(ii)</w:t>
      </w:r>
      <w:r>
        <w:tab/>
        <w:t>by agreement between the Commonwealth or Territory and the lessee;</w:t>
      </w:r>
    </w:p>
    <w:p w:rsidR="00BA29FF" w:rsidRDefault="00BA29FF">
      <w:pPr>
        <w:pStyle w:val="aNotepar"/>
      </w:pPr>
      <w:r>
        <w:rPr>
          <w:rStyle w:val="charItals"/>
        </w:rPr>
        <w:t>Note</w:t>
      </w:r>
      <w:r>
        <w:rPr>
          <w:rStyle w:val="charItals"/>
        </w:rPr>
        <w:tab/>
      </w:r>
      <w:r>
        <w:rPr>
          <w:rStyle w:val="charBoldItals"/>
        </w:rPr>
        <w:t>Rental lease</w:t>
      </w:r>
      <w:r>
        <w:t>—see the Act, s 234.</w:t>
      </w:r>
    </w:p>
    <w:p w:rsidR="00BA29FF" w:rsidRDefault="00BA29FF">
      <w:pPr>
        <w:pStyle w:val="Apara"/>
      </w:pPr>
      <w:r>
        <w:tab/>
        <w:t>(d)</w:t>
      </w:r>
      <w:r>
        <w:tab/>
        <w:t xml:space="preserve">a lease (the </w:t>
      </w:r>
      <w:r>
        <w:rPr>
          <w:rStyle w:val="charBoldItals"/>
        </w:rPr>
        <w:t>individual lease</w:t>
      </w:r>
      <w:r>
        <w:t>) granted for no consideration if—</w:t>
      </w:r>
    </w:p>
    <w:p w:rsidR="00BA29FF" w:rsidRDefault="00BA29FF">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BA29FF" w:rsidRDefault="00BA29FF">
      <w:pPr>
        <w:pStyle w:val="Asubpara"/>
      </w:pPr>
      <w:r>
        <w:tab/>
        <w:t>(ii)</w:t>
      </w:r>
      <w:r>
        <w:tab/>
        <w:t>the person has provided infrastructure on the land leased under the head lease.</w:t>
      </w:r>
    </w:p>
    <w:p w:rsidR="00BA29FF" w:rsidRDefault="00BA29FF">
      <w:pPr>
        <w:pStyle w:val="aExamHdgss"/>
      </w:pPr>
      <w:r>
        <w:t>Examples of commercial purposes—par (c)</w:t>
      </w:r>
    </w:p>
    <w:p w:rsidR="00BA29FF" w:rsidRDefault="00BA29FF">
      <w:pPr>
        <w:pStyle w:val="aExamINumss"/>
      </w:pPr>
      <w:r>
        <w:t>1</w:t>
      </w:r>
      <w:r>
        <w:tab/>
        <w:t>industrial</w:t>
      </w:r>
    </w:p>
    <w:p w:rsidR="00BA29FF" w:rsidRDefault="00BA29FF">
      <w:pPr>
        <w:pStyle w:val="aExamINumss"/>
        <w:keepNext/>
      </w:pPr>
      <w:r>
        <w:t>2</w:t>
      </w:r>
      <w:r>
        <w:tab/>
        <w:t>business</w:t>
      </w:r>
    </w:p>
    <w:p w:rsidR="00BA29FF" w:rsidRDefault="00BA29FF">
      <w:pPr>
        <w:pStyle w:val="aNote"/>
      </w:pPr>
      <w:r>
        <w:rPr>
          <w:rStyle w:val="charItals"/>
        </w:rPr>
        <w:t>Note</w:t>
      </w:r>
      <w:r>
        <w:tab/>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BA29FF" w:rsidRDefault="00BA29FF">
      <w:pPr>
        <w:pStyle w:val="PageBreak"/>
      </w:pPr>
      <w:r>
        <w:br w:type="page"/>
      </w:r>
    </w:p>
    <w:p w:rsidR="00BA29FF" w:rsidRDefault="00BA29FF">
      <w:pPr>
        <w:pStyle w:val="AH1Chapter"/>
      </w:pPr>
      <w:bookmarkStart w:id="113" w:name="_Toc206921302"/>
      <w:r>
        <w:rPr>
          <w:rStyle w:val="CharChapNo"/>
        </w:rPr>
        <w:lastRenderedPageBreak/>
        <w:t>Chapter 7</w:t>
      </w:r>
      <w:r>
        <w:tab/>
      </w:r>
      <w:r>
        <w:rPr>
          <w:rStyle w:val="CharChapText"/>
        </w:rPr>
        <w:t>Controlled activities</w:t>
      </w:r>
      <w:bookmarkEnd w:id="113"/>
    </w:p>
    <w:p w:rsidR="00BA29FF" w:rsidRDefault="00BA29FF">
      <w:pPr>
        <w:pStyle w:val="AH5Sec"/>
      </w:pPr>
      <w:bookmarkStart w:id="114" w:name="_Toc206921303"/>
      <w:r>
        <w:rPr>
          <w:rStyle w:val="CharSectNo"/>
        </w:rPr>
        <w:t>300</w:t>
      </w:r>
      <w:r>
        <w:tab/>
        <w:t>Period for deemed refusal of application for controlled activity order—Act, s 351 (4)</w:t>
      </w:r>
      <w:bookmarkEnd w:id="114"/>
    </w:p>
    <w:p w:rsidR="00BA29FF" w:rsidRDefault="00BA29FF">
      <w:pPr>
        <w:pStyle w:val="Amainreturn"/>
      </w:pPr>
      <w:r>
        <w:t>The period is 20 working days after the day the planning and land authority receives the application under the Act, section 350.</w:t>
      </w:r>
    </w:p>
    <w:p w:rsidR="00BA29FF" w:rsidRDefault="00BA29FF">
      <w:pPr>
        <w:pStyle w:val="AH5Sec"/>
      </w:pPr>
      <w:bookmarkStart w:id="115" w:name="_Toc206921304"/>
      <w:r>
        <w:rPr>
          <w:rStyle w:val="CharSectNo"/>
        </w:rPr>
        <w:t>301</w:t>
      </w:r>
      <w:r>
        <w:tab/>
        <w:t>Time for deemed decision not to make controlled activity order—Act, s 354 (1) (b)</w:t>
      </w:r>
      <w:bookmarkEnd w:id="115"/>
    </w:p>
    <w:p w:rsidR="00BA29FF" w:rsidRDefault="00BA29FF">
      <w:pPr>
        <w:pStyle w:val="Amainreturn"/>
      </w:pPr>
      <w:r>
        <w:t>The time is 20 working days after the day the planning and land authority has given a show cause notice under the Act, division 11.3.2 (Controlled activity orders on authority’s initiative).</w:t>
      </w:r>
    </w:p>
    <w:p w:rsidR="00BA29FF" w:rsidRDefault="00BA29FF">
      <w:pPr>
        <w:pStyle w:val="PageBreak"/>
      </w:pPr>
      <w:r>
        <w:br w:type="page"/>
      </w:r>
    </w:p>
    <w:p w:rsidR="00BA29FF" w:rsidRDefault="00BA29FF">
      <w:pPr>
        <w:pStyle w:val="AH1Chapter"/>
      </w:pPr>
      <w:bookmarkStart w:id="116" w:name="_Toc206921305"/>
      <w:r>
        <w:rPr>
          <w:rStyle w:val="CharChapNo"/>
        </w:rPr>
        <w:lastRenderedPageBreak/>
        <w:t>Chapter 8</w:t>
      </w:r>
      <w:r>
        <w:tab/>
      </w:r>
      <w:r>
        <w:rPr>
          <w:rStyle w:val="CharChapText"/>
        </w:rPr>
        <w:t>Reviewable decisions</w:t>
      </w:r>
      <w:bookmarkEnd w:id="116"/>
      <w:r>
        <w:rPr>
          <w:rStyle w:val="CharChapText"/>
        </w:rPr>
        <w:t xml:space="preserve"> </w:t>
      </w:r>
    </w:p>
    <w:p w:rsidR="00BA29FF" w:rsidRDefault="00BA29FF">
      <w:pPr>
        <w:pStyle w:val="AH5Sec"/>
      </w:pPr>
      <w:bookmarkStart w:id="117" w:name="_Toc206921306"/>
      <w:r>
        <w:rPr>
          <w:rStyle w:val="CharSectNo"/>
        </w:rPr>
        <w:t>350</w:t>
      </w:r>
      <w:r>
        <w:tab/>
        <w:t>Merit track decisions exempt from third-party AAT review—Act, sch 1, item 4, col 2, par (b)</w:t>
      </w:r>
      <w:bookmarkEnd w:id="117"/>
    </w:p>
    <w:p w:rsidR="00BA29FF" w:rsidRDefault="00BA29FF">
      <w:pPr>
        <w:pStyle w:val="Amainreturn"/>
      </w:pPr>
      <w:r>
        <w:t>A development application in relation to a matter mentioned in schedule 3 (Matters exempt from third-party AAT review), part 3.2 (Merit track matters exempt from third-party AAT review) is exempt.</w:t>
      </w:r>
    </w:p>
    <w:p w:rsidR="00BA29FF" w:rsidRDefault="00BA29FF">
      <w:pPr>
        <w:pStyle w:val="AH5Sec"/>
      </w:pPr>
      <w:bookmarkStart w:id="118" w:name="_Toc206921307"/>
      <w:r>
        <w:rPr>
          <w:rStyle w:val="CharSectNo"/>
        </w:rPr>
        <w:t>351</w:t>
      </w:r>
      <w:r>
        <w:tab/>
        <w:t>Impact track decisions exempt from third-party AAT review—Act, sch 1, item 6, col 2</w:t>
      </w:r>
      <w:bookmarkEnd w:id="118"/>
    </w:p>
    <w:p w:rsidR="00BA29FF" w:rsidRDefault="00BA29FF">
      <w:pPr>
        <w:pStyle w:val="Amainreturn"/>
      </w:pPr>
      <w:r>
        <w:t>A development application in relation to a matter mentioned in schedule 3 (Matters exempt from third-party AAT review), part 3.3 (Impact track matters exempt from third-party AAT review) is exempt.</w:t>
      </w:r>
    </w:p>
    <w:p w:rsidR="00BA29FF" w:rsidRDefault="00BA29FF">
      <w:pPr>
        <w:pStyle w:val="PageBreak"/>
      </w:pPr>
      <w:r>
        <w:br w:type="page"/>
      </w:r>
    </w:p>
    <w:p w:rsidR="00BA29FF" w:rsidRDefault="00BA29FF">
      <w:pPr>
        <w:pStyle w:val="AH1Chapter"/>
      </w:pPr>
      <w:bookmarkStart w:id="119" w:name="_Toc206921308"/>
      <w:r>
        <w:rPr>
          <w:rStyle w:val="CharChapNo"/>
        </w:rPr>
        <w:lastRenderedPageBreak/>
        <w:t>Chapter 9</w:t>
      </w:r>
      <w:r>
        <w:tab/>
      </w:r>
      <w:r>
        <w:rPr>
          <w:rStyle w:val="CharChapText"/>
        </w:rPr>
        <w:t>Bushfire emergency rebuilding</w:t>
      </w:r>
      <w:bookmarkEnd w:id="119"/>
    </w:p>
    <w:p w:rsidR="00BA29FF" w:rsidRDefault="00BA29FF">
      <w:pPr>
        <w:pStyle w:val="AH5Sec"/>
      </w:pPr>
      <w:bookmarkStart w:id="120" w:name="_Toc206921309"/>
      <w:r>
        <w:rPr>
          <w:rStyle w:val="CharSectNo"/>
        </w:rPr>
        <w:t>370</w:t>
      </w:r>
      <w:r>
        <w:tab/>
        <w:t>Main object—ch 9</w:t>
      </w:r>
      <w:bookmarkEnd w:id="120"/>
    </w:p>
    <w:p w:rsidR="00BA29FF" w:rsidRDefault="00BA29FF">
      <w:pPr>
        <w:pStyle w:val="Amainreturn"/>
      </w:pPr>
      <w:r>
        <w:t>The main object of this chapter is to assist people who suffered property damage because of fires that happened during the bushfire emergency to redevelop their land.</w:t>
      </w:r>
    </w:p>
    <w:p w:rsidR="00BA29FF" w:rsidRDefault="00BA29FF">
      <w:pPr>
        <w:pStyle w:val="AH5Sec"/>
      </w:pPr>
      <w:bookmarkStart w:id="121" w:name="_Toc206921310"/>
      <w:r>
        <w:rPr>
          <w:rStyle w:val="CharSectNo"/>
        </w:rPr>
        <w:t>371</w:t>
      </w:r>
      <w:r>
        <w:tab/>
        <w:t>Definitions—ch 9</w:t>
      </w:r>
      <w:bookmarkEnd w:id="121"/>
    </w:p>
    <w:p w:rsidR="00BA29FF" w:rsidRDefault="00BA29FF">
      <w:pPr>
        <w:pStyle w:val="Amain"/>
        <w:keepNext/>
        <w:rPr>
          <w:rStyle w:val="charBoldItals"/>
          <w:b w:val="0"/>
          <w:i w:val="0"/>
        </w:rPr>
      </w:pPr>
      <w:r>
        <w:rPr>
          <w:rStyle w:val="charBoldItals"/>
          <w:b w:val="0"/>
          <w:i w:val="0"/>
        </w:rPr>
        <w:tab/>
        <w:t>(1)</w:t>
      </w:r>
      <w:r>
        <w:rPr>
          <w:rStyle w:val="charBoldItals"/>
          <w:b w:val="0"/>
          <w:i w:val="0"/>
        </w:rPr>
        <w:tab/>
        <w:t>In this part:</w:t>
      </w:r>
    </w:p>
    <w:p w:rsidR="00BA29FF" w:rsidRDefault="00BA29FF">
      <w:pPr>
        <w:pStyle w:val="aDef"/>
      </w:pPr>
      <w:r>
        <w:rPr>
          <w:rStyle w:val="charBoldItals"/>
        </w:rPr>
        <w:t>bushfire emergency</w:t>
      </w:r>
      <w:r>
        <w:t>––see section 372.</w:t>
      </w:r>
    </w:p>
    <w:p w:rsidR="00BA29FF" w:rsidRDefault="00BA29FF">
      <w:pPr>
        <w:pStyle w:val="aDef"/>
      </w:pPr>
      <w:r>
        <w:rPr>
          <w:rStyle w:val="charBoldItals"/>
        </w:rPr>
        <w:t>height</w:t>
      </w:r>
      <w:r>
        <w:t>, for a building or structure, means the reduced level of the building’s or structure’s highest point.</w:t>
      </w:r>
    </w:p>
    <w:p w:rsidR="00BA29FF" w:rsidRDefault="00BA29FF">
      <w:pPr>
        <w:pStyle w:val="aDef"/>
        <w:keepNext/>
      </w:pPr>
      <w:r>
        <w:rPr>
          <w:rStyle w:val="charBoldItals"/>
        </w:rPr>
        <w:t>fire-caused rebuilding development</w:t>
      </w:r>
      <w:r>
        <w:t>—see section 373.</w:t>
      </w:r>
    </w:p>
    <w:p w:rsidR="00BA29FF" w:rsidRDefault="00BA29FF">
      <w:pPr>
        <w:pStyle w:val="aDef"/>
      </w:pPr>
      <w:r>
        <w:rPr>
          <w:rStyle w:val="charBoldItals"/>
        </w:rPr>
        <w:t>previously approved</w:t>
      </w:r>
      <w:r>
        <w:t>—see section 374.</w:t>
      </w:r>
    </w:p>
    <w:p w:rsidR="00BA29FF" w:rsidRDefault="00BA29FF">
      <w:pPr>
        <w:pStyle w:val="Amain"/>
        <w:keepNext/>
      </w:pPr>
      <w:r>
        <w:tab/>
        <w:t>(2)</w:t>
      </w:r>
      <w:r>
        <w:tab/>
        <w:t>In this section:</w:t>
      </w:r>
    </w:p>
    <w:p w:rsidR="00BA29FF" w:rsidRDefault="00BA29FF">
      <w:pPr>
        <w:pStyle w:val="aDef"/>
      </w:pPr>
      <w:r>
        <w:rPr>
          <w:rStyle w:val="charBoldItals"/>
        </w:rPr>
        <w:t>reduced level</w:t>
      </w:r>
      <w:r>
        <w:t>—see the territory plan (13 Definitions).</w:t>
      </w:r>
    </w:p>
    <w:p w:rsidR="00BA29FF" w:rsidRDefault="00BA29FF">
      <w:pPr>
        <w:pStyle w:val="AH5Sec"/>
      </w:pPr>
      <w:bookmarkStart w:id="122" w:name="_Toc206921311"/>
      <w:r>
        <w:rPr>
          <w:rStyle w:val="CharSectNo"/>
        </w:rPr>
        <w:t>372</w:t>
      </w:r>
      <w:r>
        <w:tab/>
        <w:t xml:space="preserve">Meaning of </w:t>
      </w:r>
      <w:r>
        <w:rPr>
          <w:i/>
          <w:iCs/>
        </w:rPr>
        <w:t>bushfire emergency</w:t>
      </w:r>
      <w:r>
        <w:t>—ch 9</w:t>
      </w:r>
      <w:bookmarkEnd w:id="122"/>
    </w:p>
    <w:p w:rsidR="00BA29FF" w:rsidRDefault="00BA29FF">
      <w:pPr>
        <w:pStyle w:val="Amainreturn"/>
      </w:pPr>
      <w:r>
        <w:t xml:space="preserve">For this chapter, the </w:t>
      </w:r>
      <w:r>
        <w:rPr>
          <w:rStyle w:val="charBoldItals"/>
        </w:rPr>
        <w:t>bushfire emergency</w:t>
      </w:r>
      <w:r>
        <w:t xml:space="preserve"> is the period that began on 18 January 2003 and ended on 28 January 2003.</w:t>
      </w:r>
    </w:p>
    <w:p w:rsidR="00BA29FF" w:rsidRDefault="00BA29FF">
      <w:pPr>
        <w:pStyle w:val="AH5Sec"/>
      </w:pPr>
      <w:bookmarkStart w:id="123" w:name="_Toc206921312"/>
      <w:r>
        <w:rPr>
          <w:rStyle w:val="CharSectNo"/>
        </w:rPr>
        <w:lastRenderedPageBreak/>
        <w:t>373</w:t>
      </w:r>
      <w:r>
        <w:tab/>
        <w:t>Fire-caused rebuilding developments—ch 9</w:t>
      </w:r>
      <w:bookmarkEnd w:id="123"/>
    </w:p>
    <w:p w:rsidR="00BA29FF" w:rsidRDefault="00BA29FF">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BA29FF" w:rsidRDefault="00BA29FF">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BA29FF" w:rsidRDefault="00BA29FF">
      <w:pPr>
        <w:pStyle w:val="Apara"/>
      </w:pPr>
      <w:r>
        <w:tab/>
        <w:t>(b)</w:t>
      </w:r>
      <w:r>
        <w:tab/>
        <w:t>any building or structure to be altered was damaged during the bushfire emergency.</w:t>
      </w:r>
    </w:p>
    <w:p w:rsidR="00BA29FF" w:rsidRDefault="00BA29FF">
      <w:pPr>
        <w:pStyle w:val="Amain"/>
        <w:keepNext/>
      </w:pPr>
      <w:r>
        <w:tab/>
        <w:t>(2)</w:t>
      </w:r>
      <w:r>
        <w:tab/>
        <w:t>In this section:</w:t>
      </w:r>
    </w:p>
    <w:p w:rsidR="00BA29FF" w:rsidRDefault="00BA29FF">
      <w:pPr>
        <w:pStyle w:val="aDef"/>
      </w:pPr>
      <w:r>
        <w:rPr>
          <w:rStyle w:val="charBoldItals"/>
        </w:rPr>
        <w:t>applicable land declaration</w:t>
      </w:r>
      <w:r>
        <w:t xml:space="preserve"> means the </w:t>
      </w:r>
      <w:r>
        <w:rPr>
          <w:rStyle w:val="charItals"/>
        </w:rPr>
        <w:t>Land (Planning and Environment) Bushfire Emergency (Applicable Land) Declaration 2003 (No 2)</w:t>
      </w:r>
      <w:r>
        <w:t xml:space="preserve"> (NI2003-114).</w:t>
      </w:r>
    </w:p>
    <w:p w:rsidR="00BA29FF" w:rsidRDefault="00BA29FF">
      <w:pPr>
        <w:pStyle w:val="AH5Sec"/>
      </w:pPr>
      <w:bookmarkStart w:id="124" w:name="_Toc206921313"/>
      <w:r>
        <w:rPr>
          <w:rStyle w:val="CharSectNo"/>
        </w:rPr>
        <w:t>374</w:t>
      </w:r>
      <w:r>
        <w:tab/>
        <w:t>Previous approval—ch 9</w:t>
      </w:r>
      <w:bookmarkEnd w:id="124"/>
    </w:p>
    <w:p w:rsidR="00BA29FF" w:rsidRDefault="00BA29FF">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BA29FF" w:rsidRDefault="00BA29FF">
      <w:pPr>
        <w:pStyle w:val="Amain"/>
      </w:pPr>
      <w:r>
        <w:tab/>
        <w:t>(2)</w:t>
      </w:r>
      <w:r>
        <w:tab/>
        <w:t xml:space="preserve">However, a development, or a design or siting feature, is not </w:t>
      </w:r>
      <w:r>
        <w:rPr>
          <w:rStyle w:val="charBoldItals"/>
        </w:rPr>
        <w:t>previously approved</w:t>
      </w:r>
      <w:r>
        <w:t xml:space="preserve"> if—</w:t>
      </w:r>
    </w:p>
    <w:p w:rsidR="00BA29FF" w:rsidRDefault="00BA29FF">
      <w:pPr>
        <w:pStyle w:val="Apara"/>
      </w:pPr>
      <w:r>
        <w:tab/>
        <w:t>(a)</w:t>
      </w:r>
      <w:r>
        <w:tab/>
        <w:t>the approval was given under the Land Act, division 6.2 for the development or feature before the beginning of the bushfire emergency; and</w:t>
      </w:r>
    </w:p>
    <w:p w:rsidR="00BA29FF" w:rsidRDefault="00BA29FF">
      <w:pPr>
        <w:pStyle w:val="Apara"/>
        <w:keepNext/>
        <w:keepLines/>
      </w:pPr>
      <w:r>
        <w:lastRenderedPageBreak/>
        <w:tab/>
        <w:t>(b)</w:t>
      </w:r>
      <w:r>
        <w:tab/>
        <w:t>immediately before the beginning of the bushfire emergency—</w:t>
      </w:r>
    </w:p>
    <w:p w:rsidR="00BA29FF" w:rsidRDefault="00BA29FF">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BA29FF" w:rsidRDefault="00BA29FF">
      <w:pPr>
        <w:pStyle w:val="Asubpara"/>
      </w:pPr>
      <w:r>
        <w:tab/>
        <w:t>(ii)</w:t>
      </w:r>
      <w:r>
        <w:tab/>
        <w:t>an application to the tribunal for a review of the decision had been made and the application had not been finally disposed of by the tribunal.</w:t>
      </w:r>
    </w:p>
    <w:p w:rsidR="00BA29FF" w:rsidRDefault="00BA29FF">
      <w:pPr>
        <w:pStyle w:val="Amain"/>
        <w:keepNext/>
      </w:pPr>
      <w:r>
        <w:tab/>
        <w:t>(3)</w:t>
      </w:r>
      <w:r>
        <w:tab/>
        <w:t>In this section:</w:t>
      </w:r>
    </w:p>
    <w:p w:rsidR="00BA29FF" w:rsidRDefault="00BA29FF">
      <w:pPr>
        <w:pStyle w:val="aDef"/>
        <w:keepNext/>
      </w:pPr>
      <w:r>
        <w:rPr>
          <w:rStyle w:val="charBoldItals"/>
        </w:rPr>
        <w:t>design or siting feature</w:t>
      </w:r>
      <w:r>
        <w:t>, of a building or structure, means—</w:t>
      </w:r>
    </w:p>
    <w:p w:rsidR="00BA29FF" w:rsidRDefault="00BA29FF">
      <w:pPr>
        <w:pStyle w:val="aDefpara"/>
      </w:pPr>
      <w:r>
        <w:tab/>
        <w:t>(a)</w:t>
      </w:r>
      <w:r>
        <w:tab/>
        <w:t>its height or gross floor area; or</w:t>
      </w:r>
    </w:p>
    <w:p w:rsidR="00BA29FF" w:rsidRDefault="00BA29FF">
      <w:pPr>
        <w:pStyle w:val="aDefpara"/>
      </w:pPr>
      <w:r>
        <w:tab/>
        <w:t>(b)</w:t>
      </w:r>
      <w:r>
        <w:tab/>
        <w:t>a dwelling or dwellings for which it is used; or</w:t>
      </w:r>
    </w:p>
    <w:p w:rsidR="00BA29FF" w:rsidRDefault="00BA29FF">
      <w:pPr>
        <w:pStyle w:val="aDefpara"/>
        <w:keepNext/>
      </w:pPr>
      <w:r>
        <w:tab/>
        <w:t>(c)</w:t>
      </w:r>
      <w:r>
        <w:tab/>
        <w:t>its setbacks.</w:t>
      </w:r>
    </w:p>
    <w:p w:rsidR="00BA29FF" w:rsidRDefault="00BA29FF">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BA29FF" w:rsidRDefault="00BA29FF">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BA29FF" w:rsidRDefault="00BA29FF">
      <w:pPr>
        <w:pStyle w:val="AH5Sec"/>
      </w:pPr>
      <w:bookmarkStart w:id="125" w:name="_Toc206921314"/>
      <w:r>
        <w:rPr>
          <w:rStyle w:val="CharSectNo"/>
        </w:rPr>
        <w:t>375</w:t>
      </w:r>
      <w:r>
        <w:tab/>
        <w:t xml:space="preserve">Rebuilding in accordance with previous approvals—Act, s 133, def </w:t>
      </w:r>
      <w:r>
        <w:rPr>
          <w:i/>
          <w:iCs/>
        </w:rPr>
        <w:t>exempt development</w:t>
      </w:r>
      <w:r>
        <w:t>, par (c)</w:t>
      </w:r>
      <w:bookmarkEnd w:id="125"/>
    </w:p>
    <w:p w:rsidR="00BA29FF" w:rsidRDefault="00BA29FF">
      <w:pPr>
        <w:pStyle w:val="Amain"/>
      </w:pPr>
      <w:r>
        <w:tab/>
        <w:t>(1)</w:t>
      </w:r>
      <w:r>
        <w:tab/>
        <w:t>A fire-caused rebuilding development is an exempt development if—</w:t>
      </w:r>
    </w:p>
    <w:p w:rsidR="00BA29FF" w:rsidRDefault="00BA29FF">
      <w:pPr>
        <w:pStyle w:val="Apara"/>
      </w:pPr>
      <w:r>
        <w:tab/>
        <w:t>(a)</w:t>
      </w:r>
      <w:r>
        <w:tab/>
        <w:t>the development has been previously approved, whether or not any development in accordance with the approval has ever been undertaken; and</w:t>
      </w:r>
    </w:p>
    <w:p w:rsidR="00BA29FF" w:rsidRDefault="00BA29FF">
      <w:pPr>
        <w:pStyle w:val="Apara"/>
        <w:keepNext/>
      </w:pPr>
      <w:r>
        <w:tab/>
        <w:t>(b)</w:t>
      </w:r>
      <w:r>
        <w:tab/>
        <w:t>the development would not result in any of the following:</w:t>
      </w:r>
    </w:p>
    <w:p w:rsidR="00BA29FF" w:rsidRDefault="00BA29FF">
      <w:pPr>
        <w:pStyle w:val="Asubpara"/>
      </w:pPr>
      <w:r>
        <w:tab/>
        <w:t>(i)</w:t>
      </w:r>
      <w:r>
        <w:tab/>
        <w:t xml:space="preserve">the height of any new or altered building or structure being greater than the previously approved height of the building or structure that is replaced or altered; </w:t>
      </w:r>
    </w:p>
    <w:p w:rsidR="00BA29FF" w:rsidRDefault="00BA29FF">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BA29FF" w:rsidRDefault="00BA29FF">
      <w:pPr>
        <w:pStyle w:val="Asubpara"/>
      </w:pPr>
      <w:r>
        <w:tab/>
        <w:t>(iii)</w:t>
      </w:r>
      <w:r>
        <w:tab/>
        <w:t xml:space="preserve">any new or altered building or structure being used for a greater number of dwellings than were previously approved; </w:t>
      </w:r>
    </w:p>
    <w:p w:rsidR="00BA29FF" w:rsidRDefault="00BA29FF">
      <w:pPr>
        <w:pStyle w:val="Asubpara"/>
        <w:keepNext/>
      </w:pPr>
      <w:r>
        <w:tab/>
        <w:t>(iv)</w:t>
      </w:r>
      <w:r>
        <w:tab/>
        <w:t>the setbacks for any new or altered building or structure not complying with the lesser of the following:</w:t>
      </w:r>
    </w:p>
    <w:p w:rsidR="00BA29FF" w:rsidRDefault="00BA29FF">
      <w:pPr>
        <w:pStyle w:val="Asubsubpara"/>
      </w:pPr>
      <w:r>
        <w:tab/>
        <w:t>(A)</w:t>
      </w:r>
      <w:r>
        <w:tab/>
        <w:t xml:space="preserve">the setbacks under </w:t>
      </w:r>
      <w:r>
        <w:rPr>
          <w:lang w:val="en-US"/>
        </w:rPr>
        <w:t>Residential Zones—Single Dwelling Housing Development Code;</w:t>
      </w:r>
    </w:p>
    <w:p w:rsidR="00BA29FF" w:rsidRDefault="00BA29FF">
      <w:pPr>
        <w:pStyle w:val="Asubsubpara"/>
      </w:pPr>
      <w:r>
        <w:tab/>
        <w:t>(B)</w:t>
      </w:r>
      <w:r>
        <w:tab/>
        <w:t>any setbacks that were previously approved for the building or structure that is replaced or altered; and</w:t>
      </w:r>
    </w:p>
    <w:p w:rsidR="00BA29FF" w:rsidRDefault="00BA29FF">
      <w:pPr>
        <w:pStyle w:val="Apara"/>
      </w:pPr>
      <w:r>
        <w:tab/>
        <w:t>(c)</w:t>
      </w:r>
      <w:r>
        <w:tab/>
        <w:t>the lessee of the land to which the development relates is the lessee of the land at the beginning of the bushfire emergency; and</w:t>
      </w:r>
    </w:p>
    <w:p w:rsidR="00BA29FF" w:rsidRDefault="00BA29FF">
      <w:pPr>
        <w:pStyle w:val="Apara"/>
        <w:keepNext/>
      </w:pPr>
      <w:r>
        <w:tab/>
        <w:t>(d)</w:t>
      </w:r>
      <w:r>
        <w:tab/>
        <w:t>before the development commences, the lessee gives the following to the planning and land authority:</w:t>
      </w:r>
    </w:p>
    <w:p w:rsidR="00BA29FF" w:rsidRDefault="00BA29FF">
      <w:pPr>
        <w:pStyle w:val="Asubpara"/>
      </w:pPr>
      <w:r>
        <w:tab/>
        <w:t>(i)</w:t>
      </w:r>
      <w:r>
        <w:tab/>
        <w:t>notice in writing of when the development will commence;</w:t>
      </w:r>
    </w:p>
    <w:p w:rsidR="00BA29FF" w:rsidRDefault="00BA29FF">
      <w:pPr>
        <w:pStyle w:val="Asubpara"/>
      </w:pPr>
      <w:r>
        <w:tab/>
        <w:t>(ii)</w:t>
      </w:r>
      <w:r>
        <w:tab/>
        <w:t xml:space="preserve">a plan of the development; </w:t>
      </w:r>
    </w:p>
    <w:p w:rsidR="00BA29FF" w:rsidRDefault="00BA29FF">
      <w:pPr>
        <w:pStyle w:val="Asubpara"/>
      </w:pPr>
      <w:r>
        <w:tab/>
        <w:t>(iii)</w:t>
      </w:r>
      <w:r>
        <w:tab/>
        <w:t xml:space="preserve">a written statement by a certifier that the development shown on the plan will not result in any of the matters mentioned in paragraph (b); and </w:t>
      </w:r>
    </w:p>
    <w:p w:rsidR="00BA29FF" w:rsidRDefault="00BA29FF">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BA29FF" w:rsidRDefault="00BA29FF">
      <w:pPr>
        <w:pStyle w:val="Amain"/>
        <w:keepNext/>
      </w:pPr>
      <w:r>
        <w:lastRenderedPageBreak/>
        <w:tab/>
        <w:t>(2)</w:t>
      </w:r>
      <w:r>
        <w:tab/>
        <w:t>In this section:</w:t>
      </w:r>
    </w:p>
    <w:p w:rsidR="00BA29FF" w:rsidRDefault="00BA29FF">
      <w:pPr>
        <w:pStyle w:val="aDef"/>
      </w:pPr>
      <w:r>
        <w:rPr>
          <w:rStyle w:val="charBoldItals"/>
        </w:rPr>
        <w:t>certifier</w:t>
      </w:r>
      <w:r>
        <w:t xml:space="preserve"> means a certifier within the meaning of the </w:t>
      </w:r>
      <w:r>
        <w:rPr>
          <w:rStyle w:val="charItals"/>
        </w:rPr>
        <w:t>Building Act 2004</w:t>
      </w:r>
      <w:r>
        <w:t>.</w:t>
      </w:r>
    </w:p>
    <w:p w:rsidR="00BA29FF" w:rsidRDefault="00BA29FF">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BA29FF" w:rsidRDefault="00BA29FF">
      <w:pPr>
        <w:pStyle w:val="PageBreak"/>
      </w:pPr>
      <w:r>
        <w:br w:type="page"/>
      </w:r>
    </w:p>
    <w:p w:rsidR="00BA29FF" w:rsidRDefault="00BA29FF">
      <w:pPr>
        <w:pStyle w:val="AH1Chapter"/>
      </w:pPr>
      <w:bookmarkStart w:id="126" w:name="_Toc206921315"/>
      <w:r>
        <w:rPr>
          <w:rStyle w:val="CharChapNo"/>
        </w:rPr>
        <w:lastRenderedPageBreak/>
        <w:t>Chapter 10</w:t>
      </w:r>
      <w:r>
        <w:tab/>
      </w:r>
      <w:r>
        <w:rPr>
          <w:rStyle w:val="CharChapText"/>
        </w:rPr>
        <w:t>Miscellaneous</w:t>
      </w:r>
      <w:bookmarkEnd w:id="126"/>
    </w:p>
    <w:p w:rsidR="00BA29FF" w:rsidRDefault="00BA29FF">
      <w:pPr>
        <w:pStyle w:val="AH5Sec"/>
      </w:pPr>
      <w:bookmarkStart w:id="127" w:name="_Toc206921316"/>
      <w:r>
        <w:rPr>
          <w:rStyle w:val="CharSectNo"/>
        </w:rPr>
        <w:t>400</w:t>
      </w:r>
      <w:r>
        <w:tab/>
        <w:t>Disapplication of Legislation Act, s 47 (5) and (6)—regulation</w:t>
      </w:r>
      <w:bookmarkEnd w:id="127"/>
      <w:r>
        <w:t xml:space="preserve"> </w:t>
      </w:r>
    </w:p>
    <w:p w:rsidR="00BA29FF" w:rsidRDefault="00BA29FF">
      <w:pPr>
        <w:pStyle w:val="Amain"/>
        <w:keepNext/>
      </w:pPr>
      <w:r>
        <w:tab/>
        <w:t>(1)</w:t>
      </w:r>
      <w:r>
        <w:tab/>
        <w:t>The Legislation Act, section 47 (5) does not apply to the following:</w:t>
      </w:r>
    </w:p>
    <w:p w:rsidR="00BA29FF" w:rsidRDefault="00BA29FF">
      <w:pPr>
        <w:pStyle w:val="Apara"/>
      </w:pPr>
      <w:r>
        <w:tab/>
        <w:t>(a)</w:t>
      </w:r>
      <w:r>
        <w:tab/>
        <w:t xml:space="preserve">the City West precinct deed; </w:t>
      </w:r>
    </w:p>
    <w:p w:rsidR="00BA29FF" w:rsidRDefault="00BA29FF">
      <w:pPr>
        <w:pStyle w:val="Apara"/>
      </w:pPr>
      <w:r>
        <w:tab/>
        <w:t>(b)</w:t>
      </w:r>
      <w:r>
        <w:tab/>
        <w:t>the street furniture agreement.</w:t>
      </w:r>
    </w:p>
    <w:p w:rsidR="00BA29FF" w:rsidRDefault="00BA29FF">
      <w:pPr>
        <w:pStyle w:val="Amain"/>
        <w:keepNext/>
      </w:pPr>
      <w:r>
        <w:tab/>
        <w:t>(2)</w:t>
      </w:r>
      <w:r>
        <w:tab/>
        <w:t xml:space="preserve">The Legislation Act, section 47 (6) does not apply to </w:t>
      </w:r>
      <w:r>
        <w:rPr>
          <w:snapToGrid w:val="0"/>
        </w:rPr>
        <w:t>the following:</w:t>
      </w:r>
    </w:p>
    <w:p w:rsidR="00BA29FF" w:rsidRDefault="00BA29FF">
      <w:pPr>
        <w:pStyle w:val="Apara"/>
      </w:pPr>
      <w:r>
        <w:tab/>
        <w:t>(a)</w:t>
      </w:r>
      <w:r>
        <w:tab/>
      </w:r>
      <w:r>
        <w:rPr>
          <w:rStyle w:val="charItals"/>
        </w:rPr>
        <w:t>All Groups Consumer Price Index</w:t>
      </w:r>
      <w:r>
        <w:t>;</w:t>
      </w:r>
    </w:p>
    <w:p w:rsidR="00BA29FF" w:rsidRDefault="00BA29FF">
      <w:pPr>
        <w:pStyle w:val="Apara"/>
      </w:pPr>
      <w:r>
        <w:tab/>
        <w:t>(b)</w:t>
      </w:r>
      <w:r>
        <w:tab/>
        <w:t>AS 1742 (</w:t>
      </w:r>
      <w:r>
        <w:rPr>
          <w:rStyle w:val="charItals"/>
        </w:rPr>
        <w:t>Manual of Uniform Traffic Control Devices</w:t>
      </w:r>
      <w:r>
        <w:t>);</w:t>
      </w:r>
    </w:p>
    <w:p w:rsidR="00BA29FF" w:rsidRDefault="00BA29FF">
      <w:pPr>
        <w:pStyle w:val="Apara"/>
      </w:pPr>
      <w:r>
        <w:tab/>
        <w:t>(c)</w:t>
      </w:r>
      <w:r>
        <w:tab/>
        <w:t>AS/NZS 3500 (</w:t>
      </w:r>
      <w:r>
        <w:rPr>
          <w:rStyle w:val="charItals"/>
        </w:rPr>
        <w:t>Plumbing and Drainage Set</w:t>
      </w:r>
      <w:r>
        <w:t>);</w:t>
      </w:r>
    </w:p>
    <w:p w:rsidR="00BA29FF" w:rsidRDefault="00BA29FF">
      <w:pPr>
        <w:pStyle w:val="Apara"/>
      </w:pPr>
      <w:r>
        <w:tab/>
        <w:t>(d)</w:t>
      </w:r>
      <w:r>
        <w:tab/>
        <w:t>AS/NZS 3845 (</w:t>
      </w:r>
      <w:r>
        <w:rPr>
          <w:rStyle w:val="charItals"/>
        </w:rPr>
        <w:t>Road Safety Barrier Systems</w:t>
      </w:r>
      <w:r>
        <w:t xml:space="preserve">); </w:t>
      </w:r>
    </w:p>
    <w:p w:rsidR="00BA29FF" w:rsidRDefault="00BA29FF">
      <w:pPr>
        <w:pStyle w:val="Apara"/>
      </w:pPr>
      <w:r>
        <w:tab/>
        <w:t>(e)</w:t>
      </w:r>
      <w:r>
        <w:tab/>
        <w:t xml:space="preserve">a technical code under the </w:t>
      </w:r>
      <w:r>
        <w:rPr>
          <w:rStyle w:val="charItals"/>
        </w:rPr>
        <w:t>Utilities Act 2000</w:t>
      </w:r>
      <w:r>
        <w:t>;</w:t>
      </w:r>
    </w:p>
    <w:p w:rsidR="00BA29FF" w:rsidRDefault="00BA29FF">
      <w:pPr>
        <w:pStyle w:val="Apara"/>
        <w:keepNext/>
      </w:pPr>
      <w:r>
        <w:tab/>
        <w:t>(f)</w:t>
      </w:r>
      <w:r>
        <w:tab/>
        <w:t>a utility rule.</w:t>
      </w:r>
    </w:p>
    <w:p w:rsidR="00BA29FF" w:rsidRDefault="00BA29FF">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BA29FF" w:rsidRDefault="00BA29FF">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BA29FF" w:rsidRDefault="00BA29FF">
      <w:pPr>
        <w:pStyle w:val="Amain"/>
        <w:keepNext/>
      </w:pPr>
      <w:r>
        <w:tab/>
        <w:t>(3)</w:t>
      </w:r>
      <w:r>
        <w:tab/>
        <w:t>In this section:</w:t>
      </w:r>
    </w:p>
    <w:p w:rsidR="00BA29FF" w:rsidRDefault="00BA29FF">
      <w:pPr>
        <w:pStyle w:val="aDef"/>
      </w:pPr>
      <w:r>
        <w:rPr>
          <w:rStyle w:val="charBoldItals"/>
        </w:rPr>
        <w:t>City West precinct deed</w:t>
      </w:r>
      <w:r>
        <w:t xml:space="preserve">—see section </w:t>
      </w:r>
      <w:r>
        <w:rPr>
          <w:iCs/>
        </w:rPr>
        <w:t>100</w:t>
      </w:r>
      <w:r>
        <w:t>.</w:t>
      </w:r>
    </w:p>
    <w:p w:rsidR="00BA29FF" w:rsidRDefault="00BA29FF">
      <w:pPr>
        <w:pStyle w:val="aDef"/>
      </w:pPr>
      <w:r>
        <w:rPr>
          <w:rStyle w:val="charBoldItals"/>
        </w:rPr>
        <w:t>street furniture agreement</w:t>
      </w:r>
      <w:r>
        <w:t>—see schedule 1 (Exemptions from requirement for development approval), section 1.90 (2).</w:t>
      </w:r>
    </w:p>
    <w:p w:rsidR="00BA29FF" w:rsidRDefault="00BA29FF">
      <w:pPr>
        <w:pStyle w:val="aDef"/>
      </w:pPr>
      <w:r>
        <w:rPr>
          <w:rStyle w:val="charBoldItals"/>
        </w:rPr>
        <w:t>utility rule</w:t>
      </w:r>
      <w:r>
        <w:t>—see schedule 1 (Exemptions from requirement for development approval), section 1.11.</w:t>
      </w:r>
    </w:p>
    <w:p w:rsidR="00BA29FF" w:rsidRDefault="00BA29FF">
      <w:pPr>
        <w:pStyle w:val="AH5Sec"/>
      </w:pPr>
      <w:bookmarkStart w:id="128" w:name="_Toc206921317"/>
      <w:r>
        <w:rPr>
          <w:rStyle w:val="CharSectNo"/>
        </w:rPr>
        <w:lastRenderedPageBreak/>
        <w:t>401</w:t>
      </w:r>
      <w:r>
        <w:tab/>
        <w:t>Disapplication of Legislation Act, s 47 (6) for certain territory plan instruments—Act, s 422A (1)</w:t>
      </w:r>
      <w:bookmarkEnd w:id="128"/>
    </w:p>
    <w:p w:rsidR="00BA29FF" w:rsidRDefault="00BA29FF">
      <w:pPr>
        <w:pStyle w:val="Amainreturn"/>
      </w:pPr>
      <w:r>
        <w:t>An instrument mentioned in schedule 4 (Prescribed territory plan instruments) is prescribed.</w:t>
      </w:r>
    </w:p>
    <w:p w:rsidR="00BA29FF" w:rsidRDefault="00BA29FF">
      <w:pPr>
        <w:pStyle w:val="AH5Sec"/>
      </w:pPr>
      <w:bookmarkStart w:id="129" w:name="_Toc206921318"/>
      <w:r>
        <w:rPr>
          <w:rStyle w:val="CharSectNo"/>
        </w:rPr>
        <w:t>402</w:t>
      </w:r>
      <w:r>
        <w:tab/>
        <w:t>Expiry of City West precinct provisions</w:t>
      </w:r>
      <w:bookmarkEnd w:id="129"/>
    </w:p>
    <w:p w:rsidR="00BA29FF" w:rsidRDefault="00BA29FF">
      <w:pPr>
        <w:pStyle w:val="Amainreturn"/>
        <w:keepNext/>
      </w:pPr>
      <w:r>
        <w:t>This section and the following provisions expire on 5 April 2015:</w:t>
      </w:r>
    </w:p>
    <w:p w:rsidR="00BA29FF" w:rsidRDefault="00BA29FF">
      <w:pPr>
        <w:pStyle w:val="Apara"/>
      </w:pPr>
      <w:r>
        <w:tab/>
        <w:t>(a)</w:t>
      </w:r>
      <w:r>
        <w:tab/>
        <w:t>section </w:t>
      </w:r>
      <w:r>
        <w:rPr>
          <w:iCs/>
        </w:rPr>
        <w:t>100</w:t>
      </w:r>
      <w:r>
        <w:t xml:space="preserve">,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BA29FF" w:rsidRDefault="00BA29FF">
      <w:pPr>
        <w:pStyle w:val="Apara"/>
      </w:pPr>
      <w:r>
        <w:tab/>
        <w:t>(b)</w:t>
      </w:r>
      <w:r>
        <w:tab/>
        <w:t xml:space="preserve">section 102 (Meaning of </w:t>
      </w:r>
      <w:r>
        <w:rPr>
          <w:rStyle w:val="charItals"/>
        </w:rPr>
        <w:t>City West precinct</w:t>
      </w:r>
      <w:r>
        <w:t>—pt 5.1);</w:t>
      </w:r>
    </w:p>
    <w:p w:rsidR="00BA29FF" w:rsidRDefault="00BA29FF">
      <w:pPr>
        <w:pStyle w:val="Apara"/>
      </w:pPr>
      <w:r>
        <w:tab/>
        <w:t>(c)</w:t>
      </w:r>
      <w:r>
        <w:tab/>
        <w:t>section 105 (d) (Direct sales requiring approval by Executive—Act, s 240 (1) (a));</w:t>
      </w:r>
    </w:p>
    <w:p w:rsidR="00BA29FF" w:rsidRDefault="00BA29FF">
      <w:pPr>
        <w:pStyle w:val="Apara"/>
      </w:pPr>
      <w:r>
        <w:tab/>
        <w:t>(d)</w:t>
      </w:r>
      <w:r>
        <w:tab/>
        <w:t>section 107 (2) (Direct sale criteria for Commonwealth entities—Act, s 240 (1) (a) (i));</w:t>
      </w:r>
    </w:p>
    <w:p w:rsidR="00BA29FF" w:rsidRDefault="00BA29FF">
      <w:pPr>
        <w:pStyle w:val="Apara"/>
      </w:pPr>
      <w:r>
        <w:tab/>
        <w:t>(e)</w:t>
      </w:r>
      <w:r>
        <w:tab/>
        <w:t>section 108 (4) (Direct sale criteria for non-government educational establishments—Act, s 240 (1) (a) (i));</w:t>
      </w:r>
    </w:p>
    <w:p w:rsidR="00BA29FF" w:rsidRDefault="00BA29FF">
      <w:pPr>
        <w:pStyle w:val="Apara"/>
      </w:pPr>
      <w:r>
        <w:tab/>
        <w:t>(f)</w:t>
      </w:r>
      <w:r>
        <w:tab/>
        <w:t>section 111 (Direct sale criteria for City West precinct land for Australian National University—Act, s 240 (1) (a) (i));</w:t>
      </w:r>
    </w:p>
    <w:p w:rsidR="00BA29FF" w:rsidRDefault="00BA29FF">
      <w:pPr>
        <w:pStyle w:val="Apara"/>
      </w:pPr>
      <w:r>
        <w:tab/>
        <w:t>(g)</w:t>
      </w:r>
      <w:r>
        <w:tab/>
        <w:t>section 400 (1) (a) and (3);</w:t>
      </w:r>
    </w:p>
    <w:p w:rsidR="00BA29FF" w:rsidRDefault="00BA29FF">
      <w:pPr>
        <w:pStyle w:val="Apara"/>
      </w:pPr>
      <w:r>
        <w:tab/>
        <w:t>(h)</w:t>
      </w:r>
      <w:r>
        <w:tab/>
        <w:t xml:space="preserve">dictionary,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BA29FF" w:rsidRDefault="00BA29FF">
      <w:pPr>
        <w:pStyle w:val="AH5Sec"/>
      </w:pPr>
      <w:bookmarkStart w:id="130" w:name="_Toc206921319"/>
      <w:r>
        <w:rPr>
          <w:rStyle w:val="CharSectNo"/>
        </w:rPr>
        <w:t>403</w:t>
      </w:r>
      <w:r>
        <w:tab/>
        <w:t>Securing things seized under the Act, pt 12.3</w:t>
      </w:r>
      <w:bookmarkEnd w:id="130"/>
    </w:p>
    <w:p w:rsidR="00BA29FF" w:rsidRDefault="00BA29FF">
      <w:pPr>
        <w:pStyle w:val="Amain"/>
      </w:pPr>
      <w:r>
        <w:tab/>
        <w:t>(1)</w:t>
      </w:r>
      <w:r>
        <w:tab/>
        <w:t>This section applies to a thing seized by an inspector under the Act, part 12.3 (Powers of inspectors).</w:t>
      </w:r>
    </w:p>
    <w:p w:rsidR="00BA29FF" w:rsidRDefault="00BA29FF">
      <w:pPr>
        <w:pStyle w:val="Amain"/>
      </w:pPr>
      <w:r>
        <w:tab/>
        <w:t>(2)</w:t>
      </w:r>
      <w:r>
        <w:tab/>
        <w:t>The inspector may—</w:t>
      </w:r>
    </w:p>
    <w:p w:rsidR="00BA29FF" w:rsidRDefault="00BA29FF">
      <w:pPr>
        <w:pStyle w:val="Apara"/>
      </w:pPr>
      <w:r>
        <w:tab/>
        <w:t>(a)</w:t>
      </w:r>
      <w:r>
        <w:tab/>
        <w:t xml:space="preserve">remove the thing from the premises where it was seized (the </w:t>
      </w:r>
      <w:r>
        <w:rPr>
          <w:rStyle w:val="charBoldItals"/>
        </w:rPr>
        <w:t>place of seizure</w:t>
      </w:r>
      <w:r>
        <w:t>) to another place; or</w:t>
      </w:r>
    </w:p>
    <w:p w:rsidR="00BA29FF" w:rsidRDefault="00BA29FF">
      <w:pPr>
        <w:pStyle w:val="Apara"/>
      </w:pPr>
      <w:r>
        <w:lastRenderedPageBreak/>
        <w:tab/>
        <w:t>(b)</w:t>
      </w:r>
      <w:r>
        <w:tab/>
        <w:t>leave the thing at the place of seizure but restrict access to it.</w:t>
      </w:r>
    </w:p>
    <w:p w:rsidR="00BA29FF" w:rsidRDefault="00BA29FF">
      <w:pPr>
        <w:pStyle w:val="Amain"/>
      </w:pPr>
      <w:r>
        <w:tab/>
        <w:t>(3)</w:t>
      </w:r>
      <w:r>
        <w:tab/>
        <w:t>A person commits an offence if—</w:t>
      </w:r>
    </w:p>
    <w:p w:rsidR="00BA29FF" w:rsidRDefault="00BA29FF">
      <w:pPr>
        <w:pStyle w:val="Apara"/>
      </w:pPr>
      <w:r>
        <w:tab/>
        <w:t>(a)</w:t>
      </w:r>
      <w:r>
        <w:tab/>
        <w:t>the person interferes with a seized thing, or anything containing a seized thing, to which access has been restricted under subsection (2); and</w:t>
      </w:r>
    </w:p>
    <w:p w:rsidR="00BA29FF" w:rsidRDefault="00BA29FF">
      <w:pPr>
        <w:pStyle w:val="Apara"/>
      </w:pPr>
      <w:r>
        <w:tab/>
        <w:t>(b)</w:t>
      </w:r>
      <w:r>
        <w:tab/>
        <w:t>the person does not have an inspector’s approval to interfere with the thing.</w:t>
      </w:r>
    </w:p>
    <w:p w:rsidR="00BA29FF" w:rsidRDefault="00BA29FF">
      <w:pPr>
        <w:pStyle w:val="Amainreturn"/>
        <w:keepNext/>
      </w:pPr>
      <w:r>
        <w:t>Maximum penalty:  10 penalty units.</w:t>
      </w:r>
    </w:p>
    <w:p w:rsidR="00BA29FF" w:rsidRDefault="00BA29FF">
      <w:pPr>
        <w:pStyle w:val="Amain"/>
      </w:pPr>
      <w:r>
        <w:tab/>
        <w:t>(4)</w:t>
      </w:r>
      <w:r>
        <w:tab/>
        <w:t>An offence against this section is a strict liability offence.</w:t>
      </w:r>
    </w:p>
    <w:p w:rsidR="00BA29FF" w:rsidRDefault="00BA29FF">
      <w:pPr>
        <w:pStyle w:val="AH5Sec"/>
      </w:pPr>
      <w:bookmarkStart w:id="131" w:name="_Toc206921320"/>
      <w:r>
        <w:rPr>
          <w:rStyle w:val="CharSectNo"/>
        </w:rPr>
        <w:t>410</w:t>
      </w:r>
      <w:r>
        <w:tab/>
        <w:t>Modification of Act, ch 15—Act, s 429</w:t>
      </w:r>
      <w:bookmarkEnd w:id="131"/>
    </w:p>
    <w:p w:rsidR="00BA29FF" w:rsidRDefault="00BA29FF">
      <w:pPr>
        <w:pStyle w:val="Amain"/>
      </w:pPr>
      <w:r>
        <w:tab/>
        <w:t>(1)</w:t>
      </w:r>
      <w:r>
        <w:tab/>
        <w:t>The Act, chapter 15 is modified by schedule 20.</w:t>
      </w:r>
    </w:p>
    <w:p w:rsidR="00BA29FF" w:rsidRDefault="00BA29FF">
      <w:pPr>
        <w:pStyle w:val="Amain"/>
      </w:pPr>
      <w:r>
        <w:tab/>
        <w:t>(2)</w:t>
      </w:r>
      <w:r>
        <w:tab/>
        <w:t>This section, and schedule 20, expire on 31 March 2010.</w:t>
      </w:r>
    </w:p>
    <w:p w:rsidR="00BA29FF" w:rsidRDefault="00BA29FF">
      <w:pPr>
        <w:pStyle w:val="02Text"/>
        <w:sectPr w:rsidR="00BA29FF">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BA29FF" w:rsidRDefault="00BA29FF">
      <w:pPr>
        <w:pStyle w:val="PageBreak"/>
      </w:pPr>
      <w:r>
        <w:br w:type="page"/>
      </w:r>
    </w:p>
    <w:p w:rsidR="00BA29FF" w:rsidRDefault="00BA29FF">
      <w:pPr>
        <w:pStyle w:val="Sched-heading"/>
      </w:pPr>
      <w:bookmarkStart w:id="132" w:name="_Toc206921321"/>
      <w:r>
        <w:rPr>
          <w:rStyle w:val="CharChapNo"/>
        </w:rPr>
        <w:lastRenderedPageBreak/>
        <w:t>Schedule 1</w:t>
      </w:r>
      <w:r>
        <w:tab/>
      </w:r>
      <w:r>
        <w:rPr>
          <w:rStyle w:val="CharChapText"/>
        </w:rPr>
        <w:t>Exemptions from requirement for development approval</w:t>
      </w:r>
      <w:bookmarkEnd w:id="132"/>
    </w:p>
    <w:p w:rsidR="00BA29FF" w:rsidRDefault="00BA29FF">
      <w:pPr>
        <w:pStyle w:val="ref"/>
        <w:spacing w:after="120"/>
      </w:pPr>
      <w:r>
        <w:t>(see s 20 (1))</w:t>
      </w:r>
    </w:p>
    <w:p w:rsidR="00BA29FF" w:rsidRDefault="00BA29FF">
      <w:pPr>
        <w:pStyle w:val="Sched-Part"/>
      </w:pPr>
      <w:bookmarkStart w:id="133" w:name="_Toc206921322"/>
      <w:r>
        <w:rPr>
          <w:rStyle w:val="CharPartNo"/>
        </w:rPr>
        <w:t>Part 1.1</w:t>
      </w:r>
      <w:r>
        <w:tab/>
      </w:r>
      <w:r>
        <w:rPr>
          <w:rStyle w:val="CharPartText"/>
        </w:rPr>
        <w:t>Preliminary</w:t>
      </w:r>
      <w:bookmarkEnd w:id="133"/>
    </w:p>
    <w:p w:rsidR="00BA29FF" w:rsidRDefault="00BA29FF">
      <w:pPr>
        <w:pStyle w:val="Schclauseheading"/>
      </w:pPr>
      <w:bookmarkStart w:id="134" w:name="_Toc206921323"/>
      <w:r>
        <w:rPr>
          <w:rStyle w:val="CharSectNo"/>
        </w:rPr>
        <w:t>1.1</w:t>
      </w:r>
      <w:r>
        <w:tab/>
        <w:t>Definitions—sch 1</w:t>
      </w:r>
      <w:bookmarkEnd w:id="134"/>
    </w:p>
    <w:p w:rsidR="00BA29FF" w:rsidRDefault="00BA29FF">
      <w:pPr>
        <w:pStyle w:val="Amainreturn"/>
        <w:keepNext/>
      </w:pPr>
      <w:r>
        <w:t>In this schedule:</w:t>
      </w:r>
    </w:p>
    <w:p w:rsidR="00BA29FF" w:rsidRDefault="00BA29FF">
      <w:pPr>
        <w:pStyle w:val="aDef"/>
      </w:pPr>
      <w:r>
        <w:rPr>
          <w:b/>
          <w:i/>
        </w:rPr>
        <w:t>basic paling fence</w:t>
      </w:r>
      <w:r>
        <w:t>—see the Act, section 416A.</w:t>
      </w:r>
    </w:p>
    <w:p w:rsidR="00BA29FF" w:rsidRDefault="00BA29FF">
      <w:pPr>
        <w:pStyle w:val="aDef"/>
      </w:pPr>
      <w:r>
        <w:rPr>
          <w:rStyle w:val="charBoldItals"/>
        </w:rPr>
        <w:t>building line</w:t>
      </w:r>
      <w:r>
        <w:t>—see the territory plan (13 Definitions).</w:t>
      </w:r>
    </w:p>
    <w:p w:rsidR="00BA29FF" w:rsidRDefault="00BA29FF">
      <w:pPr>
        <w:pStyle w:val="aDef"/>
      </w:pPr>
      <w:r>
        <w:rPr>
          <w:rStyle w:val="charBoldItals"/>
        </w:rPr>
        <w:t>carport</w:t>
      </w:r>
      <w:r>
        <w:t>—see the territory plan (13 Definitions).</w:t>
      </w:r>
    </w:p>
    <w:p w:rsidR="00BA29FF" w:rsidRDefault="00BA29FF">
      <w:pPr>
        <w:pStyle w:val="aDef"/>
      </w:pPr>
      <w:r>
        <w:rPr>
          <w:rStyle w:val="charBoldItals"/>
        </w:rPr>
        <w:t>clearing</w:t>
      </w:r>
      <w:r>
        <w:t xml:space="preserve">, of native vegetation—see the </w:t>
      </w:r>
      <w:r>
        <w:rPr>
          <w:rStyle w:val="charItals"/>
        </w:rPr>
        <w:t>Nature Conservation Act 1980</w:t>
      </w:r>
      <w:r>
        <w:t>, section 74.</w:t>
      </w:r>
    </w:p>
    <w:p w:rsidR="00BA29FF" w:rsidRDefault="00BA29FF">
      <w:pPr>
        <w:pStyle w:val="aDef"/>
      </w:pPr>
      <w:r>
        <w:rPr>
          <w:rStyle w:val="charBoldItals"/>
        </w:rPr>
        <w:t>native vegetation</w:t>
      </w:r>
      <w:r>
        <w:t xml:space="preserve">—see the </w:t>
      </w:r>
      <w:r>
        <w:rPr>
          <w:rStyle w:val="charItals"/>
        </w:rPr>
        <w:t>Nature Conservation Act 1980</w:t>
      </w:r>
      <w:r>
        <w:t>, section 73.</w:t>
      </w:r>
    </w:p>
    <w:p w:rsidR="00BA29FF" w:rsidRDefault="00BA29FF">
      <w:pPr>
        <w:pStyle w:val="aDef"/>
      </w:pPr>
      <w:r>
        <w:rPr>
          <w:b/>
          <w:i/>
        </w:rPr>
        <w:t>open space boundary</w:t>
      </w:r>
      <w:r>
        <w:t>—see the Act, section 416A.</w:t>
      </w:r>
    </w:p>
    <w:p w:rsidR="00BA29FF" w:rsidRDefault="00BA29FF">
      <w:pPr>
        <w:pStyle w:val="aDef"/>
      </w:pPr>
      <w:r>
        <w:rPr>
          <w:rStyle w:val="charBoldItals"/>
        </w:rPr>
        <w:t>type</w:t>
      </w:r>
      <w:r>
        <w:t>, for a sign, means the sign type for the sign in the Signs General Code, appendix A.</w:t>
      </w:r>
    </w:p>
    <w:p w:rsidR="00BA29FF" w:rsidRDefault="00BA29FF">
      <w:pPr>
        <w:pStyle w:val="Schclauseheading"/>
      </w:pPr>
      <w:bookmarkStart w:id="135" w:name="_Toc206921324"/>
      <w:r>
        <w:rPr>
          <w:rStyle w:val="CharSectNo"/>
        </w:rPr>
        <w:t>1.2</w:t>
      </w:r>
      <w:r>
        <w:tab/>
        <w:t xml:space="preserve">Meaning of </w:t>
      </w:r>
      <w:r>
        <w:rPr>
          <w:rStyle w:val="charItals"/>
        </w:rPr>
        <w:t>designated development</w:t>
      </w:r>
      <w:r>
        <w:t>—sch 1</w:t>
      </w:r>
      <w:bookmarkEnd w:id="135"/>
    </w:p>
    <w:p w:rsidR="00BA29FF" w:rsidRDefault="00BA29FF">
      <w:pPr>
        <w:pStyle w:val="aDef"/>
        <w:keepNext/>
      </w:pPr>
      <w:r>
        <w:t>In this schedule:</w:t>
      </w:r>
    </w:p>
    <w:p w:rsidR="00BA29FF" w:rsidRDefault="00BA29FF">
      <w:pPr>
        <w:pStyle w:val="aDef"/>
        <w:keepNext/>
      </w:pPr>
      <w:r>
        <w:rPr>
          <w:b/>
          <w:i/>
        </w:rPr>
        <w:t>designated development</w:t>
      </w:r>
      <w:r>
        <w:t>, in relation to land, means—</w:t>
      </w:r>
    </w:p>
    <w:p w:rsidR="00BA29FF" w:rsidRDefault="00BA29FF">
      <w:pPr>
        <w:pStyle w:val="aDefpara"/>
      </w:pPr>
      <w:r>
        <w:tab/>
        <w:t>(a)</w:t>
      </w:r>
      <w:r>
        <w:tab/>
        <w:t>building, altering or demolishing of a building or structure on the land; or</w:t>
      </w:r>
    </w:p>
    <w:p w:rsidR="00BA29FF" w:rsidRDefault="00BA29FF">
      <w:pPr>
        <w:pStyle w:val="aDefpara"/>
      </w:pPr>
      <w:r>
        <w:tab/>
        <w:t>(b)</w:t>
      </w:r>
      <w:r>
        <w:tab/>
        <w:t>carrying out earthworks or other construction work on or under the land; or</w:t>
      </w:r>
    </w:p>
    <w:p w:rsidR="00BA29FF" w:rsidRDefault="00BA29FF">
      <w:pPr>
        <w:pStyle w:val="aDefpara"/>
      </w:pPr>
      <w:r>
        <w:tab/>
        <w:t>(c)</w:t>
      </w:r>
      <w:r>
        <w:tab/>
        <w:t>carrying out work that would affect the landscape of the land.</w:t>
      </w:r>
    </w:p>
    <w:p w:rsidR="00BA29FF" w:rsidRDefault="00BA29FF">
      <w:pPr>
        <w:pStyle w:val="Schclauseheading"/>
      </w:pPr>
      <w:bookmarkStart w:id="136" w:name="_Toc206921325"/>
      <w:r>
        <w:rPr>
          <w:rStyle w:val="CharSectNo"/>
        </w:rPr>
        <w:lastRenderedPageBreak/>
        <w:t>1.3</w:t>
      </w:r>
      <w:r>
        <w:tab/>
        <w:t>Inconsistency between codes and this schedule</w:t>
      </w:r>
      <w:bookmarkEnd w:id="136"/>
    </w:p>
    <w:p w:rsidR="00BA29FF" w:rsidRDefault="00BA29FF">
      <w:pPr>
        <w:pStyle w:val="SchAmain"/>
      </w:pPr>
      <w:r>
        <w:tab/>
        <w:t>(1)</w:t>
      </w:r>
      <w:r>
        <w:tab/>
        <w:t>This section applies if—</w:t>
      </w:r>
    </w:p>
    <w:p w:rsidR="00BA29FF" w:rsidRDefault="00BA29FF">
      <w:pPr>
        <w:pStyle w:val="SchApara"/>
      </w:pPr>
      <w:r>
        <w:tab/>
        <w:t>(a)</w:t>
      </w:r>
      <w:r>
        <w:tab/>
        <w:t>this schedule applies to a development; and</w:t>
      </w:r>
    </w:p>
    <w:p w:rsidR="00BA29FF" w:rsidRDefault="00BA29FF">
      <w:pPr>
        <w:pStyle w:val="SchApara"/>
      </w:pPr>
      <w:r>
        <w:tab/>
        <w:t>(b)</w:t>
      </w:r>
      <w:r>
        <w:tab/>
        <w:t>the schedule applies a code in relation to the development; and</w:t>
      </w:r>
    </w:p>
    <w:p w:rsidR="00BA29FF" w:rsidRDefault="00BA29FF">
      <w:pPr>
        <w:pStyle w:val="SchApara"/>
      </w:pPr>
      <w:r>
        <w:tab/>
        <w:t>(c)</w:t>
      </w:r>
      <w:r>
        <w:tab/>
        <w:t>there is an inconsistency between the code and the schedule.</w:t>
      </w:r>
    </w:p>
    <w:p w:rsidR="00BA29FF" w:rsidRDefault="00BA29FF">
      <w:pPr>
        <w:pStyle w:val="SchAmain"/>
      </w:pPr>
      <w:r>
        <w:tab/>
        <w:t>(2)</w:t>
      </w:r>
      <w:r>
        <w:tab/>
        <w:t>This schedule prevails over the code to the extent of the inconsistency unless the code provides otherwise.</w:t>
      </w:r>
    </w:p>
    <w:p w:rsidR="00BA29FF" w:rsidRDefault="00BA29FF">
      <w:pPr>
        <w:pStyle w:val="Schclauseheading"/>
      </w:pPr>
      <w:bookmarkStart w:id="137" w:name="_Toc206921326"/>
      <w:r>
        <w:rPr>
          <w:rStyle w:val="CharSectNo"/>
        </w:rPr>
        <w:t>1.4</w:t>
      </w:r>
      <w:r>
        <w:tab/>
        <w:t>Exemption does not affect other territory laws</w:t>
      </w:r>
      <w:bookmarkEnd w:id="137"/>
    </w:p>
    <w:p w:rsidR="00BA29FF" w:rsidRDefault="00BA29FF">
      <w:pPr>
        <w:pStyle w:val="SchAmain"/>
      </w:pPr>
      <w:r>
        <w:tab/>
        <w:t>(1)</w:t>
      </w:r>
      <w:r>
        <w:tab/>
        <w:t>An exemption under this schedule in relation to a development does not affect the operation of any other territory law relating to land use or the provision of services for the development.</w:t>
      </w:r>
    </w:p>
    <w:p w:rsidR="00BA29FF" w:rsidRDefault="00BA29FF">
      <w:pPr>
        <w:pStyle w:val="aExamHdgss"/>
      </w:pPr>
      <w:r>
        <w:t>Examples—laws not affected</w:t>
      </w:r>
    </w:p>
    <w:p w:rsidR="00BA29FF" w:rsidRDefault="00BA29FF">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BA29FF" w:rsidRDefault="00BA29FF">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BA29FF" w:rsidRDefault="00BA29FF">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BA29FF" w:rsidRDefault="00BA29FF">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BA29FF" w:rsidRDefault="00BA29FF">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BA29FF" w:rsidRDefault="00BA29FF">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BA29FF" w:rsidRDefault="00BA29FF">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BA29FF" w:rsidRDefault="00BA29FF">
      <w:pPr>
        <w:pStyle w:val="aNote"/>
      </w:pPr>
      <w:r>
        <w:rPr>
          <w:rStyle w:val="charItals"/>
        </w:rPr>
        <w:t>Note</w:t>
      </w:r>
      <w:r>
        <w:tab/>
        <w:t>An example is part of the regulation, is not exhaustive and may extend, but does not limit, the meaning of the provision in which it appears (see Legislation Act, s 126 and s 132).</w:t>
      </w:r>
    </w:p>
    <w:p w:rsidR="00BA29FF" w:rsidRDefault="00BA29FF">
      <w:pPr>
        <w:pStyle w:val="SchAmain"/>
        <w:keepNext/>
      </w:pPr>
      <w:r>
        <w:tab/>
        <w:t>(2)</w:t>
      </w:r>
      <w:r>
        <w:tab/>
        <w:t>To remove any doubt, the following provisions of this schedule do not limit the operation of subsection (1):</w:t>
      </w:r>
    </w:p>
    <w:p w:rsidR="00BA29FF" w:rsidRDefault="00BA29FF">
      <w:pPr>
        <w:pStyle w:val="SchApara"/>
      </w:pPr>
      <w:r>
        <w:tab/>
        <w:t>(a)</w:t>
      </w:r>
      <w:r>
        <w:tab/>
        <w:t>section 1.14 (Criterion 4—h</w:t>
      </w:r>
      <w:r>
        <w:rPr>
          <w:szCs w:val="24"/>
        </w:rPr>
        <w:t>eritage and tree protection</w:t>
      </w:r>
      <w:r>
        <w:t>);</w:t>
      </w:r>
    </w:p>
    <w:p w:rsidR="00BA29FF" w:rsidRDefault="00BA29FF">
      <w:pPr>
        <w:pStyle w:val="SchApara"/>
      </w:pPr>
      <w:r>
        <w:tab/>
        <w:t>(b)</w:t>
      </w:r>
      <w:r>
        <w:tab/>
        <w:t>section 1.15 (Criterion 5—compliance with lease and other development approvals).</w:t>
      </w:r>
    </w:p>
    <w:p w:rsidR="00BA29FF" w:rsidRDefault="00BA29FF">
      <w:pPr>
        <w:pStyle w:val="PageBreak"/>
      </w:pPr>
      <w:r>
        <w:br w:type="page"/>
      </w:r>
    </w:p>
    <w:p w:rsidR="00BA29FF" w:rsidRDefault="00BA29FF">
      <w:pPr>
        <w:pStyle w:val="Sched-Part"/>
      </w:pPr>
      <w:bookmarkStart w:id="138" w:name="_Toc206921327"/>
      <w:r>
        <w:rPr>
          <w:rStyle w:val="CharPartNo"/>
        </w:rPr>
        <w:lastRenderedPageBreak/>
        <w:t>Part 1.2</w:t>
      </w:r>
      <w:r>
        <w:tab/>
      </w:r>
      <w:r>
        <w:rPr>
          <w:rStyle w:val="CharPartText"/>
        </w:rPr>
        <w:t>General exemption criteria</w:t>
      </w:r>
      <w:bookmarkEnd w:id="138"/>
    </w:p>
    <w:p w:rsidR="00BA29FF" w:rsidRDefault="00BA29FF">
      <w:pPr>
        <w:pStyle w:val="Schclauseheading"/>
      </w:pPr>
      <w:bookmarkStart w:id="139" w:name="_Toc206921328"/>
      <w:r>
        <w:rPr>
          <w:rStyle w:val="CharSectNo"/>
        </w:rPr>
        <w:t>1.10</w:t>
      </w:r>
      <w:r>
        <w:tab/>
        <w:t>Exempt developments—general criteria</w:t>
      </w:r>
      <w:bookmarkEnd w:id="139"/>
    </w:p>
    <w:p w:rsidR="00BA29FF" w:rsidRDefault="00BA29FF">
      <w:pPr>
        <w:pStyle w:val="Amainreturn"/>
        <w:keepNext/>
        <w:rPr>
          <w:szCs w:val="24"/>
        </w:rPr>
      </w:pPr>
      <w:r>
        <w:t xml:space="preserve">The following are the </w:t>
      </w:r>
      <w:r>
        <w:rPr>
          <w:b/>
          <w:bCs/>
          <w:i/>
          <w:iCs/>
        </w:rPr>
        <w:t>general exemption criteria</w:t>
      </w:r>
      <w:r>
        <w:t xml:space="preserve"> for a development:</w:t>
      </w:r>
    </w:p>
    <w:p w:rsidR="00BA29FF" w:rsidRDefault="00BA29FF">
      <w:pPr>
        <w:pStyle w:val="SchApara"/>
      </w:pPr>
      <w:r>
        <w:tab/>
        <w:t>(a)</w:t>
      </w:r>
      <w:r>
        <w:tab/>
        <w:t>section 1.11 (Criterion 1—easement and other access clearances);</w:t>
      </w:r>
    </w:p>
    <w:p w:rsidR="00BA29FF" w:rsidRDefault="00BA29FF">
      <w:pPr>
        <w:pStyle w:val="SchApara"/>
      </w:pPr>
      <w:r>
        <w:tab/>
        <w:t>(b)</w:t>
      </w:r>
      <w:r>
        <w:tab/>
        <w:t>section 1.12 (Criterion 2—p</w:t>
      </w:r>
      <w:r>
        <w:rPr>
          <w:szCs w:val="24"/>
        </w:rPr>
        <w:t>lumbing and drainage clearances</w:t>
      </w:r>
      <w:r>
        <w:t>);</w:t>
      </w:r>
    </w:p>
    <w:p w:rsidR="00BA29FF" w:rsidRDefault="00BA29FF">
      <w:pPr>
        <w:pStyle w:val="SchApara"/>
      </w:pPr>
      <w:r>
        <w:tab/>
        <w:t>(c)</w:t>
      </w:r>
      <w:r>
        <w:tab/>
        <w:t>section 1.13 (Criterion 3—metallic, white and off-white exterior finishes in residential zones);</w:t>
      </w:r>
    </w:p>
    <w:p w:rsidR="00BA29FF" w:rsidRDefault="00BA29FF">
      <w:pPr>
        <w:pStyle w:val="SchApara"/>
      </w:pPr>
      <w:r>
        <w:tab/>
        <w:t>(d)</w:t>
      </w:r>
      <w:r>
        <w:tab/>
        <w:t>section 1.14 (Criterion 4—h</w:t>
      </w:r>
      <w:r>
        <w:rPr>
          <w:szCs w:val="24"/>
        </w:rPr>
        <w:t>eritage and tree protection</w:t>
      </w:r>
      <w:r>
        <w:t>);</w:t>
      </w:r>
    </w:p>
    <w:p w:rsidR="00BA29FF" w:rsidRDefault="00BA29FF">
      <w:pPr>
        <w:pStyle w:val="SchApara"/>
      </w:pPr>
      <w:r>
        <w:tab/>
        <w:t>(e)</w:t>
      </w:r>
      <w:r>
        <w:tab/>
        <w:t>section 1.15 (Criterion 5—compliance with lease and other development approvals);</w:t>
      </w:r>
    </w:p>
    <w:p w:rsidR="00BA29FF" w:rsidRDefault="00BA29FF">
      <w:pPr>
        <w:pStyle w:val="SchApara"/>
      </w:pPr>
      <w:r>
        <w:tab/>
        <w:t>(f)</w:t>
      </w:r>
      <w:r>
        <w:tab/>
        <w:t>section 1.16 (Criterion 6—development approval not otherwise required);</w:t>
      </w:r>
    </w:p>
    <w:p w:rsidR="00BA29FF" w:rsidRDefault="00BA29FF">
      <w:pPr>
        <w:pStyle w:val="SchApara"/>
      </w:pPr>
      <w:r>
        <w:tab/>
        <w:t>(g)</w:t>
      </w:r>
      <w:r>
        <w:tab/>
        <w:t>section 1.17 (Criterion 7—no multiple occupancy dwellings);</w:t>
      </w:r>
    </w:p>
    <w:p w:rsidR="00BA29FF" w:rsidRDefault="00BA29FF">
      <w:pPr>
        <w:pStyle w:val="SchApara"/>
      </w:pPr>
      <w:r>
        <w:tab/>
        <w:t>(h)</w:t>
      </w:r>
      <w:r>
        <w:tab/>
        <w:t>section 1.18 (Criterion 8—compliance with other applicable exemption criteria).</w:t>
      </w:r>
    </w:p>
    <w:p w:rsidR="00BA29FF" w:rsidRDefault="00BA29FF">
      <w:pPr>
        <w:pStyle w:val="Schclauseheading"/>
        <w:rPr>
          <w:szCs w:val="24"/>
        </w:rPr>
      </w:pPr>
      <w:bookmarkStart w:id="140" w:name="_Toc206921329"/>
      <w:r>
        <w:rPr>
          <w:rStyle w:val="CharSectNo"/>
        </w:rPr>
        <w:t>1.11</w:t>
      </w:r>
      <w:r>
        <w:rPr>
          <w:szCs w:val="24"/>
        </w:rPr>
        <w:tab/>
        <w:t>Criterion 1—easement and other access clearances</w:t>
      </w:r>
      <w:bookmarkEnd w:id="140"/>
    </w:p>
    <w:p w:rsidR="00BA29FF" w:rsidRDefault="00BA29FF">
      <w:pPr>
        <w:pStyle w:val="SchAmain"/>
      </w:pPr>
      <w:r>
        <w:tab/>
        <w:t>(1)</w:t>
      </w:r>
      <w:r>
        <w:tab/>
        <w:t>A development must not cause any part of a building or structure to be located in—</w:t>
      </w:r>
    </w:p>
    <w:p w:rsidR="00BA29FF" w:rsidRDefault="00BA29FF">
      <w:pPr>
        <w:pStyle w:val="SchApara"/>
      </w:pPr>
      <w:r>
        <w:tab/>
        <w:t>(a)</w:t>
      </w:r>
      <w:r>
        <w:tab/>
        <w:t>an easement or proposed easement; or</w:t>
      </w:r>
    </w:p>
    <w:p w:rsidR="00BA29FF" w:rsidRDefault="00BA29FF">
      <w:pPr>
        <w:pStyle w:val="SchApara"/>
      </w:pPr>
      <w:r>
        <w:tab/>
        <w:t>(b)</w:t>
      </w:r>
      <w:r>
        <w:tab/>
        <w:t>a utility infrastructure access or protection space.</w:t>
      </w:r>
    </w:p>
    <w:p w:rsidR="00BA29FF" w:rsidRDefault="00BA29FF">
      <w:pPr>
        <w:pStyle w:val="SchAmain"/>
        <w:keepNext/>
      </w:pPr>
      <w:r>
        <w:tab/>
        <w:t>(2)</w:t>
      </w:r>
      <w:r>
        <w:tab/>
        <w:t>In this section:</w:t>
      </w:r>
    </w:p>
    <w:p w:rsidR="00BA29FF" w:rsidRDefault="00BA29FF">
      <w:pPr>
        <w:pStyle w:val="aDef"/>
      </w:pPr>
      <w:r>
        <w:rPr>
          <w:b/>
          <w:bCs/>
          <w:i/>
          <w:iCs/>
        </w:rPr>
        <w:t>easement</w:t>
      </w:r>
      <w:r>
        <w:t xml:space="preserve"> means an easement registered, or shown on a certificate of title, under the </w:t>
      </w:r>
      <w:r>
        <w:rPr>
          <w:i/>
          <w:iCs/>
        </w:rPr>
        <w:t>Land Titles Act 1925</w:t>
      </w:r>
      <w:r>
        <w:t>.</w:t>
      </w:r>
    </w:p>
    <w:p w:rsidR="00BA29FF" w:rsidRDefault="00BA29FF">
      <w:pPr>
        <w:pStyle w:val="aDef"/>
      </w:pPr>
      <w:r>
        <w:rPr>
          <w:b/>
          <w:bCs/>
          <w:i/>
          <w:iCs/>
        </w:rPr>
        <w:lastRenderedPageBreak/>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BA29FF" w:rsidRDefault="00BA29FF">
      <w:pPr>
        <w:pStyle w:val="aDef"/>
        <w:keepNext/>
      </w:pPr>
      <w:r>
        <w:rPr>
          <w:b/>
          <w:bCs/>
          <w:i/>
          <w:iCs/>
        </w:rPr>
        <w:t>utility infrastructure access or protection space</w:t>
      </w:r>
      <w:r>
        <w:t xml:space="preserve"> means the space required under a utility rule</w:t>
      </w:r>
      <w:r>
        <w:rPr>
          <w:i/>
          <w:iCs/>
        </w:rPr>
        <w:t>—</w:t>
      </w:r>
    </w:p>
    <w:p w:rsidR="00BA29FF" w:rsidRDefault="00BA29FF">
      <w:pPr>
        <w:pStyle w:val="aDefpara"/>
      </w:pPr>
      <w:r>
        <w:tab/>
        <w:t>(a)</w:t>
      </w:r>
      <w:r>
        <w:tab/>
        <w:t>for a utility operator to have access to its infrastructure; or</w:t>
      </w:r>
    </w:p>
    <w:p w:rsidR="00BA29FF" w:rsidRDefault="00BA29FF">
      <w:pPr>
        <w:pStyle w:val="aDefpara"/>
      </w:pPr>
      <w:r>
        <w:tab/>
        <w:t>(b)</w:t>
      </w:r>
      <w:r>
        <w:tab/>
        <w:t>to protect or maintain clearances from utility infrastructure such as water supply pipes, sewerage systems, gas pipes and electricity conductors.</w:t>
      </w:r>
    </w:p>
    <w:p w:rsidR="00BA29FF" w:rsidRDefault="00BA29FF">
      <w:pPr>
        <w:pStyle w:val="aExamHdgss"/>
      </w:pPr>
      <w:r>
        <w:t>Examples</w:t>
      </w:r>
    </w:p>
    <w:p w:rsidR="00BA29FF" w:rsidRDefault="00BA29FF">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BA29FF" w:rsidRDefault="00BA29FF">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BA29FF" w:rsidRDefault="00BA29FF">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BA29FF" w:rsidRDefault="00BA29FF">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BA29FF" w:rsidRDefault="00BA29FF">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BA29FF" w:rsidRDefault="00BA29FF">
      <w:pPr>
        <w:pStyle w:val="Schclauseheading"/>
        <w:rPr>
          <w:szCs w:val="24"/>
        </w:rPr>
      </w:pPr>
      <w:bookmarkStart w:id="141" w:name="_Toc206921330"/>
      <w:r>
        <w:rPr>
          <w:rStyle w:val="CharSectNo"/>
        </w:rPr>
        <w:lastRenderedPageBreak/>
        <w:t>1.12</w:t>
      </w:r>
      <w:r>
        <w:rPr>
          <w:szCs w:val="24"/>
        </w:rPr>
        <w:tab/>
      </w:r>
      <w:r>
        <w:t>Criterion 2—p</w:t>
      </w:r>
      <w:r>
        <w:rPr>
          <w:szCs w:val="24"/>
        </w:rPr>
        <w:t>lumbing and drainage clearances</w:t>
      </w:r>
      <w:bookmarkEnd w:id="141"/>
    </w:p>
    <w:p w:rsidR="00BA29FF" w:rsidRDefault="00BA29FF">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BA29FF" w:rsidRDefault="00BA29FF">
      <w:pPr>
        <w:pStyle w:val="aExamHdgss"/>
      </w:pPr>
      <w:r>
        <w:t>Example</w:t>
      </w:r>
    </w:p>
    <w:p w:rsidR="00BA29FF" w:rsidRDefault="00BA29FF">
      <w:pPr>
        <w:pStyle w:val="aExamss"/>
        <w:keepNext/>
      </w:pPr>
      <w:r>
        <w:t>A sewer vent must be above the surrounding surface.  A development must not create a situation where surface water can flow into the vent.</w:t>
      </w:r>
    </w:p>
    <w:p w:rsidR="00BA29FF" w:rsidRDefault="00BA29FF">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BA29FF" w:rsidRDefault="00BA29FF">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BA29FF" w:rsidRDefault="00BA29FF">
      <w:pPr>
        <w:pStyle w:val="Schclauseheading"/>
        <w:rPr>
          <w:szCs w:val="24"/>
        </w:rPr>
      </w:pPr>
      <w:bookmarkStart w:id="142" w:name="_Toc206921331"/>
      <w:r>
        <w:rPr>
          <w:rStyle w:val="CharSectNo"/>
        </w:rPr>
        <w:t>1.13</w:t>
      </w:r>
      <w:r>
        <w:rPr>
          <w:szCs w:val="24"/>
        </w:rPr>
        <w:tab/>
      </w:r>
      <w:r>
        <w:t>Criterion 3—metallic, white and off-white exterior finishes in residential zones</w:t>
      </w:r>
      <w:bookmarkEnd w:id="142"/>
    </w:p>
    <w:p w:rsidR="00BA29FF" w:rsidRDefault="00BA29FF">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BA29FF" w:rsidRDefault="00BA29FF">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BA29FF" w:rsidRDefault="00BA29FF">
      <w:pPr>
        <w:pStyle w:val="SchAmain"/>
        <w:keepNext/>
      </w:pPr>
      <w:r>
        <w:tab/>
        <w:t>(3)</w:t>
      </w:r>
      <w:r>
        <w:tab/>
        <w:t>In this section:</w:t>
      </w:r>
    </w:p>
    <w:p w:rsidR="00BA29FF" w:rsidRDefault="00BA29FF">
      <w:pPr>
        <w:pStyle w:val="aDef"/>
      </w:pPr>
      <w:r>
        <w:rPr>
          <w:b/>
          <w:bCs/>
          <w:i/>
          <w:iCs/>
        </w:rPr>
        <w:t>white or off-white</w:t>
      </w:r>
      <w:r>
        <w:t xml:space="preserve">, for a finish—see the territory plan, </w:t>
      </w:r>
      <w:r>
        <w:rPr>
          <w:rFonts w:ascii="TimesNewRoman" w:hAnsi="TimesNewRoman"/>
          <w:szCs w:val="24"/>
          <w:lang w:val="en-US"/>
        </w:rPr>
        <w:t>Residential Zones—Single Dwelling Housing Development Code, part C, rule 33</w:t>
      </w:r>
      <w:r>
        <w:t>.</w:t>
      </w:r>
    </w:p>
    <w:p w:rsidR="00BA29FF" w:rsidRDefault="00BA29FF">
      <w:pPr>
        <w:pStyle w:val="Schclauseheading"/>
        <w:rPr>
          <w:szCs w:val="24"/>
        </w:rPr>
      </w:pPr>
      <w:bookmarkStart w:id="143" w:name="_Toc206921332"/>
      <w:r>
        <w:rPr>
          <w:rStyle w:val="CharSectNo"/>
        </w:rPr>
        <w:t>1.14</w:t>
      </w:r>
      <w:r>
        <w:rPr>
          <w:szCs w:val="24"/>
        </w:rPr>
        <w:tab/>
      </w:r>
      <w:r>
        <w:t>Criterion 4—h</w:t>
      </w:r>
      <w:r>
        <w:rPr>
          <w:szCs w:val="24"/>
        </w:rPr>
        <w:t>eritage and tree protection</w:t>
      </w:r>
      <w:bookmarkEnd w:id="143"/>
    </w:p>
    <w:p w:rsidR="00BA29FF" w:rsidRDefault="00BA29FF">
      <w:pPr>
        <w:pStyle w:val="Amainreturn"/>
      </w:pPr>
      <w:r>
        <w:t>A development must not contravene—</w:t>
      </w:r>
    </w:p>
    <w:p w:rsidR="00BA29FF" w:rsidRDefault="00BA29FF">
      <w:pPr>
        <w:pStyle w:val="SchApara"/>
      </w:pPr>
      <w:r>
        <w:tab/>
        <w:t>(a)</w:t>
      </w:r>
      <w:r>
        <w:tab/>
        <w:t xml:space="preserve">the </w:t>
      </w:r>
      <w:r>
        <w:rPr>
          <w:i/>
          <w:iCs/>
        </w:rPr>
        <w:t>Heritage Act 2004</w:t>
      </w:r>
      <w:r>
        <w:t>; or</w:t>
      </w:r>
    </w:p>
    <w:p w:rsidR="00BA29FF" w:rsidRDefault="00BA29FF">
      <w:pPr>
        <w:pStyle w:val="SchApara"/>
        <w:keepNext/>
      </w:pPr>
      <w:r>
        <w:lastRenderedPageBreak/>
        <w:tab/>
        <w:t>(b)</w:t>
      </w:r>
      <w:r>
        <w:tab/>
        <w:t xml:space="preserve">the </w:t>
      </w:r>
      <w:r>
        <w:rPr>
          <w:i/>
          <w:iCs/>
        </w:rPr>
        <w:t>Tree Protection Act 2005</w:t>
      </w:r>
      <w:r>
        <w:t>.</w:t>
      </w:r>
    </w:p>
    <w:p w:rsidR="00BA29FF" w:rsidRDefault="00BA29FF">
      <w:pPr>
        <w:pStyle w:val="aNote"/>
      </w:pPr>
      <w:r>
        <w:rPr>
          <w:i/>
        </w:rPr>
        <w:t>Note</w:t>
      </w:r>
      <w:r>
        <w:rPr>
          <w:i/>
        </w:rPr>
        <w:tab/>
      </w:r>
      <w:r>
        <w:t>Other applicable laws must also be complied with (see s 1.4).</w:t>
      </w:r>
    </w:p>
    <w:p w:rsidR="00BA29FF" w:rsidRDefault="00BA29FF">
      <w:pPr>
        <w:pStyle w:val="Schclauseheading"/>
      </w:pPr>
      <w:bookmarkStart w:id="144" w:name="_Toc206921333"/>
      <w:r>
        <w:rPr>
          <w:rStyle w:val="CharSectNo"/>
        </w:rPr>
        <w:t>1.15</w:t>
      </w:r>
      <w:r>
        <w:tab/>
        <w:t>Criterion 5—compliance with lease and other development approvals</w:t>
      </w:r>
      <w:bookmarkEnd w:id="144"/>
    </w:p>
    <w:p w:rsidR="00BA29FF" w:rsidRDefault="00BA29FF">
      <w:pPr>
        <w:pStyle w:val="Amainreturn"/>
        <w:keepNext/>
      </w:pPr>
      <w:r>
        <w:t xml:space="preserve">A development (the </w:t>
      </w:r>
      <w:r>
        <w:rPr>
          <w:b/>
          <w:bCs/>
          <w:i/>
          <w:iCs/>
        </w:rPr>
        <w:t>relevant development</w:t>
      </w:r>
      <w:r>
        <w:t>) must not be inconsistent with—</w:t>
      </w:r>
    </w:p>
    <w:p w:rsidR="00BA29FF" w:rsidRDefault="00BA29FF">
      <w:pPr>
        <w:pStyle w:val="SchApara"/>
      </w:pPr>
      <w:r>
        <w:tab/>
        <w:t>(a)</w:t>
      </w:r>
      <w:r>
        <w:tab/>
        <w:t>a condition of a development approval for another development on the block to which the relevant development relates; or</w:t>
      </w:r>
    </w:p>
    <w:p w:rsidR="00BA29FF" w:rsidRDefault="00BA29FF">
      <w:pPr>
        <w:pStyle w:val="SchApara"/>
      </w:pPr>
      <w:r>
        <w:tab/>
        <w:t>(b)</w:t>
      </w:r>
      <w:r>
        <w:tab/>
        <w:t>a provision of the lease to which the relevant development relates; or</w:t>
      </w:r>
    </w:p>
    <w:p w:rsidR="00BA29FF" w:rsidRDefault="00BA29FF">
      <w:pPr>
        <w:pStyle w:val="SchApara"/>
      </w:pPr>
      <w:r>
        <w:tab/>
        <w:t>(c)</w:t>
      </w:r>
      <w:r>
        <w:tab/>
        <w:t>an agreement collateral to the grant of a lease to which the relevant development relates.</w:t>
      </w:r>
    </w:p>
    <w:p w:rsidR="00BA29FF" w:rsidRDefault="00BA29FF">
      <w:pPr>
        <w:pStyle w:val="aExamHdgpar"/>
      </w:pPr>
      <w:r>
        <w:t>Example</w:t>
      </w:r>
    </w:p>
    <w:p w:rsidR="00BA29FF" w:rsidRDefault="00BA29FF">
      <w:pPr>
        <w:pStyle w:val="aExampar"/>
      </w:pPr>
      <w:r>
        <w:t>a land management agreement (see Act, s 283)</w:t>
      </w:r>
    </w:p>
    <w:p w:rsidR="00BA29FF" w:rsidRDefault="00BA29FF">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BA29FF" w:rsidRDefault="00BA29FF">
      <w:pPr>
        <w:pStyle w:val="Schclauseheading"/>
      </w:pPr>
      <w:bookmarkStart w:id="145" w:name="_Toc206921334"/>
      <w:r>
        <w:rPr>
          <w:rStyle w:val="CharSectNo"/>
        </w:rPr>
        <w:t>1.16</w:t>
      </w:r>
      <w:r>
        <w:tab/>
        <w:t>Criterion 6—development approval not otherwise required</w:t>
      </w:r>
      <w:bookmarkEnd w:id="145"/>
    </w:p>
    <w:p w:rsidR="00BA29FF" w:rsidRDefault="00BA29FF">
      <w:pPr>
        <w:pStyle w:val="Amainreturn"/>
        <w:keepNext/>
      </w:pPr>
      <w:r>
        <w:t>A development must not be part of another development that requires development approval.</w:t>
      </w:r>
    </w:p>
    <w:p w:rsidR="00BA29FF" w:rsidRDefault="00BA29FF">
      <w:pPr>
        <w:pStyle w:val="aExamHdgss"/>
        <w:jc w:val="both"/>
      </w:pPr>
      <w:r>
        <w:t>Examples</w:t>
      </w:r>
    </w:p>
    <w:p w:rsidR="00BA29FF" w:rsidRDefault="00BA29FF">
      <w:pPr>
        <w:pStyle w:val="aExamINumss"/>
        <w:rPr>
          <w:lang w:val="en-US"/>
        </w:rPr>
      </w:pPr>
      <w:r>
        <w:rPr>
          <w:lang w:val="en-US"/>
        </w:rPr>
        <w:t>1</w:t>
      </w:r>
      <w:r>
        <w:rPr>
          <w:lang w:val="en-US"/>
        </w:rPr>
        <w:tab/>
        <w:t>A house, rear deck and pergola are to be built at the same time.  Building the house requires development approval because of its height.  The development approval for the house needs to include the deck and pergola because they are part of another development (ie the house) that requires development approval.</w:t>
      </w:r>
    </w:p>
    <w:p w:rsidR="00BA29FF" w:rsidRDefault="00BA29FF">
      <w:pPr>
        <w:pStyle w:val="aExamINumss"/>
        <w:keepLines/>
        <w:rPr>
          <w:lang w:val="en-US"/>
        </w:rPr>
      </w:pPr>
      <w:r>
        <w:rPr>
          <w:lang w:val="en-US"/>
        </w:rPr>
        <w:lastRenderedPageBreak/>
        <w:t>2</w:t>
      </w:r>
      <w:r>
        <w:rPr>
          <w:lang w:val="en-US"/>
        </w:rPr>
        <w:tab/>
        <w:t xml:space="preserve">The development approval for the house in example 1 was issued subject to a single condition that the trees on the block be protected by a temporary fence during the building of the house.  The design of the house is varied during construction to add an extra external doorway that complies with s 1.21.  A variation to the development approval is not required because the addition of the doorway complies with sch 1A, s 1A.20.  The condition of the development approval about trees being fenced is relevant to building the doorway.  Criterion 5 (see s 1.15) does not prevent the addition of the doorway if the fence complies with the condition while the doorway is built.  However, if the addition of the doorway breaches the condition, the addition of the doorway is prevented by criterion 5. </w:t>
      </w:r>
    </w:p>
    <w:p w:rsidR="00BA29FF" w:rsidRDefault="00BA29FF">
      <w:pPr>
        <w:pStyle w:val="aExamINumss"/>
      </w:pPr>
      <w:r>
        <w:rPr>
          <w:lang w:val="en-US"/>
        </w:rPr>
        <w:t>3</w:t>
      </w:r>
      <w:r>
        <w:rPr>
          <w:lang w:val="en-US"/>
        </w:rPr>
        <w:tab/>
        <w:t>A new owner of a completed house proposes to attach a garage, deck and pergola to the house and to alter it by cutting-in an external doorway.  Cutting-in the doorway, and building the garage, deck and pergola, will not be carried out as part of another development on the land and the works will comply with this schedule.  The cutting-in of the doorway and the building of the garage, deck and pergola without a development approval is not prevented by criterion 6 because it is not part of another development which requires development approval.  However, other general exemption criteria, and certain provisions in this schedule, might be relevant to the cutting-in of the doorway, and building the garage, deck and pergola.</w:t>
      </w:r>
    </w:p>
    <w:p w:rsidR="00BA29FF" w:rsidRDefault="00BA29FF">
      <w:pPr>
        <w:pStyle w:val="aNote"/>
      </w:pPr>
      <w:r>
        <w:rPr>
          <w:i/>
        </w:rPr>
        <w:t>Note 1</w:t>
      </w:r>
      <w:r>
        <w:rPr>
          <w:i/>
        </w:rPr>
        <w:tab/>
      </w:r>
      <w:r>
        <w:t>See also the examples to sch 1A, s 1A.10.</w:t>
      </w:r>
    </w:p>
    <w:p w:rsidR="00BA29FF" w:rsidRDefault="00BA29FF">
      <w:pPr>
        <w:pStyle w:val="aNote"/>
      </w:pPr>
      <w:r>
        <w:rPr>
          <w:i/>
          <w:iCs/>
        </w:rPr>
        <w:t>Note 2</w:t>
      </w:r>
      <w:r>
        <w:rPr>
          <w:i/>
          <w:iCs/>
        </w:rPr>
        <w:tab/>
      </w:r>
      <w:r>
        <w:t>An example is part of the regulation, is not exhaustive and may extend, but does not limit, the meaning of the provision in which it appears (see Legislation Act, s 126 and s 132).</w:t>
      </w:r>
    </w:p>
    <w:p w:rsidR="00BA29FF" w:rsidRDefault="00BA29FF">
      <w:pPr>
        <w:pStyle w:val="Schclauseheading"/>
      </w:pPr>
      <w:bookmarkStart w:id="146" w:name="_Toc206921335"/>
      <w:r>
        <w:rPr>
          <w:rStyle w:val="CharSectNo"/>
        </w:rPr>
        <w:t>1.17</w:t>
      </w:r>
      <w:r>
        <w:tab/>
        <w:t>Criterion 7—no multiple occupancy dwellings</w:t>
      </w:r>
      <w:bookmarkEnd w:id="146"/>
    </w:p>
    <w:p w:rsidR="00BA29FF" w:rsidRDefault="00BA29FF">
      <w:pPr>
        <w:pStyle w:val="Amainreturn"/>
      </w:pPr>
      <w:r>
        <w:t>A development must not increase the number of dwellings on a block to 2 or more dwellings.</w:t>
      </w:r>
    </w:p>
    <w:p w:rsidR="00BA29FF" w:rsidRDefault="00BA29FF">
      <w:pPr>
        <w:pStyle w:val="Schclauseheading"/>
      </w:pPr>
      <w:bookmarkStart w:id="147" w:name="_Toc206921336"/>
      <w:r>
        <w:rPr>
          <w:rStyle w:val="CharSectNo"/>
        </w:rPr>
        <w:lastRenderedPageBreak/>
        <w:t>1.18</w:t>
      </w:r>
      <w:r>
        <w:tab/>
        <w:t>Criterion 8—compliance with other applicable exemption criteria</w:t>
      </w:r>
      <w:bookmarkEnd w:id="147"/>
    </w:p>
    <w:p w:rsidR="00BA29FF" w:rsidRDefault="00BA29FF">
      <w:pPr>
        <w:pStyle w:val="Amainreturn"/>
        <w:keepNext/>
      </w:pPr>
      <w:r>
        <w:t>A development must comply with any other criteria in part 1.3 (Exempt developments) that apply to the development.</w:t>
      </w:r>
    </w:p>
    <w:p w:rsidR="00BA29FF" w:rsidRDefault="00BA29FF">
      <w:pPr>
        <w:pStyle w:val="aExamHdgss"/>
      </w:pPr>
      <w:r>
        <w:t>Examples—other criteria applying to development</w:t>
      </w:r>
    </w:p>
    <w:p w:rsidR="00BA29FF" w:rsidRDefault="00BA29FF">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BA29FF" w:rsidRDefault="00BA29FF">
      <w:pPr>
        <w:pStyle w:val="aExamINumss"/>
        <w:keepNext/>
        <w:tabs>
          <w:tab w:val="left" w:pos="1460"/>
        </w:tabs>
        <w:ind w:left="1460" w:hanging="360"/>
      </w:pPr>
      <w:r>
        <w:t>2</w:t>
      </w:r>
      <w:r>
        <w:tab/>
        <w:t>the replacement of a roof flue for a building (see s 1.22) must also comply with section 1.25 (Buildings—chimneys, flues and vents)</w:t>
      </w:r>
    </w:p>
    <w:p w:rsidR="00BA29FF" w:rsidRDefault="00BA29FF">
      <w:pPr>
        <w:pStyle w:val="aNote"/>
      </w:pPr>
      <w:r>
        <w:rPr>
          <w:i/>
        </w:rPr>
        <w:t>Note</w:t>
      </w:r>
      <w:r>
        <w:rPr>
          <w:i/>
        </w:rPr>
        <w:tab/>
      </w:r>
      <w:r>
        <w:t>An example is part of the regulation, is not exhaustive and may extend, but does not limit, the meaning of the provision in which it appears (see Legislation Act, s 126 and s 132).</w:t>
      </w:r>
    </w:p>
    <w:p w:rsidR="00BA29FF" w:rsidRDefault="00BA29FF">
      <w:pPr>
        <w:pStyle w:val="PageBreak"/>
      </w:pPr>
      <w:r>
        <w:br w:type="page"/>
      </w:r>
    </w:p>
    <w:p w:rsidR="00BA29FF" w:rsidRDefault="00BA29FF">
      <w:pPr>
        <w:pStyle w:val="Sched-Part"/>
      </w:pPr>
      <w:bookmarkStart w:id="148" w:name="_Toc206921337"/>
      <w:r>
        <w:rPr>
          <w:rStyle w:val="CharPartNo"/>
        </w:rPr>
        <w:lastRenderedPageBreak/>
        <w:t>Part 1.3</w:t>
      </w:r>
      <w:r>
        <w:tab/>
      </w:r>
      <w:r>
        <w:rPr>
          <w:rStyle w:val="CharPartText"/>
        </w:rPr>
        <w:t>Exempt developments</w:t>
      </w:r>
      <w:bookmarkEnd w:id="148"/>
    </w:p>
    <w:p w:rsidR="00BA29FF" w:rsidRDefault="00BA29FF">
      <w:pPr>
        <w:pStyle w:val="Sched-Form"/>
      </w:pPr>
      <w:bookmarkStart w:id="149" w:name="_Toc206921338"/>
      <w:r>
        <w:rPr>
          <w:rStyle w:val="CharDivNo"/>
        </w:rPr>
        <w:t>Division 1.3.1</w:t>
      </w:r>
      <w:r>
        <w:tab/>
      </w:r>
      <w:r>
        <w:rPr>
          <w:rStyle w:val="CharDivText"/>
        </w:rPr>
        <w:t>Exempt developments—minor building works</w:t>
      </w:r>
      <w:bookmarkEnd w:id="149"/>
    </w:p>
    <w:p w:rsidR="00BA29FF" w:rsidRDefault="00BA29FF">
      <w:pPr>
        <w:pStyle w:val="AH5Sec"/>
      </w:pPr>
      <w:bookmarkStart w:id="150" w:name="_Toc206921339"/>
      <w:r>
        <w:rPr>
          <w:rStyle w:val="CharSectNo"/>
        </w:rPr>
        <w:t>1.20</w:t>
      </w:r>
      <w:r>
        <w:tab/>
        <w:t>Internal alterations of buildings</w:t>
      </w:r>
      <w:bookmarkEnd w:id="150"/>
    </w:p>
    <w:p w:rsidR="00BA29FF" w:rsidRDefault="00BA29FF">
      <w:pPr>
        <w:pStyle w:val="Amain"/>
      </w:pPr>
      <w:r>
        <w:tab/>
        <w:t>(1)</w:t>
      </w:r>
      <w:r>
        <w:tab/>
        <w:t>In this section:</w:t>
      </w:r>
    </w:p>
    <w:p w:rsidR="00BA29FF" w:rsidRDefault="00BA29FF">
      <w:pPr>
        <w:pStyle w:val="aDef"/>
        <w:keepNext/>
      </w:pPr>
      <w:r>
        <w:rPr>
          <w:b/>
          <w:bCs/>
          <w:i/>
          <w:iCs/>
        </w:rPr>
        <w:t>non-residential building</w:t>
      </w:r>
      <w:r>
        <w:t xml:space="preserve"> means a building, or part of a building, that is—</w:t>
      </w:r>
    </w:p>
    <w:p w:rsidR="00BA29FF" w:rsidRDefault="00BA29FF">
      <w:pPr>
        <w:pStyle w:val="aDefpara"/>
      </w:pPr>
      <w:r>
        <w:tab/>
        <w:t>(a)</w:t>
      </w:r>
      <w:r>
        <w:tab/>
        <w:t>not used for residential purposes; and</w:t>
      </w:r>
    </w:p>
    <w:p w:rsidR="00BA29FF" w:rsidRDefault="00BA29FF">
      <w:pPr>
        <w:pStyle w:val="aDefpara"/>
      </w:pPr>
      <w:r>
        <w:tab/>
        <w:t>(b)</w:t>
      </w:r>
      <w:r>
        <w:tab/>
        <w:t>not a class 10 building associated with a building used for residential purposes.</w:t>
      </w:r>
    </w:p>
    <w:p w:rsidR="00BA29FF" w:rsidRDefault="00BA29FF">
      <w:pPr>
        <w:pStyle w:val="aDef"/>
        <w:keepNext/>
      </w:pPr>
      <w:r>
        <w:rPr>
          <w:b/>
          <w:i/>
        </w:rPr>
        <w:t>prescribed general exemption criteria</w:t>
      </w:r>
      <w:r>
        <w:t xml:space="preserve"> means the general exemption criteria, other than section 1.18 (Criterion 8—compliance with other applicable exemption criteria).</w:t>
      </w:r>
    </w:p>
    <w:p w:rsidR="00BA29FF" w:rsidRDefault="00BA29FF">
      <w:pPr>
        <w:pStyle w:val="aNote"/>
      </w:pPr>
      <w:r>
        <w:rPr>
          <w:i/>
        </w:rPr>
        <w:t>Note</w:t>
      </w:r>
      <w:r>
        <w:rPr>
          <w:i/>
        </w:rPr>
        <w:tab/>
      </w:r>
      <w:r>
        <w:rPr>
          <w:b/>
          <w:bCs/>
          <w:i/>
          <w:iCs/>
        </w:rPr>
        <w:t>General exemption criteria</w:t>
      </w:r>
      <w:r>
        <w:t>—see s 1.10.</w:t>
      </w:r>
    </w:p>
    <w:p w:rsidR="00BA29FF" w:rsidRDefault="00BA29FF">
      <w:pPr>
        <w:pStyle w:val="Amain"/>
      </w:pPr>
      <w:r>
        <w:tab/>
        <w:t>(2)</w:t>
      </w:r>
      <w:r>
        <w:tab/>
        <w:t>A designated development for the internal alteration of a building if—</w:t>
      </w:r>
    </w:p>
    <w:p w:rsidR="00BA29FF" w:rsidRDefault="00BA29FF">
      <w:pPr>
        <w:pStyle w:val="Apara"/>
      </w:pPr>
      <w:r>
        <w:tab/>
        <w:t>(a)</w:t>
      </w:r>
      <w:r>
        <w:tab/>
        <w:t>the alteration does not do either of the following:</w:t>
      </w:r>
    </w:p>
    <w:p w:rsidR="00BA29FF" w:rsidRDefault="00BA29FF">
      <w:pPr>
        <w:pStyle w:val="Asubpara"/>
      </w:pPr>
      <w:r>
        <w:tab/>
        <w:t>(i)</w:t>
      </w:r>
      <w:r>
        <w:tab/>
        <w:t xml:space="preserve">change the building’s class under the building code; </w:t>
      </w:r>
    </w:p>
    <w:p w:rsidR="00BA29FF" w:rsidRDefault="00BA29FF">
      <w:pPr>
        <w:pStyle w:val="aNotesubpar"/>
      </w:pPr>
      <w:r>
        <w:rPr>
          <w:i/>
          <w:iCs/>
        </w:rPr>
        <w:t>Note</w:t>
      </w:r>
      <w:r>
        <w:rPr>
          <w:i/>
          <w:iCs/>
        </w:rPr>
        <w:tab/>
      </w:r>
      <w:r>
        <w:rPr>
          <w:b/>
          <w:bCs/>
          <w:i/>
          <w:iCs/>
        </w:rPr>
        <w:t>Class</w:t>
      </w:r>
      <w:r>
        <w:t>, for a building—see the dictionary.</w:t>
      </w:r>
    </w:p>
    <w:p w:rsidR="00BA29FF" w:rsidRDefault="00BA29FF">
      <w:pPr>
        <w:pStyle w:val="Asubpara"/>
      </w:pPr>
      <w:r>
        <w:tab/>
        <w:t>(ii)</w:t>
      </w:r>
      <w:r>
        <w:tab/>
        <w:t>increase the gross floor area of a non-residential building; and</w:t>
      </w:r>
    </w:p>
    <w:p w:rsidR="00BA29FF" w:rsidRDefault="00BA29FF">
      <w:pPr>
        <w:pStyle w:val="Apara"/>
      </w:pPr>
      <w:r>
        <w:tab/>
        <w:t>(b)</w:t>
      </w:r>
      <w:r>
        <w:tab/>
        <w:t>the designated development complies with the prescribed general exemption criteria that are applicable to the development.</w:t>
      </w:r>
    </w:p>
    <w:p w:rsidR="00BA29FF" w:rsidRDefault="00BA29FF">
      <w:pPr>
        <w:pStyle w:val="aNote"/>
      </w:pPr>
      <w:r>
        <w:rPr>
          <w:i/>
          <w:iCs/>
        </w:rPr>
        <w:t>Note</w:t>
      </w:r>
      <w:r>
        <w:rPr>
          <w:i/>
          <w:iCs/>
        </w:rPr>
        <w:tab/>
      </w:r>
      <w:r>
        <w:rPr>
          <w:b/>
          <w:bCs/>
          <w:i/>
          <w:iCs/>
        </w:rPr>
        <w:t>Designated development</w:t>
      </w:r>
      <w:r>
        <w:t>—see s 1.2.</w:t>
      </w:r>
    </w:p>
    <w:p w:rsidR="00BA29FF" w:rsidRDefault="00BA29FF">
      <w:pPr>
        <w:pStyle w:val="Schclauseheading"/>
        <w:rPr>
          <w:lang w:val="en-US"/>
        </w:rPr>
      </w:pPr>
      <w:bookmarkStart w:id="151" w:name="_Toc206921340"/>
      <w:r>
        <w:rPr>
          <w:rStyle w:val="CharSectNo"/>
        </w:rPr>
        <w:lastRenderedPageBreak/>
        <w:t>1.21</w:t>
      </w:r>
      <w:r>
        <w:rPr>
          <w:lang w:val="en-US"/>
        </w:rPr>
        <w:tab/>
        <w:t>Installation, alteration and removal of low impact external doors and windows in buildings</w:t>
      </w:r>
      <w:bookmarkEnd w:id="151"/>
    </w:p>
    <w:p w:rsidR="00BA29FF" w:rsidRDefault="00BA29FF">
      <w:pPr>
        <w:pStyle w:val="Amainreturn"/>
      </w:pPr>
      <w:r>
        <w:t xml:space="preserve">A designated development for the installation, alteration or removal (the </w:t>
      </w:r>
      <w:r>
        <w:rPr>
          <w:b/>
          <w:bCs/>
          <w:i/>
          <w:iCs/>
        </w:rPr>
        <w:t>relevant change</w:t>
      </w:r>
      <w:r>
        <w:t>) of an external door or window in a building if—</w:t>
      </w:r>
    </w:p>
    <w:p w:rsidR="00BA29FF" w:rsidRDefault="00BA29FF">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BA29FF" w:rsidRDefault="00BA29FF">
      <w:pPr>
        <w:pStyle w:val="aExamHdgpar"/>
        <w:rPr>
          <w:lang w:val="en-US"/>
        </w:rPr>
      </w:pPr>
      <w:r>
        <w:rPr>
          <w:lang w:val="en-US"/>
        </w:rPr>
        <w:t>Example—trafficable surface</w:t>
      </w:r>
    </w:p>
    <w:p w:rsidR="00BA29FF" w:rsidRDefault="00BA29FF">
      <w:pPr>
        <w:pStyle w:val="aExampar"/>
        <w:rPr>
          <w:lang w:val="en-US"/>
        </w:rPr>
      </w:pPr>
      <w:r>
        <w:rPr>
          <w:lang w:val="en-US"/>
        </w:rPr>
        <w:t>paving</w:t>
      </w:r>
    </w:p>
    <w:p w:rsidR="00BA29FF" w:rsidRDefault="00BA29FF">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BA29FF" w:rsidRDefault="00BA29FF">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BA29FF" w:rsidRDefault="00BA29FF">
      <w:pPr>
        <w:pStyle w:val="Apara"/>
      </w:pPr>
      <w:r>
        <w:tab/>
        <w:t>(b)</w:t>
      </w:r>
      <w:r>
        <w:tab/>
        <w:t>if the relevant change is to an existing door or window—the relevant change involves no more than the following:</w:t>
      </w:r>
    </w:p>
    <w:p w:rsidR="00BA29FF" w:rsidRDefault="00BA29FF">
      <w:pPr>
        <w:pStyle w:val="Asubpara"/>
      </w:pPr>
      <w:r>
        <w:tab/>
        <w:t>(i)</w:t>
      </w:r>
      <w:r>
        <w:tab/>
        <w:t>replacing the door or window with either a door or a window without changing the width of the opening in the wall;</w:t>
      </w:r>
    </w:p>
    <w:p w:rsidR="00BA29FF" w:rsidRDefault="00BA29FF">
      <w:pPr>
        <w:pStyle w:val="Asubpara"/>
      </w:pPr>
      <w:r>
        <w:tab/>
        <w:t>(ii)</w:t>
      </w:r>
      <w:r>
        <w:tab/>
        <w:t>increasing the width of the door or window by not more than 340mm;</w:t>
      </w:r>
    </w:p>
    <w:p w:rsidR="00BA29FF" w:rsidRDefault="00BA29FF">
      <w:pPr>
        <w:pStyle w:val="Asubpara"/>
      </w:pPr>
      <w:r>
        <w:tab/>
        <w:t>(iii)</w:t>
      </w:r>
      <w:r>
        <w:tab/>
        <w:t xml:space="preserve">increasing the height of the door or window by not more than 340mm; </w:t>
      </w:r>
    </w:p>
    <w:p w:rsidR="00BA29FF" w:rsidRDefault="00BA29FF">
      <w:pPr>
        <w:pStyle w:val="Asubpara"/>
      </w:pPr>
      <w:r>
        <w:tab/>
        <w:t>(iv)</w:t>
      </w:r>
      <w:r>
        <w:tab/>
        <w:t>reducing the height or width, or both, of the window or door;</w:t>
      </w:r>
    </w:p>
    <w:p w:rsidR="00BA29FF" w:rsidRDefault="00BA29FF">
      <w:pPr>
        <w:pStyle w:val="Asubpara"/>
        <w:keepNext/>
      </w:pPr>
      <w:r>
        <w:lastRenderedPageBreak/>
        <w:tab/>
        <w:t>(v)</w:t>
      </w:r>
      <w:r>
        <w:tab/>
        <w:t>installing a wall instead of the door or window or a part of the door or window; and</w:t>
      </w:r>
    </w:p>
    <w:p w:rsidR="00BA29FF" w:rsidRDefault="00BA29FF">
      <w:pPr>
        <w:pStyle w:val="aExamHdgpar"/>
      </w:pPr>
      <w:r>
        <w:t>Example—par (b)</w:t>
      </w:r>
    </w:p>
    <w:p w:rsidR="00BA29FF" w:rsidRDefault="00BA29FF">
      <w:pPr>
        <w:pStyle w:val="aExampar"/>
        <w:keepNext/>
      </w:pPr>
      <w:r>
        <w:t>an existing window is replaced by a door that is 200mm higher and 300mm wider than the window</w:t>
      </w:r>
    </w:p>
    <w:p w:rsidR="00BA29FF" w:rsidRDefault="00BA29FF">
      <w:pPr>
        <w:pStyle w:val="aNotepar"/>
      </w:pPr>
      <w:r>
        <w:rPr>
          <w:i/>
          <w:iCs/>
        </w:rPr>
        <w:t>Note</w:t>
      </w:r>
      <w:r>
        <w:rPr>
          <w:i/>
          <w:iCs/>
        </w:rPr>
        <w:tab/>
      </w:r>
      <w:r>
        <w:t>The change in relation to the door or window need not involve all of the matters mentioned in par (b).</w:t>
      </w:r>
    </w:p>
    <w:p w:rsidR="00BA29FF" w:rsidRDefault="00BA29FF">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BA29FF" w:rsidRDefault="00BA29FF">
      <w:pPr>
        <w:pStyle w:val="Apara"/>
      </w:pPr>
      <w:r>
        <w:tab/>
        <w:t>(d)</w:t>
      </w:r>
      <w:r>
        <w:tab/>
        <w:t>no part of the relevant change is less than either of the following for the block on which the building is located:</w:t>
      </w:r>
    </w:p>
    <w:p w:rsidR="00BA29FF" w:rsidRDefault="00BA29FF">
      <w:pPr>
        <w:pStyle w:val="Asubpara"/>
      </w:pPr>
      <w:r>
        <w:tab/>
        <w:t>(i)</w:t>
      </w:r>
      <w:r>
        <w:tab/>
        <w:t xml:space="preserve">1.5m from a side boundary; </w:t>
      </w:r>
    </w:p>
    <w:p w:rsidR="00BA29FF" w:rsidRDefault="00BA29FF">
      <w:pPr>
        <w:pStyle w:val="Asubpara"/>
      </w:pPr>
      <w:r>
        <w:tab/>
        <w:t>(ii)</w:t>
      </w:r>
      <w:r>
        <w:tab/>
        <w:t>3m from a rear boundary; and</w:t>
      </w:r>
    </w:p>
    <w:p w:rsidR="00BA29FF" w:rsidRDefault="00BA29FF">
      <w:pPr>
        <w:pStyle w:val="Apara"/>
      </w:pPr>
      <w:r>
        <w:tab/>
        <w:t>(e)</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BA29FF" w:rsidRDefault="00BA29FF">
      <w:pPr>
        <w:pStyle w:val="Schclauseheading"/>
        <w:keepNext w:val="0"/>
      </w:pPr>
      <w:bookmarkStart w:id="152" w:name="_Toc206921341"/>
      <w:r>
        <w:rPr>
          <w:rStyle w:val="CharSectNo"/>
        </w:rPr>
        <w:t>1.21A</w:t>
      </w:r>
      <w:r>
        <w:tab/>
      </w:r>
      <w:r>
        <w:rPr>
          <w:lang w:val="en-US"/>
        </w:rPr>
        <w:t>Installation, alteration and removal of high impact external doors and windows in buildings</w:t>
      </w:r>
      <w:bookmarkEnd w:id="152"/>
    </w:p>
    <w:p w:rsidR="00BA29FF" w:rsidRDefault="00BA29FF">
      <w:pPr>
        <w:pStyle w:val="Amainreturn"/>
      </w:pPr>
      <w:r>
        <w:t xml:space="preserve">A designated development for the installation, alteration or removal (the </w:t>
      </w:r>
      <w:r>
        <w:rPr>
          <w:b/>
          <w:bCs/>
          <w:i/>
          <w:iCs/>
        </w:rPr>
        <w:t>relevant change</w:t>
      </w:r>
      <w:r>
        <w:t>) of an external door or window in a building if—</w:t>
      </w:r>
    </w:p>
    <w:p w:rsidR="00BA29FF" w:rsidRDefault="00BA29FF">
      <w:pPr>
        <w:pStyle w:val="Apara"/>
        <w:keepNext/>
      </w:pPr>
      <w:r>
        <w:lastRenderedPageBreak/>
        <w:tab/>
        <w:t>(a)</w:t>
      </w:r>
      <w:r>
        <w:tab/>
        <w:t>the height of the building’s finished floor level, or other trafficable surface, immediately adjacent to the relevant change is 1m or more above natural ground level; and</w:t>
      </w:r>
    </w:p>
    <w:p w:rsidR="00BA29FF" w:rsidRDefault="00BA29FF">
      <w:pPr>
        <w:pStyle w:val="aNotepar"/>
      </w:pPr>
      <w:r>
        <w:rPr>
          <w:i/>
          <w:iCs/>
        </w:rPr>
        <w:t>Note</w:t>
      </w:r>
      <w:r>
        <w:rPr>
          <w:i/>
          <w:iCs/>
        </w:rPr>
        <w:tab/>
      </w:r>
      <w:r>
        <w:t>See the example and notes to s 1.21 (a).</w:t>
      </w:r>
    </w:p>
    <w:p w:rsidR="00BA29FF" w:rsidRDefault="00BA29FF">
      <w:pPr>
        <w:pStyle w:val="Apara"/>
      </w:pPr>
      <w:r>
        <w:tab/>
        <w:t>(b)</w:t>
      </w:r>
      <w:r>
        <w:tab/>
        <w:t>the relevant change involves no more than the following:</w:t>
      </w:r>
    </w:p>
    <w:p w:rsidR="00BA29FF" w:rsidRDefault="00BA29FF">
      <w:pPr>
        <w:pStyle w:val="Asubpara"/>
      </w:pPr>
      <w:r>
        <w:tab/>
        <w:t>(i)</w:t>
      </w:r>
      <w:r>
        <w:tab/>
        <w:t>replacing the door or window with either a door or a window without changing the width of the opening in the wall;</w:t>
      </w:r>
    </w:p>
    <w:p w:rsidR="00BA29FF" w:rsidRDefault="00BA29FF">
      <w:pPr>
        <w:pStyle w:val="Asubpara"/>
      </w:pPr>
      <w:r>
        <w:tab/>
        <w:t>(ii)</w:t>
      </w:r>
      <w:r>
        <w:tab/>
        <w:t>increasing the width of the door or window by not more than 340mm;</w:t>
      </w:r>
    </w:p>
    <w:p w:rsidR="00BA29FF" w:rsidRDefault="00BA29FF">
      <w:pPr>
        <w:pStyle w:val="Asubpara"/>
      </w:pPr>
      <w:r>
        <w:tab/>
        <w:t>(iii)</w:t>
      </w:r>
      <w:r>
        <w:tab/>
        <w:t xml:space="preserve">increasing the height of the door or window by not more than 340mm; </w:t>
      </w:r>
    </w:p>
    <w:p w:rsidR="00BA29FF" w:rsidRDefault="00BA29FF">
      <w:pPr>
        <w:pStyle w:val="Asubpara"/>
      </w:pPr>
      <w:r>
        <w:tab/>
        <w:t>(iv)</w:t>
      </w:r>
      <w:r>
        <w:tab/>
        <w:t>reducing the height or width, or both, of the window or door;</w:t>
      </w:r>
    </w:p>
    <w:p w:rsidR="00BA29FF" w:rsidRDefault="00BA29FF">
      <w:pPr>
        <w:pStyle w:val="Asubpara"/>
      </w:pPr>
      <w:r>
        <w:tab/>
        <w:t>(v)</w:t>
      </w:r>
      <w:r>
        <w:tab/>
        <w:t>installing a wall instead of the door or window or a part of the door or window; and</w:t>
      </w:r>
    </w:p>
    <w:p w:rsidR="00BA29FF" w:rsidRDefault="00BA29FF">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BA29FF" w:rsidRDefault="00BA29FF">
      <w:pPr>
        <w:pStyle w:val="Apara"/>
      </w:pPr>
      <w:r>
        <w:tab/>
        <w:t>(c)</w:t>
      </w:r>
      <w:r>
        <w:tab/>
        <w:t>no part of the relevant change is less than either of the following for the block on which the building is located:</w:t>
      </w:r>
    </w:p>
    <w:p w:rsidR="00BA29FF" w:rsidRDefault="00BA29FF">
      <w:pPr>
        <w:pStyle w:val="Asubpara"/>
      </w:pPr>
      <w:r>
        <w:tab/>
        <w:t>(i)</w:t>
      </w:r>
      <w:r>
        <w:tab/>
        <w:t xml:space="preserve">1.5m from a side boundary; </w:t>
      </w:r>
    </w:p>
    <w:p w:rsidR="00BA29FF" w:rsidRDefault="00BA29FF">
      <w:pPr>
        <w:pStyle w:val="Asubpara"/>
      </w:pPr>
      <w:r>
        <w:tab/>
        <w:t>(ii)</w:t>
      </w:r>
      <w:r>
        <w:tab/>
        <w:t>3m from a rear boundary; and</w:t>
      </w:r>
    </w:p>
    <w:p w:rsidR="00BA29FF" w:rsidRDefault="00BA29FF">
      <w:pPr>
        <w:pStyle w:val="Apara"/>
      </w:pPr>
      <w:r>
        <w:tab/>
        <w:t>(d)</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BA29FF" w:rsidRDefault="00BA29FF">
      <w:pPr>
        <w:pStyle w:val="Schclauseheading"/>
      </w:pPr>
      <w:bookmarkStart w:id="153" w:name="_Toc206921342"/>
      <w:r>
        <w:rPr>
          <w:rStyle w:val="CharSectNo"/>
        </w:rPr>
        <w:lastRenderedPageBreak/>
        <w:t>1.22</w:t>
      </w:r>
      <w:r>
        <w:tab/>
        <w:t>Exterior refinishing of buildings and structures</w:t>
      </w:r>
      <w:bookmarkEnd w:id="153"/>
    </w:p>
    <w:p w:rsidR="00BA29FF" w:rsidRDefault="00BA29FF">
      <w:pPr>
        <w:pStyle w:val="SchAmain"/>
        <w:keepNext/>
      </w:pPr>
      <w:r>
        <w:tab/>
        <w:t>(1)</w:t>
      </w:r>
      <w:r>
        <w:tab/>
        <w:t>In this section:</w:t>
      </w:r>
    </w:p>
    <w:p w:rsidR="00BA29FF" w:rsidRDefault="00BA29FF">
      <w:pPr>
        <w:pStyle w:val="aDef"/>
        <w:keepNext/>
      </w:pPr>
      <w:r>
        <w:rPr>
          <w:b/>
          <w:i/>
        </w:rPr>
        <w:t>excluded item</w:t>
      </w:r>
      <w:r>
        <w:t xml:space="preserve"> means—</w:t>
      </w:r>
    </w:p>
    <w:p w:rsidR="00BA29FF" w:rsidRDefault="00BA29FF">
      <w:pPr>
        <w:pStyle w:val="aDefpara"/>
      </w:pPr>
      <w:r>
        <w:tab/>
        <w:t>(a)</w:t>
      </w:r>
      <w:r>
        <w:tab/>
        <w:t>an external door or window; or</w:t>
      </w:r>
    </w:p>
    <w:p w:rsidR="00BA29FF" w:rsidRDefault="00BA29FF">
      <w:pPr>
        <w:pStyle w:val="aDefpara"/>
        <w:keepNext/>
      </w:pPr>
      <w:r>
        <w:tab/>
        <w:t>(b)</w:t>
      </w:r>
      <w:r>
        <w:tab/>
        <w:t>a skylight for a building.</w:t>
      </w:r>
    </w:p>
    <w:p w:rsidR="00BA29FF" w:rsidRDefault="00BA29FF">
      <w:pPr>
        <w:pStyle w:val="aNote"/>
      </w:pPr>
      <w:r>
        <w:rPr>
          <w:i/>
        </w:rPr>
        <w:t>Note</w:t>
      </w:r>
      <w:r>
        <w:rPr>
          <w:i/>
        </w:rPr>
        <w:tab/>
      </w:r>
      <w:r>
        <w:t>For external doors and windows, see s 1.21 and s 1.21A and for skylights, see s 1.26.</w:t>
      </w:r>
    </w:p>
    <w:p w:rsidR="00BA29FF" w:rsidRDefault="00BA29FF">
      <w:pPr>
        <w:pStyle w:val="aDef"/>
        <w:keepNext/>
      </w:pPr>
      <w:r>
        <w:rPr>
          <w:b/>
          <w:i/>
        </w:rPr>
        <w:t>exterior item</w:t>
      </w:r>
      <w:r>
        <w:t xml:space="preserve"> means any of the following on the exterior of a building or structure:</w:t>
      </w:r>
    </w:p>
    <w:p w:rsidR="00BA29FF" w:rsidRDefault="00BA29FF">
      <w:pPr>
        <w:pStyle w:val="aDefpara"/>
      </w:pPr>
      <w:r>
        <w:tab/>
        <w:t>(a)</w:t>
      </w:r>
      <w:r>
        <w:tab/>
        <w:t xml:space="preserve">a wall, sill or fascia or an eave lining; </w:t>
      </w:r>
    </w:p>
    <w:p w:rsidR="00BA29FF" w:rsidRDefault="00BA29FF">
      <w:pPr>
        <w:pStyle w:val="aDefpara"/>
      </w:pPr>
      <w:r>
        <w:tab/>
        <w:t>(b)</w:t>
      </w:r>
      <w:r>
        <w:tab/>
        <w:t>a downpipe or flashing or guttering;</w:t>
      </w:r>
    </w:p>
    <w:p w:rsidR="00BA29FF" w:rsidRDefault="00BA29FF">
      <w:pPr>
        <w:pStyle w:val="aDefpara"/>
      </w:pPr>
      <w:r>
        <w:tab/>
        <w:t>(c)</w:t>
      </w:r>
      <w:r>
        <w:tab/>
        <w:t>trim;</w:t>
      </w:r>
    </w:p>
    <w:p w:rsidR="00BA29FF" w:rsidRDefault="00BA29FF">
      <w:pPr>
        <w:pStyle w:val="aDefpara"/>
      </w:pPr>
      <w:r>
        <w:tab/>
        <w:t>(d)</w:t>
      </w:r>
      <w:r>
        <w:tab/>
        <w:t>roofing or a roof duct, flue, gutter or vent;</w:t>
      </w:r>
    </w:p>
    <w:p w:rsidR="00BA29FF" w:rsidRDefault="00BA29FF">
      <w:pPr>
        <w:pStyle w:val="aDefpara"/>
      </w:pPr>
      <w:r>
        <w:tab/>
        <w:t>(e)</w:t>
      </w:r>
      <w:r>
        <w:tab/>
        <w:t>a vent pipe;</w:t>
      </w:r>
    </w:p>
    <w:p w:rsidR="00BA29FF" w:rsidRDefault="00BA29FF">
      <w:pPr>
        <w:pStyle w:val="aDefpara"/>
      </w:pPr>
      <w:r>
        <w:tab/>
        <w:t>(f)</w:t>
      </w:r>
      <w:r>
        <w:tab/>
        <w:t xml:space="preserve">a step or landing; </w:t>
      </w:r>
    </w:p>
    <w:p w:rsidR="00BA29FF" w:rsidRDefault="00BA29FF">
      <w:pPr>
        <w:pStyle w:val="aDefpara"/>
      </w:pPr>
      <w:r>
        <w:tab/>
        <w:t>(g)</w:t>
      </w:r>
      <w:r>
        <w:tab/>
        <w:t>a handrail or balustrade or other barrier that functions as a balustrade.</w:t>
      </w:r>
    </w:p>
    <w:p w:rsidR="00BA29FF" w:rsidRDefault="00BA29FF">
      <w:pPr>
        <w:pStyle w:val="aDef"/>
        <w:keepNext/>
      </w:pPr>
      <w:r>
        <w:rPr>
          <w:b/>
          <w:i/>
        </w:rPr>
        <w:t>structure</w:t>
      </w:r>
      <w:r>
        <w:t xml:space="preserve"> does not include a fence for an open space boundary.</w:t>
      </w:r>
    </w:p>
    <w:p w:rsidR="00BA29FF" w:rsidRDefault="00BA29FF">
      <w:pPr>
        <w:pStyle w:val="aNote"/>
        <w:rPr>
          <w:lang w:val="en-US"/>
        </w:rPr>
      </w:pPr>
      <w:r>
        <w:rPr>
          <w:i/>
          <w:lang w:val="en-US"/>
        </w:rPr>
        <w:t>Note</w:t>
      </w:r>
      <w:r>
        <w:rPr>
          <w:i/>
          <w:lang w:val="en-US"/>
        </w:rPr>
        <w:tab/>
      </w:r>
      <w:r>
        <w:rPr>
          <w:lang w:val="en-US"/>
        </w:rPr>
        <w:t>For external doors and windows, see s 1.21 and 1.21A and for skylights, see s 1.26.</w:t>
      </w:r>
    </w:p>
    <w:p w:rsidR="00BA29FF" w:rsidRDefault="00BA29FF">
      <w:pPr>
        <w:pStyle w:val="SchAmain"/>
      </w:pPr>
      <w:r>
        <w:tab/>
        <w:t>(2)</w:t>
      </w:r>
      <w:r>
        <w:tab/>
        <w:t>A designated development for altering the exterior material or finish of a building or structure if—</w:t>
      </w:r>
    </w:p>
    <w:p w:rsidR="00BA29FF" w:rsidRDefault="00BA29FF">
      <w:pPr>
        <w:pStyle w:val="SchApara"/>
      </w:pPr>
      <w:r>
        <w:tab/>
        <w:t>(a)</w:t>
      </w:r>
      <w:r>
        <w:tab/>
        <w:t>the alteration involves—</w:t>
      </w:r>
    </w:p>
    <w:p w:rsidR="00BA29FF" w:rsidRDefault="00BA29FF">
      <w:pPr>
        <w:pStyle w:val="SchAsubpara"/>
      </w:pPr>
      <w:r>
        <w:tab/>
        <w:t>(i)</w:t>
      </w:r>
      <w:r>
        <w:tab/>
        <w:t>painting the exterior of the building or structure to change its appearance, other than—</w:t>
      </w:r>
    </w:p>
    <w:p w:rsidR="00BA29FF" w:rsidRDefault="00BA29FF">
      <w:pPr>
        <w:pStyle w:val="SchAsubsubpara"/>
      </w:pPr>
      <w:r>
        <w:lastRenderedPageBreak/>
        <w:tab/>
        <w:t>(A)</w:t>
      </w:r>
      <w:r>
        <w:tab/>
        <w:t>painting a design or sign on the exterior of the building or structure; or</w:t>
      </w:r>
    </w:p>
    <w:p w:rsidR="00BA29FF" w:rsidRDefault="00BA29FF">
      <w:pPr>
        <w:pStyle w:val="SchAsubsubpara"/>
      </w:pPr>
      <w:r>
        <w:tab/>
        <w:t>(B)</w:t>
      </w:r>
      <w:r>
        <w:tab/>
        <w:t>painting the building for maintenance; or</w:t>
      </w:r>
    </w:p>
    <w:p w:rsidR="00BA29FF" w:rsidRDefault="00BA29FF">
      <w:pPr>
        <w:pStyle w:val="aNotesubpar"/>
      </w:pPr>
      <w:r>
        <w:rPr>
          <w:i/>
        </w:rPr>
        <w:t>Note</w:t>
      </w:r>
      <w:r>
        <w:rPr>
          <w:i/>
        </w:rPr>
        <w:tab/>
      </w:r>
      <w:r>
        <w:t xml:space="preserve">For maintenance, see s 1.23. </w:t>
      </w:r>
    </w:p>
    <w:p w:rsidR="00BA29FF" w:rsidRDefault="00BA29FF">
      <w:pPr>
        <w:pStyle w:val="SchAsubpara"/>
        <w:keepNext/>
        <w:keepLines/>
      </w:pPr>
      <w:r>
        <w:tab/>
        <w:t>(ii)</w:t>
      </w:r>
      <w:r>
        <w:tab/>
        <w:t>replacing or covering an exterior item (other than an excluded item) of the building or structure with the same or a different material; and</w:t>
      </w:r>
    </w:p>
    <w:p w:rsidR="00BA29FF" w:rsidRDefault="00BA29FF">
      <w:pPr>
        <w:pStyle w:val="aExamHdgsubpar"/>
        <w:keepLines/>
      </w:pPr>
      <w:r>
        <w:t>Examples</w:t>
      </w:r>
    </w:p>
    <w:p w:rsidR="00BA29FF" w:rsidRDefault="00BA29FF">
      <w:pPr>
        <w:pStyle w:val="aExamsubpar"/>
        <w:keepNext/>
        <w:keepLines/>
        <w:tabs>
          <w:tab w:val="left" w:pos="2565"/>
        </w:tabs>
        <w:ind w:left="2565" w:hanging="425"/>
      </w:pPr>
      <w:r>
        <w:t>1</w:t>
      </w:r>
      <w:r>
        <w:tab/>
        <w:t>changing a house roof from metal sheet to tile</w:t>
      </w:r>
    </w:p>
    <w:p w:rsidR="00BA29FF" w:rsidRDefault="00BA29FF">
      <w:pPr>
        <w:pStyle w:val="aExamsubpar"/>
        <w:keepNext/>
        <w:keepLines/>
        <w:tabs>
          <w:tab w:val="left" w:pos="2565"/>
        </w:tabs>
        <w:ind w:left="2565" w:hanging="425"/>
      </w:pPr>
      <w:r>
        <w:t>2</w:t>
      </w:r>
      <w:r>
        <w:tab/>
        <w:t>changing weatherboard cladding to brick-veneer</w:t>
      </w:r>
    </w:p>
    <w:p w:rsidR="00BA29FF" w:rsidRDefault="00BA29FF">
      <w:pPr>
        <w:pStyle w:val="aExamsubpar"/>
        <w:keepNext/>
        <w:keepLines/>
        <w:tabs>
          <w:tab w:val="left" w:pos="2565"/>
        </w:tabs>
        <w:ind w:left="2565" w:hanging="425"/>
      </w:pPr>
      <w:r>
        <w:t>3</w:t>
      </w:r>
      <w:r>
        <w:tab/>
        <w:t>rendering exterior brickwork with cement render</w:t>
      </w:r>
    </w:p>
    <w:p w:rsidR="00BA29FF" w:rsidRDefault="00BA29FF">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BA29FF" w:rsidRDefault="00BA29FF">
      <w:pPr>
        <w:pStyle w:val="SchApara"/>
        <w:keepNext/>
      </w:pPr>
      <w:r>
        <w:tab/>
        <w:t>(b)</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A29FF" w:rsidRDefault="00BA29FF">
      <w:pPr>
        <w:pStyle w:val="Schclauseheading"/>
      </w:pPr>
      <w:bookmarkStart w:id="154" w:name="_Toc206921343"/>
      <w:r>
        <w:rPr>
          <w:rStyle w:val="CharSectNo"/>
        </w:rPr>
        <w:t>1.23</w:t>
      </w:r>
      <w:r>
        <w:tab/>
        <w:t>Maintenance of buildings and structures</w:t>
      </w:r>
      <w:bookmarkEnd w:id="154"/>
    </w:p>
    <w:p w:rsidR="00BA29FF" w:rsidRDefault="00BA29FF">
      <w:pPr>
        <w:pStyle w:val="Amainreturn"/>
      </w:pPr>
      <w:r>
        <w:t>A designated development for the maintenance of a building or structure if—</w:t>
      </w:r>
    </w:p>
    <w:p w:rsidR="00BA29FF" w:rsidRDefault="00BA29FF">
      <w:pPr>
        <w:pStyle w:val="SchApara"/>
      </w:pPr>
      <w:r>
        <w:tab/>
        <w:t>(a)</w:t>
      </w:r>
      <w:r>
        <w:tab/>
        <w:t>the maintenance does not involve changing the kind of material used for the part of the building or structure to which the maintenance relates; and</w:t>
      </w:r>
    </w:p>
    <w:p w:rsidR="00BA29FF" w:rsidRDefault="00BA29FF">
      <w:pPr>
        <w:pStyle w:val="aExamHdgpar"/>
      </w:pPr>
      <w:r>
        <w:t>Examples—maintenance</w:t>
      </w:r>
    </w:p>
    <w:p w:rsidR="00BA29FF" w:rsidRDefault="00BA29FF">
      <w:pPr>
        <w:pStyle w:val="aExamINumpar"/>
      </w:pPr>
      <w:r>
        <w:t>1</w:t>
      </w:r>
      <w:r>
        <w:tab/>
        <w:t>replacing a building’s rotted timber window frames to maintain the building’s appearance and to weatherproof the building</w:t>
      </w:r>
    </w:p>
    <w:p w:rsidR="00BA29FF" w:rsidRDefault="00BA29FF">
      <w:pPr>
        <w:pStyle w:val="aExamINumpar"/>
      </w:pPr>
      <w:r>
        <w:lastRenderedPageBreak/>
        <w:t>2</w:t>
      </w:r>
      <w:r>
        <w:tab/>
        <w:t>replacing broken roof tiles to prevent water damage to the building</w:t>
      </w:r>
    </w:p>
    <w:p w:rsidR="00BA29FF" w:rsidRDefault="00BA29FF">
      <w:pPr>
        <w:pStyle w:val="aExamINumpar"/>
      </w:pPr>
      <w:r>
        <w:t>3</w:t>
      </w:r>
      <w:r>
        <w:tab/>
        <w:t>repairing a building’s plant and equipment</w:t>
      </w:r>
    </w:p>
    <w:p w:rsidR="00BA29FF" w:rsidRDefault="00BA29FF">
      <w:pPr>
        <w:pStyle w:val="aNotepar"/>
      </w:pPr>
      <w:r>
        <w:rPr>
          <w:i/>
        </w:rPr>
        <w:t>Note 1</w:t>
      </w:r>
      <w:r>
        <w:rPr>
          <w:i/>
        </w:rPr>
        <w:tab/>
      </w:r>
      <w:r>
        <w:t>Replacing items such as windows or roofs might be subject to other laws, including heritage laws.</w:t>
      </w:r>
    </w:p>
    <w:p w:rsidR="00BA29FF" w:rsidRDefault="00BA29FF">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BA29FF" w:rsidRDefault="00BA29FF">
      <w:pPr>
        <w:pStyle w:val="SchApara"/>
        <w:keepNext/>
      </w:pPr>
      <w:r>
        <w:tab/>
        <w:t>(b)</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rPr>
          <w:iCs/>
        </w:rPr>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A29FF" w:rsidRDefault="00BA29FF">
      <w:pPr>
        <w:pStyle w:val="Schclauseheading"/>
      </w:pPr>
      <w:bookmarkStart w:id="155" w:name="_Toc206921344"/>
      <w:r>
        <w:rPr>
          <w:rStyle w:val="CharSectNo"/>
        </w:rPr>
        <w:t>1.24</w:t>
      </w:r>
      <w:r>
        <w:tab/>
        <w:t>Buildings—roof slope changes</w:t>
      </w:r>
      <w:bookmarkEnd w:id="155"/>
    </w:p>
    <w:p w:rsidR="00BA29FF" w:rsidRDefault="00BA29FF">
      <w:pPr>
        <w:pStyle w:val="SchAmain"/>
      </w:pPr>
      <w:r>
        <w:tab/>
        <w:t>(1)</w:t>
      </w:r>
      <w:r>
        <w:tab/>
        <w:t>A designated development for changing the slope of all or part of a building’s roof if—</w:t>
      </w:r>
    </w:p>
    <w:p w:rsidR="00BA29FF" w:rsidRDefault="00BA29FF">
      <w:pPr>
        <w:pStyle w:val="SchApara"/>
        <w:keepNext/>
      </w:pPr>
      <w:r>
        <w:tab/>
        <w:t>(a)</w:t>
      </w:r>
      <w:r>
        <w:tab/>
        <w:t>the change does not do any of the following:</w:t>
      </w:r>
    </w:p>
    <w:p w:rsidR="00BA29FF" w:rsidRDefault="00BA29FF">
      <w:pPr>
        <w:pStyle w:val="SchAsubpara"/>
      </w:pPr>
      <w:r>
        <w:tab/>
        <w:t>(i)</w:t>
      </w:r>
      <w:r>
        <w:tab/>
        <w:t>change the slope by more than 2</w:t>
      </w:r>
      <w:r>
        <w:rPr>
          <w:vertAlign w:val="superscript"/>
        </w:rPr>
        <w:t>o</w:t>
      </w:r>
      <w:r>
        <w:t xml:space="preserve">; </w:t>
      </w:r>
    </w:p>
    <w:p w:rsidR="00BA29FF" w:rsidRDefault="00BA29FF">
      <w:pPr>
        <w:pStyle w:val="SchAsubpara"/>
      </w:pPr>
      <w:r>
        <w:tab/>
        <w:t>(ii)</w:t>
      </w:r>
      <w:r>
        <w:tab/>
        <w:t xml:space="preserve">increase the volume or floor area of an existing attic; </w:t>
      </w:r>
    </w:p>
    <w:p w:rsidR="00BA29FF" w:rsidRDefault="00BA29FF">
      <w:pPr>
        <w:pStyle w:val="SchAsubpara"/>
      </w:pPr>
      <w:r>
        <w:tab/>
        <w:t>(iii)</w:t>
      </w:r>
      <w:r>
        <w:tab/>
        <w:t>create a new attic; and</w:t>
      </w:r>
    </w:p>
    <w:p w:rsidR="00BA29FF" w:rsidRDefault="00BA29FF">
      <w:pPr>
        <w:pStyle w:val="SchApara"/>
        <w:keepNext/>
      </w:pPr>
      <w:r>
        <w:tab/>
        <w:t>(b)</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SchAmain"/>
        <w:keepNext/>
      </w:pPr>
      <w:r>
        <w:tab/>
        <w:t>(2)</w:t>
      </w:r>
      <w:r>
        <w:tab/>
        <w:t>In this section:</w:t>
      </w:r>
    </w:p>
    <w:p w:rsidR="00BA29FF" w:rsidRDefault="00BA29FF">
      <w:pPr>
        <w:pStyle w:val="aDef"/>
      </w:pPr>
      <w:r>
        <w:rPr>
          <w:b/>
          <w:bCs/>
          <w:i/>
          <w:iCs/>
        </w:rPr>
        <w:t>attic</w:t>
      </w:r>
      <w:r>
        <w:t>—see the territory plan (13 Definitions).</w:t>
      </w:r>
    </w:p>
    <w:p w:rsidR="00BA29FF" w:rsidRDefault="00BA29FF">
      <w:pPr>
        <w:pStyle w:val="Schclauseheading"/>
      </w:pPr>
      <w:bookmarkStart w:id="156" w:name="_Toc206921345"/>
      <w:r>
        <w:rPr>
          <w:rStyle w:val="CharSectNo"/>
        </w:rPr>
        <w:lastRenderedPageBreak/>
        <w:t>1.25</w:t>
      </w:r>
      <w:r>
        <w:tab/>
        <w:t>Buildings—chimneys, flues and vents</w:t>
      </w:r>
      <w:bookmarkEnd w:id="156"/>
    </w:p>
    <w:p w:rsidR="00BA29FF" w:rsidRDefault="00BA29FF">
      <w:pPr>
        <w:pStyle w:val="Amainreturn"/>
        <w:keepNext/>
      </w:pPr>
      <w:r>
        <w:t>A designated development for a chimney, flue or vent for a building if—</w:t>
      </w:r>
    </w:p>
    <w:p w:rsidR="00BA29FF" w:rsidRDefault="00BA29FF">
      <w:pPr>
        <w:pStyle w:val="SchApara"/>
        <w:keepNext/>
      </w:pPr>
      <w:r>
        <w:tab/>
        <w:t>(a)</w:t>
      </w:r>
      <w:r>
        <w:tab/>
        <w:t>the chimney, flue or vent—</w:t>
      </w:r>
    </w:p>
    <w:p w:rsidR="00BA29FF" w:rsidRDefault="00BA29FF">
      <w:pPr>
        <w:pStyle w:val="SchAsubpara"/>
      </w:pPr>
      <w:r>
        <w:tab/>
        <w:t>(i)</w:t>
      </w:r>
      <w:r>
        <w:tab/>
        <w:t>penetrates, or is attached to, the building’s roof; and</w:t>
      </w:r>
    </w:p>
    <w:p w:rsidR="00BA29FF" w:rsidRDefault="00BA29FF">
      <w:pPr>
        <w:pStyle w:val="SchAsubpara"/>
      </w:pPr>
      <w:r>
        <w:tab/>
        <w:t>(ii)</w:t>
      </w:r>
      <w:r>
        <w:tab/>
        <w:t>does not extend more than 1.5m above the lowest point of the roof where the chimney, flue or vent penetrates, or attaches to, the roof; and</w:t>
      </w:r>
    </w:p>
    <w:p w:rsidR="00BA29FF" w:rsidRDefault="00BA29FF">
      <w:pPr>
        <w:pStyle w:val="SchApara"/>
      </w:pPr>
      <w:r>
        <w:tab/>
        <w:t>(b)</w:t>
      </w:r>
      <w:r>
        <w:tab/>
        <w:t>the designated development complies with the general exemption criteria that are applicable to the development.</w:t>
      </w:r>
    </w:p>
    <w:p w:rsidR="00BA29FF" w:rsidRDefault="00BA29FF">
      <w:pPr>
        <w:pStyle w:val="aExamHdgss"/>
      </w:pPr>
      <w:r>
        <w:t>Example—chimney that is an exempt development</w:t>
      </w:r>
    </w:p>
    <w:p w:rsidR="00BA29FF" w:rsidRDefault="00BA29FF">
      <w:pPr>
        <w:pStyle w:val="aExamss"/>
        <w:keepNext/>
      </w:pPr>
      <w:r>
        <w:t>A chimney penetrates a sloping roof.  The vertical distance from the top of the chimney to the point where the chimney emerges from the roof’s surface, on the downhill side of the chimney, is 1.45m.</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BA29FF" w:rsidRDefault="00BA29FF">
      <w:pPr>
        <w:pStyle w:val="Schclauseheading"/>
      </w:pPr>
      <w:bookmarkStart w:id="157" w:name="_Toc206921346"/>
      <w:r>
        <w:rPr>
          <w:rStyle w:val="CharSectNo"/>
        </w:rPr>
        <w:t>1.26</w:t>
      </w:r>
      <w:r>
        <w:tab/>
        <w:t>Buildings—skylights</w:t>
      </w:r>
      <w:bookmarkEnd w:id="157"/>
    </w:p>
    <w:p w:rsidR="00BA29FF" w:rsidRDefault="00BA29FF">
      <w:pPr>
        <w:pStyle w:val="Amainreturn"/>
        <w:keepNext/>
      </w:pPr>
      <w:r>
        <w:t>A designated development for a skylight in the roof of a building if—</w:t>
      </w:r>
    </w:p>
    <w:p w:rsidR="00BA29FF" w:rsidRDefault="00BA29FF">
      <w:pPr>
        <w:pStyle w:val="SchApara"/>
      </w:pPr>
      <w:r>
        <w:tab/>
        <w:t>(a)</w:t>
      </w:r>
      <w:r>
        <w:tab/>
        <w:t>the external area of the skylight is not more than 2m</w:t>
      </w:r>
      <w:r>
        <w:rPr>
          <w:vertAlign w:val="superscript"/>
        </w:rPr>
        <w:t>2</w:t>
      </w:r>
      <w:r>
        <w:t>; and</w:t>
      </w:r>
    </w:p>
    <w:p w:rsidR="00BA29FF" w:rsidRDefault="00BA29FF">
      <w:pPr>
        <w:pStyle w:val="SchApara"/>
      </w:pPr>
      <w:r>
        <w:tab/>
        <w:t>(b)</w:t>
      </w:r>
      <w:r>
        <w:tab/>
        <w:t>the skylight does not project more than 150mm above the surface of the roof adjacent to the skylight; and</w:t>
      </w:r>
    </w:p>
    <w:p w:rsidR="00BA29FF" w:rsidRDefault="00BA29FF">
      <w:pPr>
        <w:pStyle w:val="SchApara"/>
        <w:keepNext/>
      </w:pPr>
      <w:r>
        <w:lastRenderedPageBreak/>
        <w:tab/>
        <w:t>(c)</w:t>
      </w:r>
      <w:r>
        <w:tab/>
        <w:t>the designated development complies with the general exemption criteria that are applicable to the development.</w:t>
      </w:r>
    </w:p>
    <w:p w:rsidR="00BA29FF" w:rsidRDefault="00BA29FF">
      <w:pPr>
        <w:pStyle w:val="aNote"/>
        <w:keepNext/>
        <w:rPr>
          <w:iCs/>
        </w:rPr>
      </w:pPr>
      <w:r>
        <w:rPr>
          <w:i/>
        </w:rPr>
        <w:t>Note 1</w:t>
      </w:r>
      <w:r>
        <w:rPr>
          <w:i/>
        </w:rPr>
        <w:tab/>
      </w:r>
      <w:r>
        <w:rPr>
          <w:b/>
          <w:bCs/>
          <w:i/>
        </w:rPr>
        <w:t>Designated development</w:t>
      </w:r>
      <w:r>
        <w:rPr>
          <w:iCs/>
        </w:rPr>
        <w:t>—see s 1.2.</w:t>
      </w:r>
    </w:p>
    <w:p w:rsidR="00BA29FF" w:rsidRDefault="00BA29FF">
      <w:pPr>
        <w:pStyle w:val="aNote"/>
        <w:keepNext/>
        <w:rPr>
          <w:iCs/>
        </w:rPr>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A29FF" w:rsidRDefault="00BA29FF">
      <w:pPr>
        <w:pStyle w:val="Schclauseheading"/>
        <w:rPr>
          <w:szCs w:val="24"/>
        </w:rPr>
      </w:pPr>
      <w:bookmarkStart w:id="158" w:name="_Toc206921347"/>
      <w:r>
        <w:rPr>
          <w:rStyle w:val="CharSectNo"/>
        </w:rPr>
        <w:t>1.27</w:t>
      </w:r>
      <w:r>
        <w:rPr>
          <w:szCs w:val="24"/>
        </w:rPr>
        <w:tab/>
        <w:t>External photovoltaic panels, heaters and coolers</w:t>
      </w:r>
      <w:bookmarkEnd w:id="158"/>
    </w:p>
    <w:p w:rsidR="00BA29FF" w:rsidRDefault="00BA29FF">
      <w:pPr>
        <w:pStyle w:val="SchAmain"/>
      </w:pPr>
      <w:r>
        <w:tab/>
        <w:t>(1)</w:t>
      </w:r>
      <w:r>
        <w:tab/>
        <w:t>A designated development for an externally mounted service for a block if—</w:t>
      </w:r>
    </w:p>
    <w:p w:rsidR="00BA29FF" w:rsidRDefault="00BA29FF">
      <w:pPr>
        <w:pStyle w:val="SchApara"/>
      </w:pPr>
      <w:r>
        <w:tab/>
        <w:t>(a)</w:t>
      </w:r>
      <w:r>
        <w:tab/>
        <w:t>no part of the service is within 1.5m of a side boundary or rear boundary of the block; and</w:t>
      </w:r>
    </w:p>
    <w:p w:rsidR="00BA29FF" w:rsidRDefault="00BA29FF">
      <w:pPr>
        <w:pStyle w:val="SchApara"/>
      </w:pPr>
      <w:r>
        <w:tab/>
        <w:t>(b)</w:t>
      </w:r>
      <w:r>
        <w:tab/>
        <w:t>if the service is mounted on a roof—the distance from the top of the service to the closest point of the roof is not more than 1.5m; and</w:t>
      </w:r>
    </w:p>
    <w:p w:rsidR="00BA29FF" w:rsidRDefault="00BA29FF">
      <w:pPr>
        <w:pStyle w:val="SchApara"/>
      </w:pPr>
      <w:r>
        <w:tab/>
        <w:t>(c)</w:t>
      </w:r>
      <w:r>
        <w:tab/>
        <w:t>if the service is mounted on the ground—no part of the service is between a front boundary and a building line for the block; and</w:t>
      </w:r>
    </w:p>
    <w:p w:rsidR="00BA29FF" w:rsidRDefault="00BA29FF">
      <w:pPr>
        <w:pStyle w:val="SchApara"/>
        <w:keepNext/>
      </w:pPr>
      <w:r>
        <w:tab/>
        <w:t>(d)</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rPr>
          <w:iCs/>
        </w:rPr>
      </w:pPr>
      <w:r>
        <w:rPr>
          <w:i/>
        </w:rPr>
        <w:t>Note 2</w:t>
      </w:r>
      <w:r>
        <w:rPr>
          <w:i/>
        </w:rPr>
        <w:tab/>
      </w:r>
      <w:r>
        <w:rPr>
          <w:b/>
          <w:bCs/>
          <w:i/>
        </w:rPr>
        <w:t>General exemption criteria</w:t>
      </w:r>
      <w:r>
        <w:rPr>
          <w:iCs/>
        </w:rPr>
        <w:t xml:space="preserve">—see s </w:t>
      </w:r>
      <w:r>
        <w:t>1.10</w:t>
      </w:r>
      <w:r>
        <w:rPr>
          <w:iCs/>
        </w:rPr>
        <w:t>.</w:t>
      </w:r>
    </w:p>
    <w:p w:rsidR="00BA29FF" w:rsidRDefault="00BA29FF">
      <w:pPr>
        <w:pStyle w:val="SchAmain"/>
        <w:keepNext/>
      </w:pPr>
      <w:r>
        <w:tab/>
        <w:t>(2)</w:t>
      </w:r>
      <w:r>
        <w:tab/>
        <w:t>In this section:</w:t>
      </w:r>
    </w:p>
    <w:p w:rsidR="00BA29FF" w:rsidRDefault="00BA29FF">
      <w:pPr>
        <w:pStyle w:val="aDef"/>
        <w:keepNext/>
      </w:pPr>
      <w:r>
        <w:rPr>
          <w:b/>
          <w:i/>
        </w:rPr>
        <w:t>service</w:t>
      </w:r>
      <w:r>
        <w:t>—</w:t>
      </w:r>
    </w:p>
    <w:p w:rsidR="00BA29FF" w:rsidRDefault="00BA29FF">
      <w:pPr>
        <w:pStyle w:val="aDefpara"/>
      </w:pPr>
      <w:r>
        <w:tab/>
        <w:t>(a)</w:t>
      </w:r>
      <w:r>
        <w:tab/>
        <w:t xml:space="preserve">means a photovoltaic panel, solar water heater, air conditioner or evaporative cooler; </w:t>
      </w:r>
      <w:r>
        <w:rPr>
          <w:noProof/>
        </w:rPr>
        <w:t xml:space="preserve">and </w:t>
      </w:r>
    </w:p>
    <w:p w:rsidR="00BA29FF" w:rsidRDefault="00BA29FF">
      <w:pPr>
        <w:pStyle w:val="aDefpara"/>
      </w:pPr>
      <w:r>
        <w:tab/>
        <w:t>(b)</w:t>
      </w:r>
      <w:r>
        <w:tab/>
      </w:r>
      <w:r>
        <w:rPr>
          <w:noProof/>
        </w:rPr>
        <w:t xml:space="preserve">includes the support structures (if any) for the panel, heater, </w:t>
      </w:r>
      <w:r>
        <w:t>air conditioner or evaporative cooler.</w:t>
      </w:r>
    </w:p>
    <w:p w:rsidR="00BA29FF" w:rsidRDefault="00BA29FF">
      <w:pPr>
        <w:pStyle w:val="aDef"/>
      </w:pPr>
      <w:r>
        <w:rPr>
          <w:b/>
          <w:i/>
        </w:rPr>
        <w:lastRenderedPageBreak/>
        <w:t>solar water heater</w:t>
      </w:r>
      <w:r>
        <w:t xml:space="preserve">—see the </w:t>
      </w:r>
      <w:r>
        <w:rPr>
          <w:i/>
          <w:iCs/>
        </w:rPr>
        <w:t>Building (General) Regulation 2008</w:t>
      </w:r>
      <w:r>
        <w:t>, schedule 1, section 1.1.</w:t>
      </w:r>
    </w:p>
    <w:p w:rsidR="00BA29FF" w:rsidRDefault="00BA29FF">
      <w:pPr>
        <w:pStyle w:val="Schclauseheading"/>
      </w:pPr>
      <w:bookmarkStart w:id="159" w:name="_Toc206921348"/>
      <w:r>
        <w:rPr>
          <w:rStyle w:val="CharSectNo"/>
        </w:rPr>
        <w:t>1.28</w:t>
      </w:r>
      <w:r>
        <w:tab/>
      </w:r>
      <w:r>
        <w:rPr>
          <w:szCs w:val="24"/>
        </w:rPr>
        <w:t>Buildings—external switchboards</w:t>
      </w:r>
      <w:bookmarkEnd w:id="159"/>
    </w:p>
    <w:p w:rsidR="00BA29FF" w:rsidRDefault="00BA29FF">
      <w:pPr>
        <w:pStyle w:val="Amainreturn"/>
        <w:keepNext/>
      </w:pPr>
      <w:r>
        <w:t>A designated development for a switchboard on the exterior of a building if 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Schclauseheading"/>
      </w:pPr>
      <w:bookmarkStart w:id="160" w:name="_Toc206921349"/>
      <w:r>
        <w:rPr>
          <w:rStyle w:val="CharSectNo"/>
        </w:rPr>
        <w:t>1.29</w:t>
      </w:r>
      <w:r>
        <w:tab/>
        <w:t>Buildings—external area lighting</w:t>
      </w:r>
      <w:bookmarkEnd w:id="160"/>
    </w:p>
    <w:p w:rsidR="00BA29FF" w:rsidRDefault="00BA29FF">
      <w:pPr>
        <w:pStyle w:val="SchAmain"/>
        <w:keepNext/>
      </w:pPr>
      <w:r>
        <w:tab/>
        <w:t>(1)</w:t>
      </w:r>
      <w:r>
        <w:tab/>
        <w:t>A designated development for area lighting on the exterior of a building if 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BA29FF" w:rsidRDefault="00BA29FF">
      <w:pPr>
        <w:pStyle w:val="SchAmain"/>
        <w:keepNext/>
      </w:pPr>
      <w:r>
        <w:tab/>
        <w:t>(2)</w:t>
      </w:r>
      <w:r>
        <w:tab/>
        <w:t>In this section:</w:t>
      </w:r>
    </w:p>
    <w:p w:rsidR="00BA29FF" w:rsidRDefault="00BA29FF">
      <w:pPr>
        <w:pStyle w:val="aDef"/>
      </w:pPr>
      <w:r>
        <w:rPr>
          <w:b/>
          <w:i/>
        </w:rPr>
        <w:t>area lighting</w:t>
      </w:r>
      <w:r>
        <w:t xml:space="preserve"> means lighting to assist people to avoid obstacles while moving around the exterior of a building.</w:t>
      </w:r>
    </w:p>
    <w:p w:rsidR="00BA29FF" w:rsidRDefault="00BA29FF">
      <w:pPr>
        <w:pStyle w:val="Schclauseheading"/>
        <w:rPr>
          <w:szCs w:val="24"/>
        </w:rPr>
      </w:pPr>
      <w:bookmarkStart w:id="161" w:name="_Toc206921350"/>
      <w:r>
        <w:rPr>
          <w:rStyle w:val="CharSectNo"/>
        </w:rPr>
        <w:t>1.30</w:t>
      </w:r>
      <w:r>
        <w:rPr>
          <w:szCs w:val="24"/>
        </w:rPr>
        <w:tab/>
        <w:t>Residential leases—driveway crossings of road verges</w:t>
      </w:r>
      <w:bookmarkEnd w:id="161"/>
    </w:p>
    <w:p w:rsidR="00BA29FF" w:rsidRDefault="00BA29FF">
      <w:pPr>
        <w:pStyle w:val="SchAmain"/>
      </w:pPr>
      <w:r>
        <w:tab/>
        <w:t>(1)</w:t>
      </w:r>
      <w:r>
        <w:tab/>
        <w:t>A designated development for a driveway across a road verge for a residential lease granted for a single dwelling if—</w:t>
      </w:r>
    </w:p>
    <w:p w:rsidR="00BA29FF" w:rsidRDefault="00BA29FF">
      <w:pPr>
        <w:pStyle w:val="SchApara"/>
      </w:pPr>
      <w:r>
        <w:tab/>
        <w:t>(a)</w:t>
      </w:r>
      <w:r>
        <w:tab/>
        <w:t xml:space="preserve">only 1 dwelling has been built on the lease and a development application for another dwelling has not been made in relation to the lease; and </w:t>
      </w:r>
    </w:p>
    <w:p w:rsidR="00BA29FF" w:rsidRDefault="00BA29FF">
      <w:pPr>
        <w:pStyle w:val="SchApara"/>
      </w:pPr>
      <w:r>
        <w:tab/>
        <w:t>(b)</w:t>
      </w:r>
      <w:r>
        <w:tab/>
        <w:t>the construction of the driveway will result in not more than 2 driveways for the lease; and</w:t>
      </w:r>
    </w:p>
    <w:p w:rsidR="00BA29FF" w:rsidRDefault="00BA29FF">
      <w:pPr>
        <w:pStyle w:val="SchApara"/>
      </w:pPr>
      <w:r>
        <w:lastRenderedPageBreak/>
        <w:tab/>
        <w:t>(c)</w:t>
      </w:r>
      <w:r>
        <w:tab/>
        <w:t>the chief executive of the administrative unit responsible for municipal services has agreed, in writing, to the provision of the driveway; and</w:t>
      </w:r>
    </w:p>
    <w:p w:rsidR="00BA29FF" w:rsidRDefault="00BA29FF">
      <w:pPr>
        <w:pStyle w:val="SchApara"/>
      </w:pPr>
      <w:r>
        <w:tab/>
        <w:t>(d)</w:t>
      </w:r>
      <w:r>
        <w:tab/>
        <w:t>the driveway is constructed in accordance with the consent; and</w:t>
      </w:r>
    </w:p>
    <w:p w:rsidR="00BA29FF" w:rsidRDefault="00BA29FF">
      <w:pPr>
        <w:pStyle w:val="SchApara"/>
        <w:keepNext/>
      </w:pPr>
      <w:r>
        <w:tab/>
        <w:t>(e)</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rPr>
        <w:t>Note 3</w:t>
      </w:r>
      <w:r>
        <w:rPr>
          <w:i/>
        </w:rPr>
        <w:tab/>
      </w:r>
      <w:r>
        <w:rPr>
          <w:b/>
          <w:bCs/>
          <w:i/>
          <w:iCs/>
        </w:rPr>
        <w:t>Residential lease</w:t>
      </w:r>
      <w:r>
        <w:t>—see the Act, s 234.</w:t>
      </w:r>
    </w:p>
    <w:p w:rsidR="00BA29FF" w:rsidRDefault="00BA29FF">
      <w:pPr>
        <w:pStyle w:val="SchAmain"/>
        <w:keepNext/>
      </w:pPr>
      <w:r>
        <w:tab/>
        <w:t>(2)</w:t>
      </w:r>
      <w:r>
        <w:tab/>
        <w:t>In this section:</w:t>
      </w:r>
    </w:p>
    <w:p w:rsidR="00BA29FF" w:rsidRDefault="00BA29FF">
      <w:pPr>
        <w:pStyle w:val="aDef"/>
        <w:keepNext/>
      </w:pPr>
      <w:r>
        <w:rPr>
          <w:b/>
          <w:i/>
        </w:rPr>
        <w:t>road verge</w:t>
      </w:r>
      <w:r>
        <w:t xml:space="preserve"> means the area between the trafficable part of a road and the boundary of a lease adjacent to the road.</w:t>
      </w:r>
    </w:p>
    <w:p w:rsidR="00BA29FF" w:rsidRDefault="00BA29FF">
      <w:pPr>
        <w:pStyle w:val="aNote"/>
      </w:pPr>
      <w:r>
        <w:rPr>
          <w:i/>
        </w:rPr>
        <w:t>Note</w:t>
      </w:r>
      <w:r>
        <w:rPr>
          <w:i/>
        </w:rPr>
        <w:tab/>
      </w:r>
      <w:r>
        <w:t>This item does not apply to that part of a driveway that is on the residential lease, but other provisions in this schedule might apply to that part of a driveway.</w:t>
      </w:r>
    </w:p>
    <w:p w:rsidR="00BA29FF" w:rsidRDefault="00BA29FF">
      <w:pPr>
        <w:pStyle w:val="AH5Sec"/>
      </w:pPr>
      <w:bookmarkStart w:id="162" w:name="_Toc206921351"/>
      <w:r>
        <w:rPr>
          <w:rStyle w:val="CharSectNo"/>
        </w:rPr>
        <w:t>1.31</w:t>
      </w:r>
      <w:r>
        <w:tab/>
        <w:t>Temporary buildings and structures</w:t>
      </w:r>
      <w:bookmarkEnd w:id="162"/>
    </w:p>
    <w:p w:rsidR="00BA29FF" w:rsidRDefault="00BA29FF">
      <w:pPr>
        <w:pStyle w:val="Amain"/>
      </w:pPr>
      <w:r>
        <w:tab/>
        <w:t>(1)</w:t>
      </w:r>
      <w:r>
        <w:tab/>
        <w:t>In this section:</w:t>
      </w:r>
    </w:p>
    <w:p w:rsidR="00BA29FF" w:rsidRDefault="00BA29FF">
      <w:pPr>
        <w:pStyle w:val="aDef"/>
      </w:pPr>
      <w:r>
        <w:rPr>
          <w:b/>
          <w:bCs/>
          <w:i/>
          <w:iCs/>
        </w:rPr>
        <w:t>event</w:t>
      </w:r>
      <w:r>
        <w:t xml:space="preserve"> means a fair, circus, carnival, celebration, market, show, concert, display, exhibition, competition, training event, recreational event or publicity event or similar activity.</w:t>
      </w:r>
    </w:p>
    <w:p w:rsidR="00BA29FF" w:rsidRDefault="00BA29FF">
      <w:pPr>
        <w:pStyle w:val="aDef"/>
        <w:keepNext/>
      </w:pPr>
      <w:r>
        <w:rPr>
          <w:b/>
          <w:i/>
        </w:rPr>
        <w:t>prescribed general exemption criteria</w:t>
      </w:r>
      <w:r>
        <w:t xml:space="preserve"> means the general exemption criteria, other than the following:</w:t>
      </w:r>
    </w:p>
    <w:p w:rsidR="00BA29FF" w:rsidRDefault="00BA29FF">
      <w:pPr>
        <w:pStyle w:val="aDefpara"/>
      </w:pPr>
      <w:r>
        <w:tab/>
        <w:t>(a)</w:t>
      </w:r>
      <w:r>
        <w:tab/>
        <w:t>section 1.13 (Criterion 3—metallic, white and off-white exterior finishes in residential zones);</w:t>
      </w:r>
    </w:p>
    <w:p w:rsidR="00BA29FF" w:rsidRDefault="00BA29FF">
      <w:pPr>
        <w:pStyle w:val="aDefpara"/>
      </w:pPr>
      <w:r>
        <w:tab/>
        <w:t>(b)</w:t>
      </w:r>
      <w:r>
        <w:tab/>
        <w:t>section 1.18 (Criterion 8—compliance with other applicable exemption criteria).</w:t>
      </w:r>
    </w:p>
    <w:p w:rsidR="00BA29FF" w:rsidRDefault="00BA29FF">
      <w:pPr>
        <w:pStyle w:val="aNote"/>
      </w:pPr>
      <w:r>
        <w:rPr>
          <w:i/>
        </w:rPr>
        <w:t>Note</w:t>
      </w:r>
      <w:r>
        <w:rPr>
          <w:i/>
        </w:rPr>
        <w:tab/>
      </w:r>
      <w:r>
        <w:rPr>
          <w:b/>
          <w:bCs/>
          <w:i/>
          <w:iCs/>
        </w:rPr>
        <w:t>General exemption criteria</w:t>
      </w:r>
      <w:r>
        <w:t>—see s 1.10.</w:t>
      </w:r>
    </w:p>
    <w:p w:rsidR="00BA29FF" w:rsidRDefault="00BA29FF">
      <w:pPr>
        <w:pStyle w:val="Amain"/>
      </w:pPr>
      <w:r>
        <w:lastRenderedPageBreak/>
        <w:tab/>
        <w:t>(2)</w:t>
      </w:r>
      <w:r>
        <w:tab/>
        <w:t>A designated development for a temporary, portable or demountable building or structure if—</w:t>
      </w:r>
    </w:p>
    <w:p w:rsidR="00BA29FF" w:rsidRDefault="00BA29FF">
      <w:pPr>
        <w:pStyle w:val="Apara"/>
      </w:pPr>
      <w:r>
        <w:tab/>
        <w:t>(a)</w:t>
      </w:r>
      <w:r>
        <w:tab/>
        <w:t>the building or structure is for use at the site of another development or an event; and</w:t>
      </w:r>
    </w:p>
    <w:p w:rsidR="00BA29FF" w:rsidRDefault="00BA29FF">
      <w:pPr>
        <w:pStyle w:val="Apara"/>
      </w:pPr>
      <w:r>
        <w:tab/>
        <w:t>(b)</w:t>
      </w:r>
      <w:r>
        <w:tab/>
        <w:t>if the building or structure is for use at the site of another development—the building or structure is associated with carrying out the other development; and</w:t>
      </w:r>
    </w:p>
    <w:p w:rsidR="00BA29FF" w:rsidRDefault="00BA29FF">
      <w:pPr>
        <w:pStyle w:val="Apara"/>
      </w:pPr>
      <w:r>
        <w:tab/>
        <w:t>(c)</w:t>
      </w:r>
      <w:r>
        <w:tab/>
        <w:t>the building or structure is removed before the end of the longer of the following periods:</w:t>
      </w:r>
    </w:p>
    <w:p w:rsidR="00BA29FF" w:rsidRDefault="00BA29FF">
      <w:pPr>
        <w:pStyle w:val="Asubpara"/>
      </w:pPr>
      <w:r>
        <w:tab/>
        <w:t>(i)</w:t>
      </w:r>
      <w:r>
        <w:tab/>
        <w:t>1 year after the day the designated development for the building or structure begins;</w:t>
      </w:r>
    </w:p>
    <w:p w:rsidR="00BA29FF" w:rsidRDefault="00BA29FF">
      <w:pPr>
        <w:pStyle w:val="Asubpara"/>
      </w:pPr>
      <w:r>
        <w:tab/>
        <w:t>(ii)</w:t>
      </w:r>
      <w:r>
        <w:tab/>
        <w:t>if the planning and land authority extends, in writing, the 1-year period—the period as extended; and</w:t>
      </w:r>
    </w:p>
    <w:p w:rsidR="00BA29FF" w:rsidRDefault="00BA29FF">
      <w:pPr>
        <w:pStyle w:val="Apara"/>
      </w:pPr>
      <w:r>
        <w:tab/>
        <w:t>(d)</w:t>
      </w:r>
      <w:r>
        <w:tab/>
        <w:t>the designated development complies with the prescribed general exemption criteria that are applicable to the development.</w:t>
      </w:r>
    </w:p>
    <w:p w:rsidR="00BA29FF" w:rsidRDefault="00BA29FF">
      <w:pPr>
        <w:pStyle w:val="aNote"/>
      </w:pPr>
      <w:r>
        <w:rPr>
          <w:i/>
          <w:iCs/>
        </w:rPr>
        <w:t>Note</w:t>
      </w:r>
      <w:r>
        <w:rPr>
          <w:i/>
          <w:iCs/>
        </w:rPr>
        <w:tab/>
      </w:r>
      <w:r>
        <w:rPr>
          <w:b/>
          <w:bCs/>
          <w:i/>
          <w:iCs/>
        </w:rPr>
        <w:t>Designated development</w:t>
      </w:r>
      <w:r>
        <w:t>—see s 1.2.</w:t>
      </w:r>
    </w:p>
    <w:p w:rsidR="00BA29FF" w:rsidRDefault="00BA29FF">
      <w:pPr>
        <w:pStyle w:val="AH3Div"/>
      </w:pPr>
      <w:bookmarkStart w:id="163" w:name="_Toc206921352"/>
      <w:r>
        <w:rPr>
          <w:rStyle w:val="CharDivNo"/>
        </w:rPr>
        <w:t>Division 1.3.2</w:t>
      </w:r>
      <w:r>
        <w:tab/>
      </w:r>
      <w:r>
        <w:rPr>
          <w:rStyle w:val="CharDivText"/>
        </w:rPr>
        <w:t>Exempt developments—non-habitable buildings and structures</w:t>
      </w:r>
      <w:bookmarkEnd w:id="163"/>
    </w:p>
    <w:p w:rsidR="00BA29FF" w:rsidRDefault="00BA29FF">
      <w:pPr>
        <w:pStyle w:val="AH4SubDiv"/>
      </w:pPr>
      <w:bookmarkStart w:id="164" w:name="_Toc206921353"/>
      <w:r>
        <w:t>Subdivision 1.3.2.1</w:t>
      </w:r>
      <w:r>
        <w:tab/>
        <w:t>Preliminary</w:t>
      </w:r>
      <w:bookmarkEnd w:id="164"/>
    </w:p>
    <w:p w:rsidR="00BA29FF" w:rsidRDefault="00BA29FF">
      <w:pPr>
        <w:pStyle w:val="AH5Sec"/>
      </w:pPr>
      <w:bookmarkStart w:id="165" w:name="_Toc206921354"/>
      <w:r>
        <w:rPr>
          <w:rStyle w:val="CharSectNo"/>
        </w:rPr>
        <w:t>1.40</w:t>
      </w:r>
      <w:r>
        <w:tab/>
        <w:t xml:space="preserve">Meaning of </w:t>
      </w:r>
      <w:r>
        <w:rPr>
          <w:i/>
          <w:iCs/>
        </w:rPr>
        <w:t>class 10a building</w:t>
      </w:r>
      <w:r>
        <w:t>—div 1.3.2</w:t>
      </w:r>
      <w:bookmarkEnd w:id="165"/>
    </w:p>
    <w:p w:rsidR="00BA29FF" w:rsidRDefault="00BA29FF">
      <w:pPr>
        <w:pStyle w:val="Amainreturn"/>
        <w:keepNext/>
      </w:pPr>
      <w:r>
        <w:t>In this division:</w:t>
      </w:r>
    </w:p>
    <w:p w:rsidR="00BA29FF" w:rsidRDefault="00BA29FF">
      <w:pPr>
        <w:pStyle w:val="aDef"/>
        <w:keepNext/>
      </w:pPr>
      <w:r>
        <w:rPr>
          <w:b/>
          <w:bCs/>
          <w:i/>
          <w:iCs/>
        </w:rPr>
        <w:t>class 10a building</w:t>
      </w:r>
      <w:r>
        <w:t xml:space="preserve"> includes the following:</w:t>
      </w:r>
    </w:p>
    <w:p w:rsidR="00BA29FF" w:rsidRDefault="00BA29FF">
      <w:pPr>
        <w:pStyle w:val="aDefpara"/>
      </w:pPr>
      <w:r>
        <w:tab/>
        <w:t>(a)</w:t>
      </w:r>
      <w:r>
        <w:tab/>
        <w:t>a garage, carport or shed;</w:t>
      </w:r>
    </w:p>
    <w:p w:rsidR="00BA29FF" w:rsidRDefault="00BA29FF">
      <w:pPr>
        <w:pStyle w:val="aDefpara"/>
      </w:pPr>
      <w:r>
        <w:tab/>
        <w:t>(b)</w:t>
      </w:r>
      <w:r>
        <w:tab/>
        <w:t>a conservatory, greenhouse, gazebo, pergola, shelter, shade structure or hail protection structure, studio, workshop or cubbyhouse;</w:t>
      </w:r>
    </w:p>
    <w:p w:rsidR="00BA29FF" w:rsidRDefault="00BA29FF">
      <w:pPr>
        <w:pStyle w:val="aDefpara"/>
      </w:pPr>
      <w:r>
        <w:lastRenderedPageBreak/>
        <w:tab/>
        <w:t>(c)</w:t>
      </w:r>
      <w:r>
        <w:tab/>
        <w:t>a stable, storeroom or other outbuilding;</w:t>
      </w:r>
    </w:p>
    <w:p w:rsidR="00BA29FF" w:rsidRDefault="00BA29FF">
      <w:pPr>
        <w:pStyle w:val="aDefpara"/>
      </w:pPr>
      <w:r>
        <w:tab/>
        <w:t>(d)</w:t>
      </w:r>
      <w:r>
        <w:tab/>
        <w:t>a deck, verandah, porch, landing, stairs or ramp.</w:t>
      </w:r>
    </w:p>
    <w:p w:rsidR="00BA29FF" w:rsidRDefault="00BA29FF">
      <w:pPr>
        <w:pStyle w:val="aNote"/>
      </w:pPr>
      <w:r>
        <w:rPr>
          <w:i/>
        </w:rPr>
        <w:t>Note 1</w:t>
      </w:r>
      <w:r>
        <w:rPr>
          <w:i/>
        </w:rPr>
        <w:tab/>
      </w:r>
      <w:r>
        <w:rPr>
          <w:b/>
          <w:i/>
        </w:rPr>
        <w:t>Class</w:t>
      </w:r>
      <w:r>
        <w:t>, for a building or structure, means the class of building or structure under the building code (see dict).</w:t>
      </w:r>
    </w:p>
    <w:p w:rsidR="00BA29FF" w:rsidRDefault="00BA29FF">
      <w:pPr>
        <w:pStyle w:val="aNote"/>
      </w:pPr>
      <w:r>
        <w:rPr>
          <w:i/>
          <w:iCs/>
        </w:rPr>
        <w:t>Note 2</w:t>
      </w:r>
      <w:r>
        <w:rPr>
          <w:i/>
          <w:iCs/>
        </w:rPr>
        <w:tab/>
      </w:r>
      <w:r>
        <w:t>A swimming pool is not a class 10a building (see building code).</w:t>
      </w:r>
    </w:p>
    <w:p w:rsidR="00BA29FF" w:rsidRDefault="00BA29FF">
      <w:pPr>
        <w:pStyle w:val="AH5Sec"/>
      </w:pPr>
      <w:bookmarkStart w:id="166" w:name="_Toc206921355"/>
      <w:r>
        <w:rPr>
          <w:rStyle w:val="CharSectNo"/>
        </w:rPr>
        <w:t>1.41</w:t>
      </w:r>
      <w:r>
        <w:tab/>
        <w:t>Class 10 buildings and structures—2nd exempt building or structure within boundary clearance area</w:t>
      </w:r>
      <w:bookmarkEnd w:id="166"/>
    </w:p>
    <w:p w:rsidR="00BA29FF" w:rsidRDefault="00BA29FF">
      <w:pPr>
        <w:pStyle w:val="Amain"/>
      </w:pPr>
      <w:r>
        <w:tab/>
        <w:t>(1)</w:t>
      </w:r>
      <w:r>
        <w:tab/>
        <w:t>In this section:</w:t>
      </w:r>
    </w:p>
    <w:p w:rsidR="00BA29FF" w:rsidRDefault="00BA29FF">
      <w:pPr>
        <w:pStyle w:val="aDef"/>
      </w:pPr>
      <w:r>
        <w:rPr>
          <w:b/>
          <w:bCs/>
          <w:i/>
          <w:iCs/>
        </w:rPr>
        <w:t>boundary clearance area</w:t>
      </w:r>
      <w:r>
        <w:t>, for a side boundary or rear boundary of a block, means the area between the boundary and a line drawn 1.5m inside the block and parallel to the boundary.</w:t>
      </w:r>
    </w:p>
    <w:p w:rsidR="00BA29FF" w:rsidRDefault="00BA29FF">
      <w:pPr>
        <w:pStyle w:val="aDef"/>
      </w:pPr>
      <w:r>
        <w:rPr>
          <w:b/>
          <w:bCs/>
          <w:i/>
          <w:iCs/>
        </w:rPr>
        <w:t>class 10 building or structure</w:t>
      </w:r>
      <w:r>
        <w:t xml:space="preserve"> does not include a sign installed on land.</w:t>
      </w:r>
    </w:p>
    <w:p w:rsidR="00BA29FF" w:rsidRDefault="00BA29FF">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BA29FF" w:rsidRDefault="00BA29FF">
      <w:pPr>
        <w:pStyle w:val="Amain"/>
      </w:pPr>
      <w:r>
        <w:tab/>
        <w:t>(2)</w:t>
      </w:r>
      <w:r>
        <w:tab/>
        <w:t>A designated development for a class 10 building or structure (the </w:t>
      </w:r>
      <w:r>
        <w:rPr>
          <w:b/>
          <w:bCs/>
          <w:i/>
          <w:iCs/>
        </w:rPr>
        <w:t>2nd thing</w:t>
      </w:r>
      <w:r>
        <w:t>) in a boundary clearance area of a block if—</w:t>
      </w:r>
    </w:p>
    <w:p w:rsidR="00BA29FF" w:rsidRDefault="00BA29FF">
      <w:pPr>
        <w:pStyle w:val="Apara"/>
      </w:pPr>
      <w:r>
        <w:tab/>
        <w:t>(a)</w:t>
      </w:r>
      <w:r>
        <w:tab/>
        <w:t xml:space="preserve">an existing class 10 building or structure (the </w:t>
      </w:r>
      <w:r>
        <w:rPr>
          <w:b/>
          <w:bCs/>
          <w:i/>
          <w:iCs/>
        </w:rPr>
        <w:t>1st thing</w:t>
      </w:r>
      <w:r>
        <w:t>) is partially or fully in a boundary clearance area of the block; and</w:t>
      </w:r>
    </w:p>
    <w:p w:rsidR="00BA29FF" w:rsidRDefault="00BA29FF">
      <w:pPr>
        <w:pStyle w:val="Apara"/>
      </w:pPr>
      <w:r>
        <w:tab/>
        <w:t>(b)</w:t>
      </w:r>
      <w:r>
        <w:tab/>
        <w:t>the 2nd thing would be exempt under another section of this schedule if the 1st building were not located partially or fully within the boundary clearance area; and</w:t>
      </w:r>
    </w:p>
    <w:p w:rsidR="00BA29FF" w:rsidRDefault="00BA29FF">
      <w:pPr>
        <w:pStyle w:val="Apara"/>
      </w:pPr>
      <w:r>
        <w:tab/>
        <w:t>(c)</w:t>
      </w:r>
      <w:r>
        <w:tab/>
        <w:t>the 2nd thing is not a boundary fence; and</w:t>
      </w:r>
    </w:p>
    <w:p w:rsidR="00BA29FF" w:rsidRDefault="00BA29FF">
      <w:pPr>
        <w:pStyle w:val="Apara"/>
      </w:pPr>
      <w:r>
        <w:tab/>
        <w:t>(d)</w:t>
      </w:r>
      <w:r>
        <w:tab/>
        <w:t>the 1st thing and 2nd thing—</w:t>
      </w:r>
    </w:p>
    <w:p w:rsidR="00BA29FF" w:rsidRDefault="00BA29FF">
      <w:pPr>
        <w:pStyle w:val="Asubpara"/>
      </w:pPr>
      <w:r>
        <w:lastRenderedPageBreak/>
        <w:tab/>
        <w:t>(i)</w:t>
      </w:r>
      <w:r>
        <w:tab/>
        <w:t>are the only class 10 buildings or structures (other than a boundary fence) that are partially or fully within the boundary clearance area; and</w:t>
      </w:r>
    </w:p>
    <w:p w:rsidR="00BA29FF" w:rsidRDefault="00BA29FF">
      <w:pPr>
        <w:pStyle w:val="Asubpara"/>
      </w:pPr>
      <w:r>
        <w:tab/>
        <w:t>(ii)</w:t>
      </w:r>
      <w:r>
        <w:tab/>
        <w:t>have a combined relevant cross-section area above natural ground level of not more than 30m</w:t>
      </w:r>
      <w:r>
        <w:rPr>
          <w:vertAlign w:val="superscript"/>
        </w:rPr>
        <w:t>2</w:t>
      </w:r>
      <w:r>
        <w:t>; and</w:t>
      </w:r>
    </w:p>
    <w:p w:rsidR="00BA29FF" w:rsidRDefault="00BA29FF">
      <w:pPr>
        <w:pStyle w:val="Apara"/>
      </w:pPr>
      <w:r>
        <w:tab/>
        <w:t>(e)</w:t>
      </w:r>
      <w:r>
        <w:tab/>
        <w:t>the designated development complies with the general exemption criteria that are applicable to the development.</w:t>
      </w:r>
    </w:p>
    <w:p w:rsidR="00BA29FF" w:rsidRDefault="00BA29FF">
      <w:pPr>
        <w:pStyle w:val="aExamHdgss"/>
      </w:pPr>
      <w:r>
        <w:t>Example—par (d) (ii)</w:t>
      </w:r>
    </w:p>
    <w:p w:rsidR="00BA29FF" w:rsidRDefault="00BA29FF">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BA29FF" w:rsidRDefault="00BA29FF">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BA29FF" w:rsidRDefault="00BA29FF">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BA29FF" w:rsidRDefault="00BA29FF">
      <w:pPr>
        <w:pStyle w:val="aNote"/>
        <w:keepNext/>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BA29FF" w:rsidRDefault="00BA29FF">
      <w:pPr>
        <w:pStyle w:val="Apara"/>
      </w:pPr>
      <w:r>
        <w:tab/>
        <w:t>(3)</w:t>
      </w:r>
      <w:r>
        <w:tab/>
        <w:t xml:space="preserve">To remove any doubt, this section applies in relation to the boundary clearance area of each side boundary and rear boundary of a block. </w:t>
      </w:r>
    </w:p>
    <w:p w:rsidR="00BA29FF" w:rsidRDefault="00BA29FF">
      <w:pPr>
        <w:pStyle w:val="AH4SubDiv"/>
      </w:pPr>
      <w:bookmarkStart w:id="167" w:name="_Toc206921356"/>
      <w:r>
        <w:lastRenderedPageBreak/>
        <w:t>Subdivision 1.3.2.2</w:t>
      </w:r>
      <w:r>
        <w:tab/>
        <w:t>Class 10a buildings</w:t>
      </w:r>
      <w:bookmarkEnd w:id="167"/>
    </w:p>
    <w:p w:rsidR="00BA29FF" w:rsidRDefault="00BA29FF">
      <w:pPr>
        <w:pStyle w:val="AH5Sec"/>
      </w:pPr>
      <w:bookmarkStart w:id="168" w:name="_Toc206921357"/>
      <w:r>
        <w:rPr>
          <w:rStyle w:val="CharSectNo"/>
        </w:rPr>
        <w:t>1.45</w:t>
      </w:r>
      <w:r>
        <w:tab/>
        <w:t>Roofed class 10a buildings—enclosed or open on 1 side</w:t>
      </w:r>
      <w:bookmarkEnd w:id="168"/>
    </w:p>
    <w:p w:rsidR="00BA29FF" w:rsidRDefault="00BA29FF">
      <w:pPr>
        <w:pStyle w:val="Amain"/>
        <w:keepNext/>
      </w:pPr>
      <w:r>
        <w:tab/>
        <w:t>(1)</w:t>
      </w:r>
      <w:r>
        <w:tab/>
        <w:t>A designated development for a class 10a building on a block if—</w:t>
      </w:r>
    </w:p>
    <w:p w:rsidR="00BA29FF" w:rsidRDefault="00BA29FF">
      <w:pPr>
        <w:pStyle w:val="Apara"/>
        <w:keepNext/>
      </w:pPr>
      <w:r>
        <w:tab/>
        <w:t>(a)</w:t>
      </w:r>
      <w:r>
        <w:tab/>
        <w:t>the building is not an external deck or external verandah; and</w:t>
      </w:r>
    </w:p>
    <w:p w:rsidR="00BA29FF" w:rsidRDefault="00BA29FF">
      <w:pPr>
        <w:pStyle w:val="aNotepar"/>
      </w:pPr>
      <w:r>
        <w:rPr>
          <w:i/>
        </w:rPr>
        <w:t>Note</w:t>
      </w:r>
      <w:r>
        <w:rPr>
          <w:i/>
        </w:rPr>
        <w:tab/>
      </w:r>
      <w:r>
        <w:t>For external decks, see s 1.48 and for external verandahs, see s 1.49.</w:t>
      </w:r>
    </w:p>
    <w:p w:rsidR="00BA29FF" w:rsidRDefault="00BA29FF">
      <w:pPr>
        <w:pStyle w:val="Apara"/>
      </w:pPr>
      <w:r>
        <w:tab/>
        <w:t>(b)</w:t>
      </w:r>
      <w:r>
        <w:tab/>
        <w:t>the building is enclosed by a roof and has walls on—</w:t>
      </w:r>
    </w:p>
    <w:p w:rsidR="00BA29FF" w:rsidRDefault="00BA29FF">
      <w:pPr>
        <w:pStyle w:val="Asubpara"/>
      </w:pPr>
      <w:r>
        <w:tab/>
        <w:t>(i)</w:t>
      </w:r>
      <w:r>
        <w:tab/>
        <w:t>each of its sides; or</w:t>
      </w:r>
    </w:p>
    <w:p w:rsidR="00BA29FF" w:rsidRDefault="00BA29FF">
      <w:pPr>
        <w:pStyle w:val="Asubpara"/>
      </w:pPr>
      <w:r>
        <w:tab/>
        <w:t>(ii)</w:t>
      </w:r>
      <w:r>
        <w:tab/>
        <w:t>each of its sides except for 1 side; and</w:t>
      </w:r>
    </w:p>
    <w:p w:rsidR="00BA29FF" w:rsidRDefault="00BA29FF">
      <w:pPr>
        <w:pStyle w:val="Apara"/>
      </w:pPr>
      <w:r>
        <w:tab/>
        <w:t>(c)</w:t>
      </w:r>
      <w:r>
        <w:tab/>
        <w:t>the height of the building is not more than 3m above natural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(d)</w:t>
      </w:r>
      <w:r>
        <w:tab/>
        <w:t>the building does not exceed the size limitation for the block; and</w:t>
      </w:r>
    </w:p>
    <w:p w:rsidR="00BA29FF" w:rsidRDefault="00BA29FF">
      <w:pPr>
        <w:pStyle w:val="Apara"/>
      </w:pPr>
      <w:r>
        <w:tab/>
        <w:t>(e)</w:t>
      </w:r>
      <w:r>
        <w:tab/>
        <w:t>the building complies with the setback requirement for the block; and</w:t>
      </w:r>
    </w:p>
    <w:p w:rsidR="00BA29FF" w:rsidRDefault="00BA29FF">
      <w:pPr>
        <w:pStyle w:val="Apara"/>
      </w:pPr>
      <w:r>
        <w:tab/>
        <w:t>(f)</w:t>
      </w:r>
      <w:r>
        <w:tab/>
        <w:t>if any part of the building is within 1.5m of a side boundary or rear boundary of the block—</w:t>
      </w:r>
    </w:p>
    <w:p w:rsidR="00BA29FF" w:rsidRDefault="00BA29FF">
      <w:pPr>
        <w:pStyle w:val="Asubpara"/>
      </w:pPr>
      <w:r>
        <w:tab/>
        <w:t>(i)</w:t>
      </w:r>
      <w:r>
        <w:tab/>
        <w:t>the building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building; and</w:t>
      </w:r>
    </w:p>
    <w:p w:rsidR="00BA29FF" w:rsidRDefault="00BA29FF">
      <w:pPr>
        <w:pStyle w:val="Apara"/>
        <w:keepNext/>
      </w:pPr>
      <w:r>
        <w:tab/>
        <w:t>(g)</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lastRenderedPageBreak/>
        <w:t>Note 2</w:t>
      </w:r>
      <w:r>
        <w:rPr>
          <w:i/>
          <w:iCs/>
        </w:rPr>
        <w:tab/>
      </w:r>
      <w:r>
        <w:rPr>
          <w:b/>
          <w:bCs/>
          <w:i/>
          <w:iCs/>
        </w:rPr>
        <w:t>General exemption criteria</w:t>
      </w:r>
      <w:r>
        <w:t>—see s 1.10.</w:t>
      </w:r>
    </w:p>
    <w:p w:rsidR="00BA29FF" w:rsidRDefault="00BA29FF">
      <w:pPr>
        <w:pStyle w:val="Amain"/>
      </w:pPr>
      <w:r>
        <w:tab/>
        <w:t>(2)</w:t>
      </w:r>
      <w:r>
        <w:tab/>
        <w:t>In this section:</w:t>
      </w:r>
    </w:p>
    <w:p w:rsidR="00BA29FF" w:rsidRDefault="00BA29FF">
      <w:pPr>
        <w:pStyle w:val="aDef"/>
      </w:pPr>
      <w:r>
        <w:rPr>
          <w:b/>
          <w:i/>
        </w:rPr>
        <w:t>setback requirement</w:t>
      </w:r>
      <w:r>
        <w:t>, for a building in relation to a block, means—</w:t>
      </w:r>
    </w:p>
    <w:p w:rsidR="00BA29FF" w:rsidRDefault="00BA29FF">
      <w:pPr>
        <w:pStyle w:val="aDefpara"/>
      </w:pPr>
      <w:r>
        <w:tab/>
        <w:t>(a)</w:t>
      </w:r>
      <w:r>
        <w:tab/>
        <w:t>if the building has a plan area of not more than 10m</w:t>
      </w:r>
      <w:r>
        <w:rPr>
          <w:vertAlign w:val="superscript"/>
        </w:rPr>
        <w:t>2</w:t>
      </w:r>
      <w:r>
        <w:t>—the building is behind the building line for the block; or</w:t>
      </w:r>
    </w:p>
    <w:p w:rsidR="00BA29FF" w:rsidRDefault="00BA29FF">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BA29FF" w:rsidRDefault="00BA29FF">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BA29FF" w:rsidRDefault="00BA29FF">
      <w:pPr>
        <w:pStyle w:val="aNotepar"/>
      </w:pPr>
      <w:r>
        <w:rPr>
          <w:i/>
        </w:rPr>
        <w:t>Note 2</w:t>
      </w:r>
      <w:r>
        <w:rPr>
          <w:i/>
        </w:rPr>
        <w:tab/>
      </w:r>
      <w:r>
        <w:rPr>
          <w:b/>
          <w:bCs/>
          <w:i/>
          <w:iCs/>
        </w:rPr>
        <w:t>Plan area</w:t>
      </w:r>
      <w:r>
        <w:t>—see the dictionary.</w:t>
      </w:r>
    </w:p>
    <w:p w:rsidR="00BA29FF" w:rsidRDefault="00BA29FF">
      <w:pPr>
        <w:pStyle w:val="aDef"/>
        <w:keepNext/>
      </w:pPr>
      <w:r>
        <w:rPr>
          <w:b/>
          <w:bCs/>
          <w:i/>
          <w:iCs/>
        </w:rPr>
        <w:t>size limitation</w:t>
      </w:r>
      <w:r>
        <w:t>, for a building in relation to a block, means—</w:t>
      </w:r>
    </w:p>
    <w:p w:rsidR="00BA29FF" w:rsidRDefault="00BA29FF">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BA29FF" w:rsidRDefault="00BA29FF">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BA29FF" w:rsidRDefault="00BA29FF">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BA29FF" w:rsidRDefault="00BA29FF">
      <w:pPr>
        <w:pStyle w:val="AH5Sec"/>
      </w:pPr>
      <w:bookmarkStart w:id="169" w:name="_Toc206921358"/>
      <w:r>
        <w:rPr>
          <w:rStyle w:val="CharSectNo"/>
        </w:rPr>
        <w:t>1.46</w:t>
      </w:r>
      <w:r>
        <w:tab/>
        <w:t>Roofed class 10a buildings—unenclosed or partially open</w:t>
      </w:r>
      <w:bookmarkEnd w:id="169"/>
    </w:p>
    <w:p w:rsidR="00BA29FF" w:rsidRDefault="00BA29FF">
      <w:pPr>
        <w:pStyle w:val="Amainreturn"/>
      </w:pPr>
      <w:r>
        <w:t>A designated development for a class 10a building on a block if—</w:t>
      </w:r>
    </w:p>
    <w:p w:rsidR="00BA29FF" w:rsidRDefault="00BA29FF">
      <w:pPr>
        <w:pStyle w:val="Apara"/>
      </w:pPr>
      <w:r>
        <w:tab/>
        <w:t>(a)</w:t>
      </w:r>
      <w:r>
        <w:tab/>
        <w:t>the building is not an external deck or external verandah; and</w:t>
      </w:r>
    </w:p>
    <w:p w:rsidR="00BA29FF" w:rsidRDefault="00BA29FF">
      <w:pPr>
        <w:pStyle w:val="aNotepar"/>
      </w:pPr>
      <w:r>
        <w:rPr>
          <w:i/>
        </w:rPr>
        <w:t>Note</w:t>
      </w:r>
      <w:r>
        <w:rPr>
          <w:i/>
        </w:rPr>
        <w:tab/>
      </w:r>
      <w:r>
        <w:t>For external decks, see s 1.48 and for external verandahs, see s 1.49.</w:t>
      </w:r>
    </w:p>
    <w:p w:rsidR="00BA29FF" w:rsidRDefault="00BA29FF">
      <w:pPr>
        <w:pStyle w:val="Apara"/>
      </w:pPr>
      <w:r>
        <w:tab/>
        <w:t>(b)</w:t>
      </w:r>
      <w:r>
        <w:tab/>
        <w:t>the height of the building is not more than 3m above natural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(c)</w:t>
      </w:r>
      <w:r>
        <w:tab/>
        <w:t>the building—</w:t>
      </w:r>
    </w:p>
    <w:p w:rsidR="00BA29FF" w:rsidRDefault="00BA29FF">
      <w:pPr>
        <w:pStyle w:val="Asubpara"/>
      </w:pPr>
      <w:r>
        <w:lastRenderedPageBreak/>
        <w:tab/>
        <w:t>(i)</w:t>
      </w:r>
      <w:r>
        <w:tab/>
        <w:t>is enclosed by a roof which has a plan area of not more than 25m</w:t>
      </w:r>
      <w:r>
        <w:rPr>
          <w:vertAlign w:val="superscript"/>
        </w:rPr>
        <w:t>2</w:t>
      </w:r>
      <w:r>
        <w:t>; and</w:t>
      </w:r>
    </w:p>
    <w:p w:rsidR="00BA29FF" w:rsidRDefault="00BA29FF">
      <w:pPr>
        <w:pStyle w:val="aNotesubpar"/>
      </w:pPr>
      <w:r>
        <w:rPr>
          <w:i/>
          <w:iCs/>
        </w:rPr>
        <w:t>Note</w:t>
      </w:r>
      <w:r>
        <w:rPr>
          <w:i/>
          <w:iCs/>
        </w:rPr>
        <w:tab/>
      </w:r>
      <w:r>
        <w:rPr>
          <w:b/>
          <w:bCs/>
          <w:i/>
          <w:iCs/>
        </w:rPr>
        <w:t>Plan area</w:t>
      </w:r>
      <w:r>
        <w:t>—see the dictionary.</w:t>
      </w:r>
    </w:p>
    <w:p w:rsidR="00BA29FF" w:rsidRDefault="00BA29FF">
      <w:pPr>
        <w:pStyle w:val="Asubpara"/>
      </w:pPr>
      <w:r>
        <w:tab/>
        <w:t>(ii)</w:t>
      </w:r>
      <w:r>
        <w:tab/>
        <w:t>has walls on not more than 2 of its sides; and</w:t>
      </w:r>
    </w:p>
    <w:p w:rsidR="00BA29FF" w:rsidRDefault="00BA29FF">
      <w:pPr>
        <w:pStyle w:val="Apara"/>
      </w:pPr>
      <w:r>
        <w:tab/>
        <w:t>(d)</w:t>
      </w:r>
      <w:r>
        <w:tab/>
        <w:t>the building is behind the building line for the block; and</w:t>
      </w:r>
    </w:p>
    <w:p w:rsidR="00BA29FF" w:rsidRDefault="00BA29FF">
      <w:pPr>
        <w:pStyle w:val="aNotepar"/>
      </w:pPr>
      <w:r>
        <w:rPr>
          <w:i/>
          <w:iCs/>
        </w:rPr>
        <w:t>Note</w:t>
      </w:r>
      <w:r>
        <w:rPr>
          <w:i/>
          <w:iCs/>
        </w:rPr>
        <w:tab/>
      </w:r>
      <w:r>
        <w:rPr>
          <w:b/>
          <w:bCs/>
          <w:i/>
          <w:iCs/>
        </w:rPr>
        <w:t>Building line</w:t>
      </w:r>
      <w:r>
        <w:t>—see the territory plan (13 Definitions).</w:t>
      </w:r>
    </w:p>
    <w:p w:rsidR="00BA29FF" w:rsidRDefault="00BA29FF">
      <w:pPr>
        <w:pStyle w:val="Apara"/>
      </w:pPr>
      <w:r>
        <w:tab/>
        <w:t>(e)</w:t>
      </w:r>
      <w:r>
        <w:tab/>
        <w:t>if the building has a floor—the height of the finished floor level is not more than—</w:t>
      </w:r>
    </w:p>
    <w:p w:rsidR="00BA29FF" w:rsidRDefault="00BA29FF">
      <w:pPr>
        <w:pStyle w:val="Asubpara"/>
      </w:pPr>
      <w:r>
        <w:tab/>
        <w:t>(i)</w:t>
      </w:r>
      <w:r>
        <w:tab/>
        <w:t>for any part of the building that is within 1.5m of a side boundary or rear boundary of the block—0.4m above natural ground level; and</w:t>
      </w:r>
    </w:p>
    <w:p w:rsidR="00BA29FF" w:rsidRDefault="00BA29FF">
      <w:pPr>
        <w:pStyle w:val="Asubpara"/>
      </w:pPr>
      <w:r>
        <w:tab/>
        <w:t>(ii)</w:t>
      </w:r>
      <w:r>
        <w:tab/>
        <w:t>in any other case—1m above finished ground level; and</w:t>
      </w:r>
    </w:p>
    <w:p w:rsidR="00BA29FF" w:rsidRDefault="00BA29FF">
      <w:pPr>
        <w:pStyle w:val="Apara"/>
      </w:pPr>
      <w:r>
        <w:tab/>
        <w:t>(f)</w:t>
      </w:r>
      <w:r>
        <w:tab/>
        <w:t>if any part of the building is within 1.5m of a side boundary or rear boundary of the block—</w:t>
      </w:r>
    </w:p>
    <w:p w:rsidR="00BA29FF" w:rsidRDefault="00BA29FF">
      <w:pPr>
        <w:pStyle w:val="Asubpara"/>
      </w:pPr>
      <w:r>
        <w:tab/>
        <w:t>(i)</w:t>
      </w:r>
      <w:r>
        <w:tab/>
        <w:t>the building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building; and</w:t>
      </w:r>
    </w:p>
    <w:p w:rsidR="00BA29FF" w:rsidRDefault="00BA29FF">
      <w:pPr>
        <w:pStyle w:val="Apara"/>
      </w:pPr>
      <w:r>
        <w:tab/>
        <w:t>(g)</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H5Sec"/>
      </w:pPr>
      <w:bookmarkStart w:id="170" w:name="_Toc206921359"/>
      <w:r>
        <w:rPr>
          <w:rStyle w:val="CharSectNo"/>
        </w:rPr>
        <w:t>1.47</w:t>
      </w:r>
      <w:r>
        <w:tab/>
        <w:t>Class 10a buildings—unroofed and unenclosed</w:t>
      </w:r>
      <w:bookmarkEnd w:id="170"/>
    </w:p>
    <w:p w:rsidR="00BA29FF" w:rsidRDefault="00BA29FF">
      <w:pPr>
        <w:pStyle w:val="Amainreturn"/>
      </w:pPr>
      <w:r>
        <w:t>A designated development for a building on a block if—</w:t>
      </w:r>
    </w:p>
    <w:p w:rsidR="00BA29FF" w:rsidRDefault="00BA29FF">
      <w:pPr>
        <w:pStyle w:val="Apara"/>
      </w:pPr>
      <w:r>
        <w:tab/>
        <w:t>(a)</w:t>
      </w:r>
      <w:r>
        <w:tab/>
        <w:t>the building is not an external deck or external verandah; and</w:t>
      </w:r>
    </w:p>
    <w:p w:rsidR="00BA29FF" w:rsidRDefault="00BA29FF">
      <w:pPr>
        <w:pStyle w:val="aNotepar"/>
      </w:pPr>
      <w:r>
        <w:rPr>
          <w:i/>
        </w:rPr>
        <w:lastRenderedPageBreak/>
        <w:t>Note</w:t>
      </w:r>
      <w:r>
        <w:rPr>
          <w:i/>
        </w:rPr>
        <w:tab/>
      </w:r>
      <w:r>
        <w:t>For external decks, see s 1.48 and for external verandahs, see s 1.49.</w:t>
      </w:r>
    </w:p>
    <w:p w:rsidR="00BA29FF" w:rsidRDefault="00BA29FF">
      <w:pPr>
        <w:pStyle w:val="Apara"/>
      </w:pPr>
      <w:r>
        <w:tab/>
        <w:t>(b)</w:t>
      </w:r>
      <w:r>
        <w:tab/>
        <w:t>the building does not have a roof or any walls; and</w:t>
      </w:r>
    </w:p>
    <w:p w:rsidR="00BA29FF" w:rsidRDefault="00BA29FF">
      <w:pPr>
        <w:pStyle w:val="Apara"/>
      </w:pPr>
      <w:r>
        <w:tab/>
        <w:t>(c)</w:t>
      </w:r>
      <w:r>
        <w:tab/>
        <w:t>the height of the building is not more than 3m above natural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(d)</w:t>
      </w:r>
      <w:r>
        <w:tab/>
        <w:t>if the building has a floor—the height of the finished floor level is not more than—</w:t>
      </w:r>
    </w:p>
    <w:p w:rsidR="00BA29FF" w:rsidRDefault="00BA29FF">
      <w:pPr>
        <w:pStyle w:val="Asubpara"/>
      </w:pPr>
      <w:r>
        <w:tab/>
        <w:t>(i)</w:t>
      </w:r>
      <w:r>
        <w:tab/>
        <w:t>for any part of the building that is within 1.5m of a side boundary or rear boundary of the block—0.4m above natural ground level; and</w:t>
      </w:r>
    </w:p>
    <w:p w:rsidR="00BA29FF" w:rsidRDefault="00BA29FF">
      <w:pPr>
        <w:pStyle w:val="Asubpara"/>
      </w:pPr>
      <w:r>
        <w:tab/>
        <w:t>(ii)</w:t>
      </w:r>
      <w:r>
        <w:tab/>
        <w:t>in any other case—1m above finished ground level; and</w:t>
      </w:r>
    </w:p>
    <w:p w:rsidR="00BA29FF" w:rsidRDefault="00BA29FF">
      <w:pPr>
        <w:pStyle w:val="Apara"/>
      </w:pPr>
      <w:r>
        <w:tab/>
        <w:t>(e)</w:t>
      </w:r>
      <w:r>
        <w:tab/>
        <w:t>the building is behind the building line for the block; and</w:t>
      </w:r>
    </w:p>
    <w:p w:rsidR="00BA29FF" w:rsidRDefault="00BA29FF">
      <w:pPr>
        <w:pStyle w:val="aNotepar"/>
      </w:pPr>
      <w:r>
        <w:rPr>
          <w:i/>
          <w:iCs/>
        </w:rPr>
        <w:t>Note</w:t>
      </w:r>
      <w:r>
        <w:rPr>
          <w:i/>
          <w:iCs/>
        </w:rPr>
        <w:tab/>
      </w:r>
      <w:r>
        <w:rPr>
          <w:b/>
          <w:bCs/>
          <w:i/>
          <w:iCs/>
        </w:rPr>
        <w:t>Building line</w:t>
      </w:r>
      <w:r>
        <w:t>—see the territory plan (13 Definitions).</w:t>
      </w:r>
    </w:p>
    <w:p w:rsidR="00BA29FF" w:rsidRDefault="00BA29FF">
      <w:pPr>
        <w:pStyle w:val="Apara"/>
      </w:pPr>
      <w:r>
        <w:tab/>
        <w:t>(f)</w:t>
      </w:r>
      <w:r>
        <w:tab/>
        <w:t>if any part of the building is within 1.5m of a side boundary or rear boundary of the block—</w:t>
      </w:r>
    </w:p>
    <w:p w:rsidR="00BA29FF" w:rsidRDefault="00BA29FF">
      <w:pPr>
        <w:pStyle w:val="Asubpara"/>
      </w:pPr>
      <w:r>
        <w:tab/>
        <w:t>(i)</w:t>
      </w:r>
      <w:r>
        <w:tab/>
        <w:t>the building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building; and</w:t>
      </w:r>
    </w:p>
    <w:p w:rsidR="00BA29FF" w:rsidRDefault="00BA29FF">
      <w:pPr>
        <w:pStyle w:val="Apara"/>
      </w:pPr>
      <w:r>
        <w:tab/>
        <w:t>(g)</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H5Sec"/>
      </w:pPr>
      <w:bookmarkStart w:id="171" w:name="_Toc206921360"/>
      <w:r>
        <w:rPr>
          <w:rStyle w:val="CharSectNo"/>
        </w:rPr>
        <w:t>1.48</w:t>
      </w:r>
      <w:r>
        <w:tab/>
        <w:t>Class 10a buildings—external decks</w:t>
      </w:r>
      <w:bookmarkEnd w:id="171"/>
    </w:p>
    <w:p w:rsidR="00BA29FF" w:rsidRDefault="00BA29FF">
      <w:pPr>
        <w:pStyle w:val="Amain"/>
      </w:pPr>
      <w:r>
        <w:tab/>
        <w:t>(1)</w:t>
      </w:r>
      <w:r>
        <w:tab/>
        <w:t>In this section:</w:t>
      </w:r>
    </w:p>
    <w:p w:rsidR="00BA29FF" w:rsidRDefault="00BA29FF">
      <w:pPr>
        <w:pStyle w:val="aDef"/>
        <w:keepNext/>
      </w:pPr>
      <w:r>
        <w:rPr>
          <w:b/>
          <w:bCs/>
          <w:i/>
          <w:iCs/>
        </w:rPr>
        <w:lastRenderedPageBreak/>
        <w:t>balustrade</w:t>
      </w:r>
      <w:r>
        <w:t xml:space="preserve"> includes a barrier that acts as a balustrade.</w:t>
      </w:r>
    </w:p>
    <w:p w:rsidR="00BA29FF" w:rsidRDefault="00BA29FF">
      <w:pPr>
        <w:pStyle w:val="aDef"/>
        <w:keepNext/>
      </w:pPr>
      <w:r>
        <w:rPr>
          <w:b/>
          <w:bCs/>
          <w:i/>
          <w:iCs/>
        </w:rPr>
        <w:t>deck</w:t>
      </w:r>
      <w:r>
        <w:t xml:space="preserve"> includes any of the following for the deck:</w:t>
      </w:r>
    </w:p>
    <w:p w:rsidR="00BA29FF" w:rsidRDefault="00BA29FF">
      <w:pPr>
        <w:pStyle w:val="aDefpara"/>
      </w:pPr>
      <w:r>
        <w:tab/>
        <w:t>(a)</w:t>
      </w:r>
      <w:r>
        <w:tab/>
        <w:t>external stairs or ramp;</w:t>
      </w:r>
    </w:p>
    <w:p w:rsidR="00BA29FF" w:rsidRDefault="00BA29FF">
      <w:pPr>
        <w:pStyle w:val="aDefpara"/>
      </w:pPr>
      <w:r>
        <w:tab/>
        <w:t>(b)</w:t>
      </w:r>
      <w:r>
        <w:tab/>
        <w:t>an external landing;</w:t>
      </w:r>
    </w:p>
    <w:p w:rsidR="00BA29FF" w:rsidRDefault="00BA29FF">
      <w:pPr>
        <w:pStyle w:val="aDefpara"/>
      </w:pPr>
      <w:r>
        <w:tab/>
        <w:t>(c)</w:t>
      </w:r>
      <w:r>
        <w:tab/>
        <w:t>a retaining wall.</w:t>
      </w:r>
    </w:p>
    <w:p w:rsidR="00BA29FF" w:rsidRDefault="00BA29FF">
      <w:pPr>
        <w:pStyle w:val="Amain"/>
      </w:pPr>
      <w:r>
        <w:tab/>
        <w:t>(2)</w:t>
      </w:r>
      <w:r>
        <w:tab/>
        <w:t>A designated development for an external deck on a block if—</w:t>
      </w:r>
    </w:p>
    <w:p w:rsidR="00BA29FF" w:rsidRDefault="00BA29FF">
      <w:pPr>
        <w:pStyle w:val="Apara"/>
      </w:pPr>
      <w:r>
        <w:tab/>
        <w:t>(a)</w:t>
      </w:r>
      <w:r>
        <w:tab/>
        <w:t>the deck does not have a roof; and</w:t>
      </w:r>
    </w:p>
    <w:p w:rsidR="00BA29FF" w:rsidRDefault="00BA29FF">
      <w:pPr>
        <w:pStyle w:val="Apara"/>
      </w:pPr>
      <w:r>
        <w:tab/>
        <w:t>(b)</w:t>
      </w:r>
      <w:r>
        <w:tab/>
        <w:t>the height of the finished floor level of the deck is not more than—</w:t>
      </w:r>
    </w:p>
    <w:p w:rsidR="00BA29FF" w:rsidRDefault="00BA29FF">
      <w:pPr>
        <w:pStyle w:val="Asubpara"/>
      </w:pPr>
      <w:r>
        <w:tab/>
        <w:t>(i)</w:t>
      </w:r>
      <w:r>
        <w:tab/>
        <w:t>for any part of the deck that is either between a front boundary and a building line for the block or within 1.5m of a side boundary or rear boundary of the block—0.4m above natural ground level; and</w:t>
      </w:r>
    </w:p>
    <w:p w:rsidR="00BA29FF" w:rsidRDefault="00BA29FF">
      <w:pPr>
        <w:pStyle w:val="Asubpara"/>
      </w:pPr>
      <w:r>
        <w:tab/>
        <w:t>(ii)</w:t>
      </w:r>
      <w:r>
        <w:tab/>
        <w:t>in any other case—1m above finished ground level; and</w:t>
      </w:r>
    </w:p>
    <w:p w:rsidR="00BA29FF" w:rsidRDefault="00BA29FF">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BA29FF" w:rsidRDefault="00BA29FF">
      <w:pPr>
        <w:pStyle w:val="Apara"/>
      </w:pPr>
      <w:r>
        <w:tab/>
        <w:t>(c)</w:t>
      </w:r>
      <w:r>
        <w:tab/>
        <w:t>if any part of the deck is between a front boundary and a building line for the block—that part of the deck does not have a balustrade; and</w:t>
      </w:r>
    </w:p>
    <w:p w:rsidR="00BA29FF" w:rsidRDefault="00BA29FF">
      <w:pPr>
        <w:pStyle w:val="Apara"/>
      </w:pPr>
      <w:r>
        <w:tab/>
        <w:t>(d)</w:t>
      </w:r>
      <w:r>
        <w:tab/>
        <w:t>if any part of the deck is behind a building line for the block—the height of any balustrade for that part of the deck is not more than 1.2m above the finished floor level for the deck; and</w:t>
      </w:r>
    </w:p>
    <w:p w:rsidR="00BA29FF" w:rsidRDefault="00BA29FF">
      <w:pPr>
        <w:pStyle w:val="Apara"/>
      </w:pPr>
      <w:r>
        <w:tab/>
        <w:t>(e)</w:t>
      </w:r>
      <w:r>
        <w:tab/>
        <w:t>if any part of the deck is within 1.5m of a side boundary or rear boundary of the block—</w:t>
      </w:r>
    </w:p>
    <w:p w:rsidR="00BA29FF" w:rsidRDefault="00BA29FF">
      <w:pPr>
        <w:pStyle w:val="Asubpara"/>
      </w:pPr>
      <w:r>
        <w:tab/>
        <w:t>(i)</w:t>
      </w:r>
      <w:r>
        <w:tab/>
        <w:t>the deck is the only class 10 building or structure (other than a boundary fence) that has any part of it that is within 1.5m of the boundary; or</w:t>
      </w:r>
    </w:p>
    <w:p w:rsidR="00BA29FF" w:rsidRDefault="00BA29FF">
      <w:pPr>
        <w:pStyle w:val="Asubpara"/>
      </w:pPr>
      <w:r>
        <w:lastRenderedPageBreak/>
        <w:tab/>
        <w:t>(ii)</w:t>
      </w:r>
      <w:r>
        <w:tab/>
        <w:t>section 1.41 (Class 10 buildings and structures—2nd exempt building or structure within boundary clearance area) applies to the deck; and</w:t>
      </w:r>
    </w:p>
    <w:p w:rsidR="00BA29FF" w:rsidRDefault="00BA29FF">
      <w:pPr>
        <w:pStyle w:val="Apara"/>
      </w:pPr>
      <w:r>
        <w:tab/>
        <w:t>(f)</w:t>
      </w:r>
      <w:r>
        <w:tab/>
        <w:t>the designated development complies with the general exemption criteria that are applicable to the development.</w:t>
      </w:r>
    </w:p>
    <w:p w:rsidR="00BA29FF" w:rsidRDefault="00BA29FF">
      <w:pPr>
        <w:pStyle w:val="aNotepar"/>
      </w:pPr>
      <w:r>
        <w:rPr>
          <w:i/>
          <w:iCs/>
        </w:rPr>
        <w:t>Note 1</w:t>
      </w:r>
      <w:r>
        <w:rPr>
          <w:i/>
          <w:iCs/>
        </w:rPr>
        <w:tab/>
      </w:r>
      <w:r>
        <w:rPr>
          <w:b/>
          <w:bCs/>
          <w:i/>
          <w:iCs/>
        </w:rPr>
        <w:t>Designated development</w:t>
      </w:r>
      <w:r>
        <w:t>—see s 1.2.</w:t>
      </w:r>
    </w:p>
    <w:p w:rsidR="00BA29FF" w:rsidRDefault="00BA29FF">
      <w:pPr>
        <w:pStyle w:val="aNotepar"/>
      </w:pPr>
      <w:r>
        <w:rPr>
          <w:i/>
          <w:iCs/>
        </w:rPr>
        <w:t>Note 2</w:t>
      </w:r>
      <w:r>
        <w:rPr>
          <w:i/>
          <w:iCs/>
        </w:rPr>
        <w:tab/>
      </w:r>
      <w:r>
        <w:rPr>
          <w:b/>
          <w:bCs/>
          <w:i/>
          <w:iCs/>
        </w:rPr>
        <w:t>General exemption criteria</w:t>
      </w:r>
      <w:r>
        <w:t>—see s 1.10.</w:t>
      </w:r>
    </w:p>
    <w:p w:rsidR="00BA29FF" w:rsidRDefault="00BA29FF">
      <w:pPr>
        <w:pStyle w:val="AH5Sec"/>
      </w:pPr>
      <w:bookmarkStart w:id="172" w:name="_Toc206921361"/>
      <w:r>
        <w:rPr>
          <w:rStyle w:val="CharSectNo"/>
        </w:rPr>
        <w:t>1.49</w:t>
      </w:r>
      <w:r>
        <w:tab/>
        <w:t>Class 10a buildings—external verandahs</w:t>
      </w:r>
      <w:bookmarkEnd w:id="172"/>
    </w:p>
    <w:p w:rsidR="00BA29FF" w:rsidRDefault="00BA29FF">
      <w:pPr>
        <w:pStyle w:val="Amain"/>
      </w:pPr>
      <w:r>
        <w:tab/>
        <w:t>(1)</w:t>
      </w:r>
      <w:r>
        <w:tab/>
        <w:t>In this section:</w:t>
      </w:r>
    </w:p>
    <w:p w:rsidR="00BA29FF" w:rsidRDefault="00BA29FF">
      <w:pPr>
        <w:pStyle w:val="aDef"/>
        <w:keepNext/>
      </w:pPr>
      <w:r>
        <w:rPr>
          <w:b/>
          <w:bCs/>
          <w:i/>
          <w:iCs/>
        </w:rPr>
        <w:t>verandah</w:t>
      </w:r>
      <w:r>
        <w:t xml:space="preserve"> includes any of the following for the verandah:</w:t>
      </w:r>
    </w:p>
    <w:p w:rsidR="00BA29FF" w:rsidRDefault="00BA29FF">
      <w:pPr>
        <w:pStyle w:val="aDefpara"/>
      </w:pPr>
      <w:r>
        <w:tab/>
        <w:t>(a)</w:t>
      </w:r>
      <w:r>
        <w:tab/>
        <w:t>external stairs or ramp;</w:t>
      </w:r>
    </w:p>
    <w:p w:rsidR="00BA29FF" w:rsidRDefault="00BA29FF">
      <w:pPr>
        <w:pStyle w:val="aDefpara"/>
      </w:pPr>
      <w:r>
        <w:tab/>
        <w:t>(b)</w:t>
      </w:r>
      <w:r>
        <w:tab/>
        <w:t>an external landing;</w:t>
      </w:r>
    </w:p>
    <w:p w:rsidR="00BA29FF" w:rsidRDefault="00BA29FF">
      <w:pPr>
        <w:pStyle w:val="aDefpara"/>
      </w:pPr>
      <w:r>
        <w:tab/>
        <w:t>(c)</w:t>
      </w:r>
      <w:r>
        <w:tab/>
        <w:t>a retaining wall.</w:t>
      </w:r>
    </w:p>
    <w:p w:rsidR="00BA29FF" w:rsidRDefault="00BA29FF">
      <w:pPr>
        <w:pStyle w:val="Amain"/>
      </w:pPr>
      <w:r>
        <w:tab/>
        <w:t>(2)</w:t>
      </w:r>
      <w:r>
        <w:tab/>
        <w:t>A designated development for an external verandah on a block if—</w:t>
      </w:r>
    </w:p>
    <w:p w:rsidR="00BA29FF" w:rsidRDefault="00BA29FF">
      <w:pPr>
        <w:pStyle w:val="Apara"/>
      </w:pPr>
      <w:r>
        <w:tab/>
        <w:t>(a)</w:t>
      </w:r>
      <w:r>
        <w:tab/>
        <w:t>the verandah is attached to, or immediately adjacent to, a dwelling on the block; and</w:t>
      </w:r>
    </w:p>
    <w:p w:rsidR="00BA29FF" w:rsidRDefault="00BA29FF">
      <w:pPr>
        <w:pStyle w:val="Apara"/>
      </w:pPr>
      <w:r>
        <w:tab/>
        <w:t>(b)</w:t>
      </w:r>
      <w:r>
        <w:tab/>
        <w:t>the plan area of the verandah is not more than 10m</w:t>
      </w:r>
      <w:r>
        <w:rPr>
          <w:vertAlign w:val="superscript"/>
        </w:rPr>
        <w:t>2</w:t>
      </w:r>
      <w:r>
        <w:t>; and</w:t>
      </w:r>
    </w:p>
    <w:p w:rsidR="00BA29FF" w:rsidRDefault="00BA29FF">
      <w:pPr>
        <w:pStyle w:val="aNotepar"/>
      </w:pPr>
      <w:r>
        <w:rPr>
          <w:i/>
          <w:iCs/>
        </w:rPr>
        <w:t>Note</w:t>
      </w:r>
      <w:r>
        <w:rPr>
          <w:i/>
          <w:iCs/>
        </w:rPr>
        <w:tab/>
      </w:r>
      <w:r>
        <w:rPr>
          <w:b/>
          <w:bCs/>
          <w:i/>
          <w:iCs/>
        </w:rPr>
        <w:t>Plan area</w:t>
      </w:r>
      <w:r>
        <w:t>—see the dictionary.</w:t>
      </w:r>
    </w:p>
    <w:p w:rsidR="00BA29FF" w:rsidRDefault="00BA29FF">
      <w:pPr>
        <w:pStyle w:val="Apara"/>
      </w:pPr>
      <w:r>
        <w:tab/>
        <w:t>(c)</w:t>
      </w:r>
      <w:r>
        <w:tab/>
        <w:t>no part of the verandah is—</w:t>
      </w:r>
    </w:p>
    <w:p w:rsidR="00BA29FF" w:rsidRDefault="00BA29FF">
      <w:pPr>
        <w:pStyle w:val="Asubpara"/>
      </w:pPr>
      <w:r>
        <w:tab/>
        <w:t>(i)</w:t>
      </w:r>
      <w:r>
        <w:tab/>
        <w:t>higher than 3m above natural ground level; or</w:t>
      </w:r>
    </w:p>
    <w:p w:rsidR="00BA29FF" w:rsidRDefault="00BA29FF">
      <w:pPr>
        <w:pStyle w:val="aNotesubpar"/>
      </w:pPr>
      <w:r>
        <w:rPr>
          <w:i/>
        </w:rPr>
        <w:t>Note</w:t>
      </w:r>
      <w:r>
        <w:rPr>
          <w:i/>
        </w:rPr>
        <w:tab/>
      </w:r>
      <w:r>
        <w:rPr>
          <w:b/>
          <w:bCs/>
          <w:i/>
          <w:iCs/>
        </w:rPr>
        <w:t>Natural ground level</w:t>
      </w:r>
      <w:r>
        <w:t>—see the territory plan (13 Definitions).</w:t>
      </w:r>
    </w:p>
    <w:p w:rsidR="00BA29FF" w:rsidRDefault="00BA29FF">
      <w:pPr>
        <w:pStyle w:val="Asubpara"/>
      </w:pPr>
      <w:r>
        <w:tab/>
        <w:t>(ii)</w:t>
      </w:r>
      <w:r>
        <w:tab/>
        <w:t>within 5.5m from the front boundary of the block; or</w:t>
      </w:r>
    </w:p>
    <w:p w:rsidR="00BA29FF" w:rsidRDefault="00BA29FF">
      <w:pPr>
        <w:pStyle w:val="Asubpara"/>
      </w:pPr>
      <w:r>
        <w:tab/>
        <w:t>(iii)</w:t>
      </w:r>
      <w:r>
        <w:tab/>
        <w:t>within 1.5m of a side boundary or rear boundary of the block; and</w:t>
      </w:r>
    </w:p>
    <w:p w:rsidR="00BA29FF" w:rsidRDefault="00BA29FF">
      <w:pPr>
        <w:pStyle w:val="Apara"/>
      </w:pPr>
      <w:r>
        <w:lastRenderedPageBreak/>
        <w:tab/>
        <w:t>(d)</w:t>
      </w:r>
      <w:r>
        <w:tab/>
        <w:t>if the verandah has a floor—the height of the finished floor level is not more than 1m above finished ground level; and</w:t>
      </w:r>
    </w:p>
    <w:p w:rsidR="00BA29FF" w:rsidRDefault="00BA29FF">
      <w:pPr>
        <w:pStyle w:val="Apara"/>
      </w:pPr>
      <w:r>
        <w:tab/>
        <w:t>(e)</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H4SubDiv"/>
      </w:pPr>
      <w:bookmarkStart w:id="173" w:name="_Toc206921362"/>
      <w:r>
        <w:t>Subdivision 1.3.2.3</w:t>
      </w:r>
      <w:r>
        <w:tab/>
        <w:t>Class 10b structures</w:t>
      </w:r>
      <w:bookmarkEnd w:id="173"/>
    </w:p>
    <w:p w:rsidR="00BA29FF" w:rsidRDefault="00BA29FF">
      <w:pPr>
        <w:pStyle w:val="AH5Sec"/>
      </w:pPr>
      <w:bookmarkStart w:id="174" w:name="_Toc206921363"/>
      <w:r>
        <w:rPr>
          <w:rStyle w:val="CharSectNo"/>
        </w:rPr>
        <w:t>1.50</w:t>
      </w:r>
      <w:r>
        <w:tab/>
        <w:t>Class 10b structures—plan area not more than 2m</w:t>
      </w:r>
      <w:r>
        <w:rPr>
          <w:vertAlign w:val="superscript"/>
        </w:rPr>
        <w:t>2</w:t>
      </w:r>
      <w:bookmarkEnd w:id="174"/>
    </w:p>
    <w:p w:rsidR="00BA29FF" w:rsidRDefault="00BA29FF">
      <w:pPr>
        <w:pStyle w:val="aNote"/>
        <w:keepNext/>
      </w:pPr>
      <w:r>
        <w:rPr>
          <w:i/>
          <w:iCs/>
        </w:rPr>
        <w:t>Note</w:t>
      </w:r>
      <w:r>
        <w:rPr>
          <w:i/>
          <w:iCs/>
        </w:rPr>
        <w:tab/>
      </w:r>
      <w:r>
        <w:t>Class 10b structures include the following:</w:t>
      </w:r>
    </w:p>
    <w:p w:rsidR="00BA29FF" w:rsidRDefault="00BA29FF">
      <w:pPr>
        <w:pStyle w:val="aNoteBulletss"/>
        <w:tabs>
          <w:tab w:val="left" w:pos="2300"/>
        </w:tabs>
      </w:pPr>
      <w:r>
        <w:rPr>
          <w:rFonts w:ascii="Symbol" w:hAnsi="Symbol"/>
        </w:rPr>
        <w:t></w:t>
      </w:r>
      <w:r>
        <w:rPr>
          <w:rFonts w:ascii="Symbol" w:hAnsi="Symbol"/>
        </w:rPr>
        <w:tab/>
      </w:r>
      <w:r>
        <w:t>a fence, retaining wall or freestanding wall</w:t>
      </w:r>
    </w:p>
    <w:p w:rsidR="00BA29FF" w:rsidRDefault="00BA29FF">
      <w:pPr>
        <w:pStyle w:val="aNoteBulletss"/>
        <w:tabs>
          <w:tab w:val="left" w:pos="2300"/>
        </w:tabs>
      </w:pPr>
      <w:r>
        <w:rPr>
          <w:rFonts w:ascii="Symbol" w:hAnsi="Symbol"/>
        </w:rPr>
        <w:t></w:t>
      </w:r>
      <w:r>
        <w:rPr>
          <w:rFonts w:ascii="Symbol" w:hAnsi="Symbol"/>
        </w:rPr>
        <w:tab/>
      </w:r>
      <w:r>
        <w:t>a mast or antenna</w:t>
      </w:r>
    </w:p>
    <w:p w:rsidR="00BA29FF" w:rsidRDefault="00BA29FF">
      <w:pPr>
        <w:pStyle w:val="aNoteBulletss"/>
        <w:tabs>
          <w:tab w:val="left" w:pos="2300"/>
        </w:tabs>
      </w:pPr>
      <w:r>
        <w:rPr>
          <w:rFonts w:ascii="Symbol" w:hAnsi="Symbol"/>
        </w:rPr>
        <w:t></w:t>
      </w:r>
      <w:r>
        <w:rPr>
          <w:rFonts w:ascii="Symbol" w:hAnsi="Symbol"/>
        </w:rPr>
        <w:tab/>
      </w:r>
      <w:r>
        <w:t>a swimming pool.</w:t>
      </w:r>
    </w:p>
    <w:p w:rsidR="00BA29FF" w:rsidRDefault="00BA29FF">
      <w:pPr>
        <w:pStyle w:val="Amain"/>
      </w:pPr>
      <w:r>
        <w:tab/>
        <w:t>(1)</w:t>
      </w:r>
      <w:r>
        <w:tab/>
        <w:t>A designated development for a class 10b structure, other than a sign, on a block if—</w:t>
      </w:r>
    </w:p>
    <w:p w:rsidR="00BA29FF" w:rsidRDefault="00BA29FF">
      <w:pPr>
        <w:pStyle w:val="Apara"/>
      </w:pPr>
      <w:r>
        <w:tab/>
        <w:t>(a)</w:t>
      </w:r>
      <w:r>
        <w:tab/>
        <w:t>the plan area of the structure is not more than 2m</w:t>
      </w:r>
      <w:r>
        <w:rPr>
          <w:vertAlign w:val="superscript"/>
        </w:rPr>
        <w:t>2</w:t>
      </w:r>
      <w:r>
        <w:t>; and</w:t>
      </w:r>
    </w:p>
    <w:p w:rsidR="00BA29FF" w:rsidRDefault="00BA29FF">
      <w:pPr>
        <w:pStyle w:val="aNotepar"/>
      </w:pPr>
      <w:r>
        <w:rPr>
          <w:i/>
          <w:iCs/>
        </w:rPr>
        <w:t>Note</w:t>
      </w:r>
      <w:r>
        <w:rPr>
          <w:i/>
          <w:iCs/>
        </w:rPr>
        <w:tab/>
      </w:r>
      <w:r>
        <w:rPr>
          <w:b/>
          <w:bCs/>
          <w:i/>
          <w:iCs/>
        </w:rPr>
        <w:t>Plan area</w:t>
      </w:r>
      <w:r>
        <w:t>—see the dictionary.</w:t>
      </w:r>
    </w:p>
    <w:p w:rsidR="00BA29FF" w:rsidRDefault="00BA29FF">
      <w:pPr>
        <w:pStyle w:val="Apara"/>
      </w:pPr>
      <w:r>
        <w:tab/>
        <w:t>(b)</w:t>
      </w:r>
      <w:r>
        <w:tab/>
        <w:t>the structure is not—</w:t>
      </w:r>
    </w:p>
    <w:p w:rsidR="00BA29FF" w:rsidRDefault="00BA29FF">
      <w:pPr>
        <w:pStyle w:val="Asubpara"/>
      </w:pPr>
      <w:r>
        <w:tab/>
        <w:t>(i)</w:t>
      </w:r>
      <w:r>
        <w:tab/>
        <w:t>wider than 2m; or</w:t>
      </w:r>
    </w:p>
    <w:p w:rsidR="00BA29FF" w:rsidRDefault="00BA29FF">
      <w:pPr>
        <w:pStyle w:val="Asubpara"/>
      </w:pPr>
      <w:r>
        <w:tab/>
        <w:t>(ii)</w:t>
      </w:r>
      <w:r>
        <w:tab/>
        <w:t>higher than 1.85m above natural ground level; and</w:t>
      </w:r>
    </w:p>
    <w:p w:rsidR="00BA29FF" w:rsidRDefault="00BA29FF">
      <w:pPr>
        <w:pStyle w:val="aNotesubpar"/>
      </w:pPr>
      <w:r>
        <w:rPr>
          <w:i/>
        </w:rPr>
        <w:t>Note</w:t>
      </w:r>
      <w:r>
        <w:rPr>
          <w:i/>
        </w:rPr>
        <w:tab/>
      </w:r>
      <w:r>
        <w:rPr>
          <w:b/>
          <w:bCs/>
          <w:i/>
          <w:iCs/>
        </w:rPr>
        <w:t>Natural ground level</w:t>
      </w:r>
      <w:r>
        <w:t>—see the territory plan (13 Definitions).</w:t>
      </w:r>
    </w:p>
    <w:p w:rsidR="00BA29FF" w:rsidRDefault="00BA29FF">
      <w:pPr>
        <w:pStyle w:val="Apara"/>
      </w:pPr>
      <w:r>
        <w:tab/>
        <w:t>(c)</w:t>
      </w:r>
      <w:r>
        <w:tab/>
        <w:t>if the structure has a floor—the height of the finished floor level is not more than 0.4m above natural ground level; and</w:t>
      </w:r>
    </w:p>
    <w:p w:rsidR="00BA29FF" w:rsidRDefault="00BA29FF">
      <w:pPr>
        <w:pStyle w:val="Apara"/>
      </w:pPr>
      <w:r>
        <w:tab/>
        <w:t>(d)</w:t>
      </w:r>
      <w:r>
        <w:tab/>
        <w:t>if the structure is not a single letterbox—no part of the structure is between a front boundary and a building line for the block; and</w:t>
      </w:r>
    </w:p>
    <w:p w:rsidR="00BA29FF" w:rsidRDefault="00BA29FF">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BA29FF" w:rsidRDefault="00BA29FF">
      <w:pPr>
        <w:pStyle w:val="Apara"/>
      </w:pPr>
      <w:r>
        <w:tab/>
        <w:t>(e)</w:t>
      </w:r>
      <w:r>
        <w:tab/>
        <w:t>the height of any part of the structure that is within 1.5m of a side boundary or rear boundary of the block is not more than 0.4m above natural ground level; and</w:t>
      </w:r>
    </w:p>
    <w:p w:rsidR="00BA29FF" w:rsidRDefault="00BA29FF">
      <w:pPr>
        <w:pStyle w:val="Apara"/>
      </w:pPr>
      <w:r>
        <w:tab/>
        <w:t>(f)</w:t>
      </w:r>
      <w:r>
        <w:tab/>
        <w:t>if any part of the structure is within 1.5m of a side boundary or rear boundary of the block—</w:t>
      </w:r>
    </w:p>
    <w:p w:rsidR="00BA29FF" w:rsidRDefault="00BA29FF">
      <w:pPr>
        <w:pStyle w:val="Asubpara"/>
      </w:pPr>
      <w:r>
        <w:tab/>
        <w:t>(i)</w:t>
      </w:r>
      <w:r>
        <w:tab/>
        <w:t>the structure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structure; and</w:t>
      </w:r>
    </w:p>
    <w:p w:rsidR="00BA29FF" w:rsidRDefault="00BA29FF">
      <w:pPr>
        <w:pStyle w:val="Apara"/>
      </w:pPr>
      <w:r>
        <w:tab/>
        <w:t>(g)</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H5Sec"/>
      </w:pPr>
      <w:bookmarkStart w:id="175" w:name="_Toc206921364"/>
      <w:r>
        <w:rPr>
          <w:rStyle w:val="CharSectNo"/>
        </w:rPr>
        <w:t>1.51</w:t>
      </w:r>
      <w:r>
        <w:tab/>
        <w:t>Fences and freestanding walls generally</w:t>
      </w:r>
      <w:bookmarkEnd w:id="175"/>
    </w:p>
    <w:p w:rsidR="00BA29FF" w:rsidRDefault="00BA29FF">
      <w:pPr>
        <w:pStyle w:val="Amain"/>
      </w:pPr>
      <w:r>
        <w:tab/>
        <w:t>(1)</w:t>
      </w:r>
      <w:r>
        <w:tab/>
        <w:t>In this section:</w:t>
      </w:r>
    </w:p>
    <w:p w:rsidR="00BA29FF" w:rsidRDefault="00BA29FF">
      <w:pPr>
        <w:pStyle w:val="aDef"/>
        <w:keepNext/>
      </w:pPr>
      <w:r>
        <w:rPr>
          <w:b/>
          <w:i/>
        </w:rPr>
        <w:t>fence</w:t>
      </w:r>
      <w:r>
        <w:t xml:space="preserve"> does not include a basic paling fence for an open space boundary.</w:t>
      </w:r>
    </w:p>
    <w:p w:rsidR="00BA29FF" w:rsidRDefault="00BA29FF">
      <w:pPr>
        <w:pStyle w:val="aNote"/>
      </w:pPr>
      <w:r>
        <w:rPr>
          <w:i/>
        </w:rPr>
        <w:t>Note</w:t>
      </w:r>
      <w:r>
        <w:rPr>
          <w:i/>
        </w:rPr>
        <w:tab/>
      </w:r>
      <w:r>
        <w:rPr>
          <w:b/>
          <w:bCs/>
          <w:i/>
          <w:iCs/>
        </w:rPr>
        <w:t>Basic paling fence</w:t>
      </w:r>
      <w:r>
        <w:t>—see the Act, s 416A (see this sch, s 1.1).</w:t>
      </w:r>
    </w:p>
    <w:p w:rsidR="00BA29FF" w:rsidRDefault="00BA29FF">
      <w:pPr>
        <w:pStyle w:val="Amain"/>
      </w:pPr>
      <w:r>
        <w:tab/>
        <w:t>(2)</w:t>
      </w:r>
      <w:r>
        <w:tab/>
        <w:t>A designated development for a fence for, or freestanding wall on, a block if—</w:t>
      </w:r>
    </w:p>
    <w:p w:rsidR="00BA29FF" w:rsidRDefault="00BA29FF">
      <w:pPr>
        <w:pStyle w:val="Apara"/>
      </w:pPr>
      <w:r>
        <w:tab/>
        <w:t>(a)</w:t>
      </w:r>
      <w:r>
        <w:tab/>
        <w:t>the fence or wall is not higher than—</w:t>
      </w:r>
    </w:p>
    <w:p w:rsidR="00BA29FF" w:rsidRDefault="00BA29FF">
      <w:pPr>
        <w:pStyle w:val="Asubpara"/>
      </w:pPr>
      <w:r>
        <w:tab/>
        <w:t>(i)</w:t>
      </w:r>
      <w:r>
        <w:tab/>
        <w:t>for a mesh fence in an industrial zone—2.7m above natural ground level; or</w:t>
      </w:r>
    </w:p>
    <w:p w:rsidR="00BA29FF" w:rsidRDefault="00BA29FF">
      <w:pPr>
        <w:pStyle w:val="Asubpara"/>
      </w:pPr>
      <w:r>
        <w:tab/>
        <w:t>(ii)</w:t>
      </w:r>
      <w:r>
        <w:tab/>
        <w:t>in any other case—1.85m above natural ground level; and</w:t>
      </w:r>
    </w:p>
    <w:p w:rsidR="00BA29FF" w:rsidRDefault="00BA29FF">
      <w:pPr>
        <w:pStyle w:val="aNotesubpar"/>
      </w:pPr>
      <w:r>
        <w:rPr>
          <w:i/>
          <w:iCs/>
        </w:rPr>
        <w:lastRenderedPageBreak/>
        <w:t>Note</w:t>
      </w:r>
      <w:r>
        <w:rPr>
          <w:i/>
          <w:iCs/>
        </w:rPr>
        <w:tab/>
      </w:r>
      <w:r>
        <w:rPr>
          <w:b/>
          <w:bCs/>
          <w:i/>
          <w:iCs/>
        </w:rPr>
        <w:t>Natural ground level</w:t>
      </w:r>
      <w:r>
        <w:t>—see the territory plan (13 Definitions).</w:t>
      </w:r>
    </w:p>
    <w:p w:rsidR="00BA29FF" w:rsidRDefault="00BA29FF">
      <w:pPr>
        <w:pStyle w:val="Apara"/>
      </w:pPr>
      <w:r>
        <w:tab/>
        <w:t>(b)</w:t>
      </w:r>
      <w:r>
        <w:tab/>
        <w:t>no part of the fence or wall is between a front boundary and a building line for the block; and</w:t>
      </w:r>
    </w:p>
    <w:p w:rsidR="00BA29FF" w:rsidRDefault="00BA29FF">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BA29FF" w:rsidRDefault="00BA29FF">
      <w:pPr>
        <w:pStyle w:val="Apara"/>
      </w:pPr>
      <w:r>
        <w:tab/>
        <w:t>(c)</w:t>
      </w:r>
      <w:r>
        <w:tab/>
        <w:t>no part of the fence or wall diverts or concentrates the flow of surface water—</w:t>
      </w:r>
    </w:p>
    <w:p w:rsidR="00BA29FF" w:rsidRDefault="00BA29FF">
      <w:pPr>
        <w:pStyle w:val="Asubpara"/>
      </w:pPr>
      <w:r>
        <w:tab/>
        <w:t>(i)</w:t>
      </w:r>
      <w:r>
        <w:tab/>
        <w:t>in a way that causes ponding; or</w:t>
      </w:r>
    </w:p>
    <w:p w:rsidR="00BA29FF" w:rsidRDefault="00BA29FF">
      <w:pPr>
        <w:pStyle w:val="Asubpara"/>
      </w:pPr>
      <w:r>
        <w:tab/>
        <w:t>(ii)</w:t>
      </w:r>
      <w:r>
        <w:tab/>
        <w:t>onto other land; and</w:t>
      </w:r>
    </w:p>
    <w:p w:rsidR="00BA29FF" w:rsidRDefault="00BA29FF">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BA29FF" w:rsidRDefault="00BA29FF">
      <w:pPr>
        <w:pStyle w:val="Apara"/>
      </w:pPr>
      <w:r>
        <w:tab/>
        <w:t>(d)</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Note"/>
      </w:pPr>
      <w:r>
        <w:rPr>
          <w:i/>
          <w:iCs/>
        </w:rPr>
        <w:t>Note 3</w:t>
      </w:r>
      <w:r>
        <w:rPr>
          <w:i/>
          <w:iCs/>
        </w:rPr>
        <w:tab/>
      </w:r>
      <w:r>
        <w:t>A metal fence must not have a white, off-white or metallic exterior finish (see s 1.13).</w:t>
      </w:r>
    </w:p>
    <w:p w:rsidR="00BA29FF" w:rsidRDefault="00BA29FF">
      <w:pPr>
        <w:pStyle w:val="Schclauseheading"/>
      </w:pPr>
      <w:bookmarkStart w:id="176" w:name="_Toc206921365"/>
      <w:r>
        <w:rPr>
          <w:rStyle w:val="CharSectNo"/>
        </w:rPr>
        <w:t>1.52</w:t>
      </w:r>
      <w:r>
        <w:tab/>
        <w:t>Basic open space boundary fences</w:t>
      </w:r>
      <w:bookmarkEnd w:id="176"/>
    </w:p>
    <w:p w:rsidR="00BA29FF" w:rsidRDefault="00BA29FF">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BA29FF" w:rsidRDefault="00BA29FF">
      <w:pPr>
        <w:pStyle w:val="Amain"/>
      </w:pPr>
      <w:r>
        <w:tab/>
        <w:t>(1)</w:t>
      </w:r>
      <w:r>
        <w:tab/>
        <w:t>A designated development for a fence for an open space boundary for a block if—</w:t>
      </w:r>
    </w:p>
    <w:p w:rsidR="00BA29FF" w:rsidRDefault="00BA29FF">
      <w:pPr>
        <w:pStyle w:val="Apara"/>
        <w:keepNext/>
      </w:pPr>
      <w:r>
        <w:tab/>
        <w:t>(a)</w:t>
      </w:r>
      <w:r>
        <w:tab/>
        <w:t>a development requirement for the block requires the building of a basic paling fence for the boundary; and</w:t>
      </w:r>
    </w:p>
    <w:p w:rsidR="00BA29FF" w:rsidRDefault="00BA29FF">
      <w:pPr>
        <w:pStyle w:val="aNotepar"/>
      </w:pPr>
      <w:r>
        <w:rPr>
          <w:i/>
        </w:rPr>
        <w:t>Note</w:t>
      </w:r>
      <w:r>
        <w:rPr>
          <w:i/>
        </w:rPr>
        <w:tab/>
      </w:r>
      <w:r>
        <w:rPr>
          <w:b/>
          <w:bCs/>
          <w:i/>
          <w:iCs/>
        </w:rPr>
        <w:t>Basic paling fence</w:t>
      </w:r>
      <w:r>
        <w:t>—see the Act, s 416A.</w:t>
      </w:r>
    </w:p>
    <w:p w:rsidR="00BA29FF" w:rsidRDefault="00BA29FF">
      <w:pPr>
        <w:pStyle w:val="Apara"/>
      </w:pPr>
      <w:r>
        <w:tab/>
        <w:t>(b)</w:t>
      </w:r>
      <w:r>
        <w:tab/>
        <w:t>the fence—</w:t>
      </w:r>
    </w:p>
    <w:p w:rsidR="00BA29FF" w:rsidRDefault="00BA29FF">
      <w:pPr>
        <w:pStyle w:val="Asubpara"/>
      </w:pPr>
      <w:r>
        <w:tab/>
        <w:t>(i)</w:t>
      </w:r>
      <w:r>
        <w:tab/>
        <w:t>is not higher than 1.85m above natural ground level; and</w:t>
      </w:r>
    </w:p>
    <w:p w:rsidR="00BA29FF" w:rsidRDefault="00BA29FF">
      <w:pPr>
        <w:pStyle w:val="Asubpara"/>
      </w:pPr>
      <w:r>
        <w:tab/>
        <w:t>(ii)</w:t>
      </w:r>
      <w:r>
        <w:tab/>
        <w:t xml:space="preserve">is a basic paling fence or complies with subsection (2); and </w:t>
      </w:r>
    </w:p>
    <w:p w:rsidR="00BA29FF" w:rsidRDefault="00BA29FF">
      <w:pPr>
        <w:pStyle w:val="Apara"/>
      </w:pPr>
      <w:r>
        <w:lastRenderedPageBreak/>
        <w:tab/>
        <w:t>(c)</w:t>
      </w:r>
      <w:r>
        <w:tab/>
        <w:t>no part of the fence diverts or concentrates the flow of surface water—</w:t>
      </w:r>
    </w:p>
    <w:p w:rsidR="00BA29FF" w:rsidRDefault="00BA29FF">
      <w:pPr>
        <w:pStyle w:val="Asubpara"/>
      </w:pPr>
      <w:r>
        <w:tab/>
        <w:t>(i)</w:t>
      </w:r>
      <w:r>
        <w:tab/>
        <w:t>in a way that causes ponding; or</w:t>
      </w:r>
    </w:p>
    <w:p w:rsidR="00BA29FF" w:rsidRDefault="00BA29FF">
      <w:pPr>
        <w:pStyle w:val="Asubpara"/>
      </w:pPr>
      <w:r>
        <w:tab/>
        <w:t>(ii)</w:t>
      </w:r>
      <w:r>
        <w:tab/>
        <w:t>onto other land; and</w:t>
      </w:r>
    </w:p>
    <w:p w:rsidR="00BA29FF" w:rsidRDefault="00BA29FF">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BA29FF" w:rsidRDefault="00BA29FF">
      <w:pPr>
        <w:pStyle w:val="Apara"/>
      </w:pPr>
      <w:r>
        <w:tab/>
        <w:t>(d)</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rPr>
          <w:iCs/>
        </w:rPr>
      </w:pPr>
      <w:r>
        <w:rPr>
          <w:i/>
        </w:rPr>
        <w:t>Note 2</w:t>
      </w:r>
      <w:r>
        <w:rPr>
          <w:i/>
        </w:rPr>
        <w:tab/>
      </w:r>
      <w:r>
        <w:rPr>
          <w:b/>
          <w:bCs/>
          <w:i/>
        </w:rPr>
        <w:t>General exemption criteria</w:t>
      </w:r>
      <w:r>
        <w:rPr>
          <w:iCs/>
        </w:rPr>
        <w:t xml:space="preserve">—see s </w:t>
      </w:r>
      <w:r>
        <w:t>1.10</w:t>
      </w:r>
      <w:r>
        <w:rPr>
          <w:iCs/>
        </w:rPr>
        <w:t>.</w:t>
      </w:r>
    </w:p>
    <w:p w:rsidR="00BA29FF" w:rsidRDefault="00BA29FF">
      <w:pPr>
        <w:pStyle w:val="Amain"/>
      </w:pPr>
      <w:r>
        <w:tab/>
        <w:t>(2)</w:t>
      </w:r>
      <w:r>
        <w:tab/>
        <w:t>A fence for an open space boundary for a block complies with this subsection if—</w:t>
      </w:r>
    </w:p>
    <w:p w:rsidR="00BA29FF" w:rsidRDefault="00BA29FF">
      <w:pPr>
        <w:pStyle w:val="Apara"/>
        <w:rPr>
          <w:lang w:val="en-US"/>
        </w:rPr>
      </w:pPr>
      <w:r>
        <w:rPr>
          <w:lang w:val="en-US"/>
        </w:rPr>
        <w:tab/>
        <w:t>(a)</w:t>
      </w:r>
      <w:r>
        <w:rPr>
          <w:lang w:val="en-US"/>
        </w:rPr>
        <w:tab/>
        <w:t>the fence's panels and support structure are—</w:t>
      </w:r>
    </w:p>
    <w:p w:rsidR="00BA29FF" w:rsidRDefault="00BA29FF">
      <w:pPr>
        <w:pStyle w:val="Asubpara"/>
        <w:rPr>
          <w:lang w:val="en-US"/>
        </w:rPr>
      </w:pPr>
      <w:r>
        <w:rPr>
          <w:lang w:val="en-US"/>
        </w:rPr>
        <w:tab/>
        <w:t>(i)</w:t>
      </w:r>
      <w:r>
        <w:rPr>
          <w:lang w:val="en-US"/>
        </w:rPr>
        <w:tab/>
        <w:t>made of unperforated metal; and</w:t>
      </w:r>
    </w:p>
    <w:p w:rsidR="00BA29FF" w:rsidRDefault="00BA29FF">
      <w:pPr>
        <w:pStyle w:val="Asubpara"/>
        <w:rPr>
          <w:lang w:val="en-US"/>
        </w:rPr>
      </w:pPr>
      <w:r>
        <w:rPr>
          <w:lang w:val="en-US"/>
        </w:rPr>
        <w:tab/>
        <w:t>(ii)</w:t>
      </w:r>
      <w:r>
        <w:rPr>
          <w:lang w:val="en-US"/>
        </w:rPr>
        <w:tab/>
        <w:t>finished in a precoloured proprietary finish; and</w:t>
      </w:r>
    </w:p>
    <w:p w:rsidR="00BA29FF" w:rsidRDefault="00BA29FF">
      <w:pPr>
        <w:pStyle w:val="Asubpara"/>
        <w:rPr>
          <w:lang w:val="en-US"/>
        </w:rPr>
      </w:pPr>
      <w:r>
        <w:rPr>
          <w:lang w:val="en-US"/>
        </w:rPr>
        <w:tab/>
        <w:t>(iii)</w:t>
      </w:r>
      <w:r>
        <w:rPr>
          <w:lang w:val="en-US"/>
        </w:rPr>
        <w:tab/>
        <w:t>used in accordance with the manufacturer's relevant written instructions; and</w:t>
      </w:r>
    </w:p>
    <w:p w:rsidR="00BA29FF" w:rsidRDefault="00BA29FF">
      <w:pPr>
        <w:pStyle w:val="Apara"/>
      </w:pPr>
      <w:r>
        <w:tab/>
        <w:t>(b)</w:t>
      </w:r>
      <w:r>
        <w:tab/>
        <w:t>all sharp edges of metal sheets are capped; and</w:t>
      </w:r>
    </w:p>
    <w:p w:rsidR="00BA29FF" w:rsidRDefault="00BA29FF">
      <w:pPr>
        <w:pStyle w:val="Apara"/>
      </w:pPr>
      <w:r>
        <w:tab/>
        <w:t>(c)</w:t>
      </w:r>
      <w:r>
        <w:tab/>
        <w:t>for any one side of the fence—</w:t>
      </w:r>
    </w:p>
    <w:p w:rsidR="00BA29FF" w:rsidRDefault="00BA29FF">
      <w:pPr>
        <w:pStyle w:val="Asubpara"/>
        <w:rPr>
          <w:lang w:val="en-US"/>
        </w:rPr>
      </w:pPr>
      <w:r>
        <w:rPr>
          <w:lang w:val="en-US"/>
        </w:rPr>
        <w:tab/>
        <w:t>(i)</w:t>
      </w:r>
      <w:r>
        <w:rPr>
          <w:lang w:val="en-US"/>
        </w:rPr>
        <w:tab/>
        <w:t>the panels are of the same material, flatness and corrugation (if any); and</w:t>
      </w:r>
    </w:p>
    <w:p w:rsidR="00BA29FF" w:rsidRDefault="00BA29FF">
      <w:pPr>
        <w:pStyle w:val="Asubpara"/>
        <w:rPr>
          <w:lang w:val="en-US"/>
        </w:rPr>
      </w:pPr>
      <w:r>
        <w:tab/>
        <w:t>(ii)</w:t>
      </w:r>
      <w:r>
        <w:tab/>
        <w:t>all of the visible components (other than fasteners, footings and the cut ends of components) are the same external colour as the panels; and</w:t>
      </w:r>
    </w:p>
    <w:p w:rsidR="00BA29FF" w:rsidRDefault="00BA29FF">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BA29FF" w:rsidRDefault="00BA29FF">
      <w:pPr>
        <w:pStyle w:val="Asubpara"/>
      </w:pPr>
      <w:r>
        <w:lastRenderedPageBreak/>
        <w:tab/>
        <w:t>(iv)</w:t>
      </w:r>
      <w:r>
        <w:tab/>
        <w:t xml:space="preserve">the form, finish and colour of the fence is the same for the full length of the open space boundary for the block for that side of the fence. </w:t>
      </w:r>
    </w:p>
    <w:p w:rsidR="00BA29FF" w:rsidRDefault="00BA29FF">
      <w:pPr>
        <w:pStyle w:val="Amain"/>
      </w:pPr>
      <w:r>
        <w:tab/>
        <w:t>(3)</w:t>
      </w:r>
      <w:r>
        <w:tab/>
        <w:t>In this section:</w:t>
      </w:r>
    </w:p>
    <w:p w:rsidR="00BA29FF" w:rsidRDefault="00BA29FF">
      <w:pPr>
        <w:pStyle w:val="aDef"/>
      </w:pPr>
      <w:r>
        <w:rPr>
          <w:b/>
          <w:i/>
        </w:rPr>
        <w:t>development requirement</w:t>
      </w:r>
      <w:r>
        <w:t>—see the Act, section 416A.</w:t>
      </w:r>
    </w:p>
    <w:p w:rsidR="00BA29FF" w:rsidRDefault="00BA29FF">
      <w:pPr>
        <w:pStyle w:val="AH5Sec"/>
      </w:pPr>
      <w:bookmarkStart w:id="177" w:name="_Toc206921366"/>
      <w:r>
        <w:rPr>
          <w:rStyle w:val="CharSectNo"/>
        </w:rPr>
        <w:t>1.53</w:t>
      </w:r>
      <w:r>
        <w:tab/>
        <w:t>Retaining walls</w:t>
      </w:r>
      <w:bookmarkEnd w:id="177"/>
    </w:p>
    <w:p w:rsidR="00BA29FF" w:rsidRDefault="00BA29FF">
      <w:pPr>
        <w:pStyle w:val="SchAmain"/>
      </w:pPr>
      <w:r>
        <w:tab/>
        <w:t>(1)</w:t>
      </w:r>
      <w:r>
        <w:tab/>
        <w:t>A designated development for a retaining wall on a block if—</w:t>
      </w:r>
    </w:p>
    <w:p w:rsidR="00BA29FF" w:rsidRDefault="00BA29FF">
      <w:pPr>
        <w:pStyle w:val="Apara"/>
      </w:pPr>
      <w:r>
        <w:tab/>
        <w:t>(a)</w:t>
      </w:r>
      <w:r>
        <w:tab/>
        <w:t>no part of the retaining wall is between a front boundary and a building line for the block; and</w:t>
      </w:r>
    </w:p>
    <w:p w:rsidR="00BA29FF" w:rsidRDefault="00BA29FF">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BA29FF" w:rsidRDefault="00BA29FF">
      <w:pPr>
        <w:pStyle w:val="Apara"/>
      </w:pPr>
      <w:r>
        <w:tab/>
        <w:t>(b)</w:t>
      </w:r>
      <w:r>
        <w:tab/>
        <w:t>the retaining wall is not higher than—</w:t>
      </w:r>
    </w:p>
    <w:p w:rsidR="00BA29FF" w:rsidRDefault="00BA29FF">
      <w:pPr>
        <w:pStyle w:val="Asubpara"/>
      </w:pPr>
      <w:r>
        <w:tab/>
        <w:t>(i)</w:t>
      </w:r>
      <w:r>
        <w:tab/>
        <w:t>if it is a cut-in retaining wall—</w:t>
      </w:r>
    </w:p>
    <w:p w:rsidR="00BA29FF" w:rsidRDefault="00BA29FF">
      <w:pPr>
        <w:pStyle w:val="Asubsubpara"/>
      </w:pPr>
      <w:r>
        <w:tab/>
        <w:t>(A)</w:t>
      </w:r>
      <w:r>
        <w:tab/>
        <w:t>for any part of the wall that is within 1.5m of a side boundary or rear boundary of the block—0.4m above natural ground level on the lowest side of the wall; and</w:t>
      </w:r>
    </w:p>
    <w:p w:rsidR="00BA29FF" w:rsidRDefault="00BA29FF">
      <w:pPr>
        <w:pStyle w:val="Asubsubpara"/>
      </w:pPr>
      <w:r>
        <w:tab/>
        <w:t>(B)</w:t>
      </w:r>
      <w:r>
        <w:tab/>
        <w:t>for any other part of the wall—1.2m above natural ground level on the lowest side of the wall; and</w:t>
      </w:r>
    </w:p>
    <w:p w:rsidR="00BA29FF" w:rsidRDefault="00BA29FF">
      <w:pPr>
        <w:pStyle w:val="Asubpara"/>
      </w:pPr>
      <w:r>
        <w:tab/>
        <w:t>(ii)</w:t>
      </w:r>
      <w:r>
        <w:tab/>
        <w:t>if it is a fill retaining wall—</w:t>
      </w:r>
    </w:p>
    <w:p w:rsidR="00BA29FF" w:rsidRDefault="00BA29FF">
      <w:pPr>
        <w:pStyle w:val="Asubsubpara"/>
      </w:pPr>
      <w:r>
        <w:tab/>
        <w:t>(A)</w:t>
      </w:r>
      <w:r>
        <w:tab/>
        <w:t>for any part of the wall that is within 1.5m of a side boundary or rear boundary of the block—0.4m above natural ground level on the lowest side of the wall; and</w:t>
      </w:r>
    </w:p>
    <w:p w:rsidR="00BA29FF" w:rsidRDefault="00BA29FF">
      <w:pPr>
        <w:pStyle w:val="Asubsubpara"/>
      </w:pPr>
      <w:r>
        <w:tab/>
        <w:t>(B)</w:t>
      </w:r>
      <w:r>
        <w:tab/>
        <w:t>for any other part of the wall—1m above natural ground level on the lowest side of the wall; and</w:t>
      </w:r>
    </w:p>
    <w:p w:rsidR="00BA29FF" w:rsidRDefault="00BA29FF">
      <w:pPr>
        <w:pStyle w:val="Asubpara"/>
      </w:pPr>
      <w:r>
        <w:tab/>
        <w:t>(iii)</w:t>
      </w:r>
      <w:r>
        <w:tab/>
        <w:t>if it is a combination retaining wall—</w:t>
      </w:r>
    </w:p>
    <w:p w:rsidR="00BA29FF" w:rsidRDefault="00BA29FF">
      <w:pPr>
        <w:pStyle w:val="Asubsubpara"/>
      </w:pPr>
      <w:r>
        <w:lastRenderedPageBreak/>
        <w:tab/>
        <w:t>(A)</w:t>
      </w:r>
      <w:r>
        <w:tab/>
        <w:t>for any part of the wall that is within 1.5m of a side boundary or rear boundary of the block—0.4m above natural ground level on the lowest side of the wall; and</w:t>
      </w:r>
    </w:p>
    <w:p w:rsidR="00BA29FF" w:rsidRDefault="00BA29FF">
      <w:pPr>
        <w:pStyle w:val="Asubsubpara"/>
      </w:pPr>
      <w:r>
        <w:tab/>
        <w:t>(B)</w:t>
      </w:r>
      <w:r>
        <w:tab/>
        <w:t>for any other part of the wall—1.2m above natural ground level on the lowest side of the wall; and</w:t>
      </w:r>
    </w:p>
    <w:p w:rsidR="00BA29FF" w:rsidRDefault="00BA29FF">
      <w:pPr>
        <w:pStyle w:val="aNotepar"/>
        <w:rPr>
          <w:b/>
          <w:bCs/>
        </w:rPr>
      </w:pPr>
      <w:r>
        <w:rPr>
          <w:i/>
        </w:rPr>
        <w:t>Note</w:t>
      </w:r>
      <w:r>
        <w:rPr>
          <w:i/>
        </w:rPr>
        <w:tab/>
      </w:r>
      <w:r>
        <w:rPr>
          <w:b/>
          <w:bCs/>
          <w:i/>
          <w:iCs/>
        </w:rPr>
        <w:t>Natural ground level</w:t>
      </w:r>
      <w:r>
        <w:t>—see the territory plan (13 Definitions).</w:t>
      </w:r>
    </w:p>
    <w:p w:rsidR="00BA29FF" w:rsidRDefault="00BA29FF">
      <w:pPr>
        <w:pStyle w:val="Apara"/>
      </w:pPr>
      <w:r>
        <w:tab/>
        <w:t>(c)</w:t>
      </w:r>
      <w:r>
        <w:tab/>
        <w:t>if any part of the retaining wall is within 1.5m of a side boundary or rear boundary of the block—</w:t>
      </w:r>
    </w:p>
    <w:p w:rsidR="00BA29FF" w:rsidRDefault="00BA29FF">
      <w:pPr>
        <w:pStyle w:val="Asubpara"/>
      </w:pPr>
      <w:r>
        <w:tab/>
        <w:t>(i)</w:t>
      </w:r>
      <w:r>
        <w:tab/>
        <w:t>the retaining wall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retaining wall; and</w:t>
      </w:r>
    </w:p>
    <w:p w:rsidR="00BA29FF" w:rsidRDefault="00BA29FF">
      <w:pPr>
        <w:pStyle w:val="Apara"/>
      </w:pPr>
      <w:r>
        <w:tab/>
        <w:t>(d)</w:t>
      </w:r>
      <w:r>
        <w:tab/>
        <w:t>the designated development complies with the general exemption criteria that are applicable to the development.</w:t>
      </w:r>
    </w:p>
    <w:p w:rsidR="00BA29FF" w:rsidRDefault="00BA29FF">
      <w:pPr>
        <w:pStyle w:val="aNote"/>
        <w:keepNext/>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main"/>
      </w:pPr>
      <w:r>
        <w:tab/>
        <w:t>(2)</w:t>
      </w:r>
      <w:r>
        <w:tab/>
        <w:t>In this section:</w:t>
      </w:r>
    </w:p>
    <w:p w:rsidR="00BA29FF" w:rsidRDefault="00BA29FF">
      <w:pPr>
        <w:pStyle w:val="aDef"/>
      </w:pPr>
      <w:r>
        <w:rPr>
          <w:b/>
          <w:bCs/>
          <w:i/>
          <w:iCs/>
        </w:rPr>
        <w:t>combination retaining wall</w:t>
      </w:r>
      <w:r>
        <w:t xml:space="preserve"> means a retaining wall that is both a cut-in retaining wall and a fill retaining wall.</w:t>
      </w:r>
    </w:p>
    <w:p w:rsidR="00BA29FF" w:rsidRDefault="00BA29FF">
      <w:pPr>
        <w:pStyle w:val="aDef"/>
      </w:pPr>
      <w:r>
        <w:rPr>
          <w:b/>
          <w:bCs/>
          <w:i/>
          <w:iCs/>
        </w:rPr>
        <w:t>cut-in retaining wall</w:t>
      </w:r>
      <w:r>
        <w:t xml:space="preserve"> means a wall, or that part of a wall, retaining earth below natural ground level.</w:t>
      </w:r>
    </w:p>
    <w:p w:rsidR="00BA29FF" w:rsidRDefault="00BA29FF">
      <w:pPr>
        <w:pStyle w:val="aDef"/>
      </w:pPr>
      <w:r>
        <w:rPr>
          <w:b/>
          <w:bCs/>
          <w:i/>
          <w:iCs/>
        </w:rPr>
        <w:t>fill retaining wall</w:t>
      </w:r>
      <w:r>
        <w:t xml:space="preserve"> means a wall, or that part of a wall, retaining earth above natural ground level.</w:t>
      </w:r>
    </w:p>
    <w:p w:rsidR="00BA29FF" w:rsidRDefault="00BA29FF">
      <w:pPr>
        <w:pStyle w:val="AH5Sec"/>
      </w:pPr>
      <w:bookmarkStart w:id="178" w:name="_Toc206921367"/>
      <w:r>
        <w:rPr>
          <w:rStyle w:val="CharSectNo"/>
        </w:rPr>
        <w:t>1.54</w:t>
      </w:r>
      <w:r>
        <w:tab/>
        <w:t>Swimming pools</w:t>
      </w:r>
      <w:bookmarkEnd w:id="178"/>
    </w:p>
    <w:p w:rsidR="00BA29FF" w:rsidRDefault="00BA29FF">
      <w:pPr>
        <w:pStyle w:val="Amain"/>
      </w:pPr>
      <w:r>
        <w:tab/>
        <w:t>(1)</w:t>
      </w:r>
      <w:r>
        <w:tab/>
        <w:t>A designated development for a swimming pool on a block if—</w:t>
      </w:r>
    </w:p>
    <w:p w:rsidR="00BA29FF" w:rsidRDefault="00BA29FF">
      <w:pPr>
        <w:pStyle w:val="Apara"/>
      </w:pPr>
      <w:r>
        <w:lastRenderedPageBreak/>
        <w:tab/>
        <w:t>(a)</w:t>
      </w:r>
      <w:r>
        <w:tab/>
        <w:t>no part of the pool, or an associated structure, is—</w:t>
      </w:r>
    </w:p>
    <w:p w:rsidR="00BA29FF" w:rsidRDefault="00BA29FF">
      <w:pPr>
        <w:pStyle w:val="Asubpara"/>
      </w:pPr>
      <w:r>
        <w:tab/>
        <w:t>(i)</w:t>
      </w:r>
      <w:r>
        <w:tab/>
        <w:t>between a front boundary and a building line for the block; or</w:t>
      </w:r>
    </w:p>
    <w:p w:rsidR="00BA29FF" w:rsidRDefault="00BA29FF">
      <w:pPr>
        <w:pStyle w:val="Asubpara"/>
      </w:pPr>
      <w:r>
        <w:tab/>
        <w:t>(ii)</w:t>
      </w:r>
      <w:r>
        <w:tab/>
        <w:t>within 1.5m of a side boundary or rear boundary for the block; and</w:t>
      </w:r>
    </w:p>
    <w:p w:rsidR="00BA29FF" w:rsidRDefault="00BA29FF">
      <w:pPr>
        <w:pStyle w:val="Apara"/>
      </w:pPr>
      <w:r>
        <w:tab/>
        <w:t>(b)</w:t>
      </w:r>
      <w:r>
        <w:tab/>
        <w:t>if the pool includes an associated structure with an elevated floor—the height of the finished floor level is not more than 1m above finished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(c)</w:t>
      </w:r>
      <w:r>
        <w:tab/>
        <w:t>the pool’s capacity is not more than 45kL; and</w:t>
      </w:r>
    </w:p>
    <w:p w:rsidR="00BA29FF" w:rsidRDefault="00BA29FF">
      <w:pPr>
        <w:pStyle w:val="Apara"/>
      </w:pPr>
      <w:r>
        <w:tab/>
        <w:t>(d)</w:t>
      </w:r>
      <w:r>
        <w:tab/>
        <w:t xml:space="preserve">the height of the pool’s reservoir is not more than 1.5m above natural ground level; and </w:t>
      </w:r>
    </w:p>
    <w:p w:rsidR="00BA29FF" w:rsidRDefault="00BA29FF">
      <w:pPr>
        <w:pStyle w:val="Apara"/>
      </w:pPr>
      <w:r>
        <w:tab/>
        <w:t>(e)</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main"/>
      </w:pPr>
      <w:r>
        <w:tab/>
        <w:t>(2)</w:t>
      </w:r>
      <w:r>
        <w:tab/>
        <w:t>In this section:</w:t>
      </w:r>
    </w:p>
    <w:p w:rsidR="00BA29FF" w:rsidRDefault="00BA29FF">
      <w:pPr>
        <w:pStyle w:val="aDef"/>
        <w:keepNext/>
      </w:pPr>
      <w:r>
        <w:rPr>
          <w:b/>
          <w:bCs/>
          <w:i/>
          <w:iCs/>
        </w:rPr>
        <w:t>associated structure</w:t>
      </w:r>
      <w:r>
        <w:t>, in relation to a swimming pool—</w:t>
      </w:r>
    </w:p>
    <w:p w:rsidR="00BA29FF" w:rsidRDefault="00BA29FF">
      <w:pPr>
        <w:pStyle w:val="aDefpara"/>
      </w:pPr>
      <w:r>
        <w:tab/>
        <w:t>(a)</w:t>
      </w:r>
      <w:r>
        <w:tab/>
        <w:t>includes a deck, landing, stairs or ramp, for the pool; but</w:t>
      </w:r>
    </w:p>
    <w:p w:rsidR="00BA29FF" w:rsidRDefault="00BA29FF">
      <w:pPr>
        <w:pStyle w:val="aDefpara"/>
      </w:pPr>
      <w:r>
        <w:tab/>
        <w:t>(b)</w:t>
      </w:r>
      <w:r>
        <w:tab/>
        <w:t>does not include a retaining wall or landscaping for the pool.</w:t>
      </w:r>
    </w:p>
    <w:p w:rsidR="00BA29FF" w:rsidRDefault="00BA29FF">
      <w:pPr>
        <w:pStyle w:val="aDef"/>
      </w:pPr>
      <w:r>
        <w:rPr>
          <w:b/>
          <w:bCs/>
          <w:i/>
          <w:iCs/>
        </w:rPr>
        <w:t>swimming pool</w:t>
      </w:r>
      <w:r>
        <w:t xml:space="preserve">—see the </w:t>
      </w:r>
      <w:r>
        <w:rPr>
          <w:i/>
          <w:iCs/>
        </w:rPr>
        <w:t>Building (General) Regulation 2008</w:t>
      </w:r>
      <w:r>
        <w:t>, schedule 1, section 1.1.</w:t>
      </w:r>
    </w:p>
    <w:p w:rsidR="00BA29FF" w:rsidRDefault="00BA29FF">
      <w:pPr>
        <w:pStyle w:val="AH5Sec"/>
      </w:pPr>
      <w:bookmarkStart w:id="179" w:name="_Toc206921368"/>
      <w:r>
        <w:rPr>
          <w:rStyle w:val="CharSectNo"/>
        </w:rPr>
        <w:t>1.55</w:t>
      </w:r>
      <w:r>
        <w:tab/>
        <w:t>Water tanks</w:t>
      </w:r>
      <w:bookmarkEnd w:id="179"/>
    </w:p>
    <w:p w:rsidR="00BA29FF" w:rsidRDefault="00BA29FF">
      <w:pPr>
        <w:pStyle w:val="Amain"/>
      </w:pPr>
      <w:r>
        <w:tab/>
        <w:t>(1)</w:t>
      </w:r>
      <w:r>
        <w:tab/>
        <w:t>In this section:</w:t>
      </w:r>
    </w:p>
    <w:p w:rsidR="00BA29FF" w:rsidRDefault="00BA29FF">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BA29FF" w:rsidRDefault="00BA29FF">
      <w:pPr>
        <w:pStyle w:val="aNote"/>
      </w:pPr>
      <w:r>
        <w:rPr>
          <w:i/>
        </w:rPr>
        <w:t>Note</w:t>
      </w:r>
      <w:r>
        <w:rPr>
          <w:i/>
        </w:rPr>
        <w:tab/>
      </w:r>
      <w:r>
        <w:rPr>
          <w:b/>
          <w:bCs/>
          <w:i/>
          <w:iCs/>
        </w:rPr>
        <w:t>General exemption criteria</w:t>
      </w:r>
      <w:r>
        <w:t>—see s 1.10.</w:t>
      </w:r>
    </w:p>
    <w:p w:rsidR="00BA29FF" w:rsidRDefault="00BA29FF">
      <w:pPr>
        <w:pStyle w:val="Amain"/>
      </w:pPr>
      <w:r>
        <w:tab/>
        <w:t>(2)</w:t>
      </w:r>
      <w:r>
        <w:tab/>
        <w:t>A designated development for a water tank on a block if—</w:t>
      </w:r>
    </w:p>
    <w:p w:rsidR="00BA29FF" w:rsidRDefault="00BA29FF">
      <w:pPr>
        <w:pStyle w:val="Apara"/>
      </w:pPr>
      <w:r>
        <w:tab/>
        <w:t>(a)</w:t>
      </w:r>
      <w:r>
        <w:tab/>
        <w:t>the tank does not have a capacity of more than 20kL; and</w:t>
      </w:r>
    </w:p>
    <w:p w:rsidR="00BA29FF" w:rsidRDefault="00BA29FF">
      <w:pPr>
        <w:pStyle w:val="Apara"/>
      </w:pPr>
      <w:r>
        <w:tab/>
        <w:t>(b)</w:t>
      </w:r>
      <w:r>
        <w:tab/>
        <w:t>the height of the tank is not more than 2.45m above natural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(c)</w:t>
      </w:r>
      <w:r>
        <w:tab/>
        <w:t>no part of the tank is located between a front boundary and a building line for the block; and</w:t>
      </w:r>
    </w:p>
    <w:p w:rsidR="00BA29FF" w:rsidRDefault="00BA29FF">
      <w:pPr>
        <w:pStyle w:val="Apara"/>
      </w:pPr>
      <w:r>
        <w:tab/>
        <w:t>(d)</w:t>
      </w:r>
      <w:r>
        <w:tab/>
        <w:t>if any part of the tank is within 1.5m of a side boundary or rear boundary of the block—</w:t>
      </w:r>
    </w:p>
    <w:p w:rsidR="00BA29FF" w:rsidRDefault="00BA29FF">
      <w:pPr>
        <w:pStyle w:val="Asubpara"/>
      </w:pPr>
      <w:r>
        <w:tab/>
        <w:t>(i)</w:t>
      </w:r>
      <w:r>
        <w:tab/>
        <w:t>the tank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tank; and</w:t>
      </w:r>
    </w:p>
    <w:p w:rsidR="00BA29FF" w:rsidRDefault="00BA29FF">
      <w:pPr>
        <w:pStyle w:val="Apara"/>
      </w:pPr>
      <w:r>
        <w:tab/>
        <w:t>(e)</w:t>
      </w:r>
      <w:r>
        <w:tab/>
        <w:t>the designated development complies with the prescribed general exemption criteria that are applicable to the development.</w:t>
      </w:r>
    </w:p>
    <w:p w:rsidR="00BA29FF" w:rsidRDefault="00BA29FF">
      <w:pPr>
        <w:pStyle w:val="aNote"/>
      </w:pPr>
      <w:r>
        <w:rPr>
          <w:i/>
          <w:iCs/>
        </w:rPr>
        <w:t>Note</w:t>
      </w:r>
      <w:r>
        <w:rPr>
          <w:i/>
          <w:iCs/>
        </w:rPr>
        <w:tab/>
      </w:r>
      <w:r>
        <w:rPr>
          <w:b/>
          <w:bCs/>
          <w:i/>
          <w:iCs/>
        </w:rPr>
        <w:t>Designated development</w:t>
      </w:r>
      <w:r>
        <w:t>—see s 1.2.</w:t>
      </w:r>
    </w:p>
    <w:p w:rsidR="00BA29FF" w:rsidRDefault="00BA29FF">
      <w:pPr>
        <w:pStyle w:val="AH5Sec"/>
      </w:pPr>
      <w:bookmarkStart w:id="180" w:name="_Toc206921369"/>
      <w:r>
        <w:rPr>
          <w:rStyle w:val="CharSectNo"/>
        </w:rPr>
        <w:t>1.56</w:t>
      </w:r>
      <w:r>
        <w:tab/>
        <w:t>External ponds</w:t>
      </w:r>
      <w:bookmarkEnd w:id="180"/>
    </w:p>
    <w:p w:rsidR="00BA29FF" w:rsidRDefault="00BA29FF">
      <w:pPr>
        <w:pStyle w:val="Amainreturn"/>
        <w:keepNext/>
      </w:pPr>
      <w:r>
        <w:t>A designated development for an external pond on a block if—</w:t>
      </w:r>
    </w:p>
    <w:p w:rsidR="00BA29FF" w:rsidRDefault="00BA29FF">
      <w:pPr>
        <w:pStyle w:val="Apara"/>
      </w:pPr>
      <w:r>
        <w:tab/>
        <w:t>(a)</w:t>
      </w:r>
      <w:r>
        <w:tab/>
        <w:t>the pond is not for, or used for, swimming, wading or bathing; and</w:t>
      </w:r>
    </w:p>
    <w:p w:rsidR="00BA29FF" w:rsidRDefault="00BA29FF">
      <w:pPr>
        <w:pStyle w:val="Apara"/>
      </w:pPr>
      <w:r>
        <w:lastRenderedPageBreak/>
        <w:tab/>
        <w:t>(b)</w:t>
      </w:r>
      <w:r>
        <w:tab/>
        <w:t>the maximum depth of water the pond can hold is not more than 300mm; and</w:t>
      </w:r>
    </w:p>
    <w:p w:rsidR="00BA29FF" w:rsidRDefault="00BA29FF">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BA29FF" w:rsidRDefault="00BA29FF">
      <w:pPr>
        <w:pStyle w:val="Apara"/>
      </w:pPr>
      <w:r>
        <w:tab/>
        <w:t>(d)</w:t>
      </w:r>
      <w:r>
        <w:tab/>
        <w:t>no part of the pond is within 1.5m of a side boundary or rear boundary of the block; and</w:t>
      </w:r>
    </w:p>
    <w:p w:rsidR="00BA29FF" w:rsidRDefault="00BA29FF">
      <w:pPr>
        <w:pStyle w:val="Apara"/>
      </w:pPr>
      <w:r>
        <w:tab/>
        <w:t>(e)</w:t>
      </w:r>
      <w:r>
        <w:tab/>
        <w:t>no part of the pond is located between a front boundary and a building line for the block; and</w:t>
      </w:r>
    </w:p>
    <w:p w:rsidR="00BA29FF" w:rsidRDefault="00BA29FF">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BA29FF" w:rsidRDefault="00BA29FF">
      <w:pPr>
        <w:pStyle w:val="Apara"/>
      </w:pPr>
      <w:r>
        <w:tab/>
        <w:t>(f)</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H5Sec"/>
      </w:pPr>
      <w:bookmarkStart w:id="181" w:name="_Toc206921370"/>
      <w:r>
        <w:rPr>
          <w:rStyle w:val="CharSectNo"/>
        </w:rPr>
        <w:t>1.57</w:t>
      </w:r>
      <w:r>
        <w:tab/>
        <w:t>Animal enclosures</w:t>
      </w:r>
      <w:bookmarkEnd w:id="181"/>
    </w:p>
    <w:p w:rsidR="00BA29FF" w:rsidRDefault="00BA29FF">
      <w:pPr>
        <w:pStyle w:val="Amain"/>
      </w:pPr>
      <w:r>
        <w:tab/>
        <w:t>(1)</w:t>
      </w:r>
      <w:r>
        <w:tab/>
        <w:t>A designated development for an animal enclosure on a block if—</w:t>
      </w:r>
    </w:p>
    <w:p w:rsidR="00BA29FF" w:rsidRDefault="00BA29FF">
      <w:pPr>
        <w:pStyle w:val="Apara"/>
      </w:pPr>
      <w:r>
        <w:tab/>
        <w:t>(a)</w:t>
      </w:r>
      <w:r>
        <w:tab/>
        <w:t>the enclosure’s plan area is not more than 10m</w:t>
      </w:r>
      <w:r>
        <w:rPr>
          <w:vertAlign w:val="superscript"/>
        </w:rPr>
        <w:t>2</w:t>
      </w:r>
      <w:r>
        <w:t>; and</w:t>
      </w:r>
    </w:p>
    <w:p w:rsidR="00BA29FF" w:rsidRDefault="00BA29FF">
      <w:pPr>
        <w:pStyle w:val="aNotepar"/>
      </w:pPr>
      <w:r>
        <w:rPr>
          <w:i/>
          <w:iCs/>
        </w:rPr>
        <w:t>Note</w:t>
      </w:r>
      <w:r>
        <w:rPr>
          <w:i/>
          <w:iCs/>
        </w:rPr>
        <w:tab/>
      </w:r>
      <w:r>
        <w:rPr>
          <w:b/>
          <w:bCs/>
          <w:i/>
          <w:iCs/>
        </w:rPr>
        <w:t>Plan area</w:t>
      </w:r>
      <w:r>
        <w:t>—see the dictionary.</w:t>
      </w:r>
    </w:p>
    <w:p w:rsidR="00BA29FF" w:rsidRDefault="00BA29FF">
      <w:pPr>
        <w:pStyle w:val="Apara"/>
      </w:pPr>
      <w:r>
        <w:tab/>
        <w:t>(b)</w:t>
      </w:r>
      <w:r>
        <w:tab/>
        <w:t>the enclosure’s height is not more than 3m above natural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(c)</w:t>
      </w:r>
      <w:r>
        <w:tab/>
        <w:t>no part of the enclosure is between a front boundary and a building line for the block; and</w:t>
      </w:r>
    </w:p>
    <w:p w:rsidR="00BA29FF" w:rsidRDefault="00BA29FF">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BA29FF" w:rsidRDefault="00BA29FF">
      <w:pPr>
        <w:pStyle w:val="Apara"/>
      </w:pPr>
      <w:r>
        <w:tab/>
        <w:t>(d)</w:t>
      </w:r>
      <w:r>
        <w:tab/>
        <w:t>if any part of the enclosure is within 1.5m of a side boundary or rear boundary of the block—</w:t>
      </w:r>
    </w:p>
    <w:p w:rsidR="00BA29FF" w:rsidRDefault="00BA29FF">
      <w:pPr>
        <w:pStyle w:val="Asubpara"/>
      </w:pPr>
      <w:r>
        <w:lastRenderedPageBreak/>
        <w:tab/>
        <w:t>(i)</w:t>
      </w:r>
      <w:r>
        <w:tab/>
        <w:t>the enclosure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enclosure; and</w:t>
      </w:r>
    </w:p>
    <w:p w:rsidR="00BA29FF" w:rsidRDefault="00BA29FF">
      <w:pPr>
        <w:pStyle w:val="Apara"/>
      </w:pPr>
      <w:r>
        <w:tab/>
        <w:t>(e)</w:t>
      </w:r>
      <w:r>
        <w:tab/>
        <w:t>the designated development complies with the general exemption criteria, other than the excluded criteria, that are applicable to the development.</w:t>
      </w:r>
    </w:p>
    <w:p w:rsidR="00BA29FF" w:rsidRDefault="00BA29FF">
      <w:pPr>
        <w:pStyle w:val="aNote"/>
        <w:keepNext/>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Note"/>
      </w:pPr>
      <w:r>
        <w:rPr>
          <w:i/>
          <w:iCs/>
        </w:rPr>
        <w:t>Note 3</w:t>
      </w:r>
      <w:r>
        <w:rPr>
          <w:i/>
          <w:iCs/>
        </w:rPr>
        <w:tab/>
      </w:r>
      <w:r>
        <w:t>Other laws, including animal welfare laws, may be relevant (see s 1.4).</w:t>
      </w:r>
    </w:p>
    <w:p w:rsidR="00BA29FF" w:rsidRDefault="00BA29FF">
      <w:pPr>
        <w:pStyle w:val="Amain"/>
      </w:pPr>
      <w:r>
        <w:tab/>
        <w:t>(2)</w:t>
      </w:r>
      <w:r>
        <w:tab/>
        <w:t>In this section:</w:t>
      </w:r>
    </w:p>
    <w:p w:rsidR="00BA29FF" w:rsidRDefault="00BA29FF">
      <w:pPr>
        <w:pStyle w:val="aDef"/>
        <w:keepNext/>
      </w:pPr>
      <w:r>
        <w:rPr>
          <w:b/>
          <w:i/>
        </w:rPr>
        <w:t>excluded criteria</w:t>
      </w:r>
      <w:r>
        <w:t xml:space="preserve"> means any other criteria in division 1.3.2 (Exempt developments—non-habitable buildings and structures), other than section 1.41, that apply to the development.</w:t>
      </w:r>
    </w:p>
    <w:p w:rsidR="00BA29FF" w:rsidRDefault="00BA29FF">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BA29FF" w:rsidRDefault="00BA29FF">
      <w:pPr>
        <w:pStyle w:val="AH5Sec"/>
      </w:pPr>
      <w:bookmarkStart w:id="182" w:name="_Toc206921371"/>
      <w:r>
        <w:rPr>
          <w:rStyle w:val="CharSectNo"/>
        </w:rPr>
        <w:t>1.58</w:t>
      </w:r>
      <w:r>
        <w:tab/>
        <w:t>Clothes lines</w:t>
      </w:r>
      <w:bookmarkEnd w:id="182"/>
    </w:p>
    <w:p w:rsidR="00BA29FF" w:rsidRDefault="00BA29FF">
      <w:pPr>
        <w:pStyle w:val="Amain"/>
        <w:keepNext/>
      </w:pPr>
      <w:r>
        <w:tab/>
        <w:t>(1)</w:t>
      </w:r>
      <w:r>
        <w:tab/>
        <w:t>A designated development for a clothes line on a block if—</w:t>
      </w:r>
    </w:p>
    <w:p w:rsidR="00BA29FF" w:rsidRDefault="00BA29FF">
      <w:pPr>
        <w:pStyle w:val="Apara"/>
      </w:pPr>
      <w:r>
        <w:tab/>
        <w:t>(a)</w:t>
      </w:r>
      <w:r>
        <w:tab/>
        <w:t xml:space="preserve">the clothes line’s height (including </w:t>
      </w:r>
      <w:r>
        <w:rPr>
          <w:szCs w:val="24"/>
          <w:lang w:val="en-US"/>
        </w:rPr>
        <w:t>any extendable part extended</w:t>
      </w:r>
      <w:r>
        <w:t>) is not more than 3m above natural ground level; and</w:t>
      </w:r>
    </w:p>
    <w:p w:rsidR="00BA29FF" w:rsidRDefault="00BA29FF">
      <w:pPr>
        <w:pStyle w:val="aNotepar"/>
      </w:pPr>
      <w:r>
        <w:rPr>
          <w:i/>
          <w:iCs/>
        </w:rPr>
        <w:t>Note</w:t>
      </w:r>
      <w:r>
        <w:rPr>
          <w:i/>
          <w:iCs/>
        </w:rPr>
        <w:tab/>
      </w:r>
      <w:r>
        <w:rPr>
          <w:b/>
          <w:bCs/>
          <w:i/>
          <w:iCs/>
        </w:rPr>
        <w:t>Natural ground level</w:t>
      </w:r>
      <w:r>
        <w:t>—see the territory plan (13 Definitions).</w:t>
      </w:r>
    </w:p>
    <w:p w:rsidR="00BA29FF" w:rsidRDefault="00BA29FF">
      <w:pPr>
        <w:pStyle w:val="Apara"/>
      </w:pPr>
      <w:r>
        <w:tab/>
        <w:t>(b)</w:t>
      </w:r>
      <w:r>
        <w:tab/>
        <w:t>total line length is not more than 60m and the span or cantilever of any support is not more than 3m; and</w:t>
      </w:r>
    </w:p>
    <w:p w:rsidR="00BA29FF" w:rsidRDefault="00BA29FF">
      <w:pPr>
        <w:pStyle w:val="Apara"/>
      </w:pPr>
      <w:r>
        <w:tab/>
        <w:t>(c)</w:t>
      </w:r>
      <w:r>
        <w:tab/>
        <w:t>no part of the clothes line is between a front boundary and a building line for the block; and</w:t>
      </w:r>
    </w:p>
    <w:p w:rsidR="00BA29FF" w:rsidRDefault="00BA29FF">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BA29FF" w:rsidRDefault="00BA29FF">
      <w:pPr>
        <w:pStyle w:val="Apara"/>
      </w:pPr>
      <w:r>
        <w:tab/>
        <w:t>(d)</w:t>
      </w:r>
      <w:r>
        <w:tab/>
        <w:t>if any part of the clothes line is within 1.5m of a side boundary or rear boundary of the block—</w:t>
      </w:r>
    </w:p>
    <w:p w:rsidR="00BA29FF" w:rsidRDefault="00BA29FF">
      <w:pPr>
        <w:pStyle w:val="Asubpara"/>
      </w:pPr>
      <w:r>
        <w:tab/>
        <w:t>(i)</w:t>
      </w:r>
      <w:r>
        <w:tab/>
        <w:t>the clothes line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clothes line; and</w:t>
      </w:r>
    </w:p>
    <w:p w:rsidR="00BA29FF" w:rsidRDefault="00BA29FF">
      <w:pPr>
        <w:pStyle w:val="Apara"/>
      </w:pPr>
      <w:r>
        <w:tab/>
        <w:t>(e)</w:t>
      </w:r>
      <w:r>
        <w:tab/>
        <w:t>the designated development complies with the general exemption criteria, other than the excluded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main"/>
        <w:keepNext/>
      </w:pPr>
      <w:r>
        <w:tab/>
        <w:t>(2)</w:t>
      </w:r>
      <w:r>
        <w:tab/>
        <w:t>In this section:</w:t>
      </w:r>
    </w:p>
    <w:p w:rsidR="00BA29FF" w:rsidRDefault="00BA29FF">
      <w:pPr>
        <w:pStyle w:val="aDef"/>
        <w:keepNext/>
      </w:pPr>
      <w:r>
        <w:rPr>
          <w:b/>
          <w:i/>
        </w:rPr>
        <w:t>excluded criteria</w:t>
      </w:r>
      <w:r>
        <w:t xml:space="preserve"> means any other criteria in division 1.3.2 (Exempt developments—non-habitable buildings and structures), other than section 1.41, that apply to the development.</w:t>
      </w:r>
    </w:p>
    <w:p w:rsidR="00BA29FF" w:rsidRDefault="00BA29FF">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BA29FF" w:rsidRDefault="00BA29FF">
      <w:pPr>
        <w:pStyle w:val="AH5Sec"/>
      </w:pPr>
      <w:bookmarkStart w:id="183" w:name="_Toc206921372"/>
      <w:r>
        <w:rPr>
          <w:rStyle w:val="CharSectNo"/>
        </w:rPr>
        <w:t>1.59</w:t>
      </w:r>
      <w:r>
        <w:tab/>
        <w:t>Dish antennas</w:t>
      </w:r>
      <w:bookmarkEnd w:id="183"/>
    </w:p>
    <w:p w:rsidR="00BA29FF" w:rsidRDefault="00BA29FF">
      <w:pPr>
        <w:pStyle w:val="Amain"/>
      </w:pPr>
      <w:r>
        <w:tab/>
        <w:t>(1)</w:t>
      </w:r>
      <w:r>
        <w:tab/>
        <w:t>In this section:</w:t>
      </w:r>
    </w:p>
    <w:p w:rsidR="00BA29FF" w:rsidRDefault="00BA29FF">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BA29FF" w:rsidRDefault="00BA29FF">
      <w:pPr>
        <w:pStyle w:val="Amain"/>
      </w:pPr>
      <w:r>
        <w:tab/>
        <w:t>(2)</w:t>
      </w:r>
      <w:r>
        <w:tab/>
        <w:t>A designated development for a dish antenna on a block if—</w:t>
      </w:r>
    </w:p>
    <w:p w:rsidR="00BA29FF" w:rsidRDefault="00BA29FF">
      <w:pPr>
        <w:pStyle w:val="Apara"/>
      </w:pPr>
      <w:r>
        <w:lastRenderedPageBreak/>
        <w:tab/>
        <w:t>(a)</w:t>
      </w:r>
      <w:r>
        <w:tab/>
        <w:t>the antenna is a receiving antenna only or an antenna that can send and receive a signal; and</w:t>
      </w:r>
    </w:p>
    <w:p w:rsidR="00BA29FF" w:rsidRDefault="00BA29FF">
      <w:pPr>
        <w:pStyle w:val="Apara"/>
      </w:pPr>
      <w:r>
        <w:rPr>
          <w:noProof/>
        </w:rPr>
        <w:tab/>
        <w:t>(b)</w:t>
      </w:r>
      <w:r>
        <w:rPr>
          <w:noProof/>
        </w:rPr>
        <w:tab/>
        <w:t>if the antenna is mounted on the ground—</w:t>
      </w:r>
    </w:p>
    <w:p w:rsidR="00BA29FF" w:rsidRDefault="00BA29FF">
      <w:pPr>
        <w:pStyle w:val="Asubpara"/>
      </w:pPr>
      <w:r>
        <w:rPr>
          <w:noProof/>
        </w:rPr>
        <w:tab/>
        <w:t>(i)</w:t>
      </w:r>
      <w:r>
        <w:rPr>
          <w:noProof/>
        </w:rPr>
        <w:tab/>
        <w:t xml:space="preserve">the diameter of the antenna </w:t>
      </w:r>
      <w:r>
        <w:t xml:space="preserve">is not more than 1.55m; and </w:t>
      </w:r>
    </w:p>
    <w:p w:rsidR="00BA29FF" w:rsidRDefault="00BA29FF">
      <w:pPr>
        <w:pStyle w:val="Asubpara"/>
      </w:pPr>
      <w:r>
        <w:rPr>
          <w:noProof/>
        </w:rPr>
        <w:tab/>
        <w:t>(ii)</w:t>
      </w:r>
      <w:r>
        <w:rPr>
          <w:noProof/>
        </w:rPr>
        <w:tab/>
        <w:t xml:space="preserve">the height of the antenna is not more than </w:t>
      </w:r>
      <w:r>
        <w:t>3m above natural ground level; and</w:t>
      </w:r>
    </w:p>
    <w:p w:rsidR="00BA29FF" w:rsidRDefault="00BA29FF">
      <w:pPr>
        <w:pStyle w:val="aNotesubpar"/>
      </w:pPr>
      <w:r>
        <w:rPr>
          <w:i/>
          <w:iCs/>
        </w:rPr>
        <w:t>Note</w:t>
      </w:r>
      <w:r>
        <w:rPr>
          <w:i/>
          <w:iCs/>
        </w:rPr>
        <w:tab/>
      </w:r>
      <w:r>
        <w:rPr>
          <w:b/>
          <w:bCs/>
          <w:i/>
          <w:iCs/>
        </w:rPr>
        <w:t>Natural ground level</w:t>
      </w:r>
      <w:r>
        <w:t>—see the territory plan (13 Definitions).</w:t>
      </w:r>
    </w:p>
    <w:p w:rsidR="00BA29FF" w:rsidRDefault="00BA29FF">
      <w:pPr>
        <w:pStyle w:val="Apara"/>
        <w:rPr>
          <w:noProof/>
        </w:rPr>
      </w:pPr>
      <w:r>
        <w:rPr>
          <w:noProof/>
        </w:rPr>
        <w:tab/>
        <w:t>(c)</w:t>
      </w:r>
      <w:r>
        <w:rPr>
          <w:noProof/>
        </w:rPr>
        <w:tab/>
        <w:t>if the antenna is externally mounted on a building</w:t>
      </w:r>
      <w:r>
        <w:t xml:space="preserve"> in a residential area</w:t>
      </w:r>
      <w:r>
        <w:rPr>
          <w:noProof/>
        </w:rPr>
        <w:t>—</w:t>
      </w:r>
    </w:p>
    <w:p w:rsidR="00BA29FF" w:rsidRDefault="00BA29FF">
      <w:pPr>
        <w:pStyle w:val="Asubpara"/>
        <w:rPr>
          <w:noProof/>
        </w:rPr>
      </w:pPr>
      <w:r>
        <w:rPr>
          <w:noProof/>
        </w:rPr>
        <w:tab/>
        <w:t>(i)</w:t>
      </w:r>
      <w:r>
        <w:rPr>
          <w:noProof/>
        </w:rPr>
        <w:tab/>
        <w:t>the diameter of the antenna is not more than 0.65m; and</w:t>
      </w:r>
    </w:p>
    <w:p w:rsidR="00BA29FF" w:rsidRDefault="00BA29FF">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BA29FF" w:rsidRDefault="00BA29FF">
      <w:pPr>
        <w:pStyle w:val="Apara"/>
      </w:pPr>
      <w:r>
        <w:tab/>
        <w:t>(d)</w:t>
      </w:r>
      <w:r>
        <w:tab/>
        <w:t>if the antenna is externally mounted on a building in a non</w:t>
      </w:r>
      <w:r>
        <w:noBreakHyphen/>
        <w:t>residential area—</w:t>
      </w:r>
    </w:p>
    <w:p w:rsidR="00BA29FF" w:rsidRDefault="00BA29FF">
      <w:pPr>
        <w:pStyle w:val="Asubpara"/>
        <w:rPr>
          <w:noProof/>
        </w:rPr>
      </w:pPr>
      <w:r>
        <w:rPr>
          <w:noProof/>
        </w:rPr>
        <w:tab/>
        <w:t>(i)</w:t>
      </w:r>
      <w:r>
        <w:rPr>
          <w:noProof/>
        </w:rPr>
        <w:tab/>
        <w:t>the diameter of the antenna is not more than 1.55m; and</w:t>
      </w:r>
    </w:p>
    <w:p w:rsidR="00BA29FF" w:rsidRDefault="00BA29FF">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BA29FF" w:rsidRDefault="00BA29FF">
      <w:pPr>
        <w:pStyle w:val="Asubpara"/>
        <w:rPr>
          <w:noProof/>
        </w:rPr>
      </w:pPr>
      <w:r>
        <w:rPr>
          <w:noProof/>
        </w:rPr>
        <w:tab/>
        <w:t>(iii)</w:t>
      </w:r>
      <w:r>
        <w:rPr>
          <w:noProof/>
        </w:rPr>
        <w:tab/>
        <w:t>the antenna is screened so that it cannot be seen by a 2m tall person standing on the ground less than 100m from the antenna; and</w:t>
      </w:r>
    </w:p>
    <w:p w:rsidR="00BA29FF" w:rsidRDefault="00BA29FF">
      <w:pPr>
        <w:pStyle w:val="Asubpara"/>
      </w:pPr>
      <w:r>
        <w:tab/>
        <w:t>(iv)</w:t>
      </w:r>
      <w:r>
        <w:tab/>
        <w:t>the antenna’s colour matches the adjacent colour of the building or is the colour of the antenna as manufactured; and</w:t>
      </w:r>
    </w:p>
    <w:p w:rsidR="00BA29FF" w:rsidRDefault="00BA29FF">
      <w:pPr>
        <w:pStyle w:val="Apara"/>
      </w:pPr>
      <w:r>
        <w:lastRenderedPageBreak/>
        <w:tab/>
        <w:t>(e)</w:t>
      </w:r>
      <w:r>
        <w:tab/>
        <w:t>if any part of the antenna is within 1.5m of a side boundary or rear boundary of the block—</w:t>
      </w:r>
    </w:p>
    <w:p w:rsidR="00BA29FF" w:rsidRDefault="00BA29FF">
      <w:pPr>
        <w:pStyle w:val="Asubpara"/>
      </w:pPr>
      <w:r>
        <w:tab/>
        <w:t>(i)</w:t>
      </w:r>
      <w:r>
        <w:tab/>
        <w:t>the antenna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antenna; and</w:t>
      </w:r>
    </w:p>
    <w:p w:rsidR="00BA29FF" w:rsidRDefault="00BA29FF">
      <w:pPr>
        <w:pStyle w:val="Apara"/>
      </w:pPr>
      <w:r>
        <w:tab/>
        <w:t>(f)</w:t>
      </w:r>
      <w:r>
        <w:tab/>
        <w:t>the designated development complies with the general exemption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H5Sec"/>
      </w:pPr>
      <w:bookmarkStart w:id="184" w:name="_Toc206921373"/>
      <w:r>
        <w:rPr>
          <w:rStyle w:val="CharSectNo"/>
        </w:rPr>
        <w:t>1.60</w:t>
      </w:r>
      <w:r>
        <w:tab/>
        <w:t>Mast antennas</w:t>
      </w:r>
      <w:bookmarkEnd w:id="184"/>
    </w:p>
    <w:p w:rsidR="00BA29FF" w:rsidRDefault="00BA29FF">
      <w:pPr>
        <w:pStyle w:val="Amain"/>
      </w:pPr>
      <w:r>
        <w:tab/>
        <w:t>(1)</w:t>
      </w:r>
      <w:r>
        <w:tab/>
        <w:t>In this section:</w:t>
      </w:r>
    </w:p>
    <w:p w:rsidR="00BA29FF" w:rsidRDefault="00BA29FF">
      <w:pPr>
        <w:pStyle w:val="aDef"/>
      </w:pPr>
      <w:r>
        <w:rPr>
          <w:b/>
          <w:bCs/>
          <w:i/>
          <w:iCs/>
        </w:rPr>
        <w:t>mast antenna</w:t>
      </w:r>
      <w:r>
        <w:t xml:space="preserve"> means </w:t>
      </w:r>
      <w:r>
        <w:rPr>
          <w:noProof/>
        </w:rPr>
        <w:t>a tower, pole or aerial structure and includes the support structures for the antenna.</w:t>
      </w:r>
    </w:p>
    <w:p w:rsidR="00BA29FF" w:rsidRDefault="00BA29FF">
      <w:pPr>
        <w:pStyle w:val="Amain"/>
      </w:pPr>
      <w:r>
        <w:tab/>
        <w:t>(2)</w:t>
      </w:r>
      <w:r>
        <w:tab/>
        <w:t>A designated development for a mast antenna on a block if—</w:t>
      </w:r>
    </w:p>
    <w:p w:rsidR="00BA29FF" w:rsidRDefault="00BA29FF">
      <w:pPr>
        <w:pStyle w:val="Apara"/>
      </w:pPr>
      <w:r>
        <w:tab/>
        <w:t>(a)</w:t>
      </w:r>
      <w:r>
        <w:tab/>
        <w:t>the antenna is a receiving antenna only or an antenna that can send and receive a signal; and</w:t>
      </w:r>
    </w:p>
    <w:p w:rsidR="00BA29FF" w:rsidRDefault="00BA29FF">
      <w:pPr>
        <w:pStyle w:val="Apara"/>
      </w:pPr>
      <w:r>
        <w:tab/>
        <w:t>(b)</w:t>
      </w:r>
      <w:r>
        <w:tab/>
        <w:t>the diameter of the antenna is not more than 0.75m; and</w:t>
      </w:r>
    </w:p>
    <w:p w:rsidR="00BA29FF" w:rsidRDefault="00BA29FF">
      <w:pPr>
        <w:pStyle w:val="Apara"/>
      </w:pPr>
      <w:r>
        <w:tab/>
        <w:t>(c)</w:t>
      </w:r>
      <w:r>
        <w:tab/>
        <w:t>if the antenna is mounted on the ground—</w:t>
      </w:r>
    </w:p>
    <w:p w:rsidR="00BA29FF" w:rsidRDefault="00BA29FF">
      <w:pPr>
        <w:pStyle w:val="Asubpara"/>
      </w:pPr>
      <w:r>
        <w:tab/>
        <w:t>(i)</w:t>
      </w:r>
      <w:r>
        <w:tab/>
        <w:t>the height of the antenna is not more than 6m above natural ground level; or</w:t>
      </w:r>
    </w:p>
    <w:p w:rsidR="00BA29FF" w:rsidRDefault="00BA29FF">
      <w:pPr>
        <w:pStyle w:val="Asubpara"/>
      </w:pPr>
      <w:r>
        <w:tab/>
        <w:t>(ii)</w:t>
      </w:r>
      <w:r>
        <w:tab/>
        <w:t>if any part of the antenna is within 1.5m of a side boundary or rear boundary of the block—no part of the antenna is more than 6m above natural ground level; and</w:t>
      </w:r>
    </w:p>
    <w:p w:rsidR="00BA29FF" w:rsidRDefault="00BA29FF">
      <w:pPr>
        <w:pStyle w:val="Apara"/>
      </w:pPr>
      <w:r>
        <w:tab/>
        <w:t>(d)</w:t>
      </w:r>
      <w:r>
        <w:tab/>
        <w:t>if the antenna is mounted on a building—</w:t>
      </w:r>
    </w:p>
    <w:p w:rsidR="00BA29FF" w:rsidRDefault="00BA29FF">
      <w:pPr>
        <w:pStyle w:val="Asubpara"/>
      </w:pPr>
      <w:r>
        <w:lastRenderedPageBreak/>
        <w:tab/>
        <w:t>(i)</w:t>
      </w:r>
      <w:r>
        <w:tab/>
        <w:t>no part of the antenna is more than 1.5m above the highest point of the building; and</w:t>
      </w:r>
    </w:p>
    <w:p w:rsidR="00BA29FF" w:rsidRDefault="00BA29FF">
      <w:pPr>
        <w:pStyle w:val="Asubpara"/>
      </w:pPr>
      <w:r>
        <w:tab/>
        <w:t>(ii)</w:t>
      </w:r>
      <w:r>
        <w:tab/>
        <w:t>the antenna’s colour matches the colour of the building; and</w:t>
      </w:r>
    </w:p>
    <w:p w:rsidR="00BA29FF" w:rsidRDefault="00BA29FF">
      <w:pPr>
        <w:pStyle w:val="Apara"/>
      </w:pPr>
      <w:r>
        <w:tab/>
        <w:t>(e)</w:t>
      </w:r>
      <w:r>
        <w:tab/>
        <w:t>if any part of the antenna is within 1.5m of a side boundary or rear boundary of the block—</w:t>
      </w:r>
    </w:p>
    <w:p w:rsidR="00BA29FF" w:rsidRDefault="00BA29FF">
      <w:pPr>
        <w:pStyle w:val="Asubpara"/>
      </w:pPr>
      <w:r>
        <w:tab/>
        <w:t>(i)</w:t>
      </w:r>
      <w:r>
        <w:tab/>
        <w:t>the antenna is the only class 10 building or structure (other than a boundary fence) that has any part of it that is within 1.5m of the boundary; or</w:t>
      </w:r>
    </w:p>
    <w:p w:rsidR="00BA29FF" w:rsidRDefault="00BA29FF">
      <w:pPr>
        <w:pStyle w:val="Asubpara"/>
      </w:pPr>
      <w:r>
        <w:tab/>
        <w:t>(ii)</w:t>
      </w:r>
      <w:r>
        <w:tab/>
        <w:t>section 1.41 (Class 10 buildings and structures—2nd exempt building or structure within boundary clearance area) applies to the antenna; and</w:t>
      </w:r>
    </w:p>
    <w:p w:rsidR="00BA29FF" w:rsidRDefault="00BA29FF">
      <w:pPr>
        <w:pStyle w:val="Apara"/>
      </w:pPr>
      <w:r>
        <w:tab/>
        <w:t>(f)</w:t>
      </w:r>
      <w:r>
        <w:tab/>
        <w:t>the designated development complies with the general exemption criteria, other than the excluded criteria, that are applicable to the development.</w:t>
      </w:r>
    </w:p>
    <w:p w:rsidR="00BA29FF" w:rsidRDefault="00BA29FF">
      <w:pPr>
        <w:pStyle w:val="aNote"/>
      </w:pPr>
      <w:r>
        <w:rPr>
          <w:i/>
          <w:iCs/>
        </w:rPr>
        <w:t>Note 1</w:t>
      </w:r>
      <w:r>
        <w:rPr>
          <w:i/>
          <w:iCs/>
        </w:rPr>
        <w:tab/>
      </w:r>
      <w:r>
        <w:rPr>
          <w:b/>
          <w:bCs/>
          <w:i/>
          <w:iCs/>
        </w:rPr>
        <w:t>Designated development</w:t>
      </w:r>
      <w:r>
        <w:t>—see s 1.2.</w:t>
      </w:r>
    </w:p>
    <w:p w:rsidR="00BA29FF" w:rsidRDefault="00BA29FF">
      <w:pPr>
        <w:pStyle w:val="aNote"/>
      </w:pPr>
      <w:r>
        <w:rPr>
          <w:i/>
          <w:iCs/>
        </w:rPr>
        <w:t>Note 2</w:t>
      </w:r>
      <w:r>
        <w:rPr>
          <w:i/>
          <w:iCs/>
        </w:rPr>
        <w:tab/>
      </w:r>
      <w:r>
        <w:rPr>
          <w:b/>
          <w:bCs/>
          <w:i/>
          <w:iCs/>
        </w:rPr>
        <w:t>General exemption criteria</w:t>
      </w:r>
      <w:r>
        <w:t>—see s 1.10.</w:t>
      </w:r>
    </w:p>
    <w:p w:rsidR="00BA29FF" w:rsidRDefault="00BA29FF">
      <w:pPr>
        <w:pStyle w:val="Amain"/>
      </w:pPr>
      <w:r>
        <w:tab/>
        <w:t>(3)</w:t>
      </w:r>
      <w:r>
        <w:tab/>
        <w:t>In this section:</w:t>
      </w:r>
    </w:p>
    <w:p w:rsidR="00BA29FF" w:rsidRDefault="00BA29FF">
      <w:pPr>
        <w:pStyle w:val="aDef"/>
        <w:keepNext/>
      </w:pPr>
      <w:r>
        <w:rPr>
          <w:b/>
          <w:i/>
        </w:rPr>
        <w:t>excluded criteria</w:t>
      </w:r>
      <w:r>
        <w:t xml:space="preserve"> means any other criteria in division 1.3.2 (Exempt developments—non-habitable buildings and structures), other than section 1.41, that apply to the development.</w:t>
      </w:r>
    </w:p>
    <w:p w:rsidR="00BA29FF" w:rsidRDefault="00BA29FF">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BA29FF" w:rsidRDefault="00BA29FF">
      <w:pPr>
        <w:pStyle w:val="Sched-Form"/>
      </w:pPr>
      <w:bookmarkStart w:id="185" w:name="_Toc206921374"/>
      <w:r>
        <w:rPr>
          <w:rStyle w:val="CharDivNo"/>
        </w:rPr>
        <w:lastRenderedPageBreak/>
        <w:t>Division 1.3.3</w:t>
      </w:r>
      <w:r>
        <w:tab/>
      </w:r>
      <w:r>
        <w:rPr>
          <w:rStyle w:val="CharDivText"/>
        </w:rPr>
        <w:t>Exempt developments—signs</w:t>
      </w:r>
      <w:bookmarkEnd w:id="185"/>
    </w:p>
    <w:p w:rsidR="00BA29FF" w:rsidRDefault="00BA29FF">
      <w:pPr>
        <w:pStyle w:val="AH5Sec"/>
      </w:pPr>
      <w:bookmarkStart w:id="186" w:name="_Toc206921375"/>
      <w:r>
        <w:rPr>
          <w:rStyle w:val="CharSectNo"/>
        </w:rPr>
        <w:t>1.65</w:t>
      </w:r>
      <w:r>
        <w:tab/>
        <w:t>Minor public works signs excluded—div 1.3.3</w:t>
      </w:r>
      <w:bookmarkEnd w:id="186"/>
    </w:p>
    <w:p w:rsidR="00BA29FF" w:rsidRDefault="00BA29FF">
      <w:pPr>
        <w:pStyle w:val="Amainreturn"/>
      </w:pPr>
      <w:r>
        <w:t>This division does not apply to the putting up, attaching or displaying of a sign that is minor public works within the meaning of section 1.90.</w:t>
      </w:r>
    </w:p>
    <w:p w:rsidR="00BA29FF" w:rsidRDefault="00BA29FF">
      <w:pPr>
        <w:pStyle w:val="Schclauseheading"/>
      </w:pPr>
      <w:bookmarkStart w:id="187" w:name="_Toc206921376"/>
      <w:r>
        <w:rPr>
          <w:rStyle w:val="CharSectNo"/>
        </w:rPr>
        <w:t>1.66</w:t>
      </w:r>
      <w:r>
        <w:tab/>
        <w:t xml:space="preserve">Meaning of </w:t>
      </w:r>
      <w:r>
        <w:rPr>
          <w:i/>
          <w:iCs/>
        </w:rPr>
        <w:t>prescribed general exemption criteria</w:t>
      </w:r>
      <w:r>
        <w:t>—div 1.3.3</w:t>
      </w:r>
      <w:bookmarkEnd w:id="187"/>
    </w:p>
    <w:p w:rsidR="00BA29FF" w:rsidRDefault="00BA29FF">
      <w:pPr>
        <w:pStyle w:val="Amainreturn"/>
        <w:keepNext/>
      </w:pPr>
      <w:r>
        <w:t>In this division:</w:t>
      </w:r>
    </w:p>
    <w:p w:rsidR="00BA29FF" w:rsidRDefault="00BA29FF">
      <w:pPr>
        <w:pStyle w:val="aDef"/>
        <w:keepNext/>
      </w:pPr>
      <w:r>
        <w:rPr>
          <w:b/>
          <w:i/>
        </w:rPr>
        <w:t>prescribed general exemption criteria</w:t>
      </w:r>
      <w:r>
        <w:t xml:space="preserve"> means the general exemption criteria, other than the following:</w:t>
      </w:r>
    </w:p>
    <w:p w:rsidR="00BA29FF" w:rsidRDefault="00BA29FF">
      <w:pPr>
        <w:pStyle w:val="aDefpara"/>
      </w:pPr>
      <w:r>
        <w:tab/>
        <w:t>(a)</w:t>
      </w:r>
      <w:r>
        <w:tab/>
        <w:t>section 1.13 (Criterion 3—metallic, white and off-white exterior finishes in residential zones);</w:t>
      </w:r>
    </w:p>
    <w:p w:rsidR="00BA29FF" w:rsidRDefault="00BA29FF">
      <w:pPr>
        <w:pStyle w:val="aDefpara"/>
      </w:pPr>
      <w:r>
        <w:tab/>
        <w:t>(b)</w:t>
      </w:r>
      <w:r>
        <w:tab/>
        <w:t>section 1.18 (Criterion 8—compliance with other applicable exemption criteria).</w:t>
      </w:r>
    </w:p>
    <w:p w:rsidR="00BA29FF" w:rsidRDefault="00BA29FF">
      <w:pPr>
        <w:pStyle w:val="aNote"/>
      </w:pPr>
      <w:r>
        <w:rPr>
          <w:i/>
        </w:rPr>
        <w:t>Note</w:t>
      </w:r>
      <w:r>
        <w:rPr>
          <w:i/>
        </w:rPr>
        <w:tab/>
      </w:r>
      <w:r>
        <w:rPr>
          <w:b/>
          <w:bCs/>
          <w:i/>
          <w:iCs/>
        </w:rPr>
        <w:t>General exemption criteria</w:t>
      </w:r>
      <w:r>
        <w:t>—see s 1.10.</w:t>
      </w:r>
    </w:p>
    <w:p w:rsidR="00BA29FF" w:rsidRDefault="00BA29FF">
      <w:pPr>
        <w:pStyle w:val="AH5Sec"/>
      </w:pPr>
      <w:bookmarkStart w:id="188" w:name="_Toc206921377"/>
      <w:r>
        <w:rPr>
          <w:rStyle w:val="CharSectNo"/>
        </w:rPr>
        <w:t>1.67</w:t>
      </w:r>
      <w:r>
        <w:tab/>
        <w:t>Signs attached etc to buildings, structures and land</w:t>
      </w:r>
      <w:bookmarkEnd w:id="188"/>
    </w:p>
    <w:p w:rsidR="00BA29FF" w:rsidRDefault="00BA29FF">
      <w:pPr>
        <w:pStyle w:val="Amainreturn"/>
      </w:pPr>
      <w:r>
        <w:t>The putting up, attaching or displaying of a sign (whether permanent or temporary) on land, or to a building or structure on land, if—</w:t>
      </w:r>
    </w:p>
    <w:p w:rsidR="00BA29FF" w:rsidRDefault="00BA29FF">
      <w:pPr>
        <w:pStyle w:val="Apara"/>
      </w:pPr>
      <w:r>
        <w:tab/>
        <w:t>(a)</w:t>
      </w:r>
      <w:r>
        <w:tab/>
        <w:t>the sign is put up, attached or displayed in such a way that the sign cannot be removed without—</w:t>
      </w:r>
    </w:p>
    <w:p w:rsidR="00BA29FF" w:rsidRDefault="00BA29FF">
      <w:pPr>
        <w:pStyle w:val="Asubpara"/>
      </w:pPr>
      <w:r>
        <w:tab/>
        <w:t>(i)</w:t>
      </w:r>
      <w:r>
        <w:tab/>
        <w:t>for a sign attached to or displayed on a building or structure—damaging the sign, building or structure or unfastening the sign; and</w:t>
      </w:r>
    </w:p>
    <w:p w:rsidR="00BA29FF" w:rsidRDefault="00BA29FF">
      <w:pPr>
        <w:pStyle w:val="Asubpara"/>
      </w:pPr>
      <w:r>
        <w:tab/>
        <w:t>(ii)</w:t>
      </w:r>
      <w:r>
        <w:tab/>
        <w:t>for a sign put up or displayed on the ground—disturbing the ground; and</w:t>
      </w:r>
    </w:p>
    <w:p w:rsidR="00BA29FF" w:rsidRDefault="00BA29FF">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BA29FF" w:rsidRDefault="00BA29FF">
      <w:pPr>
        <w:pStyle w:val="aNotepar"/>
      </w:pPr>
      <w:r>
        <w:rPr>
          <w:i/>
          <w:iCs/>
        </w:rPr>
        <w:t>Note</w:t>
      </w:r>
      <w:r>
        <w:rPr>
          <w:i/>
          <w:iCs/>
        </w:rPr>
        <w:tab/>
      </w:r>
      <w:r>
        <w:rPr>
          <w:b/>
          <w:bCs/>
          <w:i/>
          <w:iCs/>
        </w:rPr>
        <w:t>Type</w:t>
      </w:r>
      <w:r>
        <w:t>, of sign—see s 1.1.</w:t>
      </w:r>
    </w:p>
    <w:p w:rsidR="00BA29FF" w:rsidRDefault="00BA29FF">
      <w:pPr>
        <w:pStyle w:val="Apara"/>
      </w:pPr>
      <w:r>
        <w:tab/>
        <w:t>(c)</w:t>
      </w:r>
      <w:r>
        <w:tab/>
        <w:t>the sign complies with the relevant rules of the Signs General Code; and</w:t>
      </w:r>
    </w:p>
    <w:p w:rsidR="00BA29FF" w:rsidRDefault="00BA29FF">
      <w:pPr>
        <w:pStyle w:val="Apara"/>
      </w:pPr>
      <w:r>
        <w:tab/>
        <w:t>(d)</w:t>
      </w:r>
      <w:r>
        <w:tab/>
        <w:t>the putting up, attaching or displaying of the sign complies with the prescribed general exemption criteria that are applicable to the development.</w:t>
      </w:r>
    </w:p>
    <w:p w:rsidR="00BA29FF" w:rsidRDefault="00BA29FF">
      <w:pPr>
        <w:pStyle w:val="aNote"/>
      </w:pPr>
      <w:r>
        <w:rPr>
          <w:i/>
          <w:iCs/>
        </w:rPr>
        <w:t>Note 1</w:t>
      </w:r>
      <w:r>
        <w:rPr>
          <w:i/>
          <w:iCs/>
        </w:rPr>
        <w:tab/>
      </w:r>
      <w:r>
        <w:rPr>
          <w:b/>
          <w:bCs/>
          <w:i/>
          <w:iCs/>
        </w:rPr>
        <w:t>Prescribed general exemption criteria</w:t>
      </w:r>
      <w:r>
        <w:t>—see s 1.66.</w:t>
      </w:r>
    </w:p>
    <w:p w:rsidR="00BA29FF" w:rsidRDefault="00BA29FF">
      <w:pPr>
        <w:pStyle w:val="aNote"/>
      </w:pPr>
      <w:r>
        <w:rPr>
          <w:i/>
          <w:iCs/>
        </w:rPr>
        <w:t>Note 2</w:t>
      </w:r>
      <w:r>
        <w:rPr>
          <w:i/>
          <w:iCs/>
        </w:rPr>
        <w:tab/>
      </w:r>
      <w:r>
        <w:t>Fixed signs that encroach into unleased land require a licence under the Act, pt 9.11.</w:t>
      </w:r>
    </w:p>
    <w:p w:rsidR="00BA29FF" w:rsidRDefault="00BA29FF">
      <w:pPr>
        <w:pStyle w:val="aNote"/>
      </w:pPr>
      <w:r>
        <w:rPr>
          <w:i/>
          <w:iCs/>
        </w:rPr>
        <w:t>Note 3</w:t>
      </w:r>
      <w:r>
        <w:rPr>
          <w:i/>
          <w:iCs/>
        </w:rPr>
        <w:tab/>
      </w:r>
      <w:r>
        <w:t xml:space="preserve">Other laws, including the </w:t>
      </w:r>
      <w:r>
        <w:rPr>
          <w:i/>
          <w:iCs/>
        </w:rPr>
        <w:t>Roads and Public Places Act 1937</w:t>
      </w:r>
      <w:r>
        <w:t>, may regulate the placement of the sign.</w:t>
      </w:r>
    </w:p>
    <w:p w:rsidR="00BA29FF" w:rsidRDefault="00BA29FF">
      <w:pPr>
        <w:pStyle w:val="AH5Sec"/>
      </w:pPr>
      <w:bookmarkStart w:id="189" w:name="_Toc206921378"/>
      <w:r>
        <w:rPr>
          <w:rStyle w:val="CharSectNo"/>
        </w:rPr>
        <w:t>1.68</w:t>
      </w:r>
      <w:r>
        <w:tab/>
        <w:t>Moveable signs in public places</w:t>
      </w:r>
      <w:bookmarkEnd w:id="189"/>
    </w:p>
    <w:p w:rsidR="00BA29FF" w:rsidRDefault="00BA29FF">
      <w:pPr>
        <w:pStyle w:val="Amain"/>
      </w:pPr>
      <w:r>
        <w:tab/>
        <w:t>(1)</w:t>
      </w:r>
      <w:r>
        <w:tab/>
        <w:t>The display of a moveable sign in a public place if—</w:t>
      </w:r>
    </w:p>
    <w:p w:rsidR="00BA29FF" w:rsidRDefault="00BA29FF">
      <w:pPr>
        <w:pStyle w:val="Apara"/>
      </w:pPr>
      <w:r>
        <w:tab/>
        <w:t>(a)</w:t>
      </w:r>
      <w:r>
        <w:tab/>
        <w:t>the sign does not impede public access to a place (including a public place); and</w:t>
      </w:r>
    </w:p>
    <w:p w:rsidR="00BA29FF" w:rsidRDefault="00BA29FF">
      <w:pPr>
        <w:pStyle w:val="Apara"/>
      </w:pPr>
      <w:r>
        <w:tab/>
        <w:t>(b)</w:t>
      </w:r>
      <w:r>
        <w:tab/>
        <w:t>the surface area of any side of the sign is not more than 1.5m</w:t>
      </w:r>
      <w:r>
        <w:rPr>
          <w:vertAlign w:val="superscript"/>
        </w:rPr>
        <w:t>2</w:t>
      </w:r>
      <w:r>
        <w:t>; and</w:t>
      </w:r>
    </w:p>
    <w:p w:rsidR="00BA29FF" w:rsidRDefault="00BA29FF">
      <w:pPr>
        <w:pStyle w:val="Apara"/>
      </w:pPr>
      <w:r>
        <w:tab/>
        <w:t>(c)</w:t>
      </w:r>
      <w:r>
        <w:tab/>
        <w:t>the vertical distance from the top of any side of the sign to the bottom of the side is not more than 1.5m; and</w:t>
      </w:r>
    </w:p>
    <w:p w:rsidR="00BA29FF" w:rsidRDefault="00BA29FF">
      <w:pPr>
        <w:pStyle w:val="Apara"/>
      </w:pPr>
      <w:r>
        <w:tab/>
        <w:t>(d)</w:t>
      </w:r>
      <w:r>
        <w:tab/>
        <w:t>the display of the sign complies with the prescribed general exemption criteria that are applicable to the development.</w:t>
      </w:r>
    </w:p>
    <w:p w:rsidR="00BA29FF" w:rsidRDefault="00BA29FF">
      <w:pPr>
        <w:pStyle w:val="aNote"/>
        <w:keepNext/>
      </w:pPr>
      <w:r>
        <w:rPr>
          <w:i/>
          <w:iCs/>
        </w:rPr>
        <w:t>Note 1</w:t>
      </w:r>
      <w:r>
        <w:rPr>
          <w:i/>
          <w:iCs/>
        </w:rPr>
        <w:tab/>
      </w:r>
      <w:r>
        <w:rPr>
          <w:b/>
          <w:bCs/>
          <w:i/>
          <w:iCs/>
        </w:rPr>
        <w:t>Prescribed general exemption criteria</w:t>
      </w:r>
      <w:r>
        <w:t>—see s 1.66.</w:t>
      </w:r>
    </w:p>
    <w:p w:rsidR="00BA29FF" w:rsidRDefault="00BA29FF">
      <w:pPr>
        <w:pStyle w:val="aNote"/>
      </w:pPr>
      <w:r>
        <w:rPr>
          <w:i/>
          <w:iCs/>
        </w:rPr>
        <w:t>Note 2</w:t>
      </w:r>
      <w:r>
        <w:rPr>
          <w:i/>
          <w:iCs/>
        </w:rPr>
        <w:tab/>
      </w:r>
      <w:r>
        <w:t xml:space="preserve">Other laws, including the </w:t>
      </w:r>
      <w:r>
        <w:rPr>
          <w:i/>
          <w:iCs/>
        </w:rPr>
        <w:t>Roads and Public Places Act 1937</w:t>
      </w:r>
      <w:r>
        <w:t>, may regulate the placement of the sign.</w:t>
      </w:r>
    </w:p>
    <w:p w:rsidR="00BA29FF" w:rsidRDefault="00BA29FF">
      <w:pPr>
        <w:pStyle w:val="Amain"/>
      </w:pPr>
      <w:r>
        <w:tab/>
        <w:t>(2)</w:t>
      </w:r>
      <w:r>
        <w:tab/>
        <w:t>In this section:</w:t>
      </w:r>
    </w:p>
    <w:p w:rsidR="00BA29FF" w:rsidRDefault="00BA29FF">
      <w:pPr>
        <w:pStyle w:val="aDef"/>
      </w:pPr>
      <w:r>
        <w:rPr>
          <w:b/>
          <w:bCs/>
          <w:i/>
          <w:iCs/>
        </w:rPr>
        <w:t>moveable sign</w:t>
      </w:r>
      <w:r>
        <w:t xml:space="preserve"> means a sign that is not fixed to a building or structure.</w:t>
      </w:r>
    </w:p>
    <w:p w:rsidR="00BA29FF" w:rsidRDefault="00BA29FF">
      <w:pPr>
        <w:pStyle w:val="aDef"/>
      </w:pPr>
      <w:r>
        <w:rPr>
          <w:b/>
          <w:bCs/>
          <w:i/>
          <w:iCs/>
        </w:rPr>
        <w:lastRenderedPageBreak/>
        <w:t>public place</w:t>
      </w:r>
      <w:r>
        <w:t xml:space="preserve">—see the </w:t>
      </w:r>
      <w:r>
        <w:rPr>
          <w:i/>
          <w:iCs/>
        </w:rPr>
        <w:t>Roads and Public Places Act 1937</w:t>
      </w:r>
      <w:r>
        <w:t>, dictionary.</w:t>
      </w:r>
    </w:p>
    <w:p w:rsidR="00BA29FF" w:rsidRDefault="00BA29FF">
      <w:pPr>
        <w:pStyle w:val="AH5Sec"/>
      </w:pPr>
      <w:bookmarkStart w:id="190" w:name="_Toc206921379"/>
      <w:r>
        <w:rPr>
          <w:rStyle w:val="CharSectNo"/>
        </w:rPr>
        <w:t>1.69</w:t>
      </w:r>
      <w:r>
        <w:tab/>
        <w:t>Temporary signs</w:t>
      </w:r>
      <w:bookmarkEnd w:id="190"/>
    </w:p>
    <w:p w:rsidR="00BA29FF" w:rsidRDefault="00BA29FF">
      <w:pPr>
        <w:pStyle w:val="Amainreturn"/>
      </w:pPr>
      <w:r>
        <w:t>Putting up, attaching or displaying a sign if—</w:t>
      </w:r>
    </w:p>
    <w:p w:rsidR="00BA29FF" w:rsidRDefault="00BA29FF">
      <w:pPr>
        <w:pStyle w:val="Apara"/>
      </w:pPr>
      <w:r>
        <w:tab/>
        <w:t>(a)</w:t>
      </w:r>
      <w:r>
        <w:tab/>
        <w:t>the sign is of a type mentioned in part 1.5 (Tables of exempt signs) and is located in a zone for which the letter ‘T’ appears in the column for the zone in which the building, structure or land is located; and</w:t>
      </w:r>
    </w:p>
    <w:p w:rsidR="00BA29FF" w:rsidRDefault="00BA29FF">
      <w:pPr>
        <w:pStyle w:val="aNotepar"/>
      </w:pPr>
      <w:r>
        <w:rPr>
          <w:i/>
          <w:iCs/>
        </w:rPr>
        <w:t>Note</w:t>
      </w:r>
      <w:r>
        <w:rPr>
          <w:i/>
          <w:iCs/>
        </w:rPr>
        <w:tab/>
      </w:r>
      <w:r>
        <w:rPr>
          <w:b/>
          <w:bCs/>
          <w:i/>
          <w:iCs/>
        </w:rPr>
        <w:t>Type</w:t>
      </w:r>
      <w:r>
        <w:t>, of sign—see s 1.1.</w:t>
      </w:r>
    </w:p>
    <w:p w:rsidR="00BA29FF" w:rsidRDefault="00BA29FF">
      <w:pPr>
        <w:pStyle w:val="Apara"/>
      </w:pPr>
      <w:r>
        <w:tab/>
        <w:t>(b)</w:t>
      </w:r>
      <w:r>
        <w:tab/>
        <w:t>the sign complies with the requirements (if any) of the Signs General Code in relation to the sign; and</w:t>
      </w:r>
    </w:p>
    <w:p w:rsidR="00BA29FF" w:rsidRDefault="00BA29FF">
      <w:pPr>
        <w:pStyle w:val="Apara"/>
      </w:pPr>
      <w:r>
        <w:tab/>
        <w:t>(c)</w:t>
      </w:r>
      <w:r>
        <w:tab/>
        <w:t>the sign is put up, attached or displayed for not more than 2 weeks in any 1 calendar year; and</w:t>
      </w:r>
    </w:p>
    <w:p w:rsidR="00BA29FF" w:rsidRDefault="00BA29FF">
      <w:pPr>
        <w:pStyle w:val="Apara"/>
      </w:pPr>
      <w:r>
        <w:tab/>
        <w:t>(d)</w:t>
      </w:r>
      <w:r>
        <w:tab/>
        <w:t>the putting up, attaching or displaying of the sign complies with the prescribed general exemption criteria that are applicable to the development.</w:t>
      </w:r>
    </w:p>
    <w:p w:rsidR="00BA29FF" w:rsidRDefault="00BA29FF">
      <w:pPr>
        <w:pStyle w:val="aNote"/>
        <w:keepNext/>
      </w:pPr>
      <w:r>
        <w:rPr>
          <w:i/>
          <w:iCs/>
        </w:rPr>
        <w:t>Note 1</w:t>
      </w:r>
      <w:r>
        <w:rPr>
          <w:i/>
          <w:iCs/>
        </w:rPr>
        <w:tab/>
      </w:r>
      <w:r>
        <w:rPr>
          <w:b/>
          <w:bCs/>
          <w:i/>
          <w:iCs/>
        </w:rPr>
        <w:t>Prescribed general exemption criteria</w:t>
      </w:r>
      <w:r>
        <w:t>—see s 1.66.</w:t>
      </w:r>
    </w:p>
    <w:p w:rsidR="00BA29FF" w:rsidRDefault="00BA29FF">
      <w:pPr>
        <w:pStyle w:val="aNote"/>
        <w:keepNext/>
      </w:pPr>
      <w:r>
        <w:rPr>
          <w:i/>
          <w:iCs/>
        </w:rPr>
        <w:t>Note 2</w:t>
      </w:r>
      <w:r>
        <w:rPr>
          <w:i/>
          <w:iCs/>
        </w:rPr>
        <w:tab/>
      </w:r>
      <w:r>
        <w:t>Temporary signs that encroach into unleased land require a licence under the Act, pt 9.11.</w:t>
      </w:r>
    </w:p>
    <w:p w:rsidR="00BA29FF" w:rsidRDefault="00BA29FF">
      <w:pPr>
        <w:pStyle w:val="aNote"/>
      </w:pPr>
      <w:r>
        <w:rPr>
          <w:i/>
          <w:iCs/>
        </w:rPr>
        <w:t>Note 3</w:t>
      </w:r>
      <w:r>
        <w:rPr>
          <w:i/>
          <w:iCs/>
        </w:rPr>
        <w:tab/>
      </w:r>
      <w:r>
        <w:t xml:space="preserve">Other laws, including the </w:t>
      </w:r>
      <w:r>
        <w:rPr>
          <w:i/>
          <w:iCs/>
        </w:rPr>
        <w:t>Roads and Public Places Act 1937</w:t>
      </w:r>
      <w:r>
        <w:t>, may regulate the placement of the sign.</w:t>
      </w:r>
    </w:p>
    <w:p w:rsidR="00BA29FF" w:rsidRDefault="00BA29FF">
      <w:pPr>
        <w:pStyle w:val="AH5Sec"/>
      </w:pPr>
      <w:bookmarkStart w:id="191" w:name="_Toc206921380"/>
      <w:r>
        <w:rPr>
          <w:rStyle w:val="CharSectNo"/>
        </w:rPr>
        <w:t>1.70</w:t>
      </w:r>
      <w:r>
        <w:tab/>
        <w:t>Signs—information about future urban areas</w:t>
      </w:r>
      <w:bookmarkEnd w:id="191"/>
    </w:p>
    <w:p w:rsidR="00BA29FF" w:rsidRDefault="00BA29FF">
      <w:pPr>
        <w:pStyle w:val="Amainreturn"/>
      </w:pPr>
      <w:r>
        <w:t>Putting up, attaching or displaying a sign containing information about a future urban area if—</w:t>
      </w:r>
    </w:p>
    <w:p w:rsidR="00BA29FF" w:rsidRDefault="00BA29FF">
      <w:pPr>
        <w:pStyle w:val="Apara"/>
      </w:pPr>
      <w:r>
        <w:tab/>
        <w:t>(a)</w:t>
      </w:r>
      <w:r>
        <w:tab/>
        <w:t>the information on the sign—</w:t>
      </w:r>
    </w:p>
    <w:p w:rsidR="00BA29FF" w:rsidRDefault="00BA29FF">
      <w:pPr>
        <w:pStyle w:val="Asubpara"/>
      </w:pPr>
      <w:r>
        <w:tab/>
        <w:t>(i)</w:t>
      </w:r>
      <w:r>
        <w:tab/>
        <w:t>is approved by the Territory; and</w:t>
      </w:r>
    </w:p>
    <w:p w:rsidR="00BA29FF" w:rsidRDefault="00BA29FF">
      <w:pPr>
        <w:pStyle w:val="Asubpara"/>
      </w:pPr>
      <w:r>
        <w:tab/>
        <w:t>(ii)</w:t>
      </w:r>
      <w:r>
        <w:tab/>
      </w:r>
      <w:r>
        <w:tab/>
        <w:t>is not about the marketing or sale of the land; and</w:t>
      </w:r>
    </w:p>
    <w:p w:rsidR="00BA29FF" w:rsidRDefault="00BA29FF">
      <w:pPr>
        <w:pStyle w:val="Apara"/>
      </w:pPr>
      <w:r>
        <w:lastRenderedPageBreak/>
        <w:tab/>
        <w:t>(b)</w:t>
      </w:r>
      <w:r>
        <w:tab/>
        <w:t>neither of the horizontal or vertical dimensions of the sign are longer than 2m; and</w:t>
      </w:r>
    </w:p>
    <w:p w:rsidR="00BA29FF" w:rsidRDefault="00BA29FF">
      <w:pPr>
        <w:pStyle w:val="Apara"/>
      </w:pPr>
      <w:r>
        <w:tab/>
        <w:t>(c)</w:t>
      </w:r>
      <w:r>
        <w:tab/>
        <w:t>not more than 1 dimension of the sign is longer than 1.5m; and</w:t>
      </w:r>
    </w:p>
    <w:p w:rsidR="00BA29FF" w:rsidRDefault="00BA29FF">
      <w:pPr>
        <w:pStyle w:val="Apara"/>
      </w:pPr>
      <w:r>
        <w:tab/>
        <w:t>(d)</w:t>
      </w:r>
      <w:r>
        <w:tab/>
        <w:t>the height of the sign is not more than 2.5m above finished ground level; and</w:t>
      </w:r>
    </w:p>
    <w:p w:rsidR="00BA29FF" w:rsidRDefault="00BA29FF">
      <w:pPr>
        <w:pStyle w:val="Apara"/>
      </w:pPr>
      <w:r>
        <w:tab/>
        <w:t>(e)</w:t>
      </w:r>
      <w:r>
        <w:tab/>
        <w:t>the putting up, attaching or displaying of the sign complies with the prescribed general exemption criteria that are applicable to the development.</w:t>
      </w:r>
    </w:p>
    <w:p w:rsidR="00BA29FF" w:rsidRDefault="00BA29FF">
      <w:pPr>
        <w:pStyle w:val="aNote"/>
      </w:pPr>
      <w:r>
        <w:rPr>
          <w:i/>
          <w:iCs/>
        </w:rPr>
        <w:t>Note 1</w:t>
      </w:r>
      <w:r>
        <w:rPr>
          <w:i/>
          <w:iCs/>
        </w:rPr>
        <w:tab/>
      </w:r>
      <w:r>
        <w:rPr>
          <w:b/>
          <w:bCs/>
          <w:i/>
          <w:iCs/>
        </w:rPr>
        <w:t>Prescribed general exemption criteria</w:t>
      </w:r>
      <w:r>
        <w:t>—see s 1.66.</w:t>
      </w:r>
    </w:p>
    <w:p w:rsidR="00BA29FF" w:rsidRDefault="00BA29FF">
      <w:pPr>
        <w:pStyle w:val="aNote"/>
      </w:pPr>
      <w:r>
        <w:rPr>
          <w:i/>
          <w:iCs/>
        </w:rPr>
        <w:t>Note 2</w:t>
      </w:r>
      <w:r>
        <w:rPr>
          <w:i/>
          <w:iCs/>
        </w:rPr>
        <w:tab/>
      </w:r>
      <w:r>
        <w:rPr>
          <w:b/>
          <w:bCs/>
          <w:i/>
          <w:iCs/>
        </w:rPr>
        <w:t>Future urban area</w:t>
      </w:r>
      <w:r>
        <w:t>—see the Act, dictionary.</w:t>
      </w:r>
    </w:p>
    <w:p w:rsidR="00BA29FF" w:rsidRDefault="00BA29FF">
      <w:pPr>
        <w:pStyle w:val="Sched-Form"/>
      </w:pPr>
      <w:bookmarkStart w:id="192" w:name="_Toc206921381"/>
      <w:r>
        <w:rPr>
          <w:rStyle w:val="CharDivNo"/>
        </w:rPr>
        <w:t>Division 1.3.4</w:t>
      </w:r>
      <w:r>
        <w:tab/>
      </w:r>
      <w:r>
        <w:rPr>
          <w:rStyle w:val="CharDivText"/>
        </w:rPr>
        <w:t>Exempt developments—lease variations</w:t>
      </w:r>
      <w:bookmarkEnd w:id="192"/>
    </w:p>
    <w:p w:rsidR="00BA29FF" w:rsidRDefault="00BA29FF">
      <w:pPr>
        <w:pStyle w:val="Schclauseheading"/>
      </w:pPr>
      <w:bookmarkStart w:id="193" w:name="_Toc206921382"/>
      <w:r>
        <w:rPr>
          <w:rStyle w:val="CharSectNo"/>
        </w:rPr>
        <w:t>1.75</w:t>
      </w:r>
      <w:r>
        <w:tab/>
        <w:t>Lease variations—exempt developments</w:t>
      </w:r>
      <w:bookmarkEnd w:id="193"/>
    </w:p>
    <w:p w:rsidR="00BA29FF" w:rsidRDefault="00BA29FF">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BA29FF" w:rsidRDefault="00BA29FF">
      <w:pPr>
        <w:pStyle w:val="aNote"/>
      </w:pPr>
      <w:r>
        <w:rPr>
          <w:i/>
        </w:rPr>
        <w:t>Note</w:t>
      </w:r>
      <w:r>
        <w:rPr>
          <w:i/>
        </w:rPr>
        <w:tab/>
      </w:r>
      <w:r>
        <w:rPr>
          <w:b/>
          <w:bCs/>
          <w:i/>
        </w:rPr>
        <w:t>General exemption criteria</w:t>
      </w:r>
      <w:r>
        <w:rPr>
          <w:iCs/>
        </w:rPr>
        <w:t xml:space="preserve">—see s </w:t>
      </w:r>
      <w:r>
        <w:t>1.10</w:t>
      </w:r>
      <w:r>
        <w:rPr>
          <w:iCs/>
        </w:rPr>
        <w:t>.</w:t>
      </w:r>
    </w:p>
    <w:p w:rsidR="00BA29FF" w:rsidRDefault="00BA29FF">
      <w:pPr>
        <w:pStyle w:val="Schclauseheading"/>
      </w:pPr>
      <w:bookmarkStart w:id="194" w:name="_Toc206921383"/>
      <w:r>
        <w:rPr>
          <w:rStyle w:val="CharSectNo"/>
        </w:rPr>
        <w:t>1.76</w:t>
      </w:r>
      <w:r>
        <w:tab/>
        <w:t>Lease variations—withdrawal of part of land</w:t>
      </w:r>
      <w:bookmarkEnd w:id="194"/>
    </w:p>
    <w:p w:rsidR="00BA29FF" w:rsidRDefault="00BA29FF">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BA29FF" w:rsidRDefault="00BA29FF">
      <w:pPr>
        <w:pStyle w:val="aNote"/>
        <w:rPr>
          <w:iCs/>
        </w:rPr>
      </w:pPr>
      <w:r>
        <w:rPr>
          <w:i/>
        </w:rPr>
        <w:t>Note</w:t>
      </w:r>
      <w:r>
        <w:rPr>
          <w:i/>
        </w:rPr>
        <w:tab/>
      </w:r>
      <w:r>
        <w:rPr>
          <w:b/>
          <w:bCs/>
          <w:i/>
        </w:rPr>
        <w:t>General exemption criteria</w:t>
      </w:r>
      <w:r>
        <w:rPr>
          <w:iCs/>
        </w:rPr>
        <w:t xml:space="preserve">—see s </w:t>
      </w:r>
      <w:r>
        <w:t>1.10</w:t>
      </w:r>
      <w:r>
        <w:rPr>
          <w:iCs/>
        </w:rPr>
        <w:t>.</w:t>
      </w:r>
    </w:p>
    <w:p w:rsidR="00BA29FF" w:rsidRDefault="00BA29FF">
      <w:pPr>
        <w:pStyle w:val="Schclauseheading"/>
      </w:pPr>
      <w:bookmarkStart w:id="195" w:name="_Toc206921384"/>
      <w:r>
        <w:rPr>
          <w:rStyle w:val="CharSectNo"/>
        </w:rPr>
        <w:t>1.77</w:t>
      </w:r>
      <w:r>
        <w:tab/>
        <w:t>Lease variations—subdivision for unit titles</w:t>
      </w:r>
      <w:bookmarkEnd w:id="195"/>
    </w:p>
    <w:p w:rsidR="00BA29FF" w:rsidRDefault="00BA29FF">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BA29FF" w:rsidRDefault="00BA29FF">
      <w:pPr>
        <w:pStyle w:val="aNote"/>
      </w:pPr>
      <w:r>
        <w:rPr>
          <w:i/>
        </w:rPr>
        <w:t>Note</w:t>
      </w:r>
      <w:r>
        <w:rPr>
          <w:i/>
        </w:rPr>
        <w:tab/>
      </w:r>
      <w:r>
        <w:rPr>
          <w:b/>
          <w:bCs/>
          <w:i/>
        </w:rPr>
        <w:t>General exemption criteria</w:t>
      </w:r>
      <w:r>
        <w:rPr>
          <w:iCs/>
        </w:rPr>
        <w:t xml:space="preserve">—see s </w:t>
      </w:r>
      <w:r>
        <w:t>1.10</w:t>
      </w:r>
      <w:r>
        <w:rPr>
          <w:iCs/>
        </w:rPr>
        <w:t>.</w:t>
      </w:r>
    </w:p>
    <w:p w:rsidR="00BA29FF" w:rsidRDefault="00BA29FF">
      <w:pPr>
        <w:pStyle w:val="Schclauseheading"/>
      </w:pPr>
      <w:bookmarkStart w:id="196" w:name="_Toc206921385"/>
      <w:r>
        <w:rPr>
          <w:rStyle w:val="CharSectNo"/>
        </w:rPr>
        <w:lastRenderedPageBreak/>
        <w:t>1.78</w:t>
      </w:r>
      <w:r>
        <w:tab/>
        <w:t>Lease variations—other subdivisions</w:t>
      </w:r>
      <w:bookmarkEnd w:id="196"/>
    </w:p>
    <w:p w:rsidR="00BA29FF" w:rsidRDefault="00BA29FF">
      <w:pPr>
        <w:pStyle w:val="Amainreturn"/>
      </w:pPr>
      <w:r>
        <w:t>The variation of a lease for the purpose of subdividing the land (other than a subdivision to which section 1.77 applies) if—</w:t>
      </w:r>
    </w:p>
    <w:p w:rsidR="00BA29FF" w:rsidRDefault="00BA29FF">
      <w:pPr>
        <w:pStyle w:val="SchApara"/>
      </w:pPr>
      <w:r>
        <w:tab/>
        <w:t>(a)</w:t>
      </w:r>
      <w:r>
        <w:tab/>
        <w:t>the lease was granted for purposes including development and subdivision; and</w:t>
      </w:r>
    </w:p>
    <w:p w:rsidR="00BA29FF" w:rsidRDefault="00BA29FF">
      <w:pPr>
        <w:pStyle w:val="SchApara"/>
      </w:pPr>
      <w:r>
        <w:tab/>
        <w:t>(b)</w:t>
      </w:r>
      <w:r>
        <w:tab/>
        <w:t>the land over which the lease was granted has been developed in accordance with the lease; and</w:t>
      </w:r>
    </w:p>
    <w:p w:rsidR="00BA29FF" w:rsidRDefault="00BA29FF">
      <w:pPr>
        <w:pStyle w:val="SchApara"/>
      </w:pPr>
      <w:r>
        <w:tab/>
        <w:t>(c)</w:t>
      </w:r>
      <w:r>
        <w:tab/>
        <w:t>the variation of the lease complies with the general exemption criteria that are applicable to the development.</w:t>
      </w:r>
    </w:p>
    <w:p w:rsidR="00BA29FF" w:rsidRDefault="00BA29FF">
      <w:pPr>
        <w:pStyle w:val="aNotepar"/>
        <w:rPr>
          <w:iCs/>
        </w:rPr>
      </w:pPr>
      <w:r>
        <w:rPr>
          <w:i/>
        </w:rPr>
        <w:t>Note</w:t>
      </w:r>
      <w:r>
        <w:rPr>
          <w:i/>
        </w:rPr>
        <w:tab/>
      </w:r>
      <w:r>
        <w:rPr>
          <w:b/>
          <w:bCs/>
          <w:i/>
        </w:rPr>
        <w:t>General exemption criteria</w:t>
      </w:r>
      <w:r>
        <w:rPr>
          <w:iCs/>
        </w:rPr>
        <w:t xml:space="preserve">—see s </w:t>
      </w:r>
      <w:r>
        <w:t>1.10</w:t>
      </w:r>
      <w:r>
        <w:rPr>
          <w:iCs/>
        </w:rPr>
        <w:t>.</w:t>
      </w:r>
    </w:p>
    <w:p w:rsidR="00BA29FF" w:rsidRDefault="00BA29FF">
      <w:pPr>
        <w:pStyle w:val="Sched-Form"/>
      </w:pPr>
      <w:bookmarkStart w:id="197" w:name="_Toc206921386"/>
      <w:r>
        <w:rPr>
          <w:rStyle w:val="CharDivNo"/>
        </w:rPr>
        <w:t>Division 1.3.5</w:t>
      </w:r>
      <w:r>
        <w:tab/>
      </w:r>
      <w:r>
        <w:rPr>
          <w:rStyle w:val="CharDivText"/>
        </w:rPr>
        <w:t>Exempt developments—rural leases</w:t>
      </w:r>
      <w:bookmarkEnd w:id="197"/>
    </w:p>
    <w:p w:rsidR="00BA29FF" w:rsidRDefault="00BA29FF">
      <w:pPr>
        <w:pStyle w:val="AH5Sec"/>
      </w:pPr>
      <w:bookmarkStart w:id="198" w:name="_Toc206921387"/>
      <w:r>
        <w:rPr>
          <w:rStyle w:val="CharSectNo"/>
        </w:rPr>
        <w:t>1.85</w:t>
      </w:r>
      <w:r>
        <w:tab/>
        <w:t>Rural lease developments generally</w:t>
      </w:r>
      <w:bookmarkEnd w:id="198"/>
    </w:p>
    <w:p w:rsidR="00BA29FF" w:rsidRDefault="00BA29FF">
      <w:pPr>
        <w:pStyle w:val="Amain"/>
        <w:keepNext/>
      </w:pPr>
      <w:r>
        <w:tab/>
        <w:t>(1)</w:t>
      </w:r>
      <w:r>
        <w:tab/>
        <w:t>In this section:</w:t>
      </w:r>
    </w:p>
    <w:p w:rsidR="00BA29FF" w:rsidRDefault="00BA29FF">
      <w:pPr>
        <w:pStyle w:val="aDef"/>
        <w:keepNext/>
      </w:pPr>
      <w:r>
        <w:rPr>
          <w:b/>
          <w:i/>
        </w:rPr>
        <w:t>prescribed general exemption criteria</w:t>
      </w:r>
      <w:r>
        <w:t xml:space="preserve"> means the general exemption criteria, other than the following:</w:t>
      </w:r>
    </w:p>
    <w:p w:rsidR="00BA29FF" w:rsidRDefault="00BA29FF">
      <w:pPr>
        <w:pStyle w:val="aDefpara"/>
      </w:pPr>
      <w:r>
        <w:tab/>
        <w:t>(a)</w:t>
      </w:r>
      <w:r>
        <w:tab/>
        <w:t>section 1.13 (Criterion 3—metallic, white and off-white exterior finishes in residential zones);</w:t>
      </w:r>
    </w:p>
    <w:p w:rsidR="00BA29FF" w:rsidRDefault="00BA29FF">
      <w:pPr>
        <w:pStyle w:val="aDefpara"/>
      </w:pPr>
      <w:r>
        <w:tab/>
        <w:t>(b)</w:t>
      </w:r>
      <w:r>
        <w:tab/>
        <w:t>section 1.18 (Criterion 8—compliance with other applicable exemption criteria).</w:t>
      </w:r>
    </w:p>
    <w:p w:rsidR="00BA29FF" w:rsidRDefault="00BA29FF">
      <w:pPr>
        <w:pStyle w:val="aNote"/>
      </w:pPr>
      <w:r>
        <w:rPr>
          <w:i/>
        </w:rPr>
        <w:t>Note</w:t>
      </w:r>
      <w:r>
        <w:rPr>
          <w:i/>
        </w:rPr>
        <w:tab/>
      </w:r>
      <w:r>
        <w:rPr>
          <w:b/>
          <w:bCs/>
          <w:i/>
          <w:iCs/>
        </w:rPr>
        <w:t>General exemption criteria</w:t>
      </w:r>
      <w:r>
        <w:t>—see s 1.10.</w:t>
      </w:r>
    </w:p>
    <w:p w:rsidR="00BA29FF" w:rsidRDefault="00BA29FF">
      <w:pPr>
        <w:pStyle w:val="Amain"/>
      </w:pPr>
      <w:r>
        <w:tab/>
        <w:t>(2)</w:t>
      </w:r>
      <w:r>
        <w:tab/>
        <w:t>A designated development on a rural lease if—</w:t>
      </w:r>
    </w:p>
    <w:p w:rsidR="00BA29FF" w:rsidRDefault="00BA29FF">
      <w:pPr>
        <w:pStyle w:val="Apara"/>
      </w:pPr>
      <w:r>
        <w:tab/>
        <w:t>(a)</w:t>
      </w:r>
      <w:r>
        <w:tab/>
        <w:t>if the development is the building or alteration of a building or structure—the development has a plan area of not more than 100m</w:t>
      </w:r>
      <w:r>
        <w:rPr>
          <w:vertAlign w:val="superscript"/>
        </w:rPr>
        <w:t>2</w:t>
      </w:r>
      <w:r>
        <w:t>; and</w:t>
      </w:r>
    </w:p>
    <w:p w:rsidR="00BA29FF" w:rsidRDefault="00BA29FF">
      <w:pPr>
        <w:pStyle w:val="aNotepar"/>
      </w:pPr>
      <w:r>
        <w:rPr>
          <w:i/>
          <w:iCs/>
        </w:rPr>
        <w:t>Note</w:t>
      </w:r>
      <w:r>
        <w:rPr>
          <w:i/>
          <w:iCs/>
        </w:rPr>
        <w:tab/>
      </w:r>
      <w:r>
        <w:rPr>
          <w:b/>
          <w:bCs/>
          <w:i/>
          <w:iCs/>
        </w:rPr>
        <w:t>Plan area</w:t>
      </w:r>
      <w:r>
        <w:t>—see the dictionary.</w:t>
      </w:r>
    </w:p>
    <w:p w:rsidR="00BA29FF" w:rsidRDefault="00BA29FF">
      <w:pPr>
        <w:pStyle w:val="Apara"/>
      </w:pPr>
      <w:r>
        <w:tab/>
        <w:t>(b)</w:t>
      </w:r>
      <w:r>
        <w:tab/>
        <w:t>the development does not result in the clearing of more than 0.5ha of native vegetation; and</w:t>
      </w:r>
    </w:p>
    <w:p w:rsidR="00BA29FF" w:rsidRDefault="00BA29FF">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BA29FF" w:rsidRDefault="00BA29FF">
      <w:pPr>
        <w:pStyle w:val="Apara"/>
      </w:pPr>
      <w:r>
        <w:tab/>
        <w:t>(c)</w:t>
      </w:r>
      <w:r>
        <w:tab/>
        <w:t>the development is not contrary to a land management agreement; and</w:t>
      </w:r>
    </w:p>
    <w:p w:rsidR="00BA29FF" w:rsidRDefault="00BA29FF">
      <w:pPr>
        <w:pStyle w:val="Apara"/>
      </w:pPr>
      <w:r>
        <w:tab/>
        <w:t>(d)</w:t>
      </w:r>
      <w:r>
        <w:tab/>
        <w:t>the development does not require any of the following:</w:t>
      </w:r>
    </w:p>
    <w:p w:rsidR="00BA29FF" w:rsidRDefault="00BA29FF">
      <w:pPr>
        <w:pStyle w:val="Asubpara"/>
      </w:pPr>
      <w:r>
        <w:tab/>
        <w:t>(i)</w:t>
      </w:r>
      <w:r>
        <w:tab/>
        <w:t xml:space="preserve">a licence under the </w:t>
      </w:r>
      <w:r>
        <w:rPr>
          <w:rStyle w:val="charItals"/>
        </w:rPr>
        <w:t>Water Resources Act 2007</w:t>
      </w:r>
      <w:r>
        <w:t xml:space="preserve">; </w:t>
      </w:r>
    </w:p>
    <w:p w:rsidR="00BA29FF" w:rsidRDefault="00BA29FF">
      <w:pPr>
        <w:pStyle w:val="Asubpara"/>
      </w:pPr>
      <w:r>
        <w:tab/>
        <w:t>(ii)</w:t>
      </w:r>
      <w:r>
        <w:tab/>
        <w:t xml:space="preserve">an environmental authorisation or environmental protection agreement under the </w:t>
      </w:r>
      <w:r>
        <w:rPr>
          <w:rStyle w:val="charItals"/>
        </w:rPr>
        <w:t>Environment Protection Act 1997</w:t>
      </w:r>
      <w:r>
        <w:t xml:space="preserve">; </w:t>
      </w:r>
    </w:p>
    <w:p w:rsidR="00BA29FF" w:rsidRDefault="00BA29FF">
      <w:pPr>
        <w:pStyle w:val="Asubpara"/>
        <w:keepNext/>
      </w:pPr>
      <w:r>
        <w:tab/>
        <w:t>(iii)</w:t>
      </w:r>
      <w:r>
        <w:tab/>
        <w:t xml:space="preserve">an approval under the </w:t>
      </w:r>
      <w:r>
        <w:rPr>
          <w:rStyle w:val="charItals"/>
        </w:rPr>
        <w:t>Environment Protection and Biodiversity Conservation Act 1999</w:t>
      </w:r>
      <w:r>
        <w:t xml:space="preserve"> (Cwlth); and</w:t>
      </w:r>
    </w:p>
    <w:p w:rsidR="00BA29FF" w:rsidRDefault="00BA29FF">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BA29FF" w:rsidRDefault="00BA29FF">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BA29FF" w:rsidRDefault="00BA29FF">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BA29FF" w:rsidRDefault="00BA29FF">
      <w:pPr>
        <w:pStyle w:val="Apara"/>
      </w:pPr>
      <w:r>
        <w:tab/>
        <w:t>(e)</w:t>
      </w:r>
      <w:r>
        <w:tab/>
        <w:t>the designated development complies with the prescribed general exemption criteria that are applicable to the development.</w:t>
      </w:r>
    </w:p>
    <w:p w:rsidR="00BA29FF" w:rsidRDefault="00BA29FF">
      <w:pPr>
        <w:pStyle w:val="aNote"/>
      </w:pPr>
      <w:r>
        <w:rPr>
          <w:i/>
          <w:iCs/>
        </w:rPr>
        <w:t>Note</w:t>
      </w:r>
      <w:r>
        <w:rPr>
          <w:i/>
          <w:iCs/>
        </w:rPr>
        <w:tab/>
      </w:r>
      <w:r>
        <w:rPr>
          <w:b/>
          <w:bCs/>
          <w:i/>
          <w:iCs/>
        </w:rPr>
        <w:t>Designated development</w:t>
      </w:r>
      <w:r>
        <w:t>—see s 1.2.</w:t>
      </w:r>
    </w:p>
    <w:p w:rsidR="00BA29FF" w:rsidRDefault="00BA29FF">
      <w:pPr>
        <w:pStyle w:val="Schclauseheading"/>
      </w:pPr>
      <w:bookmarkStart w:id="199" w:name="_Toc206921388"/>
      <w:r>
        <w:rPr>
          <w:rStyle w:val="CharSectNo"/>
        </w:rPr>
        <w:lastRenderedPageBreak/>
        <w:t>1.86</w:t>
      </w:r>
      <w:r>
        <w:tab/>
        <w:t>Rural leases—consolidation of rural leases</w:t>
      </w:r>
      <w:bookmarkEnd w:id="199"/>
    </w:p>
    <w:p w:rsidR="00BA29FF" w:rsidRDefault="00BA29FF">
      <w:pPr>
        <w:pStyle w:val="Amainreturn"/>
        <w:keepNext/>
      </w:pPr>
      <w:r>
        <w:t>The consolidation of rural leases if the consolidation of the leases complies with the general exemption criteria that are applicable to the development.</w:t>
      </w:r>
    </w:p>
    <w:p w:rsidR="00BA29FF" w:rsidRDefault="00BA29FF">
      <w:pPr>
        <w:pStyle w:val="aNote"/>
      </w:pPr>
      <w:r>
        <w:rPr>
          <w:i/>
        </w:rPr>
        <w:t>Note 1</w:t>
      </w:r>
      <w:r>
        <w:rPr>
          <w:i/>
          <w:iCs/>
        </w:rPr>
        <w:tab/>
      </w:r>
      <w:r>
        <w:t>For restrictions on the consolidation of rural leases, see the Act, div 9.7.2 and this regulation, pt 5.6.</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Sched-Form"/>
      </w:pPr>
      <w:bookmarkStart w:id="200" w:name="_Toc206921389"/>
      <w:r>
        <w:rPr>
          <w:rStyle w:val="CharDivNo"/>
        </w:rPr>
        <w:t>Division 1.3.6</w:t>
      </w:r>
      <w:r>
        <w:tab/>
      </w:r>
      <w:r>
        <w:rPr>
          <w:rStyle w:val="CharDivText"/>
        </w:rPr>
        <w:t>Exempt developments—Territory developments</w:t>
      </w:r>
      <w:bookmarkEnd w:id="200"/>
    </w:p>
    <w:p w:rsidR="00BA29FF" w:rsidRDefault="00BA29FF">
      <w:pPr>
        <w:pStyle w:val="Schclauseheading"/>
      </w:pPr>
      <w:bookmarkStart w:id="201" w:name="_Toc206921390"/>
      <w:r>
        <w:rPr>
          <w:rStyle w:val="CharSectNo"/>
        </w:rPr>
        <w:t>1.90</w:t>
      </w:r>
      <w:r>
        <w:tab/>
        <w:t>Minor public works</w:t>
      </w:r>
      <w:bookmarkEnd w:id="201"/>
      <w:r>
        <w:t xml:space="preserve"> </w:t>
      </w:r>
    </w:p>
    <w:p w:rsidR="00BA29FF" w:rsidRDefault="00BA29FF">
      <w:pPr>
        <w:pStyle w:val="SchAmain"/>
        <w:keepNext/>
      </w:pPr>
      <w:r>
        <w:tab/>
        <w:t>(1)</w:t>
      </w:r>
      <w:r>
        <w:tab/>
        <w:t>A designated development for minor public works carried out by or for the Territory on unleased land if—</w:t>
      </w:r>
    </w:p>
    <w:p w:rsidR="00BA29FF" w:rsidRDefault="00BA29FF">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BA29FF" w:rsidRDefault="00BA29FF">
      <w:pPr>
        <w:pStyle w:val="SchApara"/>
      </w:pPr>
      <w:r>
        <w:tab/>
        <w:t>(b)</w:t>
      </w:r>
      <w:r>
        <w:tab/>
        <w:t>if the development is—</w:t>
      </w:r>
    </w:p>
    <w:p w:rsidR="00BA29FF" w:rsidRDefault="00BA29FF">
      <w:pPr>
        <w:pStyle w:val="SchAsubpara"/>
      </w:pPr>
      <w:r>
        <w:tab/>
        <w:t>(i)</w:t>
      </w:r>
      <w:r>
        <w:tab/>
        <w:t>the building or alteration of a bicycle parking facility—the building or alteration of the facility is in accordance with the relevant rules in the Bicycle Parking General Code; or</w:t>
      </w:r>
    </w:p>
    <w:p w:rsidR="00BA29FF" w:rsidRDefault="00BA29FF">
      <w:pPr>
        <w:pStyle w:val="aNotesubpar"/>
      </w:pPr>
      <w:r>
        <w:rPr>
          <w:i/>
        </w:rPr>
        <w:t>Note</w:t>
      </w:r>
      <w:r>
        <w:rPr>
          <w:i/>
        </w:rPr>
        <w:tab/>
      </w:r>
      <w:r>
        <w:rPr>
          <w:b/>
          <w:bCs/>
          <w:i/>
          <w:iCs/>
        </w:rPr>
        <w:t>Relevant rules</w:t>
      </w:r>
      <w:r>
        <w:t>—see the Act, dictionary.</w:t>
      </w:r>
    </w:p>
    <w:p w:rsidR="00BA29FF" w:rsidRDefault="00BA29FF">
      <w:pPr>
        <w:pStyle w:val="SchAsubpara"/>
      </w:pPr>
      <w:r>
        <w:tab/>
        <w:t>(ii)</w:t>
      </w:r>
      <w:r>
        <w:tab/>
        <w:t>the building, alteration or demolition of a bus shelter or bin to which the bus shelter master plan, as in force from time to time, applies—</w:t>
      </w:r>
    </w:p>
    <w:p w:rsidR="00BA29FF" w:rsidRDefault="00BA29FF">
      <w:pPr>
        <w:pStyle w:val="Asubsubpara"/>
      </w:pPr>
      <w:r>
        <w:tab/>
        <w:t>(A)</w:t>
      </w:r>
      <w:r>
        <w:tab/>
        <w:t>the bus shelter or bin is in accordance with the master plan; and</w:t>
      </w:r>
    </w:p>
    <w:p w:rsidR="00BA29FF" w:rsidRDefault="00BA29FF">
      <w:pPr>
        <w:pStyle w:val="Asubsubpara"/>
      </w:pPr>
      <w:r>
        <w:tab/>
        <w:t>(B)</w:t>
      </w:r>
      <w:r>
        <w:tab/>
        <w:t>if the street furniture agreement applies to the shelter or bin—the shelter or bin is built, altered or demolished in accordance with the agreement; or</w:t>
      </w:r>
    </w:p>
    <w:p w:rsidR="00BA29FF" w:rsidRDefault="00BA29FF">
      <w:pPr>
        <w:pStyle w:val="Asubpara"/>
      </w:pPr>
      <w:r>
        <w:lastRenderedPageBreak/>
        <w:tab/>
        <w:t>(iii)</w:t>
      </w:r>
      <w:r>
        <w:tab/>
        <w:t>the installation of a parking control sign or traffic control device—the sign or device is of a kind—</w:t>
      </w:r>
    </w:p>
    <w:p w:rsidR="00BA29FF" w:rsidRDefault="00BA29FF">
      <w:pPr>
        <w:pStyle w:val="Asubsubpara"/>
      </w:pPr>
      <w:r>
        <w:tab/>
        <w:t>(A)</w:t>
      </w:r>
      <w:r>
        <w:tab/>
        <w:t>to which AS 1742 (</w:t>
      </w:r>
      <w:r>
        <w:rPr>
          <w:i/>
          <w:iCs/>
        </w:rPr>
        <w:t>Manual of Uniform Traffic Control Devices</w:t>
      </w:r>
      <w:r>
        <w:t>), as in force from time to time, applies; or</w:t>
      </w:r>
    </w:p>
    <w:p w:rsidR="00BA29FF" w:rsidRDefault="00BA29FF">
      <w:pPr>
        <w:pStyle w:val="Asubsubpara"/>
      </w:pPr>
      <w:r>
        <w:tab/>
        <w:t>(B)</w:t>
      </w:r>
      <w:r>
        <w:tab/>
        <w:t>approved by the planning and land authority; or</w:t>
      </w:r>
    </w:p>
    <w:p w:rsidR="00BA29FF" w:rsidRDefault="00BA29FF">
      <w:pPr>
        <w:pStyle w:val="aNotesubpar"/>
      </w:pPr>
      <w:r>
        <w:rPr>
          <w:i/>
        </w:rPr>
        <w:t>Note</w:t>
      </w:r>
      <w:r>
        <w:rPr>
          <w:i/>
        </w:rPr>
        <w:tab/>
      </w:r>
      <w:r>
        <w:t>An approval is a notifiable instrument (see s (3)).</w:t>
      </w:r>
    </w:p>
    <w:p w:rsidR="00BA29FF" w:rsidRDefault="00BA29FF">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BA29FF" w:rsidRDefault="00BA29FF">
      <w:pPr>
        <w:pStyle w:val="SchApara"/>
        <w:keepNext/>
      </w:pPr>
      <w:r>
        <w:tab/>
        <w:t>(c)</w:t>
      </w:r>
      <w:r>
        <w:tab/>
        <w:t>the designated development complies with the general exemption criteria that are applicable to the development.</w:t>
      </w:r>
    </w:p>
    <w:p w:rsidR="00BA29FF" w:rsidRDefault="00BA29FF">
      <w:pPr>
        <w:pStyle w:val="aNote"/>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SchAmain"/>
        <w:keepNext/>
      </w:pPr>
      <w:r>
        <w:tab/>
        <w:t>(2)</w:t>
      </w:r>
      <w:r>
        <w:tab/>
        <w:t>In this section:</w:t>
      </w:r>
    </w:p>
    <w:p w:rsidR="00BA29FF" w:rsidRDefault="00BA29FF">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BA29FF" w:rsidRDefault="00BA29FF">
      <w:pPr>
        <w:pStyle w:val="aNote"/>
      </w:pPr>
      <w:r>
        <w:rPr>
          <w:i/>
        </w:rPr>
        <w:t>Note</w:t>
      </w:r>
      <w:r>
        <w:rPr>
          <w:i/>
        </w:rPr>
        <w:tab/>
      </w:r>
      <w:r>
        <w:t>An approval is a notifiable instrument (see s (3)).</w:t>
      </w:r>
    </w:p>
    <w:p w:rsidR="00BA29FF" w:rsidRDefault="00BA29FF">
      <w:pPr>
        <w:pStyle w:val="aDef"/>
        <w:keepNext/>
      </w:pPr>
      <w:r>
        <w:rPr>
          <w:b/>
          <w:i/>
        </w:rPr>
        <w:t>minor public works</w:t>
      </w:r>
      <w:r>
        <w:t>—</w:t>
      </w:r>
    </w:p>
    <w:p w:rsidR="00BA29FF" w:rsidRDefault="00BA29FF">
      <w:pPr>
        <w:pStyle w:val="aDefpara"/>
        <w:keepNext/>
      </w:pPr>
      <w:r>
        <w:tab/>
        <w:t>(a)</w:t>
      </w:r>
      <w:r>
        <w:tab/>
        <w:t>means any of the following:</w:t>
      </w:r>
    </w:p>
    <w:p w:rsidR="00BA29FF" w:rsidRDefault="00BA29FF">
      <w:pPr>
        <w:pStyle w:val="aDefsubpara"/>
        <w:keepNext/>
      </w:pPr>
      <w:r>
        <w:tab/>
        <w:t>(i)</w:t>
      </w:r>
      <w:r>
        <w:tab/>
        <w:t>street and park furniture;</w:t>
      </w:r>
    </w:p>
    <w:p w:rsidR="00BA29FF" w:rsidRDefault="00BA29FF">
      <w:pPr>
        <w:pStyle w:val="aExamHdgsubpar"/>
      </w:pPr>
      <w:r>
        <w:t>Examples</w:t>
      </w:r>
    </w:p>
    <w:p w:rsidR="00BA29FF" w:rsidRDefault="00BA29FF">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BA29FF" w:rsidRDefault="00BA29FF">
      <w:pPr>
        <w:pStyle w:val="aExamsubpar"/>
        <w:ind w:left="2500" w:hanging="360"/>
      </w:pPr>
      <w:r>
        <w:t>2</w:t>
      </w:r>
      <w:r>
        <w:tab/>
        <w:t>playground equipment</w:t>
      </w:r>
    </w:p>
    <w:p w:rsidR="00BA29FF" w:rsidRDefault="00BA29FF">
      <w:pPr>
        <w:pStyle w:val="aExamsubpar"/>
        <w:ind w:left="2500" w:hanging="360"/>
      </w:pPr>
      <w:r>
        <w:lastRenderedPageBreak/>
        <w:t>3</w:t>
      </w:r>
      <w:r>
        <w:tab/>
        <w:t>a parking meter, parking ticket machine, street sign, parking control sign, traffic control device or streetlight</w:t>
      </w:r>
    </w:p>
    <w:p w:rsidR="00BA29FF" w:rsidRDefault="00BA29FF">
      <w:pPr>
        <w:pStyle w:val="aNotesubpar"/>
      </w:pPr>
      <w:r>
        <w:rPr>
          <w:i/>
        </w:rPr>
        <w:t>Note</w:t>
      </w:r>
      <w:r>
        <w:tab/>
        <w:t>An example is part of the regulation, is not exhaustive and may extend, but does not limit, the meaning of the provision in which it appears (see Legislation Act, s 126 and s 132).</w:t>
      </w:r>
    </w:p>
    <w:p w:rsidR="00BA29FF" w:rsidRDefault="00BA29FF">
      <w:pPr>
        <w:pStyle w:val="aDefsubpara"/>
        <w:keepNext/>
      </w:pPr>
      <w:r>
        <w:tab/>
        <w:t>(ii)</w:t>
      </w:r>
      <w:r>
        <w:tab/>
        <w:t>the surfacing, resurfacing or repair of the trafficable surface of a road, bridge, car park or cycle path; but</w:t>
      </w:r>
    </w:p>
    <w:p w:rsidR="00BA29FF" w:rsidRDefault="00BA29FF">
      <w:pPr>
        <w:pStyle w:val="aDefpara"/>
      </w:pPr>
      <w:r>
        <w:tab/>
        <w:t>(b)</w:t>
      </w:r>
      <w:r>
        <w:tab/>
        <w:t>does not include the construction of public toilets.</w:t>
      </w:r>
    </w:p>
    <w:p w:rsidR="00BA29FF" w:rsidRDefault="00BA29FF">
      <w:pPr>
        <w:pStyle w:val="aDef"/>
      </w:pPr>
      <w:r>
        <w:rPr>
          <w:b/>
          <w:i/>
        </w:rPr>
        <w:t>parking control sign</w:t>
      </w:r>
      <w:r>
        <w:rPr>
          <w:snapToGrid w:val="0"/>
        </w:rPr>
        <w:t>—see the Australian Road Rules, dictionary.</w:t>
      </w:r>
    </w:p>
    <w:p w:rsidR="00BA29FF" w:rsidRDefault="00BA29FF">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BA29FF" w:rsidRDefault="00BA29FF">
      <w:pPr>
        <w:pStyle w:val="aDef"/>
      </w:pPr>
      <w:r>
        <w:rPr>
          <w:b/>
          <w:i/>
        </w:rPr>
        <w:t>traffic control device</w:t>
      </w:r>
      <w:r>
        <w:rPr>
          <w:snapToGrid w:val="0"/>
        </w:rPr>
        <w:t>—see the Australian Road Rules, dictionary.</w:t>
      </w:r>
    </w:p>
    <w:p w:rsidR="00BA29FF" w:rsidRDefault="00BA29FF">
      <w:pPr>
        <w:pStyle w:val="Amain"/>
      </w:pPr>
      <w:r>
        <w:tab/>
        <w:t>(3)</w:t>
      </w:r>
      <w:r>
        <w:tab/>
        <w:t>An approval of the following is a notifiable instrument:</w:t>
      </w:r>
    </w:p>
    <w:p w:rsidR="00BA29FF" w:rsidRDefault="00BA29FF">
      <w:pPr>
        <w:pStyle w:val="Apara"/>
      </w:pPr>
      <w:r>
        <w:tab/>
        <w:t>(a)</w:t>
      </w:r>
      <w:r>
        <w:tab/>
        <w:t>a bus shelter master plan;</w:t>
      </w:r>
    </w:p>
    <w:p w:rsidR="00BA29FF" w:rsidRDefault="00BA29FF">
      <w:pPr>
        <w:pStyle w:val="Apara"/>
      </w:pPr>
      <w:r>
        <w:tab/>
        <w:t>(b)</w:t>
      </w:r>
      <w:r>
        <w:tab/>
        <w:t>a kind of parking control sign or traffic control device.</w:t>
      </w:r>
    </w:p>
    <w:p w:rsidR="00BA29FF" w:rsidRDefault="00BA29FF">
      <w:pPr>
        <w:pStyle w:val="aNote"/>
      </w:pPr>
      <w:r>
        <w:rPr>
          <w:i/>
          <w:iCs/>
        </w:rPr>
        <w:t>Note</w:t>
      </w:r>
      <w:r>
        <w:rPr>
          <w:i/>
          <w:iCs/>
        </w:rPr>
        <w:tab/>
      </w:r>
      <w:r>
        <w:t>A notifiable instrument must be notified under the Legislation Act.</w:t>
      </w:r>
    </w:p>
    <w:p w:rsidR="00BA29FF" w:rsidRDefault="00BA29FF">
      <w:pPr>
        <w:pStyle w:val="Schclauseheading"/>
        <w:rPr>
          <w:szCs w:val="24"/>
        </w:rPr>
      </w:pPr>
      <w:bookmarkStart w:id="202" w:name="_Toc206921391"/>
      <w:r>
        <w:rPr>
          <w:rStyle w:val="CharSectNo"/>
        </w:rPr>
        <w:t>1.91</w:t>
      </w:r>
      <w:r>
        <w:rPr>
          <w:szCs w:val="24"/>
        </w:rPr>
        <w:tab/>
      </w:r>
      <w:r>
        <w:t>Landscape works</w:t>
      </w:r>
      <w:bookmarkEnd w:id="202"/>
    </w:p>
    <w:p w:rsidR="00BA29FF" w:rsidRDefault="00BA29FF">
      <w:pPr>
        <w:pStyle w:val="Amainreturn"/>
      </w:pPr>
      <w:r>
        <w:t>Work by or for the Territory that affects the landscape of land if—</w:t>
      </w:r>
    </w:p>
    <w:p w:rsidR="00BA29FF" w:rsidRDefault="00BA29FF">
      <w:pPr>
        <w:pStyle w:val="SchApara"/>
        <w:keepNext/>
      </w:pPr>
      <w:r>
        <w:tab/>
        <w:t>(a)</w:t>
      </w:r>
      <w:r>
        <w:tab/>
        <w:t>the work does not involve any of the following:</w:t>
      </w:r>
    </w:p>
    <w:p w:rsidR="00BA29FF" w:rsidRDefault="00BA29FF">
      <w:pPr>
        <w:pStyle w:val="SchAsubpara"/>
      </w:pPr>
      <w:r>
        <w:tab/>
        <w:t>(i)</w:t>
      </w:r>
      <w:r>
        <w:tab/>
        <w:t xml:space="preserve">timber harvesting to produce merchantable timber or products; or </w:t>
      </w:r>
    </w:p>
    <w:p w:rsidR="00BA29FF" w:rsidRDefault="00BA29FF">
      <w:pPr>
        <w:pStyle w:val="SchAsubpara"/>
      </w:pPr>
      <w:r>
        <w:tab/>
        <w:t>(ii)</w:t>
      </w:r>
      <w:r>
        <w:tab/>
        <w:t>clearing native vegetation; or</w:t>
      </w:r>
    </w:p>
    <w:p w:rsidR="00BA29FF" w:rsidRDefault="00BA29FF">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BA29FF" w:rsidRDefault="00BA29FF">
      <w:pPr>
        <w:pStyle w:val="SchAsubpara"/>
      </w:pPr>
      <w:r>
        <w:tab/>
        <w:t>(iii)</w:t>
      </w:r>
      <w:r>
        <w:tab/>
        <w:t>clearing a tract of a forest or arboretum; and</w:t>
      </w:r>
    </w:p>
    <w:p w:rsidR="00BA29FF" w:rsidRDefault="00BA29FF">
      <w:pPr>
        <w:pStyle w:val="SchApara"/>
      </w:pPr>
      <w:r>
        <w:lastRenderedPageBreak/>
        <w:tab/>
        <w:t>(b)</w:t>
      </w:r>
      <w:r>
        <w:tab/>
        <w:t>the work complies with the general exemption criteria that are applicable to the development.</w:t>
      </w:r>
    </w:p>
    <w:p w:rsidR="00BA29FF" w:rsidRDefault="00BA29FF">
      <w:pPr>
        <w:pStyle w:val="aNotepar"/>
        <w:rPr>
          <w:iCs/>
        </w:rPr>
      </w:pPr>
      <w:r>
        <w:rPr>
          <w:i/>
        </w:rPr>
        <w:t>Note</w:t>
      </w:r>
      <w:r>
        <w:rPr>
          <w:i/>
        </w:rPr>
        <w:tab/>
      </w:r>
      <w:r>
        <w:rPr>
          <w:b/>
          <w:bCs/>
          <w:i/>
        </w:rPr>
        <w:t>General exemption criteria</w:t>
      </w:r>
      <w:r>
        <w:rPr>
          <w:iCs/>
        </w:rPr>
        <w:t xml:space="preserve">—see s </w:t>
      </w:r>
      <w:r>
        <w:t>1.10</w:t>
      </w:r>
      <w:r>
        <w:rPr>
          <w:iCs/>
        </w:rPr>
        <w:t>.</w:t>
      </w:r>
    </w:p>
    <w:p w:rsidR="00BA29FF" w:rsidRDefault="00BA29FF">
      <w:pPr>
        <w:pStyle w:val="Schclauseheading"/>
      </w:pPr>
      <w:bookmarkStart w:id="203" w:name="_Toc206921392"/>
      <w:r>
        <w:rPr>
          <w:rStyle w:val="CharSectNo"/>
        </w:rPr>
        <w:t>1.92</w:t>
      </w:r>
      <w:r>
        <w:tab/>
        <w:t>Plantation forestry</w:t>
      </w:r>
      <w:bookmarkEnd w:id="203"/>
    </w:p>
    <w:p w:rsidR="00BA29FF" w:rsidRDefault="00BA29FF">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BA29FF" w:rsidRDefault="00BA29FF">
      <w:pPr>
        <w:pStyle w:val="aNote"/>
      </w:pPr>
      <w:r>
        <w:rPr>
          <w:i/>
        </w:rPr>
        <w:t>Note</w:t>
      </w:r>
      <w:r>
        <w:rPr>
          <w:i/>
        </w:rPr>
        <w:tab/>
      </w:r>
      <w:r>
        <w:rPr>
          <w:b/>
          <w:bCs/>
          <w:i/>
          <w:iCs/>
        </w:rPr>
        <w:t>General exemption criteria</w:t>
      </w:r>
      <w:r>
        <w:rPr>
          <w:iCs/>
        </w:rPr>
        <w:t xml:space="preserve">—see s </w:t>
      </w:r>
      <w:r>
        <w:t>1.10.</w:t>
      </w:r>
    </w:p>
    <w:p w:rsidR="00BA29FF" w:rsidRDefault="00BA29FF">
      <w:pPr>
        <w:pStyle w:val="SchAmain"/>
        <w:keepNext/>
      </w:pPr>
      <w:r>
        <w:tab/>
        <w:t>(2)</w:t>
      </w:r>
      <w:r>
        <w:tab/>
        <w:t>In this section:</w:t>
      </w:r>
    </w:p>
    <w:p w:rsidR="00BA29FF" w:rsidRDefault="00BA29FF">
      <w:pPr>
        <w:pStyle w:val="aDef"/>
        <w:keepNext/>
      </w:pPr>
      <w:r>
        <w:rPr>
          <w:b/>
          <w:bCs/>
          <w:i/>
          <w:iCs/>
        </w:rPr>
        <w:t>plantation tree</w:t>
      </w:r>
      <w:r>
        <w:t>—</w:t>
      </w:r>
    </w:p>
    <w:p w:rsidR="00BA29FF" w:rsidRDefault="00BA29FF">
      <w:pPr>
        <w:pStyle w:val="aDefpara"/>
      </w:pPr>
      <w:r>
        <w:tab/>
        <w:t>(a)</w:t>
      </w:r>
      <w:r>
        <w:tab/>
        <w:t>means a tree cultivated to produce a harvest; and</w:t>
      </w:r>
    </w:p>
    <w:p w:rsidR="00BA29FF" w:rsidRDefault="00BA29FF">
      <w:pPr>
        <w:pStyle w:val="aDefpara"/>
      </w:pPr>
      <w:r>
        <w:tab/>
        <w:t>(b)</w:t>
      </w:r>
      <w:r>
        <w:tab/>
        <w:t>includes a tree naturally generated by a plantation tree.</w:t>
      </w:r>
    </w:p>
    <w:p w:rsidR="00BA29FF" w:rsidRDefault="00BA29FF">
      <w:pPr>
        <w:pStyle w:val="Schclauseheading"/>
        <w:rPr>
          <w:szCs w:val="24"/>
        </w:rPr>
      </w:pPr>
      <w:bookmarkStart w:id="204" w:name="_Toc206921393"/>
      <w:r>
        <w:rPr>
          <w:rStyle w:val="CharSectNo"/>
        </w:rPr>
        <w:t>1.93</w:t>
      </w:r>
      <w:r>
        <w:rPr>
          <w:szCs w:val="24"/>
        </w:rPr>
        <w:tab/>
        <w:t>Waterway protection work</w:t>
      </w:r>
      <w:bookmarkEnd w:id="204"/>
    </w:p>
    <w:p w:rsidR="00BA29FF" w:rsidRDefault="00BA29FF">
      <w:pPr>
        <w:pStyle w:val="SchAmain"/>
      </w:pPr>
      <w:r>
        <w:tab/>
        <w:t>(1)</w:t>
      </w:r>
      <w:r>
        <w:tab/>
        <w:t>A designated development carried out by or for the Territory for the protection of waterways if—</w:t>
      </w:r>
    </w:p>
    <w:p w:rsidR="00BA29FF" w:rsidRDefault="00BA29FF">
      <w:pPr>
        <w:pStyle w:val="SchApara"/>
      </w:pPr>
      <w:r>
        <w:tab/>
        <w:t>(a)</w:t>
      </w:r>
      <w:r>
        <w:tab/>
        <w:t>the chief executive of the administrative unit responsible for municipal services has agreed, in writing, to the work; and</w:t>
      </w:r>
    </w:p>
    <w:p w:rsidR="00BA29FF" w:rsidRDefault="00BA29FF">
      <w:pPr>
        <w:pStyle w:val="SchApara"/>
      </w:pPr>
      <w:r>
        <w:tab/>
        <w:t>(b)</w:t>
      </w:r>
      <w:r>
        <w:tab/>
        <w:t>the work does not result in the clearing of more than 0.5ha of native vegetation; and</w:t>
      </w:r>
    </w:p>
    <w:p w:rsidR="00BA29FF" w:rsidRDefault="00BA29FF">
      <w:pPr>
        <w:pStyle w:val="aNotepar"/>
      </w:pPr>
      <w:r>
        <w:rPr>
          <w:i/>
        </w:rPr>
        <w:t>Note</w:t>
      </w:r>
      <w:r>
        <w:rPr>
          <w:i/>
        </w:rPr>
        <w:tab/>
      </w:r>
      <w:r>
        <w:rPr>
          <w:b/>
          <w:bCs/>
          <w:i/>
          <w:iCs/>
        </w:rPr>
        <w:t>Native vegetation</w:t>
      </w:r>
      <w:r>
        <w:t xml:space="preserve">—see the </w:t>
      </w:r>
      <w:r>
        <w:rPr>
          <w:i/>
          <w:iCs/>
        </w:rPr>
        <w:t>Nature Conservation Act 1980</w:t>
      </w:r>
      <w:r>
        <w:t>, s 73.</w:t>
      </w:r>
    </w:p>
    <w:p w:rsidR="00BA29FF" w:rsidRDefault="00BA29FF">
      <w:pPr>
        <w:pStyle w:val="SchApara"/>
      </w:pPr>
      <w:r>
        <w:tab/>
        <w:t>(c)</w:t>
      </w:r>
      <w:r>
        <w:tab/>
        <w:t>the work is not contrary to a land management agreement; and</w:t>
      </w:r>
    </w:p>
    <w:p w:rsidR="00BA29FF" w:rsidRDefault="00BA29FF">
      <w:pPr>
        <w:pStyle w:val="SchApara"/>
        <w:keepNext/>
      </w:pPr>
      <w:r>
        <w:tab/>
        <w:t>(d)</w:t>
      </w:r>
      <w:r>
        <w:tab/>
        <w:t>the work does not require any of the following:</w:t>
      </w:r>
    </w:p>
    <w:p w:rsidR="00BA29FF" w:rsidRDefault="00BA29FF">
      <w:pPr>
        <w:pStyle w:val="SchAsubpara"/>
      </w:pPr>
      <w:r>
        <w:tab/>
        <w:t>(i)</w:t>
      </w:r>
      <w:r>
        <w:tab/>
        <w:t xml:space="preserve">a licence under the </w:t>
      </w:r>
      <w:r>
        <w:rPr>
          <w:rStyle w:val="charItals"/>
          <w:iCs/>
        </w:rPr>
        <w:t>Water Resources Act 2007</w:t>
      </w:r>
      <w:r>
        <w:t xml:space="preserve">; </w:t>
      </w:r>
    </w:p>
    <w:p w:rsidR="00BA29FF" w:rsidRDefault="00BA29FF">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BA29FF" w:rsidRDefault="00BA29FF">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BA29FF" w:rsidRDefault="00BA29FF">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BA29FF" w:rsidRDefault="00BA29FF">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BA29FF" w:rsidRDefault="00BA29FF">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BA29FF" w:rsidRDefault="00BA29FF">
      <w:pPr>
        <w:pStyle w:val="SchApara"/>
        <w:keepNext/>
      </w:pPr>
      <w:r>
        <w:tab/>
        <w:t>(e)</w:t>
      </w:r>
      <w:r>
        <w:tab/>
        <w:t>the designated development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rPr>
          <w:iCs/>
        </w:rPr>
      </w:pPr>
      <w:r>
        <w:rPr>
          <w:i/>
        </w:rPr>
        <w:t>Note 2</w:t>
      </w:r>
      <w:r>
        <w:rPr>
          <w:i/>
        </w:rPr>
        <w:tab/>
      </w:r>
      <w:r>
        <w:rPr>
          <w:b/>
          <w:bCs/>
          <w:i/>
        </w:rPr>
        <w:t>General exemption criteria</w:t>
      </w:r>
      <w:r>
        <w:rPr>
          <w:iCs/>
        </w:rPr>
        <w:t xml:space="preserve">—see s </w:t>
      </w:r>
      <w:r>
        <w:t>1.10</w:t>
      </w:r>
      <w:r>
        <w:rPr>
          <w:iCs/>
        </w:rPr>
        <w:t>.</w:t>
      </w:r>
    </w:p>
    <w:p w:rsidR="00BA29FF" w:rsidRDefault="00BA29FF">
      <w:pPr>
        <w:pStyle w:val="SchAmain"/>
        <w:keepNext/>
      </w:pPr>
      <w:r>
        <w:tab/>
        <w:t>(2)</w:t>
      </w:r>
      <w:r>
        <w:tab/>
        <w:t>In this section:</w:t>
      </w:r>
    </w:p>
    <w:p w:rsidR="00BA29FF" w:rsidRDefault="00BA29FF">
      <w:pPr>
        <w:pStyle w:val="aDef"/>
      </w:pPr>
      <w:r>
        <w:rPr>
          <w:b/>
          <w:i/>
        </w:rPr>
        <w:t>waterway</w:t>
      </w:r>
      <w:r>
        <w:t xml:space="preserve">—see the </w:t>
      </w:r>
      <w:r>
        <w:rPr>
          <w:i/>
          <w:iCs/>
        </w:rPr>
        <w:t>Water Resources Act 2007</w:t>
      </w:r>
      <w:r>
        <w:t>, section 10.</w:t>
      </w:r>
    </w:p>
    <w:p w:rsidR="00BA29FF" w:rsidRDefault="00BA29FF">
      <w:pPr>
        <w:pStyle w:val="Schclauseheading"/>
      </w:pPr>
      <w:bookmarkStart w:id="205" w:name="_Toc206921394"/>
      <w:r>
        <w:rPr>
          <w:rStyle w:val="CharSectNo"/>
        </w:rPr>
        <w:t>1.94</w:t>
      </w:r>
      <w:r>
        <w:tab/>
        <w:t>Emergencies affecting public health or safety or property</w:t>
      </w:r>
      <w:bookmarkEnd w:id="205"/>
    </w:p>
    <w:p w:rsidR="00BA29FF" w:rsidRDefault="00BA29FF">
      <w:pPr>
        <w:pStyle w:val="SchAmain"/>
      </w:pPr>
      <w:r>
        <w:tab/>
        <w:t>(1)</w:t>
      </w:r>
      <w:r>
        <w:tab/>
        <w:t>A development carried out by or for the Territory if the development is carried out because of an emergency to protect—</w:t>
      </w:r>
    </w:p>
    <w:p w:rsidR="00BA29FF" w:rsidRDefault="00BA29FF">
      <w:pPr>
        <w:pStyle w:val="SchApara"/>
      </w:pPr>
      <w:r>
        <w:tab/>
        <w:t>(a)</w:t>
      </w:r>
      <w:r>
        <w:tab/>
        <w:t>public health or safety; or</w:t>
      </w:r>
    </w:p>
    <w:p w:rsidR="00BA29FF" w:rsidRDefault="00BA29FF">
      <w:pPr>
        <w:pStyle w:val="SchApara"/>
        <w:keepNext/>
      </w:pPr>
      <w:r>
        <w:tab/>
        <w:t>(b)</w:t>
      </w:r>
      <w:r>
        <w:tab/>
        <w:t>property.</w:t>
      </w:r>
    </w:p>
    <w:p w:rsidR="00BA29FF" w:rsidRDefault="00BA29FF">
      <w:pPr>
        <w:pStyle w:val="aNote"/>
      </w:pPr>
      <w:r>
        <w:rPr>
          <w:i/>
        </w:rPr>
        <w:t>Note</w:t>
      </w:r>
      <w:r>
        <w:rPr>
          <w:i/>
        </w:rPr>
        <w:tab/>
      </w:r>
      <w:r>
        <w:t>Other territory laws must be complied with (see s 1.4).</w:t>
      </w:r>
    </w:p>
    <w:p w:rsidR="00BA29FF" w:rsidRDefault="00BA29FF">
      <w:pPr>
        <w:pStyle w:val="SchAmain"/>
        <w:keepNext/>
      </w:pPr>
      <w:r>
        <w:lastRenderedPageBreak/>
        <w:tab/>
        <w:t>(2)</w:t>
      </w:r>
      <w:r>
        <w:tab/>
        <w:t>In this section:</w:t>
      </w:r>
    </w:p>
    <w:p w:rsidR="00BA29FF" w:rsidRDefault="00BA29FF">
      <w:pPr>
        <w:pStyle w:val="aDef"/>
      </w:pPr>
      <w:r>
        <w:rPr>
          <w:b/>
          <w:i/>
        </w:rPr>
        <w:t>emergency</w:t>
      </w:r>
      <w:r>
        <w:t xml:space="preserve">—see the </w:t>
      </w:r>
      <w:r>
        <w:rPr>
          <w:i/>
          <w:iCs/>
        </w:rPr>
        <w:t>Emergencies Act 2004</w:t>
      </w:r>
      <w:r>
        <w:t>, dictionary.</w:t>
      </w:r>
    </w:p>
    <w:p w:rsidR="00BA29FF" w:rsidRDefault="00BA29FF">
      <w:pPr>
        <w:pStyle w:val="Schclauseheading"/>
      </w:pPr>
      <w:bookmarkStart w:id="206" w:name="_Toc206921395"/>
      <w:r>
        <w:rPr>
          <w:rStyle w:val="CharSectNo"/>
        </w:rPr>
        <w:t>1.95</w:t>
      </w:r>
      <w:r>
        <w:tab/>
        <w:t>Temporary flood mitigation measures</w:t>
      </w:r>
      <w:bookmarkEnd w:id="206"/>
    </w:p>
    <w:p w:rsidR="00BA29FF" w:rsidRDefault="00BA29FF">
      <w:pPr>
        <w:pStyle w:val="Amainreturn"/>
        <w:keepNext/>
      </w:pPr>
      <w:r>
        <w:t>A designated development carried out by or for the Territory if the development is carried out for temporary flood mitigation.</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pPr>
      <w:r>
        <w:rPr>
          <w:i/>
        </w:rPr>
        <w:t>Note 2</w:t>
      </w:r>
      <w:r>
        <w:rPr>
          <w:i/>
        </w:rPr>
        <w:tab/>
      </w:r>
      <w:r>
        <w:t>Other territory laws must be complied with (see s 1.4).</w:t>
      </w:r>
    </w:p>
    <w:p w:rsidR="00BA29FF" w:rsidRDefault="00BA29FF">
      <w:pPr>
        <w:pStyle w:val="Sched-Form"/>
      </w:pPr>
      <w:bookmarkStart w:id="207" w:name="_Toc206921396"/>
      <w:r>
        <w:rPr>
          <w:rStyle w:val="CharDivNo"/>
        </w:rPr>
        <w:t>Division 1.3.7</w:t>
      </w:r>
      <w:r>
        <w:tab/>
      </w:r>
      <w:r>
        <w:rPr>
          <w:rStyle w:val="CharDivText"/>
        </w:rPr>
        <w:t>Exempt developments—other exemptions</w:t>
      </w:r>
      <w:bookmarkEnd w:id="207"/>
    </w:p>
    <w:p w:rsidR="00BA29FF" w:rsidRDefault="00BA29FF">
      <w:pPr>
        <w:pStyle w:val="AH5Sec"/>
      </w:pPr>
      <w:bookmarkStart w:id="208" w:name="_Toc206921397"/>
      <w:r>
        <w:rPr>
          <w:rStyle w:val="CharSectNo"/>
        </w:rPr>
        <w:t>1.100</w:t>
      </w:r>
      <w:r>
        <w:tab/>
        <w:t>Single dwellings—new residential land</w:t>
      </w:r>
      <w:bookmarkEnd w:id="208"/>
    </w:p>
    <w:p w:rsidR="00BA29FF" w:rsidRDefault="00BA29FF">
      <w:pPr>
        <w:pStyle w:val="Amain"/>
      </w:pPr>
      <w:r>
        <w:tab/>
        <w:t>(1)</w:t>
      </w:r>
      <w:r>
        <w:tab/>
        <w:t>The building of a single dwelling on a block if—</w:t>
      </w:r>
    </w:p>
    <w:p w:rsidR="00BA29FF" w:rsidRDefault="00BA29FF">
      <w:pPr>
        <w:pStyle w:val="Apara"/>
      </w:pPr>
      <w:r>
        <w:tab/>
        <w:t>(a)</w:t>
      </w:r>
      <w:r>
        <w:tab/>
        <w:t>another dwelling has not been built on the block; and</w:t>
      </w:r>
    </w:p>
    <w:p w:rsidR="00BA29FF" w:rsidRDefault="00BA29FF">
      <w:pPr>
        <w:pStyle w:val="Apara"/>
      </w:pPr>
      <w:r>
        <w:tab/>
        <w:t>(b)</w:t>
      </w:r>
      <w:r>
        <w:tab/>
        <w:t>the dwelling complies with—</w:t>
      </w:r>
    </w:p>
    <w:p w:rsidR="00BA29FF" w:rsidRDefault="00BA29FF">
      <w:pPr>
        <w:pStyle w:val="Asubpara"/>
      </w:pPr>
      <w:r>
        <w:tab/>
        <w:t>(i)</w:t>
      </w:r>
      <w:r>
        <w:tab/>
        <w:t>the relevant rules in any relevant precinct code; and</w:t>
      </w:r>
    </w:p>
    <w:p w:rsidR="00BA29FF" w:rsidRDefault="00BA29FF">
      <w:pPr>
        <w:pStyle w:val="Asubpara"/>
      </w:pPr>
      <w:r>
        <w:tab/>
        <w:t>(ii)</w:t>
      </w:r>
      <w:r>
        <w:tab/>
        <w:t>to the extent that they are not inconsistent with the relevant rules in a relevant precinct code—the relevant rules in the Residential Zones Single Dwelling House Development Code.</w:t>
      </w:r>
    </w:p>
    <w:p w:rsidR="00BA29FF" w:rsidRDefault="00BA29FF">
      <w:pPr>
        <w:pStyle w:val="aNotepar"/>
      </w:pPr>
      <w:r>
        <w:rPr>
          <w:i/>
          <w:iCs/>
        </w:rPr>
        <w:t>Note 1</w:t>
      </w:r>
      <w:r>
        <w:rPr>
          <w:i/>
          <w:iCs/>
        </w:rPr>
        <w:tab/>
      </w:r>
      <w:r>
        <w:rPr>
          <w:b/>
          <w:bCs/>
          <w:i/>
          <w:iCs/>
        </w:rPr>
        <w:t>Relevant rules</w:t>
      </w:r>
      <w:r>
        <w:t>—see the Act, dictionary.  See also s (2).</w:t>
      </w:r>
    </w:p>
    <w:p w:rsidR="00BA29FF" w:rsidRDefault="00BA29FF">
      <w:pPr>
        <w:pStyle w:val="aNotepar"/>
      </w:pPr>
      <w:r>
        <w:rPr>
          <w:i/>
        </w:rPr>
        <w:t>Note 2</w:t>
      </w:r>
      <w:r>
        <w:rPr>
          <w:i/>
        </w:rPr>
        <w:tab/>
      </w:r>
      <w:r>
        <w:t>The general exemption criteria are not applied because the relevant rules in the territory plan include requirements to similar effect as the criteria.</w:t>
      </w:r>
    </w:p>
    <w:p w:rsidR="00BA29FF" w:rsidRDefault="00BA29FF">
      <w:pPr>
        <w:pStyle w:val="aNotepar"/>
      </w:pPr>
      <w:r>
        <w:rPr>
          <w:i/>
          <w:iCs/>
        </w:rPr>
        <w:t>Note 3</w:t>
      </w:r>
      <w:r>
        <w:rPr>
          <w:i/>
          <w:iCs/>
        </w:rPr>
        <w:tab/>
      </w:r>
      <w:r>
        <w:t xml:space="preserve">Other territory laws, including the </w:t>
      </w:r>
      <w:r>
        <w:rPr>
          <w:i/>
          <w:iCs/>
        </w:rPr>
        <w:t>Heritage Act 2004</w:t>
      </w:r>
      <w:r>
        <w:t>, must be complied with (see s 1.4 and s 1.14).</w:t>
      </w:r>
    </w:p>
    <w:p w:rsidR="00BA29FF" w:rsidRDefault="00BA29FF">
      <w:pPr>
        <w:pStyle w:val="Amain"/>
      </w:pPr>
      <w:r>
        <w:tab/>
        <w:t>(2)</w:t>
      </w:r>
      <w:r>
        <w:tab/>
        <w:t>To remove any doubt, a code requirement is not inconsistent with the code requirements of another code only because one code deals with a matter and the other does not.</w:t>
      </w:r>
    </w:p>
    <w:p w:rsidR="00BA29FF" w:rsidRDefault="00BA29FF">
      <w:pPr>
        <w:pStyle w:val="Schclauseheading"/>
      </w:pPr>
      <w:bookmarkStart w:id="209" w:name="_Toc206921398"/>
      <w:r>
        <w:rPr>
          <w:rStyle w:val="CharSectNo"/>
        </w:rPr>
        <w:lastRenderedPageBreak/>
        <w:t>1.101</w:t>
      </w:r>
      <w:r>
        <w:tab/>
        <w:t>Buildings and structures—demolition</w:t>
      </w:r>
      <w:bookmarkEnd w:id="209"/>
      <w:r>
        <w:t xml:space="preserve"> </w:t>
      </w:r>
    </w:p>
    <w:p w:rsidR="00BA29FF" w:rsidRDefault="00BA29FF">
      <w:pPr>
        <w:pStyle w:val="Amainreturn"/>
        <w:keepNext/>
      </w:pPr>
      <w:r>
        <w:t>The demolition of a building or structure if—</w:t>
      </w:r>
    </w:p>
    <w:p w:rsidR="00BA29FF" w:rsidRDefault="00BA29FF">
      <w:pPr>
        <w:pStyle w:val="SchApara"/>
      </w:pPr>
      <w:r>
        <w:tab/>
        <w:t>(a)</w:t>
      </w:r>
      <w:r>
        <w:tab/>
        <w:t>were the building or structure to be built, it would be an exempt development; and</w:t>
      </w:r>
    </w:p>
    <w:p w:rsidR="00BA29FF" w:rsidRDefault="00BA29FF">
      <w:pPr>
        <w:pStyle w:val="SchApara"/>
      </w:pPr>
      <w:r>
        <w:tab/>
        <w:t>(b)</w:t>
      </w:r>
      <w:r>
        <w:tab/>
        <w:t>the demolition of the building or structure complies with—</w:t>
      </w:r>
    </w:p>
    <w:p w:rsidR="00BA29FF" w:rsidRDefault="00BA29FF">
      <w:pPr>
        <w:pStyle w:val="SchAsubpara"/>
      </w:pPr>
      <w:r>
        <w:tab/>
        <w:t>(i)</w:t>
      </w:r>
      <w:r>
        <w:tab/>
        <w:t>the relevant rules in the Residential Zones Single Dwelling House Development Code; and</w:t>
      </w:r>
    </w:p>
    <w:p w:rsidR="00BA29FF" w:rsidRDefault="00BA29FF">
      <w:pPr>
        <w:pStyle w:val="aNotesubpar"/>
      </w:pPr>
      <w:r>
        <w:rPr>
          <w:i/>
          <w:iCs/>
        </w:rPr>
        <w:t>Note</w:t>
      </w:r>
      <w:r>
        <w:rPr>
          <w:i/>
          <w:iCs/>
        </w:rPr>
        <w:tab/>
      </w:r>
      <w:r>
        <w:rPr>
          <w:b/>
          <w:bCs/>
          <w:i/>
          <w:iCs/>
        </w:rPr>
        <w:t>Relevant rules</w:t>
      </w:r>
      <w:r>
        <w:t>—see the Act, dictionary.</w:t>
      </w:r>
    </w:p>
    <w:p w:rsidR="00BA29FF" w:rsidRDefault="00BA29FF">
      <w:pPr>
        <w:pStyle w:val="SchAsubpara"/>
      </w:pPr>
      <w:r>
        <w:tab/>
        <w:t>(ii)</w:t>
      </w:r>
      <w:r>
        <w:tab/>
        <w:t>the general exemption criteria that are applicable to the development.</w:t>
      </w:r>
    </w:p>
    <w:p w:rsidR="00BA29FF" w:rsidRDefault="00BA29FF">
      <w:pPr>
        <w:pStyle w:val="aNotesubpar"/>
      </w:pPr>
      <w:r>
        <w:rPr>
          <w:i/>
        </w:rPr>
        <w:t>Note</w:t>
      </w:r>
      <w:r>
        <w:rPr>
          <w:i/>
        </w:rPr>
        <w:tab/>
      </w:r>
      <w:r>
        <w:rPr>
          <w:b/>
          <w:bCs/>
          <w:i/>
          <w:iCs/>
        </w:rPr>
        <w:t>General exemption criteria</w:t>
      </w:r>
      <w:r>
        <w:t>—see s 1.10.</w:t>
      </w:r>
    </w:p>
    <w:p w:rsidR="00BA29FF" w:rsidRDefault="00BA29FF">
      <w:pPr>
        <w:pStyle w:val="Schclauseheading"/>
      </w:pPr>
      <w:bookmarkStart w:id="210" w:name="_Toc206921399"/>
      <w:r>
        <w:rPr>
          <w:rStyle w:val="CharSectNo"/>
        </w:rPr>
        <w:t>1.102</w:t>
      </w:r>
      <w:r>
        <w:tab/>
        <w:t>Temporary use of land for emergency services training etc</w:t>
      </w:r>
      <w:bookmarkEnd w:id="210"/>
      <w:r>
        <w:t xml:space="preserve"> </w:t>
      </w:r>
    </w:p>
    <w:p w:rsidR="00BA29FF" w:rsidRDefault="00BA29FF">
      <w:pPr>
        <w:pStyle w:val="SchAmain"/>
        <w:keepNext/>
      </w:pPr>
      <w:r>
        <w:tab/>
        <w:t>(1)</w:t>
      </w:r>
      <w:r>
        <w:tab/>
        <w:t>In this section:</w:t>
      </w:r>
    </w:p>
    <w:p w:rsidR="00BA29FF" w:rsidRDefault="00BA29FF">
      <w:pPr>
        <w:pStyle w:val="aDef"/>
        <w:keepNext/>
      </w:pPr>
      <w:r>
        <w:rPr>
          <w:b/>
          <w:i/>
        </w:rPr>
        <w:t>authorised entity</w:t>
      </w:r>
      <w:r>
        <w:t xml:space="preserve"> means—</w:t>
      </w:r>
    </w:p>
    <w:p w:rsidR="00BA29FF" w:rsidRDefault="00BA29FF">
      <w:pPr>
        <w:pStyle w:val="aDefpara"/>
      </w:pPr>
      <w:r>
        <w:tab/>
        <w:t>(a)</w:t>
      </w:r>
      <w:r>
        <w:tab/>
        <w:t>the Australian Defence Force; or</w:t>
      </w:r>
    </w:p>
    <w:p w:rsidR="00BA29FF" w:rsidRDefault="00BA29FF">
      <w:pPr>
        <w:pStyle w:val="aDefpara"/>
      </w:pPr>
      <w:r>
        <w:tab/>
        <w:t>(b)</w:t>
      </w:r>
      <w:r>
        <w:tab/>
        <w:t>the Australian Federal Police; or</w:t>
      </w:r>
    </w:p>
    <w:p w:rsidR="00BA29FF" w:rsidRDefault="00BA29FF">
      <w:pPr>
        <w:pStyle w:val="aDefpara"/>
        <w:keepNext/>
      </w:pPr>
      <w:r>
        <w:tab/>
        <w:t>(c)</w:t>
      </w:r>
      <w:r>
        <w:tab/>
        <w:t>an emergency service; or</w:t>
      </w:r>
    </w:p>
    <w:p w:rsidR="00BA29FF" w:rsidRDefault="00BA29FF">
      <w:pPr>
        <w:pStyle w:val="aNotepar"/>
        <w:keepNext/>
      </w:pPr>
      <w:r>
        <w:rPr>
          <w:i/>
        </w:rPr>
        <w:t>Note</w:t>
      </w:r>
      <w:r>
        <w:rPr>
          <w:i/>
        </w:rPr>
        <w:tab/>
      </w:r>
      <w:r>
        <w:rPr>
          <w:b/>
          <w:bCs/>
          <w:i/>
          <w:iCs/>
        </w:rPr>
        <w:t>Emergency service</w:t>
      </w:r>
      <w:r>
        <w:t>—see the Legislation Act, dictionary, part 1.</w:t>
      </w:r>
    </w:p>
    <w:p w:rsidR="00BA29FF" w:rsidRDefault="00BA29FF">
      <w:pPr>
        <w:pStyle w:val="aDefpara"/>
      </w:pPr>
      <w:r>
        <w:tab/>
        <w:t>(d)</w:t>
      </w:r>
      <w:r>
        <w:tab/>
        <w:t>any other Territory, Commonwealth or State entity authorised in writing by the planning and land authority.</w:t>
      </w:r>
    </w:p>
    <w:p w:rsidR="00BA29FF" w:rsidRDefault="00BA29FF">
      <w:pPr>
        <w:pStyle w:val="aDef"/>
        <w:keepNext/>
      </w:pPr>
      <w:r>
        <w:rPr>
          <w:b/>
          <w:i/>
        </w:rPr>
        <w:t>notifiable activity</w:t>
      </w:r>
      <w:r>
        <w:t>, in relation to a block of land, means—</w:t>
      </w:r>
    </w:p>
    <w:p w:rsidR="00BA29FF" w:rsidRDefault="00BA29FF">
      <w:pPr>
        <w:pStyle w:val="aDefpara"/>
      </w:pPr>
      <w:r>
        <w:tab/>
        <w:t>(a)</w:t>
      </w:r>
      <w:r>
        <w:tab/>
        <w:t>damaging a building or structure on the land; or</w:t>
      </w:r>
    </w:p>
    <w:p w:rsidR="00BA29FF" w:rsidRDefault="00BA29FF">
      <w:pPr>
        <w:pStyle w:val="aDefpara"/>
      </w:pPr>
      <w:r>
        <w:tab/>
        <w:t>(b)</w:t>
      </w:r>
      <w:r>
        <w:tab/>
        <w:t>simulating a violent incident in relation to the land; or</w:t>
      </w:r>
    </w:p>
    <w:p w:rsidR="00BA29FF" w:rsidRDefault="00BA29FF">
      <w:pPr>
        <w:pStyle w:val="aDefpara"/>
      </w:pPr>
      <w:r>
        <w:tab/>
        <w:t>(c)</w:t>
      </w:r>
      <w:r>
        <w:tab/>
        <w:t>simulating an emergency response in relation to the land.</w:t>
      </w:r>
    </w:p>
    <w:p w:rsidR="00BA29FF" w:rsidRDefault="00BA29FF">
      <w:pPr>
        <w:pStyle w:val="SchAmain"/>
      </w:pPr>
      <w:r>
        <w:lastRenderedPageBreak/>
        <w:tab/>
        <w:t>(2)</w:t>
      </w:r>
      <w:r>
        <w:tab/>
        <w:t xml:space="preserve">A designated development for the use of land for training or testing of things by an authorised entity if— </w:t>
      </w:r>
    </w:p>
    <w:p w:rsidR="00BA29FF" w:rsidRDefault="00BA29FF">
      <w:pPr>
        <w:pStyle w:val="SchApara"/>
      </w:pPr>
      <w:r>
        <w:tab/>
        <w:t>(a)</w:t>
      </w:r>
      <w:r>
        <w:tab/>
        <w:t>if the training or testing includes a notifiable activity—</w:t>
      </w:r>
    </w:p>
    <w:p w:rsidR="00BA29FF" w:rsidRDefault="00BA29FF">
      <w:pPr>
        <w:pStyle w:val="SchAsubpara"/>
      </w:pPr>
      <w:r>
        <w:tab/>
        <w:t>(i)</w:t>
      </w:r>
      <w:r>
        <w:tab/>
        <w:t>the training or testing is carried out on the land during ordinary business hours on not more than 2 consecutive days in any year; and</w:t>
      </w:r>
    </w:p>
    <w:p w:rsidR="00BA29FF" w:rsidRDefault="00BA29FF">
      <w:pPr>
        <w:pStyle w:val="SchAsubpara"/>
        <w:keepNext/>
      </w:pPr>
      <w:r>
        <w:tab/>
        <w:t>(ii)</w:t>
      </w:r>
      <w:r>
        <w:tab/>
        <w:t>at least 5 days before the day the training or testing is to be carried out, the authorised entity gives written notice of the following to the occupier of each place (other than unleased land) adjoining the land:</w:t>
      </w:r>
    </w:p>
    <w:p w:rsidR="00BA29FF" w:rsidRDefault="00BA29FF">
      <w:pPr>
        <w:pStyle w:val="SchAsubsubpara"/>
      </w:pPr>
      <w:r>
        <w:tab/>
        <w:t>(A)</w:t>
      </w:r>
      <w:r>
        <w:tab/>
        <w:t xml:space="preserve">when the training or testing will be carried out; </w:t>
      </w:r>
    </w:p>
    <w:p w:rsidR="00BA29FF" w:rsidRDefault="00BA29FF">
      <w:pPr>
        <w:pStyle w:val="SchAsubsubpara"/>
      </w:pPr>
      <w:r>
        <w:tab/>
        <w:t>(B)</w:t>
      </w:r>
      <w:r>
        <w:tab/>
        <w:t>the general nature of the training or testing; and</w:t>
      </w:r>
    </w:p>
    <w:p w:rsidR="00BA29FF" w:rsidRDefault="00BA29FF">
      <w:pPr>
        <w:pStyle w:val="aNotesubpar"/>
      </w:pPr>
      <w:r>
        <w:rPr>
          <w:i/>
        </w:rPr>
        <w:t>Note</w:t>
      </w:r>
      <w:r>
        <w:rPr>
          <w:i/>
        </w:rPr>
        <w:tab/>
      </w:r>
      <w:r>
        <w:t>For how documents may be given, see the Legislation Act, pt 19.5.</w:t>
      </w:r>
    </w:p>
    <w:p w:rsidR="00BA29FF" w:rsidRDefault="00BA29FF">
      <w:pPr>
        <w:pStyle w:val="SchApara"/>
        <w:keepNext/>
      </w:pPr>
      <w:r>
        <w:tab/>
        <w:t>(b)</w:t>
      </w:r>
      <w:r>
        <w:tab/>
        <w:t>the designated development or use complies with the general exemption criteria that are applicable to the development.</w:t>
      </w:r>
    </w:p>
    <w:p w:rsidR="00BA29FF" w:rsidRDefault="00BA29FF">
      <w:pPr>
        <w:pStyle w:val="aNote"/>
        <w:rPr>
          <w:iCs/>
        </w:rPr>
      </w:pPr>
      <w:r>
        <w:rPr>
          <w:i/>
        </w:rPr>
        <w:t>Note 1</w:t>
      </w:r>
      <w:r>
        <w:rPr>
          <w:i/>
        </w:rPr>
        <w:tab/>
      </w:r>
      <w:r>
        <w:rPr>
          <w:b/>
          <w:bCs/>
          <w:i/>
        </w:rPr>
        <w:t>Designated development</w:t>
      </w:r>
      <w:r>
        <w:rPr>
          <w:iCs/>
        </w:rPr>
        <w:t>—see s 1.2.</w:t>
      </w:r>
    </w:p>
    <w:p w:rsidR="00BA29FF" w:rsidRDefault="00BA29FF">
      <w:pPr>
        <w:pStyle w:val="aNote"/>
        <w:rPr>
          <w:iCs/>
        </w:rPr>
      </w:pPr>
      <w:r>
        <w:rPr>
          <w:i/>
        </w:rPr>
        <w:t>Note 2</w:t>
      </w:r>
      <w:r>
        <w:rPr>
          <w:i/>
        </w:rPr>
        <w:tab/>
      </w:r>
      <w:r>
        <w:rPr>
          <w:b/>
          <w:bCs/>
          <w:i/>
        </w:rPr>
        <w:t>General exemption criteria</w:t>
      </w:r>
      <w:r>
        <w:rPr>
          <w:iCs/>
        </w:rPr>
        <w:t xml:space="preserve">—see s </w:t>
      </w:r>
      <w:r>
        <w:t>1.10</w:t>
      </w:r>
      <w:r>
        <w:rPr>
          <w:iCs/>
        </w:rPr>
        <w:t>.</w:t>
      </w:r>
    </w:p>
    <w:p w:rsidR="00BA29FF" w:rsidRDefault="00BA29FF">
      <w:pPr>
        <w:pStyle w:val="aNote"/>
      </w:pPr>
      <w:r>
        <w:rPr>
          <w:i/>
        </w:rPr>
        <w:t>Note 3</w:t>
      </w:r>
      <w:r>
        <w:rPr>
          <w:i/>
        </w:rPr>
        <w:tab/>
      </w:r>
      <w:r>
        <w:rPr>
          <w:b/>
          <w:bCs/>
          <w:i/>
          <w:iCs/>
        </w:rPr>
        <w:t>Use</w:t>
      </w:r>
      <w:r>
        <w:t xml:space="preserve"> land—see the Act, s 8.</w:t>
      </w:r>
    </w:p>
    <w:p w:rsidR="00BA29FF" w:rsidRDefault="00BA29FF">
      <w:pPr>
        <w:pStyle w:val="Schclauseheading"/>
      </w:pPr>
      <w:bookmarkStart w:id="211" w:name="_Toc206921400"/>
      <w:r>
        <w:rPr>
          <w:rStyle w:val="CharSectNo"/>
        </w:rPr>
        <w:t>1.103</w:t>
      </w:r>
      <w:r>
        <w:tab/>
        <w:t>Utility and telecommunications services</w:t>
      </w:r>
      <w:bookmarkEnd w:id="211"/>
    </w:p>
    <w:p w:rsidR="00BA29FF" w:rsidRDefault="00BA29FF">
      <w:pPr>
        <w:pStyle w:val="SchAmain"/>
        <w:keepNext/>
      </w:pPr>
      <w:r>
        <w:tab/>
        <w:t>(1)</w:t>
      </w:r>
      <w:r>
        <w:tab/>
        <w:t>The following developments if the development complies with the general exemption criteria that are applicable to the development:</w:t>
      </w:r>
    </w:p>
    <w:p w:rsidR="00BA29FF" w:rsidRDefault="00BA29FF">
      <w:pPr>
        <w:pStyle w:val="SchApara"/>
      </w:pPr>
      <w:r>
        <w:tab/>
        <w:t>(a)</w:t>
      </w:r>
      <w:r>
        <w:tab/>
        <w:t>the installation of a connection of not more than 50m connecting a consumer’s premises to an electricity, water, sewerage, stormwater, gas or telecommunications service;</w:t>
      </w:r>
    </w:p>
    <w:p w:rsidR="00BA29FF" w:rsidRDefault="00BA29FF">
      <w:pPr>
        <w:pStyle w:val="SchApara"/>
      </w:pPr>
      <w:r>
        <w:tab/>
        <w:t>(b)</w:t>
      </w:r>
      <w:r>
        <w:tab/>
        <w:t>the installation of an electricity, water, sewerage, gas or telecommunications service in accordance with an approved estate development plan;</w:t>
      </w:r>
    </w:p>
    <w:p w:rsidR="00BA29FF" w:rsidRDefault="00BA29FF">
      <w:pPr>
        <w:pStyle w:val="SchApara"/>
        <w:keepNext/>
      </w:pPr>
      <w:r>
        <w:lastRenderedPageBreak/>
        <w:tab/>
        <w:t>(c)</w:t>
      </w:r>
      <w:r>
        <w:tab/>
        <w:t>maintenance carried out only to maintain an electricity, water, sewerage, stormwater, gas or telecommunications service.</w:t>
      </w:r>
    </w:p>
    <w:p w:rsidR="00BA29FF" w:rsidRDefault="00BA29FF">
      <w:pPr>
        <w:pStyle w:val="aNote"/>
      </w:pPr>
      <w:r>
        <w:rPr>
          <w:i/>
        </w:rPr>
        <w:t>Note 1</w:t>
      </w:r>
      <w:r>
        <w:rPr>
          <w:i/>
        </w:rPr>
        <w:tab/>
      </w:r>
      <w:r>
        <w:rPr>
          <w:b/>
          <w:bCs/>
          <w:i/>
          <w:iCs/>
        </w:rPr>
        <w:t>General exemption criteria</w:t>
      </w:r>
      <w:r>
        <w:rPr>
          <w:iCs/>
        </w:rPr>
        <w:t xml:space="preserve">—see s </w:t>
      </w:r>
      <w:r>
        <w:t>1.10.</w:t>
      </w:r>
      <w:r>
        <w:tab/>
      </w:r>
    </w:p>
    <w:p w:rsidR="00BA29FF" w:rsidRDefault="00BA29FF">
      <w:pPr>
        <w:pStyle w:val="aNote"/>
      </w:pPr>
      <w:r>
        <w:rPr>
          <w:i/>
        </w:rPr>
        <w:t>Note 2</w:t>
      </w:r>
      <w:r>
        <w:rPr>
          <w:i/>
        </w:rPr>
        <w:tab/>
      </w:r>
      <w:r>
        <w:rPr>
          <w:b/>
          <w:bCs/>
          <w:i/>
          <w:iCs/>
        </w:rPr>
        <w:t>Estate development plan</w:t>
      </w:r>
      <w:r>
        <w:t>—see the Act, s 94.</w:t>
      </w:r>
    </w:p>
    <w:p w:rsidR="00BA29FF" w:rsidRDefault="00BA29FF">
      <w:pPr>
        <w:pStyle w:val="SchAmain"/>
        <w:keepNext/>
      </w:pPr>
      <w:r>
        <w:tab/>
        <w:t>(2)</w:t>
      </w:r>
      <w:r>
        <w:tab/>
        <w:t>In this section:</w:t>
      </w:r>
    </w:p>
    <w:p w:rsidR="00BA29FF" w:rsidRDefault="00BA29FF">
      <w:pPr>
        <w:pStyle w:val="aDef"/>
      </w:pPr>
      <w:r>
        <w:rPr>
          <w:b/>
          <w:i/>
        </w:rPr>
        <w:t>premises</w:t>
      </w:r>
      <w:r>
        <w:t xml:space="preserve"> includes land.</w:t>
      </w:r>
    </w:p>
    <w:p w:rsidR="00BA29FF" w:rsidRDefault="00BA29FF">
      <w:pPr>
        <w:pStyle w:val="Schclauseheading"/>
      </w:pPr>
      <w:bookmarkStart w:id="212" w:name="_Toc206921401"/>
      <w:r>
        <w:rPr>
          <w:rStyle w:val="CharSectNo"/>
        </w:rPr>
        <w:t>1.104</w:t>
      </w:r>
      <w:r>
        <w:tab/>
        <w:t>Landscape gardening</w:t>
      </w:r>
      <w:bookmarkEnd w:id="212"/>
    </w:p>
    <w:p w:rsidR="00BA29FF" w:rsidRDefault="00BA29FF">
      <w:pPr>
        <w:pStyle w:val="SchAmain"/>
      </w:pPr>
      <w:r>
        <w:tab/>
        <w:t>(1)</w:t>
      </w:r>
      <w:r>
        <w:tab/>
        <w:t>Landscape gardening, other than the construction of a retaining wall, that affects the landscape of land if—</w:t>
      </w:r>
    </w:p>
    <w:p w:rsidR="00BA29FF" w:rsidRDefault="00BA29FF">
      <w:pPr>
        <w:pStyle w:val="SchApara"/>
      </w:pPr>
      <w:r>
        <w:tab/>
        <w:t>(a)</w:t>
      </w:r>
      <w:r>
        <w:tab/>
        <w:t>the landscape gardening is—</w:t>
      </w:r>
    </w:p>
    <w:p w:rsidR="00BA29FF" w:rsidRDefault="00BA29FF">
      <w:pPr>
        <w:pStyle w:val="SchAsubpara"/>
      </w:pPr>
      <w:r>
        <w:tab/>
        <w:t>(i)</w:t>
      </w:r>
      <w:r>
        <w:tab/>
        <w:t>on land leased for residential purposes; or</w:t>
      </w:r>
    </w:p>
    <w:p w:rsidR="00BA29FF" w:rsidRDefault="00BA29FF">
      <w:pPr>
        <w:pStyle w:val="SchAsubpara"/>
      </w:pPr>
      <w:r>
        <w:tab/>
        <w:t>(ii)</w:t>
      </w:r>
      <w:r>
        <w:tab/>
        <w:t>prescribed landscaping (whether or not the land is leased for residential purposes); and</w:t>
      </w:r>
    </w:p>
    <w:p w:rsidR="00BA29FF" w:rsidRDefault="00BA29FF">
      <w:pPr>
        <w:pStyle w:val="aNotesubpar"/>
      </w:pPr>
      <w:r>
        <w:rPr>
          <w:i/>
        </w:rPr>
        <w:t>Note</w:t>
      </w:r>
      <w:r>
        <w:rPr>
          <w:i/>
        </w:rPr>
        <w:tab/>
      </w:r>
      <w:r>
        <w:rPr>
          <w:b/>
          <w:bCs/>
          <w:i/>
          <w:iCs/>
        </w:rPr>
        <w:t>Prescribed landscaping</w:t>
      </w:r>
      <w:r>
        <w:t>—see s (3).</w:t>
      </w:r>
    </w:p>
    <w:p w:rsidR="00BA29FF" w:rsidRDefault="00BA29FF">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BA29FF" w:rsidRDefault="00BA29FF">
      <w:pPr>
        <w:pStyle w:val="SchApara"/>
        <w:keepNext/>
      </w:pPr>
      <w:r>
        <w:tab/>
        <w:t>(c)</w:t>
      </w:r>
      <w:r>
        <w:tab/>
        <w:t>the landscape gardening complies with the general exemption criteria that are applicable to the development.</w:t>
      </w:r>
    </w:p>
    <w:p w:rsidR="00BA29FF" w:rsidRDefault="00BA29FF">
      <w:pPr>
        <w:pStyle w:val="aNote"/>
      </w:pPr>
      <w:r>
        <w:rPr>
          <w:i/>
        </w:rPr>
        <w:t>Note 1</w:t>
      </w:r>
      <w:r>
        <w:rPr>
          <w:i/>
        </w:rPr>
        <w:tab/>
      </w:r>
      <w:r>
        <w:rPr>
          <w:b/>
          <w:bCs/>
          <w:i/>
          <w:iCs/>
        </w:rPr>
        <w:t>General exemption criteria</w:t>
      </w:r>
      <w:r>
        <w:rPr>
          <w:iCs/>
        </w:rPr>
        <w:t xml:space="preserve">—see s </w:t>
      </w:r>
      <w:r>
        <w:t>1.10.</w:t>
      </w:r>
    </w:p>
    <w:p w:rsidR="00BA29FF" w:rsidRDefault="00BA29FF">
      <w:pPr>
        <w:pStyle w:val="aNote"/>
      </w:pPr>
      <w:r>
        <w:rPr>
          <w:i/>
          <w:iCs/>
        </w:rPr>
        <w:t>Note 2</w:t>
      </w:r>
      <w:r>
        <w:rPr>
          <w:i/>
          <w:iCs/>
        </w:rPr>
        <w:tab/>
      </w:r>
      <w:r>
        <w:t>For retaining walls generally, see s 1.53.  (Other provisions, eg decks (see s 1.48) and swimming pools (see s 1.54) may be relevant.)</w:t>
      </w:r>
    </w:p>
    <w:p w:rsidR="00BA29FF" w:rsidRDefault="00BA29FF">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BA29FF" w:rsidRDefault="00BA29FF">
      <w:pPr>
        <w:pStyle w:val="SchAmain"/>
      </w:pPr>
      <w:r>
        <w:tab/>
        <w:t>(2)</w:t>
      </w:r>
      <w:r>
        <w:tab/>
        <w:t>For subsection (1) (c), section 1.11 (Criterion 1—easement and other access clearances) does not apply to the landscape gardening if it does not involve the construction or installation of a structure.</w:t>
      </w:r>
    </w:p>
    <w:p w:rsidR="00BA29FF" w:rsidRDefault="00BA29FF">
      <w:pPr>
        <w:pStyle w:val="SchAmain"/>
        <w:keepNext/>
      </w:pPr>
      <w:r>
        <w:lastRenderedPageBreak/>
        <w:tab/>
        <w:t>(3)</w:t>
      </w:r>
      <w:r>
        <w:tab/>
        <w:t>In this section:</w:t>
      </w:r>
    </w:p>
    <w:p w:rsidR="00BA29FF" w:rsidRDefault="00BA29FF">
      <w:pPr>
        <w:pStyle w:val="aDef"/>
        <w:keepNext/>
      </w:pPr>
      <w:r>
        <w:rPr>
          <w:b/>
          <w:i/>
        </w:rPr>
        <w:t>prescribed landscaping</w:t>
      </w:r>
      <w:r>
        <w:t xml:space="preserve"> means landscaping in relation to any of the following:</w:t>
      </w:r>
    </w:p>
    <w:p w:rsidR="00BA29FF" w:rsidRDefault="00BA29FF">
      <w:pPr>
        <w:pStyle w:val="aDefpara"/>
      </w:pPr>
      <w:r>
        <w:tab/>
        <w:t>(a)</w:t>
      </w:r>
      <w:r>
        <w:tab/>
        <w:t>a footpath;</w:t>
      </w:r>
    </w:p>
    <w:p w:rsidR="00BA29FF" w:rsidRDefault="00BA29FF">
      <w:pPr>
        <w:pStyle w:val="aDefpara"/>
      </w:pPr>
      <w:r>
        <w:tab/>
        <w:t>(b)</w:t>
      </w:r>
      <w:r>
        <w:tab/>
        <w:t>a landing;</w:t>
      </w:r>
    </w:p>
    <w:p w:rsidR="00BA29FF" w:rsidRDefault="00BA29FF">
      <w:pPr>
        <w:pStyle w:val="aDefpara"/>
      </w:pPr>
      <w:r>
        <w:tab/>
        <w:t>(c)</w:t>
      </w:r>
      <w:r>
        <w:tab/>
        <w:t>any other landscape structure (other than a retaining wall), or earthworks, if the vertical distance from the top of the structure or earthworks to natural ground level is not more than—</w:t>
      </w:r>
    </w:p>
    <w:p w:rsidR="00BA29FF" w:rsidRDefault="00BA29FF">
      <w:pPr>
        <w:pStyle w:val="aDefsubpara"/>
      </w:pPr>
      <w:r>
        <w:tab/>
        <w:t>(i)</w:t>
      </w:r>
      <w:r>
        <w:tab/>
        <w:t>if the top of the structure or earthworks is above the natural ground level—0.4m; or</w:t>
      </w:r>
    </w:p>
    <w:p w:rsidR="00BA29FF" w:rsidRDefault="00BA29FF">
      <w:pPr>
        <w:pStyle w:val="aDefsubpara"/>
      </w:pPr>
      <w:r>
        <w:tab/>
        <w:t>(ii)</w:t>
      </w:r>
      <w:r>
        <w:tab/>
        <w:t>if the top of the structure or earthworks is below finished ground level—1.2m.</w:t>
      </w:r>
    </w:p>
    <w:p w:rsidR="00BA29FF" w:rsidRDefault="00BA29FF">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BA29FF" w:rsidRDefault="00BA29FF">
      <w:pPr>
        <w:pStyle w:val="Schclauseheading"/>
      </w:pPr>
      <w:bookmarkStart w:id="213" w:name="_Toc206921402"/>
      <w:r>
        <w:rPr>
          <w:rStyle w:val="CharSectNo"/>
        </w:rPr>
        <w:t>1.105</w:t>
      </w:r>
      <w:r>
        <w:tab/>
        <w:t>Works under Water Resources Act by non-territory entities</w:t>
      </w:r>
      <w:bookmarkEnd w:id="213"/>
    </w:p>
    <w:p w:rsidR="00BA29FF" w:rsidRDefault="00BA29FF">
      <w:pPr>
        <w:pStyle w:val="SchAmain"/>
        <w:keepNext/>
      </w:pPr>
      <w:r>
        <w:tab/>
        <w:t>(1)</w:t>
      </w:r>
      <w:r>
        <w:tab/>
        <w:t>A designated development if—</w:t>
      </w:r>
    </w:p>
    <w:p w:rsidR="00BA29FF" w:rsidRDefault="00BA29FF">
      <w:pPr>
        <w:pStyle w:val="SchApara"/>
        <w:keepNext/>
      </w:pPr>
      <w:r>
        <w:tab/>
        <w:t>(a)</w:t>
      </w:r>
      <w:r>
        <w:tab/>
        <w:t xml:space="preserve">the development is to give effect to a direction under any of the following provisions of the </w:t>
      </w:r>
      <w:r>
        <w:rPr>
          <w:i/>
          <w:iCs/>
        </w:rPr>
        <w:t>Water Resources Act 2007</w:t>
      </w:r>
      <w:r>
        <w:t>:</w:t>
      </w:r>
    </w:p>
    <w:p w:rsidR="00BA29FF" w:rsidRDefault="00BA29FF">
      <w:pPr>
        <w:pStyle w:val="SchAsubpara"/>
      </w:pPr>
      <w:r>
        <w:tab/>
        <w:t>(i)</w:t>
      </w:r>
      <w:r>
        <w:tab/>
        <w:t>section 72 (1) (Direction to modify or remove water structure);</w:t>
      </w:r>
    </w:p>
    <w:p w:rsidR="00BA29FF" w:rsidRDefault="00BA29FF">
      <w:pPr>
        <w:pStyle w:val="SchAsubpara"/>
      </w:pPr>
      <w:r>
        <w:tab/>
        <w:t>(ii)</w:t>
      </w:r>
      <w:r>
        <w:tab/>
        <w:t>section 73 (2) Direction to rectify effect of unauthorised activity etc);</w:t>
      </w:r>
    </w:p>
    <w:p w:rsidR="00BA29FF" w:rsidRDefault="00BA29FF">
      <w:pPr>
        <w:pStyle w:val="SchAsubpara"/>
      </w:pPr>
      <w:r>
        <w:tab/>
        <w:t>(iii)</w:t>
      </w:r>
      <w:r>
        <w:tab/>
        <w:t>section 74 (2) (Direction to prevent or rectify damage to bed or bank of waterway); and</w:t>
      </w:r>
    </w:p>
    <w:p w:rsidR="00BA29FF" w:rsidRDefault="00BA29FF">
      <w:pPr>
        <w:pStyle w:val="SchApara"/>
        <w:keepNext/>
      </w:pPr>
      <w:r>
        <w:lastRenderedPageBreak/>
        <w:tab/>
        <w:t>(b)</w:t>
      </w:r>
      <w:r>
        <w:tab/>
        <w:t>the designated development complies with the general exemption criteria that are applicable to the development.</w:t>
      </w:r>
    </w:p>
    <w:p w:rsidR="00BA29FF" w:rsidRDefault="00BA29FF">
      <w:pPr>
        <w:pStyle w:val="aNote"/>
        <w:keepNext/>
      </w:pPr>
      <w:r>
        <w:rPr>
          <w:i/>
        </w:rPr>
        <w:t>Note 1</w:t>
      </w:r>
      <w:r>
        <w:rPr>
          <w:i/>
        </w:rPr>
        <w:tab/>
      </w:r>
      <w:r>
        <w:rPr>
          <w:b/>
          <w:bCs/>
          <w:i/>
        </w:rPr>
        <w:t>Designated development</w:t>
      </w:r>
      <w:r>
        <w:rPr>
          <w:iCs/>
        </w:rPr>
        <w:t>—see s 1.2.</w:t>
      </w:r>
    </w:p>
    <w:p w:rsidR="00BA29FF" w:rsidRDefault="00BA29FF">
      <w:pPr>
        <w:pStyle w:val="aNote"/>
      </w:pPr>
      <w:r>
        <w:rPr>
          <w:i/>
        </w:rPr>
        <w:t>Note 2</w:t>
      </w:r>
      <w:r>
        <w:rPr>
          <w:i/>
        </w:rPr>
        <w:tab/>
      </w:r>
      <w:r>
        <w:rPr>
          <w:b/>
          <w:bCs/>
          <w:i/>
        </w:rPr>
        <w:t>General exemption criteria</w:t>
      </w:r>
      <w:r>
        <w:rPr>
          <w:iCs/>
        </w:rPr>
        <w:t xml:space="preserve">—see s </w:t>
      </w:r>
      <w:r>
        <w:t>1.10</w:t>
      </w:r>
      <w:r>
        <w:rPr>
          <w:iCs/>
        </w:rPr>
        <w:t>.</w:t>
      </w:r>
    </w:p>
    <w:p w:rsidR="00BA29FF" w:rsidRDefault="00BA29FF">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BA29FF" w:rsidRDefault="00BA29FF">
      <w:pPr>
        <w:pStyle w:val="Schclauseheading"/>
      </w:pPr>
      <w:bookmarkStart w:id="214" w:name="_Toc206921403"/>
      <w:r>
        <w:rPr>
          <w:rStyle w:val="CharSectNo"/>
        </w:rPr>
        <w:t>1.108</w:t>
      </w:r>
      <w:r>
        <w:tab/>
        <w:t>Home businesses conducted from residential leases</w:t>
      </w:r>
      <w:bookmarkEnd w:id="214"/>
    </w:p>
    <w:p w:rsidR="00BA29FF" w:rsidRDefault="00BA29FF">
      <w:pPr>
        <w:pStyle w:val="SchAmain"/>
        <w:keepNext/>
      </w:pPr>
      <w:r>
        <w:tab/>
        <w:t>(1)</w:t>
      </w:r>
      <w:r>
        <w:tab/>
        <w:t>The conduct of a home business from a residential lease if—</w:t>
      </w:r>
    </w:p>
    <w:p w:rsidR="00BA29FF" w:rsidRDefault="00BA29FF">
      <w:pPr>
        <w:pStyle w:val="aNote"/>
      </w:pPr>
      <w:r>
        <w:rPr>
          <w:i/>
        </w:rPr>
        <w:t>Note</w:t>
      </w:r>
      <w:r>
        <w:rPr>
          <w:i/>
        </w:rPr>
        <w:tab/>
      </w:r>
      <w:r>
        <w:rPr>
          <w:b/>
          <w:bCs/>
          <w:i/>
          <w:iCs/>
        </w:rPr>
        <w:t>Residential lease</w:t>
      </w:r>
      <w:r>
        <w:t>—see the Act, s 234.</w:t>
      </w:r>
    </w:p>
    <w:p w:rsidR="00BA29FF" w:rsidRDefault="00BA29FF">
      <w:pPr>
        <w:pStyle w:val="SchApara"/>
      </w:pPr>
      <w:r>
        <w:tab/>
        <w:t>(a)</w:t>
      </w:r>
      <w:r>
        <w:tab/>
        <w:t>not more than 2 people work on the lease at any time; and</w:t>
      </w:r>
    </w:p>
    <w:p w:rsidR="00BA29FF" w:rsidRDefault="00BA29FF">
      <w:pPr>
        <w:pStyle w:val="SchApara"/>
      </w:pPr>
      <w:r>
        <w:tab/>
        <w:t>(b)</w:t>
      </w:r>
      <w:r>
        <w:tab/>
        <w:t>anyone who works on the lease in the business genuinely lives on the lease; and</w:t>
      </w:r>
    </w:p>
    <w:p w:rsidR="00BA29FF" w:rsidRDefault="00BA29FF">
      <w:pPr>
        <w:pStyle w:val="SchApara"/>
      </w:pPr>
      <w:r>
        <w:tab/>
        <w:t>(c)</w:t>
      </w:r>
      <w:r>
        <w:tab/>
        <w:t>all goods and materials relating to the business (other than goods or materials kept on another lease) must be kept—</w:t>
      </w:r>
    </w:p>
    <w:p w:rsidR="00BA29FF" w:rsidRDefault="00BA29FF">
      <w:pPr>
        <w:pStyle w:val="SchAsubpara"/>
      </w:pPr>
      <w:r>
        <w:tab/>
        <w:t>(i)</w:t>
      </w:r>
      <w:r>
        <w:tab/>
        <w:t>in buildings or structures that are lawfully on the lease; and</w:t>
      </w:r>
    </w:p>
    <w:p w:rsidR="00BA29FF" w:rsidRDefault="00BA29FF">
      <w:pPr>
        <w:pStyle w:val="SchAsubpara"/>
      </w:pPr>
      <w:r>
        <w:tab/>
        <w:t>(ii)</w:t>
      </w:r>
      <w:r>
        <w:tab/>
        <w:t>in a way that the goods and materials cannot be seen from outside the lease; and</w:t>
      </w:r>
    </w:p>
    <w:p w:rsidR="00BA29FF" w:rsidRDefault="00BA29FF">
      <w:pPr>
        <w:pStyle w:val="aExamHdgpar"/>
      </w:pPr>
      <w:r>
        <w:t>Examples—building or structure lawfully on lease—subpar (i)</w:t>
      </w:r>
    </w:p>
    <w:p w:rsidR="00BA29FF" w:rsidRDefault="00BA29FF">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BA29FF" w:rsidRDefault="00BA29FF">
      <w:pPr>
        <w:pStyle w:val="aExamINumpar"/>
        <w:tabs>
          <w:tab w:val="left" w:pos="1960"/>
        </w:tabs>
        <w:ind w:left="1960" w:hanging="360"/>
      </w:pPr>
      <w:r>
        <w:t>2</w:t>
      </w:r>
      <w:r>
        <w:tab/>
        <w:t>an ex-government house that did not require building approval for its construction</w:t>
      </w:r>
    </w:p>
    <w:p w:rsidR="00BA29FF" w:rsidRDefault="00BA29FF">
      <w:pPr>
        <w:pStyle w:val="aExamHdgpar"/>
      </w:pPr>
      <w:r>
        <w:t>Example—building not lawfully on lease—subpar (i)</w:t>
      </w:r>
    </w:p>
    <w:p w:rsidR="00BA29FF" w:rsidRDefault="00BA29FF">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xml:space="preserve">.  It is </w:t>
      </w:r>
      <w:r>
        <w:lastRenderedPageBreak/>
        <w:t>lawful.  However, the shed is subsequentially altered in a way that makes it not exempt under 1 of the Acts.  The shed is then not lawfully on the lease.</w:t>
      </w:r>
    </w:p>
    <w:p w:rsidR="00BA29FF" w:rsidRDefault="00BA29FF">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BA29FF" w:rsidRDefault="00BA29FF">
      <w:pPr>
        <w:pStyle w:val="SchApara"/>
      </w:pPr>
      <w:r>
        <w:tab/>
        <w:t>(d)</w:t>
      </w:r>
      <w:r>
        <w:tab/>
        <w:t>the area of the lease used for the business (including storage) is not more than 40m</w:t>
      </w:r>
      <w:r>
        <w:rPr>
          <w:vertAlign w:val="superscript"/>
        </w:rPr>
        <w:t>2</w:t>
      </w:r>
      <w:r>
        <w:t>; and</w:t>
      </w:r>
    </w:p>
    <w:p w:rsidR="00BA29FF" w:rsidRDefault="00BA29FF">
      <w:pPr>
        <w:pStyle w:val="SchApara"/>
      </w:pPr>
      <w:r>
        <w:tab/>
        <w:t>(e)</w:t>
      </w:r>
      <w:r>
        <w:tab/>
        <w:t>any vehicles at the lease for the purposes of the business are parked—</w:t>
      </w:r>
    </w:p>
    <w:p w:rsidR="00BA29FF" w:rsidRDefault="00BA29FF">
      <w:pPr>
        <w:pStyle w:val="SchAsubpara"/>
      </w:pPr>
      <w:r>
        <w:tab/>
        <w:t>(i)</w:t>
      </w:r>
      <w:r>
        <w:tab/>
        <w:t>on the lease in a driveway, garage, carport or location screened from any part of the road on which the lease is located; or</w:t>
      </w:r>
    </w:p>
    <w:p w:rsidR="00BA29FF" w:rsidRDefault="00BA29FF">
      <w:pPr>
        <w:pStyle w:val="SchAsubpara"/>
      </w:pPr>
      <w:r>
        <w:tab/>
        <w:t>(ii)</w:t>
      </w:r>
      <w:r>
        <w:tab/>
        <w:t xml:space="preserve">if the business is operated from a unit under the </w:t>
      </w:r>
      <w:r>
        <w:rPr>
          <w:i/>
          <w:iCs/>
        </w:rPr>
        <w:t>Unit Titles Act 2001</w:t>
      </w:r>
      <w:r>
        <w:t>—in parking for the unit; and</w:t>
      </w:r>
    </w:p>
    <w:p w:rsidR="00BA29FF" w:rsidRDefault="00BA29FF">
      <w:pPr>
        <w:pStyle w:val="SchApara"/>
      </w:pPr>
      <w:r>
        <w:tab/>
        <w:t>(f)</w:t>
      </w:r>
      <w:r>
        <w:tab/>
        <w:t xml:space="preserve">the conduct of the business complies with the </w:t>
      </w:r>
      <w:r>
        <w:rPr>
          <w:i/>
          <w:iCs/>
        </w:rPr>
        <w:t>Environment Protection Act 1997</w:t>
      </w:r>
      <w:r>
        <w:t>; and</w:t>
      </w:r>
    </w:p>
    <w:p w:rsidR="00BA29FF" w:rsidRDefault="00BA29FF">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BA29FF" w:rsidRDefault="00BA29FF">
      <w:pPr>
        <w:pStyle w:val="SchApara"/>
      </w:pPr>
      <w:r>
        <w:tab/>
        <w:t>(g)</w:t>
      </w:r>
      <w:r>
        <w:tab/>
        <w:t>averaged over a period of 7 days, the conduct of the business does not generate more than 5 vehicle arrivals each day at the lease; and</w:t>
      </w:r>
    </w:p>
    <w:p w:rsidR="00BA29FF" w:rsidRDefault="00BA29FF">
      <w:pPr>
        <w:pStyle w:val="SchApara"/>
      </w:pPr>
      <w:r>
        <w:tab/>
        <w:t>(h)</w:t>
      </w:r>
      <w:r>
        <w:tab/>
        <w:t>any sign relating to the business is exempt from requiring development approval under this schedule, division 1.3.3 (</w:t>
      </w:r>
      <w:r>
        <w:rPr>
          <w:szCs w:val="28"/>
        </w:rPr>
        <w:t>Exempt developments—signs</w:t>
      </w:r>
      <w:r>
        <w:t>); and</w:t>
      </w:r>
    </w:p>
    <w:p w:rsidR="00BA29FF" w:rsidRDefault="00BA29FF">
      <w:pPr>
        <w:pStyle w:val="SchApara"/>
      </w:pPr>
      <w:r>
        <w:tab/>
        <w:t>(i)</w:t>
      </w:r>
      <w:r>
        <w:tab/>
        <w:t>the conduct of the home business complies with the general exemption criteria that are applicable to the development.</w:t>
      </w:r>
    </w:p>
    <w:p w:rsidR="00BA29FF" w:rsidRDefault="00BA29FF">
      <w:pPr>
        <w:pStyle w:val="aNotepar"/>
      </w:pPr>
      <w:r>
        <w:rPr>
          <w:i/>
        </w:rPr>
        <w:t>Note</w:t>
      </w:r>
      <w:r>
        <w:rPr>
          <w:i/>
        </w:rPr>
        <w:tab/>
      </w:r>
      <w:r>
        <w:rPr>
          <w:b/>
          <w:bCs/>
          <w:i/>
          <w:iCs/>
        </w:rPr>
        <w:t>General exemption criteria</w:t>
      </w:r>
      <w:r>
        <w:rPr>
          <w:iCs/>
        </w:rPr>
        <w:t xml:space="preserve">—see s </w:t>
      </w:r>
      <w:r>
        <w:t>1.10.</w:t>
      </w:r>
    </w:p>
    <w:p w:rsidR="00BA29FF" w:rsidRDefault="00BA29FF">
      <w:pPr>
        <w:pStyle w:val="SchAmain"/>
        <w:keepNext/>
      </w:pPr>
      <w:r>
        <w:tab/>
        <w:t>(2)</w:t>
      </w:r>
      <w:r>
        <w:tab/>
        <w:t>In this section:</w:t>
      </w:r>
    </w:p>
    <w:p w:rsidR="00BA29FF" w:rsidRDefault="00BA29FF">
      <w:pPr>
        <w:pStyle w:val="aDef"/>
      </w:pPr>
      <w:r>
        <w:rPr>
          <w:b/>
          <w:i/>
        </w:rPr>
        <w:t>home business</w:t>
      </w:r>
      <w:r>
        <w:t>—see the Act, section 247 (3).</w:t>
      </w:r>
    </w:p>
    <w:p w:rsidR="00BA29FF" w:rsidRDefault="00BA29FF">
      <w:pPr>
        <w:pStyle w:val="AH5Sec"/>
      </w:pPr>
      <w:bookmarkStart w:id="215" w:name="_Toc206921404"/>
      <w:r>
        <w:rPr>
          <w:rStyle w:val="CharSectNo"/>
        </w:rPr>
        <w:lastRenderedPageBreak/>
        <w:t>1.109</w:t>
      </w:r>
      <w:r>
        <w:tab/>
        <w:t>Designated areas—developments not involving lease variations</w:t>
      </w:r>
      <w:bookmarkEnd w:id="215"/>
    </w:p>
    <w:p w:rsidR="00BA29FF" w:rsidRDefault="00BA29FF">
      <w:pPr>
        <w:pStyle w:val="Amainreturn"/>
        <w:keepNext/>
      </w:pPr>
      <w:r>
        <w:t>A development in a designated area if the development does not involve the variation of a lease.</w:t>
      </w:r>
    </w:p>
    <w:p w:rsidR="00BA29FF" w:rsidRDefault="00BA29FF">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BA29FF" w:rsidRDefault="00BA29FF">
      <w:pPr>
        <w:pStyle w:val="03Schedule"/>
        <w:sectPr w:rsidR="00BA29FF">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BA29FF" w:rsidRDefault="00BA29FF">
      <w:pPr>
        <w:pStyle w:val="PageBreak"/>
      </w:pPr>
      <w:r>
        <w:br w:type="page"/>
      </w:r>
    </w:p>
    <w:p w:rsidR="00BA29FF" w:rsidRDefault="00BA29FF">
      <w:pPr>
        <w:pStyle w:val="Sched-Part"/>
      </w:pPr>
      <w:bookmarkStart w:id="216" w:name="_Toc206921405"/>
      <w:r>
        <w:rPr>
          <w:rStyle w:val="CharPartNo"/>
        </w:rPr>
        <w:lastRenderedPageBreak/>
        <w:t>Part 1.4</w:t>
      </w:r>
      <w:r>
        <w:tab/>
      </w:r>
      <w:r>
        <w:rPr>
          <w:rStyle w:val="CharPartText"/>
        </w:rPr>
        <w:t>Permitted open space boundary fence colours</w:t>
      </w:r>
      <w:bookmarkEnd w:id="216"/>
    </w:p>
    <w:p w:rsidR="00BA29FF" w:rsidRDefault="00BA29FF">
      <w:pPr>
        <w:pStyle w:val="aNote"/>
      </w:pPr>
      <w:r>
        <w:rPr>
          <w:i/>
        </w:rPr>
        <w:t>Note</w:t>
      </w:r>
      <w:r>
        <w:rPr>
          <w:i/>
        </w:rPr>
        <w:tab/>
      </w:r>
      <w:r>
        <w:t>This part relates to s 1.52 (</w:t>
      </w:r>
      <w:r>
        <w:rPr>
          <w:szCs w:val="24"/>
        </w:rPr>
        <w:t>Basic open space boundary fences</w:t>
      </w:r>
      <w:r>
        <w:t>).</w:t>
      </w:r>
    </w:p>
    <w:p w:rsidR="00BA29FF" w:rsidRDefault="00BA29FF"/>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BA29FF">
        <w:trPr>
          <w:tblHeader/>
        </w:trPr>
        <w:tc>
          <w:tcPr>
            <w:tcW w:w="1683" w:type="dxa"/>
            <w:tcBorders>
              <w:top w:val="nil"/>
              <w:bottom w:val="single" w:sz="6" w:space="0" w:color="auto"/>
            </w:tcBorders>
          </w:tcPr>
          <w:p w:rsidR="00BA29FF" w:rsidRDefault="00BA29FF">
            <w:pPr>
              <w:pStyle w:val="TableColHd"/>
              <w:rPr>
                <w:lang w:val="en-US"/>
              </w:rPr>
            </w:pPr>
            <w:r>
              <w:rPr>
                <w:lang w:val="en-US"/>
              </w:rPr>
              <w:t>column 1</w:t>
            </w:r>
          </w:p>
          <w:p w:rsidR="00BA29FF" w:rsidRDefault="00BA29FF">
            <w:pPr>
              <w:pStyle w:val="TableColHd"/>
              <w:rPr>
                <w:lang w:val="en-US"/>
              </w:rPr>
            </w:pPr>
            <w:r>
              <w:rPr>
                <w:lang w:val="en-US"/>
              </w:rPr>
              <w:t>item</w:t>
            </w:r>
          </w:p>
        </w:tc>
        <w:tc>
          <w:tcPr>
            <w:tcW w:w="4675" w:type="dxa"/>
            <w:tcBorders>
              <w:top w:val="nil"/>
              <w:bottom w:val="single" w:sz="6" w:space="0" w:color="auto"/>
            </w:tcBorders>
          </w:tcPr>
          <w:p w:rsidR="00BA29FF" w:rsidRDefault="00BA29FF">
            <w:pPr>
              <w:pStyle w:val="TableColHd"/>
              <w:rPr>
                <w:lang w:val="en-US"/>
              </w:rPr>
            </w:pPr>
            <w:r>
              <w:rPr>
                <w:lang w:val="en-US"/>
              </w:rPr>
              <w:t>column 2</w:t>
            </w:r>
          </w:p>
          <w:p w:rsidR="00BA29FF" w:rsidRDefault="00BA29FF">
            <w:pPr>
              <w:pStyle w:val="TableColHd"/>
              <w:rPr>
                <w:lang w:val="en-US"/>
              </w:rPr>
            </w:pPr>
            <w:r>
              <w:rPr>
                <w:lang w:val="en-US"/>
              </w:rPr>
              <w:t>colour</w:t>
            </w:r>
          </w:p>
        </w:tc>
      </w:tr>
      <w:tr w:rsidR="00BA29FF">
        <w:trPr>
          <w:cantSplit/>
        </w:trPr>
        <w:tc>
          <w:tcPr>
            <w:tcW w:w="1683" w:type="dxa"/>
            <w:tcBorders>
              <w:top w:val="single" w:sz="6" w:space="0" w:color="auto"/>
              <w:bottom w:val="nil"/>
            </w:tcBorders>
          </w:tcPr>
          <w:p w:rsidR="00BA29FF" w:rsidRDefault="00BA29FF">
            <w:pPr>
              <w:pStyle w:val="TableText"/>
              <w:rPr>
                <w:sz w:val="20"/>
                <w:lang w:val="en-US"/>
              </w:rPr>
            </w:pPr>
            <w:r>
              <w:rPr>
                <w:sz w:val="20"/>
                <w:lang w:val="en-US"/>
              </w:rPr>
              <w:t>1</w:t>
            </w:r>
          </w:p>
        </w:tc>
        <w:tc>
          <w:tcPr>
            <w:tcW w:w="4675" w:type="dxa"/>
            <w:tcBorders>
              <w:top w:val="single" w:sz="6" w:space="0" w:color="auto"/>
              <w:bottom w:val="nil"/>
            </w:tcBorders>
          </w:tcPr>
          <w:p w:rsidR="00BA29FF" w:rsidRDefault="00BA29FF">
            <w:pPr>
              <w:pStyle w:val="TableText"/>
              <w:rPr>
                <w:sz w:val="20"/>
                <w:lang w:val="en-US"/>
              </w:rPr>
            </w:pPr>
            <w:r>
              <w:rPr>
                <w:sz w:val="20"/>
                <w:lang w:val="en-US"/>
              </w:rPr>
              <w:t>B53 (Dark Grey Blue)</w:t>
            </w:r>
          </w:p>
        </w:tc>
      </w:tr>
      <w:tr w:rsidR="00BA29FF">
        <w:trPr>
          <w:cantSplit/>
        </w:trPr>
        <w:tc>
          <w:tcPr>
            <w:tcW w:w="1683" w:type="dxa"/>
            <w:tcBorders>
              <w:top w:val="nil"/>
              <w:bottom w:val="nil"/>
            </w:tcBorders>
          </w:tcPr>
          <w:p w:rsidR="00BA29FF" w:rsidRDefault="00BA29FF">
            <w:pPr>
              <w:pStyle w:val="TableText"/>
              <w:rPr>
                <w:sz w:val="20"/>
                <w:lang w:val="en-US"/>
              </w:rPr>
            </w:pPr>
            <w:r>
              <w:rPr>
                <w:sz w:val="20"/>
                <w:lang w:val="en-US"/>
              </w:rPr>
              <w:t>2</w:t>
            </w:r>
          </w:p>
        </w:tc>
        <w:tc>
          <w:tcPr>
            <w:tcW w:w="4675" w:type="dxa"/>
            <w:tcBorders>
              <w:top w:val="nil"/>
              <w:bottom w:val="nil"/>
            </w:tcBorders>
          </w:tcPr>
          <w:p w:rsidR="00BA29FF" w:rsidRDefault="00BA29FF">
            <w:pPr>
              <w:pStyle w:val="TableText"/>
              <w:rPr>
                <w:sz w:val="20"/>
                <w:lang w:val="en-US"/>
              </w:rPr>
            </w:pPr>
            <w:r>
              <w:rPr>
                <w:sz w:val="20"/>
                <w:lang w:val="en-US"/>
              </w:rPr>
              <w:t>G14 (Moss Green)</w:t>
            </w:r>
          </w:p>
        </w:tc>
      </w:tr>
      <w:tr w:rsidR="00BA29FF">
        <w:trPr>
          <w:cantSplit/>
        </w:trPr>
        <w:tc>
          <w:tcPr>
            <w:tcW w:w="1683" w:type="dxa"/>
            <w:tcBorders>
              <w:top w:val="nil"/>
              <w:bottom w:val="nil"/>
            </w:tcBorders>
          </w:tcPr>
          <w:p w:rsidR="00BA29FF" w:rsidRDefault="00BA29FF">
            <w:pPr>
              <w:pStyle w:val="TableText"/>
              <w:rPr>
                <w:sz w:val="20"/>
              </w:rPr>
            </w:pPr>
            <w:r>
              <w:rPr>
                <w:sz w:val="20"/>
              </w:rPr>
              <w:t>3</w:t>
            </w:r>
          </w:p>
        </w:tc>
        <w:tc>
          <w:tcPr>
            <w:tcW w:w="4675" w:type="dxa"/>
            <w:tcBorders>
              <w:top w:val="nil"/>
              <w:bottom w:val="nil"/>
            </w:tcBorders>
          </w:tcPr>
          <w:p w:rsidR="00BA29FF" w:rsidRDefault="00BA29FF">
            <w:pPr>
              <w:pStyle w:val="TableText"/>
              <w:rPr>
                <w:sz w:val="20"/>
              </w:rPr>
            </w:pPr>
            <w:r>
              <w:rPr>
                <w:sz w:val="20"/>
                <w:lang w:val="en-US"/>
              </w:rPr>
              <w:t>G15 (Rainforest Green)</w:t>
            </w:r>
          </w:p>
        </w:tc>
      </w:tr>
      <w:tr w:rsidR="00BA29FF">
        <w:trPr>
          <w:cantSplit/>
        </w:trPr>
        <w:tc>
          <w:tcPr>
            <w:tcW w:w="1683" w:type="dxa"/>
            <w:tcBorders>
              <w:top w:val="nil"/>
              <w:bottom w:val="nil"/>
            </w:tcBorders>
          </w:tcPr>
          <w:p w:rsidR="00BA29FF" w:rsidRDefault="00BA29FF">
            <w:pPr>
              <w:pStyle w:val="TableText"/>
              <w:rPr>
                <w:sz w:val="20"/>
              </w:rPr>
            </w:pPr>
            <w:r>
              <w:rPr>
                <w:sz w:val="20"/>
              </w:rPr>
              <w:t>4</w:t>
            </w:r>
          </w:p>
        </w:tc>
        <w:tc>
          <w:tcPr>
            <w:tcW w:w="4675" w:type="dxa"/>
            <w:tcBorders>
              <w:top w:val="nil"/>
              <w:bottom w:val="nil"/>
            </w:tcBorders>
          </w:tcPr>
          <w:p w:rsidR="00BA29FF" w:rsidRDefault="00BA29FF">
            <w:pPr>
              <w:pStyle w:val="TableText"/>
              <w:rPr>
                <w:sz w:val="20"/>
              </w:rPr>
            </w:pPr>
            <w:r>
              <w:rPr>
                <w:sz w:val="20"/>
                <w:lang w:val="en-US"/>
              </w:rPr>
              <w:t>G16 (Traffic Green)</w:t>
            </w:r>
          </w:p>
        </w:tc>
      </w:tr>
      <w:tr w:rsidR="00BA29FF">
        <w:trPr>
          <w:cantSplit/>
        </w:trPr>
        <w:tc>
          <w:tcPr>
            <w:tcW w:w="1683" w:type="dxa"/>
            <w:tcBorders>
              <w:top w:val="nil"/>
              <w:bottom w:val="nil"/>
            </w:tcBorders>
          </w:tcPr>
          <w:p w:rsidR="00BA29FF" w:rsidRDefault="00BA29FF">
            <w:pPr>
              <w:pStyle w:val="TableText"/>
              <w:rPr>
                <w:sz w:val="20"/>
              </w:rPr>
            </w:pPr>
            <w:r>
              <w:rPr>
                <w:sz w:val="20"/>
              </w:rPr>
              <w:t>5</w:t>
            </w:r>
          </w:p>
        </w:tc>
        <w:tc>
          <w:tcPr>
            <w:tcW w:w="4675" w:type="dxa"/>
            <w:tcBorders>
              <w:top w:val="nil"/>
              <w:bottom w:val="nil"/>
            </w:tcBorders>
          </w:tcPr>
          <w:p w:rsidR="00BA29FF" w:rsidRDefault="00BA29FF">
            <w:pPr>
              <w:pStyle w:val="TableText"/>
              <w:rPr>
                <w:sz w:val="20"/>
              </w:rPr>
            </w:pPr>
            <w:r>
              <w:rPr>
                <w:sz w:val="20"/>
              </w:rPr>
              <w:t>G23 (Shamrock)</w:t>
            </w:r>
          </w:p>
        </w:tc>
      </w:tr>
      <w:tr w:rsidR="00BA29FF">
        <w:trPr>
          <w:cantSplit/>
        </w:trPr>
        <w:tc>
          <w:tcPr>
            <w:tcW w:w="1683" w:type="dxa"/>
            <w:tcBorders>
              <w:top w:val="nil"/>
              <w:bottom w:val="nil"/>
            </w:tcBorders>
          </w:tcPr>
          <w:p w:rsidR="00BA29FF" w:rsidRDefault="00BA29FF">
            <w:pPr>
              <w:pStyle w:val="TableText"/>
              <w:rPr>
                <w:sz w:val="20"/>
              </w:rPr>
            </w:pPr>
            <w:r>
              <w:rPr>
                <w:sz w:val="20"/>
              </w:rPr>
              <w:t>6</w:t>
            </w:r>
          </w:p>
        </w:tc>
        <w:tc>
          <w:tcPr>
            <w:tcW w:w="4675" w:type="dxa"/>
            <w:tcBorders>
              <w:top w:val="nil"/>
              <w:bottom w:val="nil"/>
            </w:tcBorders>
          </w:tcPr>
          <w:p w:rsidR="00BA29FF" w:rsidRDefault="00BA29FF">
            <w:pPr>
              <w:pStyle w:val="TableText"/>
              <w:rPr>
                <w:sz w:val="20"/>
              </w:rPr>
            </w:pPr>
            <w:r>
              <w:rPr>
                <w:sz w:val="20"/>
              </w:rPr>
              <w:t>G24 (Fern Green)</w:t>
            </w:r>
          </w:p>
        </w:tc>
      </w:tr>
      <w:tr w:rsidR="00BA29FF">
        <w:trPr>
          <w:cantSplit/>
        </w:trPr>
        <w:tc>
          <w:tcPr>
            <w:tcW w:w="1683" w:type="dxa"/>
            <w:tcBorders>
              <w:top w:val="nil"/>
              <w:bottom w:val="nil"/>
            </w:tcBorders>
          </w:tcPr>
          <w:p w:rsidR="00BA29FF" w:rsidRDefault="00BA29FF">
            <w:pPr>
              <w:pStyle w:val="TableText"/>
              <w:rPr>
                <w:sz w:val="20"/>
              </w:rPr>
            </w:pPr>
            <w:r>
              <w:rPr>
                <w:sz w:val="20"/>
              </w:rPr>
              <w:t>7</w:t>
            </w:r>
          </w:p>
        </w:tc>
        <w:tc>
          <w:tcPr>
            <w:tcW w:w="4675" w:type="dxa"/>
            <w:tcBorders>
              <w:top w:val="nil"/>
              <w:bottom w:val="nil"/>
            </w:tcBorders>
          </w:tcPr>
          <w:p w:rsidR="00BA29FF" w:rsidRDefault="00BA29FF">
            <w:pPr>
              <w:pStyle w:val="TableText"/>
              <w:rPr>
                <w:sz w:val="20"/>
              </w:rPr>
            </w:pPr>
            <w:r>
              <w:rPr>
                <w:sz w:val="20"/>
              </w:rPr>
              <w:t>G25 (Olive)</w:t>
            </w:r>
          </w:p>
        </w:tc>
      </w:tr>
      <w:tr w:rsidR="00BA29FF">
        <w:trPr>
          <w:cantSplit/>
        </w:trPr>
        <w:tc>
          <w:tcPr>
            <w:tcW w:w="1683" w:type="dxa"/>
            <w:tcBorders>
              <w:top w:val="nil"/>
              <w:bottom w:val="nil"/>
            </w:tcBorders>
          </w:tcPr>
          <w:p w:rsidR="00BA29FF" w:rsidRDefault="00BA29FF">
            <w:pPr>
              <w:pStyle w:val="TableText"/>
              <w:rPr>
                <w:sz w:val="20"/>
              </w:rPr>
            </w:pPr>
            <w:r>
              <w:rPr>
                <w:sz w:val="20"/>
              </w:rPr>
              <w:t>8</w:t>
            </w:r>
          </w:p>
        </w:tc>
        <w:tc>
          <w:tcPr>
            <w:tcW w:w="4675" w:type="dxa"/>
            <w:tcBorders>
              <w:top w:val="nil"/>
              <w:bottom w:val="nil"/>
            </w:tcBorders>
          </w:tcPr>
          <w:p w:rsidR="00BA29FF" w:rsidRDefault="00BA29FF">
            <w:pPr>
              <w:pStyle w:val="TableText"/>
              <w:rPr>
                <w:sz w:val="20"/>
              </w:rPr>
            </w:pPr>
            <w:r>
              <w:rPr>
                <w:sz w:val="20"/>
              </w:rPr>
              <w:t>G34 (Avocado)</w:t>
            </w:r>
          </w:p>
        </w:tc>
      </w:tr>
      <w:tr w:rsidR="00BA29FF">
        <w:trPr>
          <w:cantSplit/>
        </w:trPr>
        <w:tc>
          <w:tcPr>
            <w:tcW w:w="1683" w:type="dxa"/>
            <w:tcBorders>
              <w:top w:val="nil"/>
              <w:bottom w:val="nil"/>
            </w:tcBorders>
          </w:tcPr>
          <w:p w:rsidR="00BA29FF" w:rsidRDefault="00BA29FF">
            <w:pPr>
              <w:pStyle w:val="TableText"/>
              <w:rPr>
                <w:sz w:val="20"/>
              </w:rPr>
            </w:pPr>
            <w:r>
              <w:rPr>
                <w:sz w:val="20"/>
              </w:rPr>
              <w:t>9</w:t>
            </w:r>
          </w:p>
        </w:tc>
        <w:tc>
          <w:tcPr>
            <w:tcW w:w="4675" w:type="dxa"/>
            <w:tcBorders>
              <w:top w:val="nil"/>
              <w:bottom w:val="nil"/>
            </w:tcBorders>
          </w:tcPr>
          <w:p w:rsidR="00BA29FF" w:rsidRDefault="00BA29FF">
            <w:pPr>
              <w:pStyle w:val="TableText"/>
              <w:rPr>
                <w:sz w:val="20"/>
              </w:rPr>
            </w:pPr>
            <w:r>
              <w:rPr>
                <w:sz w:val="20"/>
                <w:lang w:val="en-US"/>
              </w:rPr>
              <w:t>G52 (Eucalyptus)</w:t>
            </w:r>
          </w:p>
        </w:tc>
      </w:tr>
      <w:tr w:rsidR="00BA29FF">
        <w:trPr>
          <w:cantSplit/>
        </w:trPr>
        <w:tc>
          <w:tcPr>
            <w:tcW w:w="1683" w:type="dxa"/>
            <w:tcBorders>
              <w:top w:val="nil"/>
              <w:bottom w:val="nil"/>
            </w:tcBorders>
          </w:tcPr>
          <w:p w:rsidR="00BA29FF" w:rsidRDefault="00BA29FF">
            <w:pPr>
              <w:pStyle w:val="TableText"/>
              <w:rPr>
                <w:sz w:val="20"/>
              </w:rPr>
            </w:pPr>
            <w:r>
              <w:rPr>
                <w:sz w:val="20"/>
              </w:rPr>
              <w:t>10</w:t>
            </w:r>
          </w:p>
        </w:tc>
        <w:tc>
          <w:tcPr>
            <w:tcW w:w="4675" w:type="dxa"/>
            <w:tcBorders>
              <w:top w:val="nil"/>
              <w:bottom w:val="nil"/>
            </w:tcBorders>
          </w:tcPr>
          <w:p w:rsidR="00BA29FF" w:rsidRDefault="00BA29FF">
            <w:pPr>
              <w:pStyle w:val="TableText"/>
              <w:rPr>
                <w:sz w:val="20"/>
              </w:rPr>
            </w:pPr>
            <w:r>
              <w:rPr>
                <w:sz w:val="20"/>
              </w:rPr>
              <w:t>G53 (Banksia)</w:t>
            </w:r>
          </w:p>
        </w:tc>
      </w:tr>
      <w:tr w:rsidR="00BA29FF">
        <w:trPr>
          <w:cantSplit/>
        </w:trPr>
        <w:tc>
          <w:tcPr>
            <w:tcW w:w="1683" w:type="dxa"/>
            <w:tcBorders>
              <w:top w:val="nil"/>
            </w:tcBorders>
          </w:tcPr>
          <w:p w:rsidR="00BA29FF" w:rsidRDefault="00BA29FF">
            <w:pPr>
              <w:pStyle w:val="TableText"/>
              <w:rPr>
                <w:sz w:val="20"/>
              </w:rPr>
            </w:pPr>
            <w:r>
              <w:rPr>
                <w:sz w:val="20"/>
              </w:rPr>
              <w:t>11</w:t>
            </w:r>
          </w:p>
        </w:tc>
        <w:tc>
          <w:tcPr>
            <w:tcW w:w="4675" w:type="dxa"/>
            <w:tcBorders>
              <w:top w:val="nil"/>
            </w:tcBorders>
          </w:tcPr>
          <w:p w:rsidR="00BA29FF" w:rsidRDefault="00BA29FF">
            <w:pPr>
              <w:pStyle w:val="TableText"/>
              <w:rPr>
                <w:sz w:val="20"/>
              </w:rPr>
            </w:pPr>
            <w:r>
              <w:rPr>
                <w:sz w:val="20"/>
                <w:lang w:val="en-US"/>
              </w:rPr>
              <w:t>G54 (Mist Green)</w:t>
            </w:r>
          </w:p>
        </w:tc>
      </w:tr>
      <w:tr w:rsidR="00BA29FF">
        <w:trPr>
          <w:cantSplit/>
        </w:trPr>
        <w:tc>
          <w:tcPr>
            <w:tcW w:w="1683" w:type="dxa"/>
          </w:tcPr>
          <w:p w:rsidR="00BA29FF" w:rsidRDefault="00BA29FF">
            <w:pPr>
              <w:pStyle w:val="TableText"/>
              <w:rPr>
                <w:sz w:val="20"/>
              </w:rPr>
            </w:pPr>
            <w:r>
              <w:rPr>
                <w:sz w:val="20"/>
              </w:rPr>
              <w:t>12</w:t>
            </w:r>
          </w:p>
        </w:tc>
        <w:tc>
          <w:tcPr>
            <w:tcW w:w="4675" w:type="dxa"/>
          </w:tcPr>
          <w:p w:rsidR="00BA29FF" w:rsidRDefault="00BA29FF">
            <w:pPr>
              <w:pStyle w:val="TableText"/>
              <w:rPr>
                <w:sz w:val="20"/>
              </w:rPr>
            </w:pPr>
            <w:r>
              <w:rPr>
                <w:sz w:val="20"/>
              </w:rPr>
              <w:t>G55 (Lichen)</w:t>
            </w:r>
          </w:p>
        </w:tc>
      </w:tr>
      <w:tr w:rsidR="00BA29FF">
        <w:trPr>
          <w:cantSplit/>
        </w:trPr>
        <w:tc>
          <w:tcPr>
            <w:tcW w:w="1683" w:type="dxa"/>
          </w:tcPr>
          <w:p w:rsidR="00BA29FF" w:rsidRDefault="00BA29FF">
            <w:pPr>
              <w:pStyle w:val="TableText"/>
              <w:rPr>
                <w:sz w:val="20"/>
              </w:rPr>
            </w:pPr>
            <w:r>
              <w:rPr>
                <w:sz w:val="20"/>
              </w:rPr>
              <w:t>13</w:t>
            </w:r>
          </w:p>
        </w:tc>
        <w:tc>
          <w:tcPr>
            <w:tcW w:w="4675" w:type="dxa"/>
          </w:tcPr>
          <w:p w:rsidR="00BA29FF" w:rsidRDefault="00BA29FF">
            <w:pPr>
              <w:pStyle w:val="TableText"/>
              <w:rPr>
                <w:sz w:val="20"/>
              </w:rPr>
            </w:pPr>
            <w:r>
              <w:rPr>
                <w:sz w:val="20"/>
              </w:rPr>
              <w:t>G56 (Sage Green)</w:t>
            </w:r>
          </w:p>
        </w:tc>
      </w:tr>
      <w:tr w:rsidR="00BA29FF">
        <w:trPr>
          <w:cantSplit/>
        </w:trPr>
        <w:tc>
          <w:tcPr>
            <w:tcW w:w="1683" w:type="dxa"/>
          </w:tcPr>
          <w:p w:rsidR="00BA29FF" w:rsidRDefault="00BA29FF">
            <w:pPr>
              <w:pStyle w:val="TableText"/>
              <w:rPr>
                <w:sz w:val="20"/>
              </w:rPr>
            </w:pPr>
            <w:r>
              <w:rPr>
                <w:sz w:val="20"/>
              </w:rPr>
              <w:t>14</w:t>
            </w:r>
          </w:p>
        </w:tc>
        <w:tc>
          <w:tcPr>
            <w:tcW w:w="4675" w:type="dxa"/>
          </w:tcPr>
          <w:p w:rsidR="00BA29FF" w:rsidRDefault="00BA29FF">
            <w:pPr>
              <w:pStyle w:val="TableText"/>
              <w:rPr>
                <w:sz w:val="20"/>
              </w:rPr>
            </w:pPr>
            <w:r>
              <w:rPr>
                <w:sz w:val="20"/>
              </w:rPr>
              <w:t>G62 (River Gum)</w:t>
            </w:r>
          </w:p>
        </w:tc>
      </w:tr>
      <w:tr w:rsidR="00BA29FF">
        <w:trPr>
          <w:cantSplit/>
        </w:trPr>
        <w:tc>
          <w:tcPr>
            <w:tcW w:w="1683" w:type="dxa"/>
          </w:tcPr>
          <w:p w:rsidR="00BA29FF" w:rsidRDefault="00BA29FF">
            <w:pPr>
              <w:pStyle w:val="TableText"/>
              <w:rPr>
                <w:sz w:val="20"/>
              </w:rPr>
            </w:pPr>
            <w:r>
              <w:rPr>
                <w:sz w:val="20"/>
              </w:rPr>
              <w:t>15</w:t>
            </w:r>
          </w:p>
        </w:tc>
        <w:tc>
          <w:tcPr>
            <w:tcW w:w="4675" w:type="dxa"/>
          </w:tcPr>
          <w:p w:rsidR="00BA29FF" w:rsidRDefault="00BA29FF">
            <w:pPr>
              <w:pStyle w:val="TableText"/>
              <w:rPr>
                <w:sz w:val="20"/>
              </w:rPr>
            </w:pPr>
            <w:r>
              <w:rPr>
                <w:sz w:val="20"/>
              </w:rPr>
              <w:t>G64 (Slate)</w:t>
            </w:r>
          </w:p>
        </w:tc>
      </w:tr>
      <w:tr w:rsidR="00BA29FF">
        <w:trPr>
          <w:cantSplit/>
        </w:trPr>
        <w:tc>
          <w:tcPr>
            <w:tcW w:w="1683" w:type="dxa"/>
          </w:tcPr>
          <w:p w:rsidR="00BA29FF" w:rsidRDefault="00BA29FF">
            <w:pPr>
              <w:pStyle w:val="TableText"/>
              <w:rPr>
                <w:sz w:val="20"/>
              </w:rPr>
            </w:pPr>
            <w:r>
              <w:rPr>
                <w:sz w:val="20"/>
              </w:rPr>
              <w:t>16</w:t>
            </w:r>
          </w:p>
        </w:tc>
        <w:tc>
          <w:tcPr>
            <w:tcW w:w="4675" w:type="dxa"/>
          </w:tcPr>
          <w:p w:rsidR="00BA29FF" w:rsidRDefault="00BA29FF">
            <w:pPr>
              <w:pStyle w:val="TableText"/>
              <w:rPr>
                <w:sz w:val="20"/>
              </w:rPr>
            </w:pPr>
            <w:r>
              <w:rPr>
                <w:sz w:val="20"/>
              </w:rPr>
              <w:t>G65 (Ti-Tree)</w:t>
            </w:r>
          </w:p>
        </w:tc>
      </w:tr>
      <w:tr w:rsidR="00BA29FF">
        <w:trPr>
          <w:cantSplit/>
        </w:trPr>
        <w:tc>
          <w:tcPr>
            <w:tcW w:w="1683" w:type="dxa"/>
          </w:tcPr>
          <w:p w:rsidR="00BA29FF" w:rsidRDefault="00BA29FF">
            <w:pPr>
              <w:pStyle w:val="TableText"/>
              <w:rPr>
                <w:sz w:val="20"/>
              </w:rPr>
            </w:pPr>
            <w:r>
              <w:rPr>
                <w:sz w:val="20"/>
              </w:rPr>
              <w:t>17</w:t>
            </w:r>
          </w:p>
        </w:tc>
        <w:tc>
          <w:tcPr>
            <w:tcW w:w="4675" w:type="dxa"/>
          </w:tcPr>
          <w:p w:rsidR="00BA29FF" w:rsidRDefault="00BA29FF">
            <w:pPr>
              <w:pStyle w:val="TableText"/>
              <w:rPr>
                <w:sz w:val="20"/>
              </w:rPr>
            </w:pPr>
            <w:r>
              <w:rPr>
                <w:sz w:val="20"/>
                <w:lang w:val="en-US"/>
              </w:rPr>
              <w:t>G66 (Environment Green)</w:t>
            </w:r>
          </w:p>
        </w:tc>
      </w:tr>
      <w:tr w:rsidR="00BA29FF">
        <w:trPr>
          <w:cantSplit/>
        </w:trPr>
        <w:tc>
          <w:tcPr>
            <w:tcW w:w="1683" w:type="dxa"/>
          </w:tcPr>
          <w:p w:rsidR="00BA29FF" w:rsidRDefault="00BA29FF">
            <w:pPr>
              <w:pStyle w:val="TableText"/>
              <w:rPr>
                <w:sz w:val="20"/>
              </w:rPr>
            </w:pPr>
            <w:r>
              <w:rPr>
                <w:sz w:val="20"/>
              </w:rPr>
              <w:t>18</w:t>
            </w:r>
          </w:p>
        </w:tc>
        <w:tc>
          <w:tcPr>
            <w:tcW w:w="4675" w:type="dxa"/>
          </w:tcPr>
          <w:p w:rsidR="00BA29FF" w:rsidRDefault="00BA29FF">
            <w:pPr>
              <w:pStyle w:val="TableText"/>
              <w:rPr>
                <w:sz w:val="20"/>
              </w:rPr>
            </w:pPr>
            <w:r>
              <w:rPr>
                <w:sz w:val="20"/>
              </w:rPr>
              <w:t>N54 (Basalt)</w:t>
            </w:r>
          </w:p>
        </w:tc>
      </w:tr>
      <w:tr w:rsidR="00BA29FF">
        <w:trPr>
          <w:cantSplit/>
        </w:trPr>
        <w:tc>
          <w:tcPr>
            <w:tcW w:w="1683" w:type="dxa"/>
          </w:tcPr>
          <w:p w:rsidR="00BA29FF" w:rsidRDefault="00BA29FF">
            <w:pPr>
              <w:pStyle w:val="TableText"/>
              <w:rPr>
                <w:sz w:val="20"/>
              </w:rPr>
            </w:pPr>
            <w:r>
              <w:rPr>
                <w:sz w:val="20"/>
              </w:rPr>
              <w:t>19</w:t>
            </w:r>
          </w:p>
        </w:tc>
        <w:tc>
          <w:tcPr>
            <w:tcW w:w="4675" w:type="dxa"/>
          </w:tcPr>
          <w:p w:rsidR="00BA29FF" w:rsidRDefault="00BA29FF">
            <w:pPr>
              <w:pStyle w:val="TableText"/>
              <w:rPr>
                <w:sz w:val="20"/>
              </w:rPr>
            </w:pPr>
            <w:r>
              <w:rPr>
                <w:sz w:val="20"/>
              </w:rPr>
              <w:t>N55 (Lead Grey)</w:t>
            </w:r>
          </w:p>
        </w:tc>
      </w:tr>
      <w:tr w:rsidR="00BA29FF">
        <w:trPr>
          <w:cantSplit/>
        </w:trPr>
        <w:tc>
          <w:tcPr>
            <w:tcW w:w="1683" w:type="dxa"/>
          </w:tcPr>
          <w:p w:rsidR="00BA29FF" w:rsidRDefault="00BA29FF">
            <w:pPr>
              <w:pStyle w:val="TableText"/>
              <w:rPr>
                <w:sz w:val="20"/>
              </w:rPr>
            </w:pPr>
            <w:r>
              <w:rPr>
                <w:sz w:val="20"/>
              </w:rPr>
              <w:t>20</w:t>
            </w:r>
          </w:p>
        </w:tc>
        <w:tc>
          <w:tcPr>
            <w:tcW w:w="4675" w:type="dxa"/>
          </w:tcPr>
          <w:p w:rsidR="00BA29FF" w:rsidRDefault="00BA29FF">
            <w:pPr>
              <w:pStyle w:val="TableText"/>
              <w:rPr>
                <w:sz w:val="20"/>
              </w:rPr>
            </w:pPr>
            <w:r>
              <w:rPr>
                <w:sz w:val="20"/>
              </w:rPr>
              <w:t>N63 (Pewter)</w:t>
            </w:r>
          </w:p>
        </w:tc>
      </w:tr>
      <w:tr w:rsidR="00BA29FF">
        <w:trPr>
          <w:cantSplit/>
        </w:trPr>
        <w:tc>
          <w:tcPr>
            <w:tcW w:w="1683" w:type="dxa"/>
          </w:tcPr>
          <w:p w:rsidR="00BA29FF" w:rsidRDefault="00BA29FF">
            <w:pPr>
              <w:pStyle w:val="TableText"/>
              <w:rPr>
                <w:sz w:val="20"/>
              </w:rPr>
            </w:pPr>
            <w:r>
              <w:rPr>
                <w:sz w:val="20"/>
              </w:rPr>
              <w:t>21</w:t>
            </w:r>
          </w:p>
        </w:tc>
        <w:tc>
          <w:tcPr>
            <w:tcW w:w="4675" w:type="dxa"/>
          </w:tcPr>
          <w:p w:rsidR="00BA29FF" w:rsidRDefault="00BA29FF">
            <w:pPr>
              <w:pStyle w:val="TableText"/>
              <w:rPr>
                <w:sz w:val="20"/>
              </w:rPr>
            </w:pPr>
            <w:r>
              <w:rPr>
                <w:sz w:val="20"/>
                <w:lang w:val="en-US"/>
              </w:rPr>
              <w:t>N64 (Dark Grey)</w:t>
            </w:r>
          </w:p>
        </w:tc>
      </w:tr>
      <w:tr w:rsidR="00BA29FF">
        <w:trPr>
          <w:cantSplit/>
        </w:trPr>
        <w:tc>
          <w:tcPr>
            <w:tcW w:w="1683" w:type="dxa"/>
          </w:tcPr>
          <w:p w:rsidR="00BA29FF" w:rsidRDefault="00BA29FF">
            <w:pPr>
              <w:pStyle w:val="TableText"/>
              <w:rPr>
                <w:sz w:val="20"/>
              </w:rPr>
            </w:pPr>
            <w:r>
              <w:rPr>
                <w:sz w:val="20"/>
              </w:rPr>
              <w:t>22</w:t>
            </w:r>
          </w:p>
        </w:tc>
        <w:tc>
          <w:tcPr>
            <w:tcW w:w="4675" w:type="dxa"/>
          </w:tcPr>
          <w:p w:rsidR="00BA29FF" w:rsidRDefault="00BA29FF">
            <w:pPr>
              <w:pStyle w:val="TableText"/>
              <w:rPr>
                <w:sz w:val="20"/>
              </w:rPr>
            </w:pPr>
            <w:r>
              <w:rPr>
                <w:sz w:val="20"/>
                <w:lang w:val="en-US"/>
              </w:rPr>
              <w:t>N65 (Graphite Grey)</w:t>
            </w:r>
          </w:p>
        </w:tc>
      </w:tr>
      <w:tr w:rsidR="00BA29FF">
        <w:trPr>
          <w:cantSplit/>
        </w:trPr>
        <w:tc>
          <w:tcPr>
            <w:tcW w:w="1683" w:type="dxa"/>
          </w:tcPr>
          <w:p w:rsidR="00BA29FF" w:rsidRDefault="00BA29FF">
            <w:pPr>
              <w:pStyle w:val="TableText"/>
              <w:rPr>
                <w:sz w:val="20"/>
              </w:rPr>
            </w:pPr>
            <w:r>
              <w:rPr>
                <w:sz w:val="20"/>
              </w:rPr>
              <w:lastRenderedPageBreak/>
              <w:t>23</w:t>
            </w:r>
          </w:p>
        </w:tc>
        <w:tc>
          <w:tcPr>
            <w:tcW w:w="4675" w:type="dxa"/>
          </w:tcPr>
          <w:p w:rsidR="00BA29FF" w:rsidRDefault="00BA29FF">
            <w:pPr>
              <w:pStyle w:val="TableText"/>
              <w:rPr>
                <w:sz w:val="20"/>
              </w:rPr>
            </w:pPr>
            <w:r>
              <w:rPr>
                <w:sz w:val="20"/>
              </w:rPr>
              <w:t>P42 (Mulberry)</w:t>
            </w:r>
          </w:p>
        </w:tc>
      </w:tr>
      <w:tr w:rsidR="00BA29FF">
        <w:trPr>
          <w:cantSplit/>
        </w:trPr>
        <w:tc>
          <w:tcPr>
            <w:tcW w:w="1683" w:type="dxa"/>
          </w:tcPr>
          <w:p w:rsidR="00BA29FF" w:rsidRDefault="00BA29FF">
            <w:pPr>
              <w:pStyle w:val="TableText"/>
              <w:rPr>
                <w:sz w:val="20"/>
              </w:rPr>
            </w:pPr>
            <w:r>
              <w:rPr>
                <w:sz w:val="20"/>
              </w:rPr>
              <w:t>24</w:t>
            </w:r>
          </w:p>
        </w:tc>
        <w:tc>
          <w:tcPr>
            <w:tcW w:w="4675" w:type="dxa"/>
          </w:tcPr>
          <w:p w:rsidR="00BA29FF" w:rsidRDefault="00BA29FF">
            <w:pPr>
              <w:pStyle w:val="TableText"/>
              <w:rPr>
                <w:sz w:val="20"/>
              </w:rPr>
            </w:pPr>
            <w:r>
              <w:rPr>
                <w:sz w:val="20"/>
              </w:rPr>
              <w:t>P52 (Plum)</w:t>
            </w:r>
          </w:p>
        </w:tc>
      </w:tr>
      <w:tr w:rsidR="00BA29FF">
        <w:trPr>
          <w:cantSplit/>
        </w:trPr>
        <w:tc>
          <w:tcPr>
            <w:tcW w:w="1683" w:type="dxa"/>
          </w:tcPr>
          <w:p w:rsidR="00BA29FF" w:rsidRDefault="00BA29FF">
            <w:pPr>
              <w:pStyle w:val="TableText"/>
              <w:rPr>
                <w:sz w:val="20"/>
              </w:rPr>
            </w:pPr>
            <w:r>
              <w:rPr>
                <w:sz w:val="20"/>
              </w:rPr>
              <w:t>25</w:t>
            </w:r>
          </w:p>
        </w:tc>
        <w:tc>
          <w:tcPr>
            <w:tcW w:w="4675" w:type="dxa"/>
          </w:tcPr>
          <w:p w:rsidR="00BA29FF" w:rsidRDefault="00BA29FF">
            <w:pPr>
              <w:pStyle w:val="TableText"/>
              <w:rPr>
                <w:sz w:val="20"/>
              </w:rPr>
            </w:pPr>
            <w:r>
              <w:rPr>
                <w:sz w:val="20"/>
              </w:rPr>
              <w:t>R44 (Possum)</w:t>
            </w:r>
          </w:p>
        </w:tc>
      </w:tr>
      <w:tr w:rsidR="00BA29FF">
        <w:trPr>
          <w:cantSplit/>
        </w:trPr>
        <w:tc>
          <w:tcPr>
            <w:tcW w:w="1683" w:type="dxa"/>
          </w:tcPr>
          <w:p w:rsidR="00BA29FF" w:rsidRDefault="00BA29FF">
            <w:pPr>
              <w:pStyle w:val="TableText"/>
              <w:rPr>
                <w:sz w:val="20"/>
              </w:rPr>
            </w:pPr>
            <w:r>
              <w:rPr>
                <w:sz w:val="20"/>
              </w:rPr>
              <w:t>26</w:t>
            </w:r>
          </w:p>
        </w:tc>
        <w:tc>
          <w:tcPr>
            <w:tcW w:w="4675" w:type="dxa"/>
          </w:tcPr>
          <w:p w:rsidR="00BA29FF" w:rsidRDefault="00BA29FF">
            <w:pPr>
              <w:pStyle w:val="TableText"/>
              <w:rPr>
                <w:sz w:val="20"/>
              </w:rPr>
            </w:pPr>
            <w:r>
              <w:rPr>
                <w:sz w:val="20"/>
              </w:rPr>
              <w:t>R45 (Ruby)</w:t>
            </w:r>
          </w:p>
        </w:tc>
      </w:tr>
      <w:tr w:rsidR="00BA29FF">
        <w:trPr>
          <w:cantSplit/>
        </w:trPr>
        <w:tc>
          <w:tcPr>
            <w:tcW w:w="1683" w:type="dxa"/>
          </w:tcPr>
          <w:p w:rsidR="00BA29FF" w:rsidRDefault="00BA29FF">
            <w:pPr>
              <w:pStyle w:val="TableText"/>
              <w:rPr>
                <w:sz w:val="20"/>
              </w:rPr>
            </w:pPr>
            <w:r>
              <w:rPr>
                <w:sz w:val="20"/>
              </w:rPr>
              <w:t>27</w:t>
            </w:r>
          </w:p>
        </w:tc>
        <w:tc>
          <w:tcPr>
            <w:tcW w:w="4675" w:type="dxa"/>
          </w:tcPr>
          <w:p w:rsidR="00BA29FF" w:rsidRDefault="00BA29FF">
            <w:pPr>
              <w:pStyle w:val="TableText"/>
              <w:rPr>
                <w:sz w:val="20"/>
              </w:rPr>
            </w:pPr>
            <w:r>
              <w:rPr>
                <w:sz w:val="20"/>
              </w:rPr>
              <w:t>R52 (Terra Cotta)</w:t>
            </w:r>
          </w:p>
        </w:tc>
      </w:tr>
      <w:tr w:rsidR="00BA29FF">
        <w:trPr>
          <w:cantSplit/>
        </w:trPr>
        <w:tc>
          <w:tcPr>
            <w:tcW w:w="1683" w:type="dxa"/>
          </w:tcPr>
          <w:p w:rsidR="00BA29FF" w:rsidRDefault="00BA29FF">
            <w:pPr>
              <w:pStyle w:val="TableText"/>
              <w:rPr>
                <w:sz w:val="20"/>
              </w:rPr>
            </w:pPr>
            <w:r>
              <w:rPr>
                <w:sz w:val="20"/>
              </w:rPr>
              <w:t>28</w:t>
            </w:r>
          </w:p>
        </w:tc>
        <w:tc>
          <w:tcPr>
            <w:tcW w:w="4675" w:type="dxa"/>
          </w:tcPr>
          <w:p w:rsidR="00BA29FF" w:rsidRDefault="00BA29FF">
            <w:pPr>
              <w:pStyle w:val="TableText"/>
              <w:rPr>
                <w:sz w:val="20"/>
              </w:rPr>
            </w:pPr>
            <w:r>
              <w:rPr>
                <w:sz w:val="20"/>
              </w:rPr>
              <w:t>R53 (Red Gum)</w:t>
            </w:r>
          </w:p>
        </w:tc>
      </w:tr>
      <w:tr w:rsidR="00BA29FF">
        <w:trPr>
          <w:cantSplit/>
        </w:trPr>
        <w:tc>
          <w:tcPr>
            <w:tcW w:w="1683" w:type="dxa"/>
          </w:tcPr>
          <w:p w:rsidR="00BA29FF" w:rsidRDefault="00BA29FF">
            <w:pPr>
              <w:pStyle w:val="TableText"/>
              <w:rPr>
                <w:sz w:val="20"/>
              </w:rPr>
            </w:pPr>
            <w:r>
              <w:rPr>
                <w:sz w:val="20"/>
              </w:rPr>
              <w:t>29</w:t>
            </w:r>
          </w:p>
        </w:tc>
        <w:tc>
          <w:tcPr>
            <w:tcW w:w="4675" w:type="dxa"/>
          </w:tcPr>
          <w:p w:rsidR="00BA29FF" w:rsidRDefault="00BA29FF">
            <w:pPr>
              <w:pStyle w:val="TableText"/>
              <w:rPr>
                <w:sz w:val="20"/>
              </w:rPr>
            </w:pPr>
            <w:r>
              <w:rPr>
                <w:sz w:val="20"/>
              </w:rPr>
              <w:t>R54 (Raspberry)</w:t>
            </w:r>
          </w:p>
        </w:tc>
      </w:tr>
      <w:tr w:rsidR="00BA29FF">
        <w:trPr>
          <w:cantSplit/>
        </w:trPr>
        <w:tc>
          <w:tcPr>
            <w:tcW w:w="1683" w:type="dxa"/>
          </w:tcPr>
          <w:p w:rsidR="00BA29FF" w:rsidRDefault="00BA29FF">
            <w:pPr>
              <w:pStyle w:val="TableText"/>
              <w:rPr>
                <w:sz w:val="20"/>
              </w:rPr>
            </w:pPr>
            <w:r>
              <w:rPr>
                <w:sz w:val="20"/>
              </w:rPr>
              <w:t>30</w:t>
            </w:r>
          </w:p>
        </w:tc>
        <w:tc>
          <w:tcPr>
            <w:tcW w:w="4675" w:type="dxa"/>
          </w:tcPr>
          <w:p w:rsidR="00BA29FF" w:rsidRDefault="00BA29FF">
            <w:pPr>
              <w:pStyle w:val="TableText"/>
              <w:rPr>
                <w:sz w:val="20"/>
              </w:rPr>
            </w:pPr>
            <w:r>
              <w:rPr>
                <w:sz w:val="20"/>
              </w:rPr>
              <w:t>R55 (Claret)</w:t>
            </w:r>
          </w:p>
        </w:tc>
      </w:tr>
      <w:tr w:rsidR="00BA29FF">
        <w:trPr>
          <w:cantSplit/>
        </w:trPr>
        <w:tc>
          <w:tcPr>
            <w:tcW w:w="1683" w:type="dxa"/>
          </w:tcPr>
          <w:p w:rsidR="00BA29FF" w:rsidRDefault="00BA29FF">
            <w:pPr>
              <w:pStyle w:val="TableText"/>
              <w:rPr>
                <w:sz w:val="20"/>
              </w:rPr>
            </w:pPr>
            <w:r>
              <w:rPr>
                <w:sz w:val="20"/>
              </w:rPr>
              <w:t>31</w:t>
            </w:r>
          </w:p>
        </w:tc>
        <w:tc>
          <w:tcPr>
            <w:tcW w:w="4675" w:type="dxa"/>
          </w:tcPr>
          <w:p w:rsidR="00BA29FF" w:rsidRDefault="00BA29FF">
            <w:pPr>
              <w:pStyle w:val="TableText"/>
              <w:rPr>
                <w:sz w:val="20"/>
              </w:rPr>
            </w:pPr>
            <w:r>
              <w:rPr>
                <w:sz w:val="20"/>
              </w:rPr>
              <w:t>R62 (Venetian Red)</w:t>
            </w:r>
          </w:p>
        </w:tc>
      </w:tr>
      <w:tr w:rsidR="00BA29FF">
        <w:trPr>
          <w:cantSplit/>
        </w:trPr>
        <w:tc>
          <w:tcPr>
            <w:tcW w:w="1683" w:type="dxa"/>
          </w:tcPr>
          <w:p w:rsidR="00BA29FF" w:rsidRDefault="00BA29FF">
            <w:pPr>
              <w:pStyle w:val="TableText"/>
              <w:rPr>
                <w:sz w:val="20"/>
              </w:rPr>
            </w:pPr>
            <w:r>
              <w:rPr>
                <w:sz w:val="20"/>
              </w:rPr>
              <w:t>32</w:t>
            </w:r>
          </w:p>
        </w:tc>
        <w:tc>
          <w:tcPr>
            <w:tcW w:w="4675" w:type="dxa"/>
          </w:tcPr>
          <w:p w:rsidR="00BA29FF" w:rsidRDefault="00BA29FF">
            <w:pPr>
              <w:pStyle w:val="TableText"/>
              <w:rPr>
                <w:sz w:val="20"/>
              </w:rPr>
            </w:pPr>
            <w:r>
              <w:rPr>
                <w:sz w:val="20"/>
                <w:lang w:val="en-US"/>
              </w:rPr>
              <w:t>R63 (Red Oxide)</w:t>
            </w:r>
          </w:p>
        </w:tc>
      </w:tr>
      <w:tr w:rsidR="00BA29FF">
        <w:trPr>
          <w:cantSplit/>
        </w:trPr>
        <w:tc>
          <w:tcPr>
            <w:tcW w:w="1683" w:type="dxa"/>
          </w:tcPr>
          <w:p w:rsidR="00BA29FF" w:rsidRDefault="00BA29FF">
            <w:pPr>
              <w:pStyle w:val="TableText"/>
              <w:rPr>
                <w:sz w:val="20"/>
              </w:rPr>
            </w:pPr>
            <w:r>
              <w:rPr>
                <w:sz w:val="20"/>
              </w:rPr>
              <w:t>33</w:t>
            </w:r>
          </w:p>
        </w:tc>
        <w:tc>
          <w:tcPr>
            <w:tcW w:w="4675" w:type="dxa"/>
          </w:tcPr>
          <w:p w:rsidR="00BA29FF" w:rsidRDefault="00BA29FF">
            <w:pPr>
              <w:pStyle w:val="TableText"/>
              <w:rPr>
                <w:sz w:val="20"/>
              </w:rPr>
            </w:pPr>
            <w:r>
              <w:rPr>
                <w:sz w:val="20"/>
              </w:rPr>
              <w:t>R64 (Deep Indian Red)</w:t>
            </w:r>
          </w:p>
        </w:tc>
      </w:tr>
      <w:tr w:rsidR="00BA29FF">
        <w:trPr>
          <w:cantSplit/>
        </w:trPr>
        <w:tc>
          <w:tcPr>
            <w:tcW w:w="1683" w:type="dxa"/>
          </w:tcPr>
          <w:p w:rsidR="00BA29FF" w:rsidRDefault="00BA29FF">
            <w:pPr>
              <w:pStyle w:val="TableText"/>
              <w:rPr>
                <w:sz w:val="20"/>
              </w:rPr>
            </w:pPr>
            <w:r>
              <w:rPr>
                <w:sz w:val="20"/>
              </w:rPr>
              <w:t>34</w:t>
            </w:r>
          </w:p>
        </w:tc>
        <w:tc>
          <w:tcPr>
            <w:tcW w:w="4675" w:type="dxa"/>
          </w:tcPr>
          <w:p w:rsidR="00BA29FF" w:rsidRDefault="00BA29FF">
            <w:pPr>
              <w:pStyle w:val="TableText"/>
              <w:rPr>
                <w:sz w:val="20"/>
              </w:rPr>
            </w:pPr>
            <w:r>
              <w:rPr>
                <w:sz w:val="20"/>
              </w:rPr>
              <w:t>T14 (Malachite)</w:t>
            </w:r>
          </w:p>
        </w:tc>
      </w:tr>
      <w:tr w:rsidR="00BA29FF">
        <w:trPr>
          <w:cantSplit/>
        </w:trPr>
        <w:tc>
          <w:tcPr>
            <w:tcW w:w="1683" w:type="dxa"/>
          </w:tcPr>
          <w:p w:rsidR="00BA29FF" w:rsidRDefault="00BA29FF">
            <w:pPr>
              <w:pStyle w:val="TableText"/>
              <w:rPr>
                <w:sz w:val="20"/>
              </w:rPr>
            </w:pPr>
            <w:r>
              <w:rPr>
                <w:sz w:val="20"/>
              </w:rPr>
              <w:t>35</w:t>
            </w:r>
          </w:p>
        </w:tc>
        <w:tc>
          <w:tcPr>
            <w:tcW w:w="4675" w:type="dxa"/>
          </w:tcPr>
          <w:p w:rsidR="00BA29FF" w:rsidRDefault="00BA29FF">
            <w:pPr>
              <w:pStyle w:val="TableText"/>
              <w:rPr>
                <w:sz w:val="20"/>
              </w:rPr>
            </w:pPr>
            <w:r>
              <w:rPr>
                <w:sz w:val="20"/>
                <w:lang w:val="en-US"/>
              </w:rPr>
              <w:t>T51 (Mountain Blue)</w:t>
            </w:r>
          </w:p>
        </w:tc>
      </w:tr>
      <w:tr w:rsidR="00BA29FF">
        <w:trPr>
          <w:cantSplit/>
        </w:trPr>
        <w:tc>
          <w:tcPr>
            <w:tcW w:w="1683" w:type="dxa"/>
          </w:tcPr>
          <w:p w:rsidR="00BA29FF" w:rsidRDefault="00BA29FF">
            <w:pPr>
              <w:pStyle w:val="TableText"/>
              <w:rPr>
                <w:sz w:val="20"/>
                <w:lang w:val="en-US"/>
              </w:rPr>
            </w:pPr>
            <w:r>
              <w:rPr>
                <w:sz w:val="20"/>
                <w:lang w:val="en-US"/>
              </w:rPr>
              <w:t>36</w:t>
            </w:r>
          </w:p>
        </w:tc>
        <w:tc>
          <w:tcPr>
            <w:tcW w:w="4675" w:type="dxa"/>
          </w:tcPr>
          <w:p w:rsidR="00BA29FF" w:rsidRDefault="00BA29FF">
            <w:pPr>
              <w:pStyle w:val="TableText"/>
              <w:rPr>
                <w:sz w:val="20"/>
              </w:rPr>
            </w:pPr>
            <w:r>
              <w:rPr>
                <w:sz w:val="20"/>
              </w:rPr>
              <w:t>T53 (Peacock Blue)</w:t>
            </w:r>
          </w:p>
        </w:tc>
      </w:tr>
      <w:tr w:rsidR="00BA29FF">
        <w:trPr>
          <w:cantSplit/>
        </w:trPr>
        <w:tc>
          <w:tcPr>
            <w:tcW w:w="1683" w:type="dxa"/>
          </w:tcPr>
          <w:p w:rsidR="00BA29FF" w:rsidRDefault="00BA29FF">
            <w:pPr>
              <w:pStyle w:val="TableText"/>
              <w:rPr>
                <w:sz w:val="20"/>
                <w:lang w:val="en-US"/>
              </w:rPr>
            </w:pPr>
            <w:r>
              <w:rPr>
                <w:sz w:val="20"/>
                <w:lang w:val="en-US"/>
              </w:rPr>
              <w:t>37</w:t>
            </w:r>
          </w:p>
        </w:tc>
        <w:tc>
          <w:tcPr>
            <w:tcW w:w="4675" w:type="dxa"/>
          </w:tcPr>
          <w:p w:rsidR="00BA29FF" w:rsidRDefault="00BA29FF">
            <w:pPr>
              <w:pStyle w:val="TableText"/>
              <w:rPr>
                <w:sz w:val="20"/>
              </w:rPr>
            </w:pPr>
            <w:r>
              <w:rPr>
                <w:sz w:val="20"/>
              </w:rPr>
              <w:t>X41 (Buff)</w:t>
            </w:r>
          </w:p>
        </w:tc>
      </w:tr>
      <w:tr w:rsidR="00BA29FF">
        <w:trPr>
          <w:cantSplit/>
        </w:trPr>
        <w:tc>
          <w:tcPr>
            <w:tcW w:w="1683" w:type="dxa"/>
          </w:tcPr>
          <w:p w:rsidR="00BA29FF" w:rsidRDefault="00BA29FF">
            <w:pPr>
              <w:pStyle w:val="TableText"/>
              <w:rPr>
                <w:sz w:val="20"/>
              </w:rPr>
            </w:pPr>
            <w:r>
              <w:rPr>
                <w:sz w:val="20"/>
              </w:rPr>
              <w:t>38</w:t>
            </w:r>
          </w:p>
        </w:tc>
        <w:tc>
          <w:tcPr>
            <w:tcW w:w="4675" w:type="dxa"/>
          </w:tcPr>
          <w:p w:rsidR="00BA29FF" w:rsidRDefault="00BA29FF">
            <w:pPr>
              <w:pStyle w:val="TableText"/>
              <w:rPr>
                <w:sz w:val="20"/>
              </w:rPr>
            </w:pPr>
            <w:r>
              <w:rPr>
                <w:sz w:val="20"/>
              </w:rPr>
              <w:t>X42 (Biscuit)</w:t>
            </w:r>
          </w:p>
        </w:tc>
      </w:tr>
      <w:tr w:rsidR="00BA29FF">
        <w:trPr>
          <w:cantSplit/>
        </w:trPr>
        <w:tc>
          <w:tcPr>
            <w:tcW w:w="1683" w:type="dxa"/>
          </w:tcPr>
          <w:p w:rsidR="00BA29FF" w:rsidRDefault="00BA29FF">
            <w:pPr>
              <w:pStyle w:val="TableText"/>
              <w:rPr>
                <w:sz w:val="20"/>
              </w:rPr>
            </w:pPr>
            <w:r>
              <w:rPr>
                <w:sz w:val="20"/>
              </w:rPr>
              <w:t>39</w:t>
            </w:r>
          </w:p>
        </w:tc>
        <w:tc>
          <w:tcPr>
            <w:tcW w:w="4675" w:type="dxa"/>
          </w:tcPr>
          <w:p w:rsidR="00BA29FF" w:rsidRDefault="00BA29FF">
            <w:pPr>
              <w:pStyle w:val="TableText"/>
              <w:rPr>
                <w:sz w:val="20"/>
              </w:rPr>
            </w:pPr>
            <w:r>
              <w:rPr>
                <w:sz w:val="20"/>
              </w:rPr>
              <w:t>X43 (Beige)</w:t>
            </w:r>
          </w:p>
        </w:tc>
      </w:tr>
      <w:tr w:rsidR="00BA29FF">
        <w:trPr>
          <w:cantSplit/>
        </w:trPr>
        <w:tc>
          <w:tcPr>
            <w:tcW w:w="1683" w:type="dxa"/>
          </w:tcPr>
          <w:p w:rsidR="00BA29FF" w:rsidRDefault="00BA29FF">
            <w:pPr>
              <w:pStyle w:val="TableText"/>
              <w:rPr>
                <w:sz w:val="20"/>
              </w:rPr>
            </w:pPr>
            <w:r>
              <w:rPr>
                <w:sz w:val="20"/>
              </w:rPr>
              <w:t>40</w:t>
            </w:r>
          </w:p>
        </w:tc>
        <w:tc>
          <w:tcPr>
            <w:tcW w:w="4675" w:type="dxa"/>
          </w:tcPr>
          <w:p w:rsidR="00BA29FF" w:rsidRDefault="00BA29FF">
            <w:pPr>
              <w:pStyle w:val="TableText"/>
              <w:rPr>
                <w:sz w:val="20"/>
              </w:rPr>
            </w:pPr>
            <w:r>
              <w:rPr>
                <w:sz w:val="20"/>
              </w:rPr>
              <w:t>X45 (Cinnamon)</w:t>
            </w:r>
          </w:p>
        </w:tc>
      </w:tr>
      <w:tr w:rsidR="00BA29FF">
        <w:trPr>
          <w:cantSplit/>
        </w:trPr>
        <w:tc>
          <w:tcPr>
            <w:tcW w:w="1683" w:type="dxa"/>
          </w:tcPr>
          <w:p w:rsidR="00BA29FF" w:rsidRDefault="00BA29FF">
            <w:pPr>
              <w:pStyle w:val="TableText"/>
              <w:rPr>
                <w:sz w:val="20"/>
              </w:rPr>
            </w:pPr>
            <w:r>
              <w:rPr>
                <w:sz w:val="20"/>
              </w:rPr>
              <w:t>41</w:t>
            </w:r>
          </w:p>
        </w:tc>
        <w:tc>
          <w:tcPr>
            <w:tcW w:w="4675" w:type="dxa"/>
          </w:tcPr>
          <w:p w:rsidR="00BA29FF" w:rsidRDefault="00BA29FF">
            <w:pPr>
              <w:pStyle w:val="TableText"/>
              <w:rPr>
                <w:sz w:val="20"/>
              </w:rPr>
            </w:pPr>
            <w:r>
              <w:rPr>
                <w:sz w:val="20"/>
              </w:rPr>
              <w:t>X51 (Tan)</w:t>
            </w:r>
          </w:p>
        </w:tc>
      </w:tr>
      <w:tr w:rsidR="00BA29FF">
        <w:trPr>
          <w:cantSplit/>
        </w:trPr>
        <w:tc>
          <w:tcPr>
            <w:tcW w:w="1683" w:type="dxa"/>
          </w:tcPr>
          <w:p w:rsidR="00BA29FF" w:rsidRDefault="00BA29FF">
            <w:pPr>
              <w:pStyle w:val="TableText"/>
              <w:rPr>
                <w:sz w:val="20"/>
              </w:rPr>
            </w:pPr>
            <w:r>
              <w:rPr>
                <w:sz w:val="20"/>
              </w:rPr>
              <w:t>42</w:t>
            </w:r>
          </w:p>
        </w:tc>
        <w:tc>
          <w:tcPr>
            <w:tcW w:w="4675" w:type="dxa"/>
          </w:tcPr>
          <w:p w:rsidR="00BA29FF" w:rsidRDefault="00BA29FF">
            <w:pPr>
              <w:pStyle w:val="TableText"/>
              <w:rPr>
                <w:sz w:val="20"/>
              </w:rPr>
            </w:pPr>
            <w:r>
              <w:rPr>
                <w:sz w:val="20"/>
              </w:rPr>
              <w:t>X52 (Coffee)</w:t>
            </w:r>
          </w:p>
        </w:tc>
      </w:tr>
      <w:tr w:rsidR="00BA29FF">
        <w:trPr>
          <w:cantSplit/>
        </w:trPr>
        <w:tc>
          <w:tcPr>
            <w:tcW w:w="1683" w:type="dxa"/>
          </w:tcPr>
          <w:p w:rsidR="00BA29FF" w:rsidRDefault="00BA29FF">
            <w:pPr>
              <w:pStyle w:val="TableText"/>
              <w:rPr>
                <w:sz w:val="20"/>
              </w:rPr>
            </w:pPr>
            <w:r>
              <w:rPr>
                <w:sz w:val="20"/>
              </w:rPr>
              <w:t>43</w:t>
            </w:r>
          </w:p>
        </w:tc>
        <w:tc>
          <w:tcPr>
            <w:tcW w:w="4675" w:type="dxa"/>
          </w:tcPr>
          <w:p w:rsidR="00BA29FF" w:rsidRDefault="00BA29FF">
            <w:pPr>
              <w:pStyle w:val="TableText"/>
              <w:rPr>
                <w:sz w:val="20"/>
              </w:rPr>
            </w:pPr>
            <w:r>
              <w:rPr>
                <w:sz w:val="20"/>
              </w:rPr>
              <w:t>X53 (Golden Tan)</w:t>
            </w:r>
          </w:p>
        </w:tc>
      </w:tr>
      <w:tr w:rsidR="00BA29FF">
        <w:trPr>
          <w:cantSplit/>
        </w:trPr>
        <w:tc>
          <w:tcPr>
            <w:tcW w:w="1683" w:type="dxa"/>
          </w:tcPr>
          <w:p w:rsidR="00BA29FF" w:rsidRDefault="00BA29FF">
            <w:pPr>
              <w:pStyle w:val="TableText"/>
              <w:rPr>
                <w:sz w:val="20"/>
              </w:rPr>
            </w:pPr>
            <w:r>
              <w:rPr>
                <w:sz w:val="20"/>
              </w:rPr>
              <w:t>44</w:t>
            </w:r>
          </w:p>
        </w:tc>
        <w:tc>
          <w:tcPr>
            <w:tcW w:w="4675" w:type="dxa"/>
          </w:tcPr>
          <w:p w:rsidR="00BA29FF" w:rsidRDefault="00BA29FF">
            <w:pPr>
              <w:pStyle w:val="TableText"/>
              <w:rPr>
                <w:sz w:val="20"/>
              </w:rPr>
            </w:pPr>
            <w:r>
              <w:rPr>
                <w:sz w:val="20"/>
              </w:rPr>
              <w:t>X54 (Brown)</w:t>
            </w:r>
          </w:p>
        </w:tc>
      </w:tr>
      <w:tr w:rsidR="00BA29FF">
        <w:trPr>
          <w:cantSplit/>
        </w:trPr>
        <w:tc>
          <w:tcPr>
            <w:tcW w:w="1683" w:type="dxa"/>
          </w:tcPr>
          <w:p w:rsidR="00BA29FF" w:rsidRDefault="00BA29FF">
            <w:pPr>
              <w:pStyle w:val="TableText"/>
              <w:rPr>
                <w:sz w:val="20"/>
              </w:rPr>
            </w:pPr>
            <w:r>
              <w:rPr>
                <w:sz w:val="20"/>
              </w:rPr>
              <w:t>45</w:t>
            </w:r>
          </w:p>
        </w:tc>
        <w:tc>
          <w:tcPr>
            <w:tcW w:w="4675" w:type="dxa"/>
          </w:tcPr>
          <w:p w:rsidR="00BA29FF" w:rsidRDefault="00BA29FF">
            <w:pPr>
              <w:pStyle w:val="TableText"/>
              <w:rPr>
                <w:sz w:val="20"/>
              </w:rPr>
            </w:pPr>
            <w:r>
              <w:rPr>
                <w:sz w:val="20"/>
              </w:rPr>
              <w:t>X55 (Nut Brown)</w:t>
            </w:r>
          </w:p>
        </w:tc>
      </w:tr>
      <w:tr w:rsidR="00BA29FF">
        <w:trPr>
          <w:cantSplit/>
        </w:trPr>
        <w:tc>
          <w:tcPr>
            <w:tcW w:w="1683" w:type="dxa"/>
          </w:tcPr>
          <w:p w:rsidR="00BA29FF" w:rsidRDefault="00BA29FF">
            <w:pPr>
              <w:pStyle w:val="TableText"/>
              <w:rPr>
                <w:sz w:val="20"/>
              </w:rPr>
            </w:pPr>
            <w:r>
              <w:rPr>
                <w:sz w:val="20"/>
              </w:rPr>
              <w:t>46</w:t>
            </w:r>
          </w:p>
        </w:tc>
        <w:tc>
          <w:tcPr>
            <w:tcW w:w="4675" w:type="dxa"/>
          </w:tcPr>
          <w:p w:rsidR="00BA29FF" w:rsidRDefault="00BA29FF">
            <w:pPr>
              <w:pStyle w:val="TableText"/>
              <w:rPr>
                <w:sz w:val="20"/>
              </w:rPr>
            </w:pPr>
            <w:r>
              <w:rPr>
                <w:sz w:val="20"/>
              </w:rPr>
              <w:t>X61 (Wombat)</w:t>
            </w:r>
          </w:p>
        </w:tc>
      </w:tr>
      <w:tr w:rsidR="00BA29FF">
        <w:trPr>
          <w:cantSplit/>
        </w:trPr>
        <w:tc>
          <w:tcPr>
            <w:tcW w:w="1683" w:type="dxa"/>
          </w:tcPr>
          <w:p w:rsidR="00BA29FF" w:rsidRDefault="00BA29FF">
            <w:pPr>
              <w:pStyle w:val="TableText"/>
              <w:rPr>
                <w:sz w:val="20"/>
                <w:lang w:val="en-US"/>
              </w:rPr>
            </w:pPr>
            <w:r>
              <w:rPr>
                <w:sz w:val="20"/>
                <w:lang w:val="en-US"/>
              </w:rPr>
              <w:t>47</w:t>
            </w:r>
          </w:p>
        </w:tc>
        <w:tc>
          <w:tcPr>
            <w:tcW w:w="4675" w:type="dxa"/>
          </w:tcPr>
          <w:p w:rsidR="00BA29FF" w:rsidRDefault="00BA29FF">
            <w:pPr>
              <w:pStyle w:val="TableText"/>
              <w:rPr>
                <w:sz w:val="20"/>
              </w:rPr>
            </w:pPr>
            <w:r>
              <w:rPr>
                <w:sz w:val="20"/>
                <w:lang w:val="en-US"/>
              </w:rPr>
              <w:t>X62 (Dark Earth)</w:t>
            </w:r>
          </w:p>
        </w:tc>
      </w:tr>
      <w:tr w:rsidR="00BA29FF">
        <w:trPr>
          <w:cantSplit/>
        </w:trPr>
        <w:tc>
          <w:tcPr>
            <w:tcW w:w="1683" w:type="dxa"/>
          </w:tcPr>
          <w:p w:rsidR="00BA29FF" w:rsidRDefault="00BA29FF">
            <w:pPr>
              <w:pStyle w:val="TableText"/>
              <w:rPr>
                <w:sz w:val="20"/>
              </w:rPr>
            </w:pPr>
            <w:r>
              <w:rPr>
                <w:sz w:val="20"/>
              </w:rPr>
              <w:t>48</w:t>
            </w:r>
          </w:p>
        </w:tc>
        <w:tc>
          <w:tcPr>
            <w:tcW w:w="4675" w:type="dxa"/>
          </w:tcPr>
          <w:p w:rsidR="00BA29FF" w:rsidRDefault="00BA29FF">
            <w:pPr>
              <w:pStyle w:val="TableText"/>
              <w:rPr>
                <w:sz w:val="20"/>
              </w:rPr>
            </w:pPr>
            <w:r>
              <w:rPr>
                <w:sz w:val="20"/>
              </w:rPr>
              <w:t>Y44 (Sand)</w:t>
            </w:r>
          </w:p>
        </w:tc>
      </w:tr>
      <w:tr w:rsidR="00BA29FF">
        <w:trPr>
          <w:cantSplit/>
        </w:trPr>
        <w:tc>
          <w:tcPr>
            <w:tcW w:w="1683" w:type="dxa"/>
          </w:tcPr>
          <w:p w:rsidR="00BA29FF" w:rsidRDefault="00BA29FF">
            <w:pPr>
              <w:pStyle w:val="TableText"/>
              <w:rPr>
                <w:sz w:val="20"/>
              </w:rPr>
            </w:pPr>
            <w:r>
              <w:rPr>
                <w:sz w:val="20"/>
              </w:rPr>
              <w:lastRenderedPageBreak/>
              <w:t>49</w:t>
            </w:r>
          </w:p>
        </w:tc>
        <w:tc>
          <w:tcPr>
            <w:tcW w:w="4675" w:type="dxa"/>
          </w:tcPr>
          <w:p w:rsidR="00BA29FF" w:rsidRDefault="00BA29FF">
            <w:pPr>
              <w:pStyle w:val="TableText"/>
              <w:rPr>
                <w:sz w:val="20"/>
              </w:rPr>
            </w:pPr>
            <w:r>
              <w:rPr>
                <w:sz w:val="20"/>
              </w:rPr>
              <w:t>Y45 (Manila)</w:t>
            </w:r>
          </w:p>
        </w:tc>
      </w:tr>
      <w:tr w:rsidR="00BA29FF">
        <w:trPr>
          <w:cantSplit/>
        </w:trPr>
        <w:tc>
          <w:tcPr>
            <w:tcW w:w="1683" w:type="dxa"/>
          </w:tcPr>
          <w:p w:rsidR="00BA29FF" w:rsidRDefault="00BA29FF">
            <w:pPr>
              <w:pStyle w:val="TableText"/>
              <w:rPr>
                <w:sz w:val="20"/>
                <w:lang w:val="en-US"/>
              </w:rPr>
            </w:pPr>
            <w:r>
              <w:rPr>
                <w:sz w:val="20"/>
                <w:lang w:val="en-US"/>
              </w:rPr>
              <w:t>50</w:t>
            </w:r>
          </w:p>
        </w:tc>
        <w:tc>
          <w:tcPr>
            <w:tcW w:w="4675" w:type="dxa"/>
          </w:tcPr>
          <w:p w:rsidR="00BA29FF" w:rsidRDefault="00BA29FF">
            <w:pPr>
              <w:pStyle w:val="TableText"/>
              <w:rPr>
                <w:sz w:val="20"/>
              </w:rPr>
            </w:pPr>
            <w:r>
              <w:rPr>
                <w:sz w:val="20"/>
              </w:rPr>
              <w:t>Y51 (Bronze Olive)</w:t>
            </w:r>
          </w:p>
        </w:tc>
      </w:tr>
      <w:tr w:rsidR="00BA29FF">
        <w:trPr>
          <w:cantSplit/>
        </w:trPr>
        <w:tc>
          <w:tcPr>
            <w:tcW w:w="1683" w:type="dxa"/>
          </w:tcPr>
          <w:p w:rsidR="00BA29FF" w:rsidRDefault="00BA29FF">
            <w:pPr>
              <w:pStyle w:val="TableText"/>
              <w:rPr>
                <w:sz w:val="20"/>
              </w:rPr>
            </w:pPr>
            <w:r>
              <w:rPr>
                <w:sz w:val="20"/>
              </w:rPr>
              <w:t>51</w:t>
            </w:r>
          </w:p>
        </w:tc>
        <w:tc>
          <w:tcPr>
            <w:tcW w:w="4675" w:type="dxa"/>
          </w:tcPr>
          <w:p w:rsidR="00BA29FF" w:rsidRDefault="00BA29FF">
            <w:pPr>
              <w:pStyle w:val="TableText"/>
              <w:rPr>
                <w:sz w:val="20"/>
              </w:rPr>
            </w:pPr>
            <w:r>
              <w:rPr>
                <w:sz w:val="20"/>
              </w:rPr>
              <w:t>Y52 (Chamois)</w:t>
            </w:r>
          </w:p>
        </w:tc>
      </w:tr>
      <w:tr w:rsidR="00BA29FF">
        <w:trPr>
          <w:cantSplit/>
        </w:trPr>
        <w:tc>
          <w:tcPr>
            <w:tcW w:w="1683" w:type="dxa"/>
          </w:tcPr>
          <w:p w:rsidR="00BA29FF" w:rsidRDefault="00BA29FF">
            <w:pPr>
              <w:pStyle w:val="TableText"/>
              <w:rPr>
                <w:sz w:val="20"/>
              </w:rPr>
            </w:pPr>
            <w:r>
              <w:rPr>
                <w:sz w:val="20"/>
              </w:rPr>
              <w:t>52</w:t>
            </w:r>
          </w:p>
        </w:tc>
        <w:tc>
          <w:tcPr>
            <w:tcW w:w="4675" w:type="dxa"/>
          </w:tcPr>
          <w:p w:rsidR="00BA29FF" w:rsidRDefault="00BA29FF">
            <w:pPr>
              <w:pStyle w:val="TableText"/>
            </w:pPr>
            <w:r>
              <w:rPr>
                <w:sz w:val="20"/>
              </w:rPr>
              <w:t>Y53 (Sandstone)</w:t>
            </w:r>
          </w:p>
        </w:tc>
      </w:tr>
      <w:tr w:rsidR="00BA29FF">
        <w:trPr>
          <w:cantSplit/>
        </w:trPr>
        <w:tc>
          <w:tcPr>
            <w:tcW w:w="1683" w:type="dxa"/>
          </w:tcPr>
          <w:p w:rsidR="00BA29FF" w:rsidRDefault="00BA29FF">
            <w:pPr>
              <w:pStyle w:val="TableText"/>
              <w:rPr>
                <w:sz w:val="20"/>
              </w:rPr>
            </w:pPr>
            <w:r>
              <w:rPr>
                <w:sz w:val="20"/>
              </w:rPr>
              <w:t>53</w:t>
            </w:r>
          </w:p>
        </w:tc>
        <w:tc>
          <w:tcPr>
            <w:tcW w:w="4675" w:type="dxa"/>
          </w:tcPr>
          <w:p w:rsidR="00BA29FF" w:rsidRDefault="00BA29FF">
            <w:pPr>
              <w:pStyle w:val="TableText"/>
              <w:rPr>
                <w:sz w:val="20"/>
              </w:rPr>
            </w:pPr>
            <w:r>
              <w:rPr>
                <w:sz w:val="20"/>
                <w:lang w:val="en-US"/>
              </w:rPr>
              <w:t>Y54 (Oatmeal)</w:t>
            </w:r>
          </w:p>
        </w:tc>
      </w:tr>
      <w:tr w:rsidR="00BA29FF">
        <w:trPr>
          <w:cantSplit/>
        </w:trPr>
        <w:tc>
          <w:tcPr>
            <w:tcW w:w="1683" w:type="dxa"/>
          </w:tcPr>
          <w:p w:rsidR="00BA29FF" w:rsidRDefault="00BA29FF">
            <w:pPr>
              <w:pStyle w:val="TableText"/>
              <w:rPr>
                <w:sz w:val="20"/>
              </w:rPr>
            </w:pPr>
            <w:r>
              <w:rPr>
                <w:sz w:val="20"/>
              </w:rPr>
              <w:t>54</w:t>
            </w:r>
          </w:p>
        </w:tc>
        <w:tc>
          <w:tcPr>
            <w:tcW w:w="4675" w:type="dxa"/>
          </w:tcPr>
          <w:p w:rsidR="00BA29FF" w:rsidRDefault="00BA29FF">
            <w:pPr>
              <w:pStyle w:val="TableText"/>
              <w:rPr>
                <w:sz w:val="20"/>
              </w:rPr>
            </w:pPr>
            <w:r>
              <w:rPr>
                <w:sz w:val="20"/>
              </w:rPr>
              <w:t>Y55 (Deep Stone)</w:t>
            </w:r>
          </w:p>
        </w:tc>
      </w:tr>
      <w:tr w:rsidR="00BA29FF">
        <w:trPr>
          <w:cantSplit/>
        </w:trPr>
        <w:tc>
          <w:tcPr>
            <w:tcW w:w="1683" w:type="dxa"/>
          </w:tcPr>
          <w:p w:rsidR="00BA29FF" w:rsidRDefault="00BA29FF">
            <w:pPr>
              <w:pStyle w:val="TableText"/>
              <w:rPr>
                <w:sz w:val="20"/>
              </w:rPr>
            </w:pPr>
            <w:r>
              <w:rPr>
                <w:sz w:val="20"/>
              </w:rPr>
              <w:t>55</w:t>
            </w:r>
          </w:p>
        </w:tc>
        <w:tc>
          <w:tcPr>
            <w:tcW w:w="4675" w:type="dxa"/>
          </w:tcPr>
          <w:p w:rsidR="00BA29FF" w:rsidRDefault="00BA29FF">
            <w:pPr>
              <w:pStyle w:val="TableText"/>
              <w:rPr>
                <w:sz w:val="20"/>
              </w:rPr>
            </w:pPr>
            <w:r>
              <w:rPr>
                <w:sz w:val="20"/>
              </w:rPr>
              <w:t>Y56 (Merino)</w:t>
            </w:r>
          </w:p>
        </w:tc>
      </w:tr>
      <w:tr w:rsidR="00BA29FF">
        <w:trPr>
          <w:cantSplit/>
        </w:trPr>
        <w:tc>
          <w:tcPr>
            <w:tcW w:w="1683" w:type="dxa"/>
          </w:tcPr>
          <w:p w:rsidR="00BA29FF" w:rsidRDefault="00BA29FF">
            <w:pPr>
              <w:pStyle w:val="TableText"/>
              <w:rPr>
                <w:sz w:val="20"/>
              </w:rPr>
            </w:pPr>
            <w:r>
              <w:rPr>
                <w:sz w:val="20"/>
              </w:rPr>
              <w:t>56</w:t>
            </w:r>
          </w:p>
        </w:tc>
        <w:tc>
          <w:tcPr>
            <w:tcW w:w="4675" w:type="dxa"/>
          </w:tcPr>
          <w:p w:rsidR="00BA29FF" w:rsidRDefault="00BA29FF">
            <w:pPr>
              <w:pStyle w:val="TableText"/>
              <w:rPr>
                <w:sz w:val="20"/>
              </w:rPr>
            </w:pPr>
            <w:r>
              <w:rPr>
                <w:sz w:val="20"/>
              </w:rPr>
              <w:t>Y62 (Sugar Cane)</w:t>
            </w:r>
          </w:p>
        </w:tc>
      </w:tr>
      <w:tr w:rsidR="00BA29FF">
        <w:trPr>
          <w:cantSplit/>
        </w:trPr>
        <w:tc>
          <w:tcPr>
            <w:tcW w:w="1683" w:type="dxa"/>
          </w:tcPr>
          <w:p w:rsidR="00BA29FF" w:rsidRDefault="00BA29FF">
            <w:pPr>
              <w:pStyle w:val="TableText"/>
              <w:rPr>
                <w:sz w:val="20"/>
              </w:rPr>
            </w:pPr>
            <w:r>
              <w:rPr>
                <w:sz w:val="20"/>
              </w:rPr>
              <w:t>57</w:t>
            </w:r>
          </w:p>
        </w:tc>
        <w:tc>
          <w:tcPr>
            <w:tcW w:w="4675" w:type="dxa"/>
          </w:tcPr>
          <w:p w:rsidR="00BA29FF" w:rsidRDefault="00BA29FF">
            <w:pPr>
              <w:pStyle w:val="TableText"/>
              <w:rPr>
                <w:sz w:val="20"/>
              </w:rPr>
            </w:pPr>
            <w:r>
              <w:rPr>
                <w:sz w:val="20"/>
              </w:rPr>
              <w:t>Y63 (Khaki)</w:t>
            </w:r>
          </w:p>
        </w:tc>
      </w:tr>
      <w:tr w:rsidR="00BA29FF">
        <w:trPr>
          <w:cantSplit/>
        </w:trPr>
        <w:tc>
          <w:tcPr>
            <w:tcW w:w="1683" w:type="dxa"/>
          </w:tcPr>
          <w:p w:rsidR="00BA29FF" w:rsidRDefault="00BA29FF">
            <w:pPr>
              <w:pStyle w:val="TableText"/>
              <w:rPr>
                <w:sz w:val="20"/>
              </w:rPr>
            </w:pPr>
            <w:r>
              <w:rPr>
                <w:sz w:val="20"/>
              </w:rPr>
              <w:t>58</w:t>
            </w:r>
          </w:p>
        </w:tc>
        <w:tc>
          <w:tcPr>
            <w:tcW w:w="4675" w:type="dxa"/>
          </w:tcPr>
          <w:p w:rsidR="00BA29FF" w:rsidRDefault="00BA29FF">
            <w:pPr>
              <w:pStyle w:val="TableText"/>
              <w:rPr>
                <w:sz w:val="20"/>
              </w:rPr>
            </w:pPr>
            <w:r>
              <w:rPr>
                <w:sz w:val="20"/>
                <w:lang w:val="en-US"/>
              </w:rPr>
              <w:t>Y65 (Mushroom)</w:t>
            </w:r>
          </w:p>
        </w:tc>
      </w:tr>
      <w:tr w:rsidR="00BA29FF">
        <w:trPr>
          <w:cantSplit/>
        </w:trPr>
        <w:tc>
          <w:tcPr>
            <w:tcW w:w="1683" w:type="dxa"/>
          </w:tcPr>
          <w:p w:rsidR="00BA29FF" w:rsidRDefault="00BA29FF">
            <w:pPr>
              <w:pStyle w:val="TableText"/>
              <w:rPr>
                <w:sz w:val="20"/>
              </w:rPr>
            </w:pPr>
            <w:r>
              <w:rPr>
                <w:sz w:val="20"/>
              </w:rPr>
              <w:t>59</w:t>
            </w:r>
          </w:p>
        </w:tc>
        <w:tc>
          <w:tcPr>
            <w:tcW w:w="4675" w:type="dxa"/>
          </w:tcPr>
          <w:p w:rsidR="00BA29FF" w:rsidRDefault="00BA29FF">
            <w:pPr>
              <w:pStyle w:val="TableText"/>
              <w:rPr>
                <w:sz w:val="20"/>
              </w:rPr>
            </w:pPr>
            <w:r>
              <w:rPr>
                <w:sz w:val="20"/>
                <w:lang w:val="en-US"/>
              </w:rPr>
              <w:t>Y66 (Mudstone)</w:t>
            </w:r>
          </w:p>
        </w:tc>
      </w:tr>
    </w:tbl>
    <w:p w:rsidR="00BA29FF" w:rsidRDefault="00BA29FF">
      <w:pPr>
        <w:pStyle w:val="PageBreak"/>
      </w:pPr>
      <w:r>
        <w:br w:type="page"/>
      </w:r>
    </w:p>
    <w:p w:rsidR="00BA29FF" w:rsidRDefault="00BA29FF">
      <w:pPr>
        <w:pStyle w:val="Sched-Part"/>
      </w:pPr>
      <w:bookmarkStart w:id="217" w:name="_Toc206921406"/>
      <w:r>
        <w:rPr>
          <w:rStyle w:val="CharPartNo"/>
        </w:rPr>
        <w:lastRenderedPageBreak/>
        <w:t>Part 1.5</w:t>
      </w:r>
      <w:r>
        <w:tab/>
      </w:r>
      <w:r>
        <w:rPr>
          <w:rStyle w:val="CharPartText"/>
        </w:rPr>
        <w:t>Tables of exempt signs</w:t>
      </w:r>
      <w:bookmarkEnd w:id="217"/>
    </w:p>
    <w:p w:rsidR="00BA29FF" w:rsidRDefault="00BA29FF">
      <w:pPr>
        <w:pStyle w:val="aNote"/>
      </w:pPr>
      <w:r>
        <w:rPr>
          <w:i/>
          <w:iCs/>
        </w:rPr>
        <w:t>Note</w:t>
      </w:r>
      <w:r>
        <w:tab/>
        <w:t>This part relates to s 1.67 (Signs attached etc to buildings, structures and land) and s 1.69 (Temporary signs).</w:t>
      </w:r>
    </w:p>
    <w:p w:rsidR="00BA29FF" w:rsidRDefault="00BA29FF">
      <w:pPr>
        <w:pStyle w:val="TableHd"/>
        <w:ind w:hanging="573"/>
      </w:pPr>
      <w:r>
        <w:t>Table 1.5.1   Exempt signs:  commercial and industrial zones</w:t>
      </w:r>
    </w:p>
    <w:p w:rsidR="00BA29FF" w:rsidRDefault="00BA29FF"/>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BA29FF">
        <w:trPr>
          <w:tblHeader/>
        </w:trPr>
        <w:tc>
          <w:tcPr>
            <w:tcW w:w="2390" w:type="dxa"/>
          </w:tcPr>
          <w:p w:rsidR="00BA29FF" w:rsidRDefault="00BA29FF">
            <w:pPr>
              <w:pStyle w:val="TableColHd"/>
            </w:pPr>
          </w:p>
        </w:tc>
        <w:tc>
          <w:tcPr>
            <w:tcW w:w="4957" w:type="dxa"/>
            <w:gridSpan w:val="8"/>
          </w:tcPr>
          <w:p w:rsidR="00BA29FF" w:rsidRDefault="00BA29FF">
            <w:pPr>
              <w:pStyle w:val="TableColHd"/>
              <w:rPr>
                <w:highlight w:val="yellow"/>
              </w:rPr>
            </w:pPr>
            <w:r>
              <w:t>Commercial and industrial zones</w:t>
            </w:r>
          </w:p>
        </w:tc>
      </w:tr>
      <w:tr w:rsidR="00BA29FF">
        <w:trPr>
          <w:tblHeader/>
        </w:trPr>
        <w:tc>
          <w:tcPr>
            <w:tcW w:w="2390" w:type="dxa"/>
          </w:tcPr>
          <w:p w:rsidR="00BA29FF" w:rsidRDefault="00BA29FF">
            <w:pPr>
              <w:pStyle w:val="TableColHd"/>
            </w:pPr>
          </w:p>
        </w:tc>
        <w:tc>
          <w:tcPr>
            <w:tcW w:w="656" w:type="dxa"/>
          </w:tcPr>
          <w:p w:rsidR="00BA29FF" w:rsidRDefault="00BA29FF">
            <w:pPr>
              <w:pStyle w:val="TableColHd"/>
            </w:pPr>
            <w:r>
              <w:t>CZ1</w:t>
            </w:r>
          </w:p>
        </w:tc>
        <w:tc>
          <w:tcPr>
            <w:tcW w:w="627" w:type="dxa"/>
          </w:tcPr>
          <w:p w:rsidR="00BA29FF" w:rsidRDefault="00BA29FF">
            <w:pPr>
              <w:pStyle w:val="TableColHd"/>
            </w:pPr>
            <w:r>
              <w:t>CZ2</w:t>
            </w:r>
          </w:p>
        </w:tc>
        <w:tc>
          <w:tcPr>
            <w:tcW w:w="626" w:type="dxa"/>
          </w:tcPr>
          <w:p w:rsidR="00BA29FF" w:rsidRDefault="00BA29FF">
            <w:pPr>
              <w:pStyle w:val="TableColHd"/>
            </w:pPr>
            <w:r>
              <w:t>CZ3</w:t>
            </w:r>
          </w:p>
        </w:tc>
        <w:tc>
          <w:tcPr>
            <w:tcW w:w="597" w:type="dxa"/>
          </w:tcPr>
          <w:p w:rsidR="00BA29FF" w:rsidRDefault="00BA29FF">
            <w:pPr>
              <w:pStyle w:val="TableColHd"/>
            </w:pPr>
            <w:r>
              <w:t>CZ4</w:t>
            </w:r>
          </w:p>
        </w:tc>
        <w:tc>
          <w:tcPr>
            <w:tcW w:w="627" w:type="dxa"/>
          </w:tcPr>
          <w:p w:rsidR="00BA29FF" w:rsidRDefault="00BA29FF">
            <w:pPr>
              <w:pStyle w:val="TableColHd"/>
            </w:pPr>
            <w:r>
              <w:t>CZ5</w:t>
            </w:r>
          </w:p>
        </w:tc>
        <w:tc>
          <w:tcPr>
            <w:tcW w:w="627" w:type="dxa"/>
          </w:tcPr>
          <w:p w:rsidR="00BA29FF" w:rsidRDefault="00BA29FF">
            <w:pPr>
              <w:pStyle w:val="TableColHd"/>
            </w:pPr>
            <w:r>
              <w:t>CZ6</w:t>
            </w:r>
          </w:p>
        </w:tc>
        <w:tc>
          <w:tcPr>
            <w:tcW w:w="627" w:type="dxa"/>
          </w:tcPr>
          <w:p w:rsidR="00BA29FF" w:rsidRDefault="00BA29FF">
            <w:pPr>
              <w:pStyle w:val="TableColHd"/>
            </w:pPr>
            <w:r>
              <w:t>IZ1</w:t>
            </w:r>
          </w:p>
        </w:tc>
        <w:tc>
          <w:tcPr>
            <w:tcW w:w="570" w:type="dxa"/>
          </w:tcPr>
          <w:p w:rsidR="00BA29FF" w:rsidRDefault="00BA29FF">
            <w:pPr>
              <w:pStyle w:val="TableColHd"/>
            </w:pPr>
            <w:r>
              <w:t>IZ2</w:t>
            </w:r>
          </w:p>
        </w:tc>
      </w:tr>
      <w:tr w:rsidR="00BA29FF">
        <w:trPr>
          <w:tblHeader/>
        </w:trPr>
        <w:tc>
          <w:tcPr>
            <w:tcW w:w="2390" w:type="dxa"/>
          </w:tcPr>
          <w:p w:rsidR="00BA29FF" w:rsidRDefault="00BA29FF">
            <w:pPr>
              <w:pStyle w:val="TableColHd"/>
              <w:rPr>
                <w:highlight w:val="yellow"/>
              </w:rPr>
            </w:pPr>
            <w:r>
              <w:t>Type of sign</w:t>
            </w:r>
          </w:p>
        </w:tc>
        <w:tc>
          <w:tcPr>
            <w:tcW w:w="656" w:type="dxa"/>
          </w:tcPr>
          <w:p w:rsidR="00BA29FF" w:rsidRDefault="00BA29FF">
            <w:pPr>
              <w:pStyle w:val="TableColHd"/>
              <w:rPr>
                <w:highlight w:val="yellow"/>
              </w:rPr>
            </w:pPr>
          </w:p>
        </w:tc>
        <w:tc>
          <w:tcPr>
            <w:tcW w:w="627" w:type="dxa"/>
          </w:tcPr>
          <w:p w:rsidR="00BA29FF" w:rsidRDefault="00BA29FF">
            <w:pPr>
              <w:pStyle w:val="TableColHd"/>
              <w:rPr>
                <w:highlight w:val="yellow"/>
              </w:rPr>
            </w:pPr>
          </w:p>
        </w:tc>
        <w:tc>
          <w:tcPr>
            <w:tcW w:w="626" w:type="dxa"/>
          </w:tcPr>
          <w:p w:rsidR="00BA29FF" w:rsidRDefault="00BA29FF">
            <w:pPr>
              <w:pStyle w:val="TableColHd"/>
              <w:rPr>
                <w:highlight w:val="yellow"/>
              </w:rPr>
            </w:pPr>
          </w:p>
        </w:tc>
        <w:tc>
          <w:tcPr>
            <w:tcW w:w="597" w:type="dxa"/>
          </w:tcPr>
          <w:p w:rsidR="00BA29FF" w:rsidRDefault="00BA29FF">
            <w:pPr>
              <w:pStyle w:val="TableColHd"/>
              <w:rPr>
                <w:highlight w:val="yellow"/>
              </w:rPr>
            </w:pPr>
          </w:p>
        </w:tc>
        <w:tc>
          <w:tcPr>
            <w:tcW w:w="627" w:type="dxa"/>
          </w:tcPr>
          <w:p w:rsidR="00BA29FF" w:rsidRDefault="00BA29FF">
            <w:pPr>
              <w:pStyle w:val="TableColHd"/>
              <w:rPr>
                <w:highlight w:val="yellow"/>
              </w:rPr>
            </w:pPr>
          </w:p>
        </w:tc>
        <w:tc>
          <w:tcPr>
            <w:tcW w:w="627" w:type="dxa"/>
          </w:tcPr>
          <w:p w:rsidR="00BA29FF" w:rsidRDefault="00BA29FF">
            <w:pPr>
              <w:pStyle w:val="TableColHd"/>
              <w:rPr>
                <w:highlight w:val="yellow"/>
              </w:rPr>
            </w:pPr>
          </w:p>
        </w:tc>
        <w:tc>
          <w:tcPr>
            <w:tcW w:w="627" w:type="dxa"/>
          </w:tcPr>
          <w:p w:rsidR="00BA29FF" w:rsidRDefault="00BA29FF">
            <w:pPr>
              <w:pStyle w:val="TableColHd"/>
              <w:rPr>
                <w:highlight w:val="yellow"/>
              </w:rPr>
            </w:pPr>
          </w:p>
        </w:tc>
        <w:tc>
          <w:tcPr>
            <w:tcW w:w="570" w:type="dxa"/>
          </w:tcPr>
          <w:p w:rsidR="00BA29FF" w:rsidRDefault="00BA29FF">
            <w:pPr>
              <w:pStyle w:val="TableColHd"/>
            </w:pPr>
          </w:p>
        </w:tc>
      </w:tr>
      <w:tr w:rsidR="00BA29FF">
        <w:tc>
          <w:tcPr>
            <w:tcW w:w="2390" w:type="dxa"/>
          </w:tcPr>
          <w:p w:rsidR="00BA29FF" w:rsidRDefault="00BA29FF">
            <w:pPr>
              <w:pStyle w:val="TableText"/>
              <w:spacing w:before="20" w:after="20"/>
              <w:rPr>
                <w:sz w:val="20"/>
              </w:rPr>
            </w:pPr>
            <w:r>
              <w:rPr>
                <w:sz w:val="20"/>
              </w:rPr>
              <w:t>Awning/fascia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Blind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highlight w:val="yellow"/>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Business plate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Canopy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highlight w:val="yellow"/>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Changeable message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Construction site fence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Display home/development site sales sign</w:t>
            </w:r>
          </w:p>
        </w:tc>
        <w:tc>
          <w:tcPr>
            <w:tcW w:w="656"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626" w:type="dxa"/>
          </w:tcPr>
          <w:p w:rsidR="00BA29FF" w:rsidRDefault="00BA29FF">
            <w:pPr>
              <w:pStyle w:val="TableText"/>
              <w:spacing w:before="20" w:after="20"/>
              <w:rPr>
                <w:sz w:val="20"/>
              </w:rPr>
            </w:pPr>
            <w:r>
              <w:rPr>
                <w:sz w:val="20"/>
              </w:rPr>
              <w:t>T</w:t>
            </w:r>
          </w:p>
        </w:tc>
        <w:tc>
          <w:tcPr>
            <w:tcW w:w="597"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570" w:type="dxa"/>
          </w:tcPr>
          <w:p w:rsidR="00BA29FF" w:rsidRDefault="00BA29FF">
            <w:pPr>
              <w:pStyle w:val="TableText"/>
              <w:spacing w:before="20" w:after="20"/>
              <w:rPr>
                <w:sz w:val="20"/>
              </w:rPr>
            </w:pPr>
            <w:r>
              <w:rPr>
                <w:sz w:val="20"/>
              </w:rPr>
              <w:t>T</w:t>
            </w:r>
          </w:p>
        </w:tc>
      </w:tr>
      <w:tr w:rsidR="00BA29FF">
        <w:tc>
          <w:tcPr>
            <w:tcW w:w="2390" w:type="dxa"/>
          </w:tcPr>
          <w:p w:rsidR="00BA29FF" w:rsidRDefault="00BA29FF">
            <w:pPr>
              <w:pStyle w:val="TableText"/>
              <w:spacing w:before="20" w:after="20"/>
              <w:rPr>
                <w:sz w:val="20"/>
              </w:rPr>
            </w:pPr>
            <w:r>
              <w:rPr>
                <w:sz w:val="20"/>
              </w:rPr>
              <w:t>Event sign</w:t>
            </w:r>
          </w:p>
        </w:tc>
        <w:tc>
          <w:tcPr>
            <w:tcW w:w="656"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626" w:type="dxa"/>
          </w:tcPr>
          <w:p w:rsidR="00BA29FF" w:rsidRDefault="00BA29FF">
            <w:pPr>
              <w:pStyle w:val="TableText"/>
              <w:spacing w:before="20" w:after="20"/>
              <w:rPr>
                <w:sz w:val="20"/>
              </w:rPr>
            </w:pPr>
            <w:r>
              <w:rPr>
                <w:sz w:val="20"/>
              </w:rPr>
              <w:t>T</w:t>
            </w:r>
          </w:p>
        </w:tc>
        <w:tc>
          <w:tcPr>
            <w:tcW w:w="597"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627" w:type="dxa"/>
          </w:tcPr>
          <w:p w:rsidR="00BA29FF" w:rsidRDefault="00BA29FF">
            <w:pPr>
              <w:pStyle w:val="TableText"/>
              <w:spacing w:before="20" w:after="20"/>
              <w:rPr>
                <w:sz w:val="20"/>
              </w:rPr>
            </w:pPr>
            <w:r>
              <w:rPr>
                <w:sz w:val="20"/>
              </w:rPr>
              <w:t>T</w:t>
            </w:r>
          </w:p>
        </w:tc>
        <w:tc>
          <w:tcPr>
            <w:tcW w:w="570" w:type="dxa"/>
          </w:tcPr>
          <w:p w:rsidR="00BA29FF" w:rsidRDefault="00BA29FF">
            <w:pPr>
              <w:pStyle w:val="TableText"/>
              <w:spacing w:before="20" w:after="20"/>
              <w:rPr>
                <w:sz w:val="20"/>
              </w:rPr>
            </w:pPr>
            <w:r>
              <w:rPr>
                <w:sz w:val="20"/>
              </w:rPr>
              <w:t>T</w:t>
            </w:r>
          </w:p>
        </w:tc>
      </w:tr>
      <w:tr w:rsidR="00BA29FF">
        <w:tc>
          <w:tcPr>
            <w:tcW w:w="2390" w:type="dxa"/>
          </w:tcPr>
          <w:p w:rsidR="00BA29FF" w:rsidRDefault="00BA29FF">
            <w:pPr>
              <w:pStyle w:val="TableText"/>
              <w:spacing w:before="20" w:after="20"/>
              <w:rPr>
                <w:sz w:val="20"/>
                <w:highlight w:val="yellow"/>
              </w:rPr>
            </w:pPr>
            <w:r>
              <w:rPr>
                <w:sz w:val="20"/>
              </w:rPr>
              <w:t>Fence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highlight w:val="yellow"/>
              </w:rPr>
            </w:pPr>
            <w:r>
              <w:rPr>
                <w:sz w:val="20"/>
              </w:rPr>
              <w:t>Flag pole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rPr>
            </w:pPr>
            <w:r>
              <w:rPr>
                <w:sz w:val="20"/>
              </w:rPr>
              <w:t>Ground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Hamper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highlight w:val="yellow"/>
              </w:rPr>
            </w:pPr>
            <w:r>
              <w:rPr>
                <w:sz w:val="20"/>
              </w:rPr>
              <w:t>High rise building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highlight w:val="yellow"/>
              </w:rPr>
            </w:pPr>
            <w:r>
              <w:rPr>
                <w:sz w:val="20"/>
              </w:rPr>
              <w:t>Inflatable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rPr>
            </w:pPr>
            <w:r>
              <w:rPr>
                <w:sz w:val="20"/>
              </w:rPr>
              <w:t>Information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Lantern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highlight w:val="yellow"/>
              </w:rPr>
            </w:pPr>
            <w:r>
              <w:rPr>
                <w:sz w:val="20"/>
              </w:rPr>
              <w:t>Mobile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rPr>
            </w:pPr>
            <w:r>
              <w:rPr>
                <w:sz w:val="20"/>
              </w:rPr>
              <w:t>Pole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highlight w:val="yellow"/>
              </w:rPr>
            </w:pPr>
            <w:r>
              <w:rPr>
                <w:sz w:val="20"/>
              </w:rPr>
              <w:t>A</w:t>
            </w: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highlight w:val="yellow"/>
              </w:rPr>
            </w:pPr>
            <w:r>
              <w:rPr>
                <w:sz w:val="20"/>
              </w:rPr>
              <w:t>Projecting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highlight w:val="yellow"/>
              </w:rPr>
            </w:pPr>
            <w:r>
              <w:rPr>
                <w:sz w:val="20"/>
              </w:rPr>
              <w:t>Pylon/column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highlight w:val="yellow"/>
              </w:rPr>
            </w:pPr>
            <w:r>
              <w:rPr>
                <w:sz w:val="20"/>
              </w:rPr>
              <w:t>Roof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570" w:type="dxa"/>
          </w:tcPr>
          <w:p w:rsidR="00BA29FF" w:rsidRDefault="00BA29FF">
            <w:pPr>
              <w:pStyle w:val="TableText"/>
              <w:spacing w:before="20" w:after="20"/>
              <w:rPr>
                <w:sz w:val="20"/>
              </w:rPr>
            </w:pPr>
          </w:p>
        </w:tc>
      </w:tr>
      <w:tr w:rsidR="00BA29FF">
        <w:tc>
          <w:tcPr>
            <w:tcW w:w="2390" w:type="dxa"/>
          </w:tcPr>
          <w:p w:rsidR="00BA29FF" w:rsidRDefault="00BA29FF">
            <w:pPr>
              <w:pStyle w:val="TableText"/>
              <w:spacing w:before="20" w:after="20"/>
              <w:rPr>
                <w:sz w:val="20"/>
              </w:rPr>
            </w:pPr>
            <w:r>
              <w:rPr>
                <w:sz w:val="20"/>
              </w:rPr>
              <w:t>Stallboard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highlight w:val="yellow"/>
              </w:rPr>
            </w:pPr>
            <w:r>
              <w:rPr>
                <w:sz w:val="20"/>
              </w:rPr>
              <w:lastRenderedPageBreak/>
              <w:t>Territory signs</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Under awning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highlight w:val="yellow"/>
              </w:rPr>
            </w:pPr>
            <w:r>
              <w:rPr>
                <w:sz w:val="20"/>
              </w:rPr>
              <w:t>Vertical banner building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highlight w:val="yellow"/>
              </w:rPr>
            </w:pPr>
            <w:r>
              <w:rPr>
                <w:sz w:val="20"/>
              </w:rPr>
              <w:t>Vertical banner freestanding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highlight w:val="yellow"/>
              </w:rPr>
            </w:pPr>
            <w:r>
              <w:rPr>
                <w:sz w:val="20"/>
              </w:rPr>
              <w:t>Wall sign</w:t>
            </w:r>
          </w:p>
        </w:tc>
        <w:tc>
          <w:tcPr>
            <w:tcW w:w="656"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597" w:type="dxa"/>
          </w:tcPr>
          <w:p w:rsidR="00BA29FF" w:rsidRDefault="00BA29FF">
            <w:pPr>
              <w:pStyle w:val="TableText"/>
              <w:spacing w:before="20" w:after="20"/>
              <w:rPr>
                <w:sz w:val="20"/>
                <w:highlight w:val="yellow"/>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r w:rsidR="00BA29FF">
        <w:tc>
          <w:tcPr>
            <w:tcW w:w="2390" w:type="dxa"/>
          </w:tcPr>
          <w:p w:rsidR="00BA29FF" w:rsidRDefault="00BA29FF">
            <w:pPr>
              <w:pStyle w:val="TableText"/>
              <w:spacing w:before="20" w:after="20"/>
              <w:rPr>
                <w:sz w:val="20"/>
              </w:rPr>
            </w:pPr>
            <w:r>
              <w:rPr>
                <w:sz w:val="20"/>
              </w:rPr>
              <w:t>Window sign</w:t>
            </w:r>
          </w:p>
        </w:tc>
        <w:tc>
          <w:tcPr>
            <w:tcW w:w="656"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59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r>
              <w:rPr>
                <w:sz w:val="20"/>
              </w:rPr>
              <w:t>A</w:t>
            </w:r>
          </w:p>
        </w:tc>
        <w:tc>
          <w:tcPr>
            <w:tcW w:w="627" w:type="dxa"/>
          </w:tcPr>
          <w:p w:rsidR="00BA29FF" w:rsidRDefault="00BA29FF">
            <w:pPr>
              <w:pStyle w:val="TableText"/>
              <w:spacing w:before="20" w:after="20"/>
              <w:rPr>
                <w:sz w:val="20"/>
              </w:rPr>
            </w:pPr>
          </w:p>
        </w:tc>
        <w:tc>
          <w:tcPr>
            <w:tcW w:w="627" w:type="dxa"/>
          </w:tcPr>
          <w:p w:rsidR="00BA29FF" w:rsidRDefault="00BA29FF">
            <w:pPr>
              <w:pStyle w:val="TableText"/>
              <w:spacing w:before="20" w:after="20"/>
              <w:rPr>
                <w:sz w:val="20"/>
              </w:rPr>
            </w:pPr>
            <w:r>
              <w:rPr>
                <w:sz w:val="20"/>
              </w:rPr>
              <w:t>A</w:t>
            </w:r>
          </w:p>
        </w:tc>
        <w:tc>
          <w:tcPr>
            <w:tcW w:w="570" w:type="dxa"/>
          </w:tcPr>
          <w:p w:rsidR="00BA29FF" w:rsidRDefault="00BA29FF">
            <w:pPr>
              <w:pStyle w:val="TableText"/>
              <w:spacing w:before="20" w:after="20"/>
              <w:rPr>
                <w:sz w:val="20"/>
              </w:rPr>
            </w:pPr>
            <w:r>
              <w:rPr>
                <w:sz w:val="20"/>
              </w:rPr>
              <w:t>A</w:t>
            </w:r>
          </w:p>
        </w:tc>
      </w:tr>
    </w:tbl>
    <w:p w:rsidR="00BA29FF" w:rsidRDefault="00BA29FF"/>
    <w:p w:rsidR="00BA29FF" w:rsidRDefault="00BA29FF">
      <w:pPr>
        <w:pStyle w:val="03Schedule"/>
        <w:sectPr w:rsidR="00BA29FF">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BA29FF" w:rsidRDefault="00BA29FF">
      <w:pPr>
        <w:pStyle w:val="TableHd"/>
        <w:ind w:left="1881" w:hanging="1197"/>
      </w:pPr>
      <w:r>
        <w:lastRenderedPageBreak/>
        <w:t>Table 1.5.2   Exempt signs:  zones other than commercial and industrial zones</w:t>
      </w:r>
    </w:p>
    <w:p w:rsidR="00BA29FF" w:rsidRDefault="00BA29FF"/>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BA29FF">
        <w:trPr>
          <w:tblHeader/>
        </w:trPr>
        <w:tc>
          <w:tcPr>
            <w:tcW w:w="2415" w:type="dxa"/>
          </w:tcPr>
          <w:p w:rsidR="00BA29FF" w:rsidRDefault="00BA29FF">
            <w:pPr>
              <w:pStyle w:val="TableColHd"/>
            </w:pPr>
          </w:p>
        </w:tc>
        <w:tc>
          <w:tcPr>
            <w:tcW w:w="6663" w:type="dxa"/>
            <w:gridSpan w:val="10"/>
          </w:tcPr>
          <w:p w:rsidR="00BA29FF" w:rsidRDefault="00BA29FF">
            <w:pPr>
              <w:pStyle w:val="TableColHd"/>
              <w:rPr>
                <w:highlight w:val="yellow"/>
              </w:rPr>
            </w:pPr>
            <w:r>
              <w:t>Zones other than commercial and industrial zones</w:t>
            </w:r>
          </w:p>
        </w:tc>
      </w:tr>
      <w:tr w:rsidR="00BA29FF">
        <w:trPr>
          <w:tblHeader/>
        </w:trPr>
        <w:tc>
          <w:tcPr>
            <w:tcW w:w="2415" w:type="dxa"/>
          </w:tcPr>
          <w:p w:rsidR="00BA29FF" w:rsidRDefault="00BA29FF">
            <w:pPr>
              <w:pStyle w:val="TableColHd"/>
            </w:pPr>
          </w:p>
        </w:tc>
        <w:tc>
          <w:tcPr>
            <w:tcW w:w="626" w:type="dxa"/>
          </w:tcPr>
          <w:p w:rsidR="00BA29FF" w:rsidRDefault="00BA29FF">
            <w:pPr>
              <w:pStyle w:val="TableColHd"/>
            </w:pPr>
            <w:r>
              <w:t>RZ1</w:t>
            </w:r>
          </w:p>
        </w:tc>
        <w:tc>
          <w:tcPr>
            <w:tcW w:w="626" w:type="dxa"/>
          </w:tcPr>
          <w:p w:rsidR="00BA29FF" w:rsidRDefault="00BA29FF">
            <w:pPr>
              <w:pStyle w:val="TableColHd"/>
            </w:pPr>
            <w:r>
              <w:t>RZ2</w:t>
            </w:r>
          </w:p>
        </w:tc>
        <w:tc>
          <w:tcPr>
            <w:tcW w:w="626" w:type="dxa"/>
          </w:tcPr>
          <w:p w:rsidR="00BA29FF" w:rsidRDefault="00BA29FF">
            <w:pPr>
              <w:pStyle w:val="TableColHd"/>
            </w:pPr>
            <w:r>
              <w:t>RZ3</w:t>
            </w:r>
          </w:p>
        </w:tc>
        <w:tc>
          <w:tcPr>
            <w:tcW w:w="626" w:type="dxa"/>
          </w:tcPr>
          <w:p w:rsidR="00BA29FF" w:rsidRDefault="00BA29FF">
            <w:pPr>
              <w:pStyle w:val="TableColHd"/>
            </w:pPr>
            <w:r>
              <w:t>RZ4</w:t>
            </w:r>
          </w:p>
        </w:tc>
        <w:tc>
          <w:tcPr>
            <w:tcW w:w="626" w:type="dxa"/>
          </w:tcPr>
          <w:p w:rsidR="00BA29FF" w:rsidRDefault="00BA29FF">
            <w:pPr>
              <w:pStyle w:val="TableColHd"/>
            </w:pPr>
            <w:r>
              <w:t>RZ5</w:t>
            </w:r>
          </w:p>
        </w:tc>
        <w:tc>
          <w:tcPr>
            <w:tcW w:w="626" w:type="dxa"/>
          </w:tcPr>
          <w:p w:rsidR="00BA29FF" w:rsidRDefault="00BA29FF">
            <w:pPr>
              <w:pStyle w:val="TableColHd"/>
            </w:pPr>
            <w:r>
              <w:t>RZ6</w:t>
            </w:r>
          </w:p>
        </w:tc>
        <w:tc>
          <w:tcPr>
            <w:tcW w:w="648" w:type="dxa"/>
          </w:tcPr>
          <w:p w:rsidR="00BA29FF" w:rsidRDefault="00BA29FF">
            <w:pPr>
              <w:pStyle w:val="TableColHd"/>
            </w:pPr>
            <w:r>
              <w:t>CFZ</w:t>
            </w:r>
          </w:p>
        </w:tc>
        <w:tc>
          <w:tcPr>
            <w:tcW w:w="750" w:type="dxa"/>
          </w:tcPr>
          <w:p w:rsidR="00BA29FF" w:rsidRDefault="00BA29FF">
            <w:pPr>
              <w:pStyle w:val="TableColHd"/>
            </w:pPr>
            <w:r>
              <w:t>PRZ1</w:t>
            </w:r>
          </w:p>
        </w:tc>
        <w:tc>
          <w:tcPr>
            <w:tcW w:w="750" w:type="dxa"/>
          </w:tcPr>
          <w:p w:rsidR="00BA29FF" w:rsidRDefault="00BA29FF">
            <w:pPr>
              <w:pStyle w:val="TableColHd"/>
            </w:pPr>
            <w:r>
              <w:t>PRZ2</w:t>
            </w:r>
          </w:p>
        </w:tc>
        <w:tc>
          <w:tcPr>
            <w:tcW w:w="759" w:type="dxa"/>
          </w:tcPr>
          <w:p w:rsidR="00BA29FF" w:rsidRDefault="00BA29FF">
            <w:pPr>
              <w:pStyle w:val="TableColHd"/>
            </w:pPr>
            <w:r>
              <w:t xml:space="preserve">other </w:t>
            </w:r>
          </w:p>
        </w:tc>
      </w:tr>
      <w:tr w:rsidR="00BA29FF">
        <w:trPr>
          <w:tblHeader/>
        </w:trPr>
        <w:tc>
          <w:tcPr>
            <w:tcW w:w="2415" w:type="dxa"/>
          </w:tcPr>
          <w:p w:rsidR="00BA29FF" w:rsidRDefault="00BA29FF">
            <w:pPr>
              <w:pStyle w:val="TableColHd"/>
              <w:rPr>
                <w:highlight w:val="yellow"/>
              </w:rPr>
            </w:pPr>
            <w:r>
              <w:t>Type of sign</w:t>
            </w:r>
          </w:p>
        </w:tc>
        <w:tc>
          <w:tcPr>
            <w:tcW w:w="626" w:type="dxa"/>
          </w:tcPr>
          <w:p w:rsidR="00BA29FF" w:rsidRDefault="00BA29FF">
            <w:pPr>
              <w:pStyle w:val="TableColHd"/>
              <w:rPr>
                <w:highlight w:val="yellow"/>
              </w:rPr>
            </w:pPr>
          </w:p>
        </w:tc>
        <w:tc>
          <w:tcPr>
            <w:tcW w:w="626" w:type="dxa"/>
          </w:tcPr>
          <w:p w:rsidR="00BA29FF" w:rsidRDefault="00BA29FF">
            <w:pPr>
              <w:pStyle w:val="TableColHd"/>
              <w:rPr>
                <w:highlight w:val="yellow"/>
              </w:rPr>
            </w:pPr>
          </w:p>
        </w:tc>
        <w:tc>
          <w:tcPr>
            <w:tcW w:w="626" w:type="dxa"/>
          </w:tcPr>
          <w:p w:rsidR="00BA29FF" w:rsidRDefault="00BA29FF">
            <w:pPr>
              <w:pStyle w:val="TableColHd"/>
              <w:rPr>
                <w:highlight w:val="yellow"/>
              </w:rPr>
            </w:pPr>
          </w:p>
        </w:tc>
        <w:tc>
          <w:tcPr>
            <w:tcW w:w="626" w:type="dxa"/>
          </w:tcPr>
          <w:p w:rsidR="00BA29FF" w:rsidRDefault="00BA29FF">
            <w:pPr>
              <w:pStyle w:val="TableColHd"/>
              <w:rPr>
                <w:highlight w:val="yellow"/>
              </w:rPr>
            </w:pPr>
          </w:p>
        </w:tc>
        <w:tc>
          <w:tcPr>
            <w:tcW w:w="626" w:type="dxa"/>
          </w:tcPr>
          <w:p w:rsidR="00BA29FF" w:rsidRDefault="00BA29FF">
            <w:pPr>
              <w:pStyle w:val="TableColHd"/>
              <w:rPr>
                <w:highlight w:val="yellow"/>
              </w:rPr>
            </w:pPr>
          </w:p>
        </w:tc>
        <w:tc>
          <w:tcPr>
            <w:tcW w:w="626" w:type="dxa"/>
          </w:tcPr>
          <w:p w:rsidR="00BA29FF" w:rsidRDefault="00BA29FF">
            <w:pPr>
              <w:pStyle w:val="TableColHd"/>
              <w:rPr>
                <w:highlight w:val="yellow"/>
              </w:rPr>
            </w:pPr>
          </w:p>
        </w:tc>
        <w:tc>
          <w:tcPr>
            <w:tcW w:w="648" w:type="dxa"/>
          </w:tcPr>
          <w:p w:rsidR="00BA29FF" w:rsidRDefault="00BA29FF">
            <w:pPr>
              <w:pStyle w:val="TableColHd"/>
              <w:rPr>
                <w:highlight w:val="yellow"/>
              </w:rPr>
            </w:pPr>
          </w:p>
        </w:tc>
        <w:tc>
          <w:tcPr>
            <w:tcW w:w="750" w:type="dxa"/>
          </w:tcPr>
          <w:p w:rsidR="00BA29FF" w:rsidRDefault="00BA29FF">
            <w:pPr>
              <w:pStyle w:val="TableColHd"/>
              <w:rPr>
                <w:highlight w:val="yellow"/>
              </w:rPr>
            </w:pPr>
          </w:p>
        </w:tc>
        <w:tc>
          <w:tcPr>
            <w:tcW w:w="750" w:type="dxa"/>
          </w:tcPr>
          <w:p w:rsidR="00BA29FF" w:rsidRDefault="00BA29FF">
            <w:pPr>
              <w:pStyle w:val="TableColHd"/>
              <w:rPr>
                <w:highlight w:val="yellow"/>
              </w:rPr>
            </w:pPr>
          </w:p>
        </w:tc>
        <w:tc>
          <w:tcPr>
            <w:tcW w:w="759" w:type="dxa"/>
          </w:tcPr>
          <w:p w:rsidR="00BA29FF" w:rsidRDefault="00BA29FF">
            <w:pPr>
              <w:pStyle w:val="TableColHd"/>
            </w:pPr>
          </w:p>
        </w:tc>
      </w:tr>
      <w:tr w:rsidR="00BA29FF">
        <w:tc>
          <w:tcPr>
            <w:tcW w:w="2415" w:type="dxa"/>
          </w:tcPr>
          <w:p w:rsidR="00BA29FF" w:rsidRDefault="00BA29FF">
            <w:pPr>
              <w:pStyle w:val="TableText"/>
              <w:spacing w:before="20" w:after="20"/>
              <w:rPr>
                <w:sz w:val="20"/>
                <w:highlight w:val="yellow"/>
              </w:rPr>
            </w:pPr>
            <w:r>
              <w:rPr>
                <w:sz w:val="20"/>
              </w:rPr>
              <w:t>Awning/fascia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Blind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48" w:type="dxa"/>
          </w:tcPr>
          <w:p w:rsidR="00BA29FF" w:rsidRDefault="00BA29FF">
            <w:pPr>
              <w:pStyle w:val="TableText"/>
              <w:spacing w:before="20" w:after="20"/>
              <w:rPr>
                <w:sz w:val="20"/>
                <w:highlight w:val="yellow"/>
              </w:rPr>
            </w:pPr>
            <w:r>
              <w:rPr>
                <w:sz w:val="20"/>
              </w:rPr>
              <w:t>A</w:t>
            </w: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rPr>
            </w:pPr>
            <w:r>
              <w:rPr>
                <w:sz w:val="20"/>
              </w:rPr>
              <w:t>Business plate sign</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48"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r>
              <w:rPr>
                <w:sz w:val="20"/>
              </w:rPr>
              <w:t>A</w:t>
            </w:r>
          </w:p>
        </w:tc>
        <w:tc>
          <w:tcPr>
            <w:tcW w:w="759" w:type="dxa"/>
          </w:tcPr>
          <w:p w:rsidR="00BA29FF" w:rsidRDefault="00BA29FF">
            <w:pPr>
              <w:pStyle w:val="TableText"/>
              <w:spacing w:before="20" w:after="20"/>
              <w:rPr>
                <w:sz w:val="20"/>
              </w:rPr>
            </w:pPr>
            <w:r>
              <w:rPr>
                <w:sz w:val="20"/>
              </w:rPr>
              <w:t>A</w:t>
            </w:r>
          </w:p>
        </w:tc>
      </w:tr>
      <w:tr w:rsidR="00BA29FF">
        <w:tc>
          <w:tcPr>
            <w:tcW w:w="2415" w:type="dxa"/>
          </w:tcPr>
          <w:p w:rsidR="00BA29FF" w:rsidRDefault="00BA29FF">
            <w:pPr>
              <w:pStyle w:val="TableText"/>
              <w:spacing w:before="20" w:after="20"/>
              <w:rPr>
                <w:sz w:val="20"/>
                <w:highlight w:val="yellow"/>
              </w:rPr>
            </w:pPr>
            <w:r>
              <w:rPr>
                <w:sz w:val="20"/>
              </w:rPr>
              <w:t>Canopy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Changeable message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rPr>
            </w:pPr>
            <w:r>
              <w:rPr>
                <w:sz w:val="20"/>
              </w:rPr>
              <w:t>Construction site fence sign</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48"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r>
              <w:rPr>
                <w:sz w:val="20"/>
              </w:rPr>
              <w:t>A</w:t>
            </w:r>
          </w:p>
        </w:tc>
        <w:tc>
          <w:tcPr>
            <w:tcW w:w="759" w:type="dxa"/>
          </w:tcPr>
          <w:p w:rsidR="00BA29FF" w:rsidRDefault="00BA29FF">
            <w:pPr>
              <w:pStyle w:val="TableText"/>
              <w:spacing w:before="20" w:after="20"/>
              <w:rPr>
                <w:sz w:val="20"/>
              </w:rPr>
            </w:pPr>
            <w:r>
              <w:rPr>
                <w:sz w:val="20"/>
              </w:rPr>
              <w:t>A</w:t>
            </w:r>
          </w:p>
        </w:tc>
      </w:tr>
      <w:tr w:rsidR="00BA29FF">
        <w:tc>
          <w:tcPr>
            <w:tcW w:w="2415" w:type="dxa"/>
          </w:tcPr>
          <w:p w:rsidR="00BA29FF" w:rsidRDefault="00BA29FF">
            <w:pPr>
              <w:pStyle w:val="TableText"/>
              <w:spacing w:before="20" w:after="20"/>
              <w:rPr>
                <w:sz w:val="20"/>
                <w:highlight w:val="yellow"/>
              </w:rPr>
            </w:pPr>
            <w:r>
              <w:rPr>
                <w:sz w:val="20"/>
              </w:rPr>
              <w:t>Display home/development site sales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Event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48" w:type="dxa"/>
          </w:tcPr>
          <w:p w:rsidR="00BA29FF" w:rsidRDefault="00BA29FF">
            <w:pPr>
              <w:pStyle w:val="TableText"/>
              <w:spacing w:before="20" w:after="20"/>
              <w:rPr>
                <w:sz w:val="20"/>
              </w:rPr>
            </w:pPr>
            <w:r>
              <w:rPr>
                <w:sz w:val="20"/>
              </w:rPr>
              <w:t>T</w:t>
            </w:r>
          </w:p>
        </w:tc>
        <w:tc>
          <w:tcPr>
            <w:tcW w:w="750" w:type="dxa"/>
          </w:tcPr>
          <w:p w:rsidR="00BA29FF" w:rsidRDefault="00BA29FF">
            <w:pPr>
              <w:pStyle w:val="TableText"/>
              <w:spacing w:before="20" w:after="20"/>
              <w:rPr>
                <w:sz w:val="20"/>
              </w:rPr>
            </w:pPr>
          </w:p>
        </w:tc>
        <w:tc>
          <w:tcPr>
            <w:tcW w:w="750" w:type="dxa"/>
          </w:tcPr>
          <w:p w:rsidR="00BA29FF" w:rsidRDefault="00BA29FF">
            <w:pPr>
              <w:pStyle w:val="TableText"/>
              <w:spacing w:before="20" w:after="20"/>
              <w:rPr>
                <w:sz w:val="20"/>
                <w:highlight w:val="yellow"/>
              </w:rPr>
            </w:pPr>
            <w:r>
              <w:rPr>
                <w:sz w:val="20"/>
              </w:rPr>
              <w:t>T</w:t>
            </w: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lastRenderedPageBreak/>
              <w:t>Fence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Flag pole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Ground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Hamper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High rise building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Inflatable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rPr>
            </w:pPr>
            <w:r>
              <w:rPr>
                <w:sz w:val="20"/>
              </w:rPr>
              <w:t>Information sign</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48"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p>
        </w:tc>
        <w:tc>
          <w:tcPr>
            <w:tcW w:w="750" w:type="dxa"/>
          </w:tcPr>
          <w:p w:rsidR="00BA29FF" w:rsidRDefault="00BA29FF">
            <w:pPr>
              <w:pStyle w:val="TableText"/>
              <w:spacing w:before="20" w:after="20"/>
              <w:rPr>
                <w:sz w:val="20"/>
              </w:rPr>
            </w:pPr>
            <w:r>
              <w:rPr>
                <w:sz w:val="20"/>
              </w:rPr>
              <w:t>A</w:t>
            </w:r>
          </w:p>
        </w:tc>
        <w:tc>
          <w:tcPr>
            <w:tcW w:w="759" w:type="dxa"/>
          </w:tcPr>
          <w:p w:rsidR="00BA29FF" w:rsidRDefault="00BA29FF">
            <w:pPr>
              <w:pStyle w:val="TableText"/>
              <w:spacing w:before="20" w:after="20"/>
              <w:rPr>
                <w:sz w:val="20"/>
              </w:rPr>
            </w:pPr>
            <w:r>
              <w:rPr>
                <w:sz w:val="20"/>
              </w:rPr>
              <w:t>A</w:t>
            </w:r>
          </w:p>
        </w:tc>
      </w:tr>
      <w:tr w:rsidR="00BA29FF">
        <w:tc>
          <w:tcPr>
            <w:tcW w:w="2415" w:type="dxa"/>
          </w:tcPr>
          <w:p w:rsidR="00BA29FF" w:rsidRDefault="00BA29FF">
            <w:pPr>
              <w:pStyle w:val="TableText"/>
              <w:spacing w:before="20" w:after="20"/>
              <w:rPr>
                <w:sz w:val="20"/>
              </w:rPr>
            </w:pPr>
            <w:r>
              <w:rPr>
                <w:sz w:val="20"/>
              </w:rPr>
              <w:t>Lantern sign</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26" w:type="dxa"/>
          </w:tcPr>
          <w:p w:rsidR="00BA29FF" w:rsidRDefault="00BA29FF">
            <w:pPr>
              <w:pStyle w:val="TableText"/>
              <w:spacing w:before="20" w:after="20"/>
              <w:rPr>
                <w:sz w:val="20"/>
              </w:rPr>
            </w:pPr>
            <w:r>
              <w:rPr>
                <w:sz w:val="20"/>
              </w:rPr>
              <w:t>A</w:t>
            </w:r>
          </w:p>
        </w:tc>
        <w:tc>
          <w:tcPr>
            <w:tcW w:w="648"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r>
              <w:rPr>
                <w:sz w:val="20"/>
              </w:rPr>
              <w:t>A</w:t>
            </w:r>
          </w:p>
        </w:tc>
        <w:tc>
          <w:tcPr>
            <w:tcW w:w="750" w:type="dxa"/>
          </w:tcPr>
          <w:p w:rsidR="00BA29FF" w:rsidRDefault="00BA29FF">
            <w:pPr>
              <w:pStyle w:val="TableText"/>
              <w:spacing w:before="20" w:after="20"/>
              <w:rPr>
                <w:sz w:val="20"/>
              </w:rPr>
            </w:pPr>
            <w:r>
              <w:rPr>
                <w:sz w:val="20"/>
              </w:rPr>
              <w:t>A</w:t>
            </w:r>
          </w:p>
        </w:tc>
        <w:tc>
          <w:tcPr>
            <w:tcW w:w="759" w:type="dxa"/>
          </w:tcPr>
          <w:p w:rsidR="00BA29FF" w:rsidRDefault="00BA29FF">
            <w:pPr>
              <w:pStyle w:val="TableText"/>
              <w:spacing w:before="20" w:after="20"/>
              <w:rPr>
                <w:sz w:val="20"/>
              </w:rPr>
            </w:pPr>
            <w:r>
              <w:rPr>
                <w:sz w:val="20"/>
              </w:rPr>
              <w:t>A</w:t>
            </w:r>
          </w:p>
        </w:tc>
      </w:tr>
      <w:tr w:rsidR="00BA29FF">
        <w:tc>
          <w:tcPr>
            <w:tcW w:w="2415" w:type="dxa"/>
          </w:tcPr>
          <w:p w:rsidR="00BA29FF" w:rsidRDefault="00BA29FF">
            <w:pPr>
              <w:pStyle w:val="TableText"/>
              <w:spacing w:before="20" w:after="20"/>
              <w:rPr>
                <w:sz w:val="20"/>
                <w:highlight w:val="yellow"/>
              </w:rPr>
            </w:pPr>
            <w:r>
              <w:rPr>
                <w:sz w:val="20"/>
              </w:rPr>
              <w:t>Mobile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Pole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Projecting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Pylon/column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Roof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lastRenderedPageBreak/>
              <w:t>Stallboard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Territory signs</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Under awning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Vertical banner building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Vertical banner freestanding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highlight w:val="yellow"/>
              </w:rPr>
            </w:pPr>
            <w:r>
              <w:rPr>
                <w:sz w:val="20"/>
              </w:rPr>
              <w:t>Wall sign</w:t>
            </w: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26" w:type="dxa"/>
          </w:tcPr>
          <w:p w:rsidR="00BA29FF" w:rsidRDefault="00BA29FF">
            <w:pPr>
              <w:pStyle w:val="TableText"/>
              <w:spacing w:before="20" w:after="20"/>
              <w:rPr>
                <w:sz w:val="20"/>
                <w:highlight w:val="yellow"/>
              </w:rPr>
            </w:pPr>
          </w:p>
        </w:tc>
        <w:tc>
          <w:tcPr>
            <w:tcW w:w="648"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0" w:type="dxa"/>
          </w:tcPr>
          <w:p w:rsidR="00BA29FF" w:rsidRDefault="00BA29FF">
            <w:pPr>
              <w:pStyle w:val="TableText"/>
              <w:spacing w:before="20" w:after="20"/>
              <w:rPr>
                <w:sz w:val="20"/>
                <w:highlight w:val="yellow"/>
              </w:rPr>
            </w:pPr>
          </w:p>
        </w:tc>
        <w:tc>
          <w:tcPr>
            <w:tcW w:w="759" w:type="dxa"/>
          </w:tcPr>
          <w:p w:rsidR="00BA29FF" w:rsidRDefault="00BA29FF">
            <w:pPr>
              <w:pStyle w:val="TableText"/>
              <w:spacing w:before="20" w:after="20"/>
              <w:rPr>
                <w:sz w:val="20"/>
              </w:rPr>
            </w:pPr>
          </w:p>
        </w:tc>
      </w:tr>
      <w:tr w:rsidR="00BA29FF">
        <w:tc>
          <w:tcPr>
            <w:tcW w:w="2415" w:type="dxa"/>
          </w:tcPr>
          <w:p w:rsidR="00BA29FF" w:rsidRDefault="00BA29FF">
            <w:pPr>
              <w:pStyle w:val="TableText"/>
              <w:spacing w:before="20" w:after="20"/>
              <w:rPr>
                <w:sz w:val="20"/>
              </w:rPr>
            </w:pPr>
            <w:r>
              <w:rPr>
                <w:sz w:val="20"/>
              </w:rPr>
              <w:t>Window sign</w:t>
            </w: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26" w:type="dxa"/>
          </w:tcPr>
          <w:p w:rsidR="00BA29FF" w:rsidRDefault="00BA29FF">
            <w:pPr>
              <w:pStyle w:val="TableText"/>
              <w:spacing w:before="20" w:after="20"/>
              <w:rPr>
                <w:sz w:val="20"/>
              </w:rPr>
            </w:pPr>
          </w:p>
        </w:tc>
        <w:tc>
          <w:tcPr>
            <w:tcW w:w="648" w:type="dxa"/>
          </w:tcPr>
          <w:p w:rsidR="00BA29FF" w:rsidRDefault="00BA29FF">
            <w:pPr>
              <w:pStyle w:val="TableText"/>
              <w:spacing w:before="20" w:after="20"/>
              <w:rPr>
                <w:sz w:val="20"/>
              </w:rPr>
            </w:pPr>
          </w:p>
        </w:tc>
        <w:tc>
          <w:tcPr>
            <w:tcW w:w="750" w:type="dxa"/>
          </w:tcPr>
          <w:p w:rsidR="00BA29FF" w:rsidRDefault="00BA29FF">
            <w:pPr>
              <w:pStyle w:val="TableText"/>
              <w:spacing w:before="20" w:after="20"/>
              <w:rPr>
                <w:sz w:val="20"/>
              </w:rPr>
            </w:pPr>
          </w:p>
        </w:tc>
        <w:tc>
          <w:tcPr>
            <w:tcW w:w="750" w:type="dxa"/>
          </w:tcPr>
          <w:p w:rsidR="00BA29FF" w:rsidRDefault="00BA29FF">
            <w:pPr>
              <w:pStyle w:val="TableText"/>
              <w:spacing w:before="20" w:after="20"/>
              <w:rPr>
                <w:sz w:val="20"/>
              </w:rPr>
            </w:pPr>
          </w:p>
        </w:tc>
        <w:tc>
          <w:tcPr>
            <w:tcW w:w="759" w:type="dxa"/>
          </w:tcPr>
          <w:p w:rsidR="00BA29FF" w:rsidRDefault="00BA29FF">
            <w:pPr>
              <w:pStyle w:val="TableText"/>
              <w:spacing w:before="20" w:after="20"/>
              <w:rPr>
                <w:sz w:val="20"/>
              </w:rPr>
            </w:pPr>
          </w:p>
        </w:tc>
      </w:tr>
    </w:tbl>
    <w:p w:rsidR="00BA29FF" w:rsidRDefault="00BA29FF">
      <w:pPr>
        <w:pStyle w:val="03ScheduleLandscape"/>
      </w:pPr>
    </w:p>
    <w:p w:rsidR="00BA29FF" w:rsidRDefault="00BA29FF">
      <w:pPr>
        <w:pStyle w:val="03ScheduleLandscape"/>
      </w:pPr>
    </w:p>
    <w:p w:rsidR="00BA29FF" w:rsidRDefault="00BA29FF">
      <w:pPr>
        <w:pStyle w:val="03ScheduleLandscape"/>
        <w:sectPr w:rsidR="00BA29FF">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BA29FF" w:rsidRDefault="00BA29FF">
      <w:pPr>
        <w:pStyle w:val="Sched-heading"/>
      </w:pPr>
      <w:bookmarkStart w:id="218" w:name="_Toc206921407"/>
      <w:r>
        <w:rPr>
          <w:rStyle w:val="CharChapNo"/>
        </w:rPr>
        <w:lastRenderedPageBreak/>
        <w:t>Schedule 1A</w:t>
      </w:r>
      <w:r>
        <w:tab/>
      </w:r>
      <w:r>
        <w:rPr>
          <w:rStyle w:val="CharChapText"/>
        </w:rPr>
        <w:t>Permitted variations to approved and exempt developments</w:t>
      </w:r>
      <w:bookmarkEnd w:id="218"/>
    </w:p>
    <w:p w:rsidR="00BA29FF" w:rsidRDefault="00BA29FF">
      <w:pPr>
        <w:pStyle w:val="Apara"/>
        <w:rPr>
          <w:lang w:val="en-US"/>
        </w:rPr>
      </w:pPr>
      <w:r>
        <w:rPr>
          <w:sz w:val="18"/>
          <w:szCs w:val="18"/>
          <w:lang w:val="en-US"/>
        </w:rPr>
        <w:t>(see s 20 (2) and s 35)</w:t>
      </w:r>
    </w:p>
    <w:p w:rsidR="00BA29FF" w:rsidRDefault="00BA29FF">
      <w:pPr>
        <w:pStyle w:val="Sched-Part"/>
      </w:pPr>
      <w:bookmarkStart w:id="219" w:name="_Toc206921408"/>
      <w:r>
        <w:rPr>
          <w:rStyle w:val="CharPartNo"/>
        </w:rPr>
        <w:t>Part 1A.1</w:t>
      </w:r>
      <w:r>
        <w:tab/>
      </w:r>
      <w:r>
        <w:rPr>
          <w:rStyle w:val="CharPartText"/>
        </w:rPr>
        <w:t>Preliminary</w:t>
      </w:r>
      <w:bookmarkEnd w:id="219"/>
    </w:p>
    <w:p w:rsidR="00BA29FF" w:rsidRDefault="00BA29FF">
      <w:pPr>
        <w:pStyle w:val="Schclauseheading"/>
        <w:rPr>
          <w:lang w:val="en-US"/>
        </w:rPr>
      </w:pPr>
      <w:bookmarkStart w:id="220" w:name="_Toc206921409"/>
      <w:r>
        <w:rPr>
          <w:rStyle w:val="CharSectNo"/>
        </w:rPr>
        <w:t>1A.1</w:t>
      </w:r>
      <w:r>
        <w:rPr>
          <w:lang w:val="en-US"/>
        </w:rPr>
        <w:tab/>
        <w:t>Definitions—sch 1A</w:t>
      </w:r>
      <w:bookmarkEnd w:id="220"/>
    </w:p>
    <w:p w:rsidR="00BA29FF" w:rsidRDefault="00BA29FF">
      <w:pPr>
        <w:pStyle w:val="Amainreturn"/>
        <w:keepNext/>
        <w:rPr>
          <w:lang w:val="en-US"/>
        </w:rPr>
      </w:pPr>
      <w:r>
        <w:rPr>
          <w:lang w:val="en-US"/>
        </w:rPr>
        <w:t>In this schedule:</w:t>
      </w:r>
    </w:p>
    <w:p w:rsidR="00BA29FF" w:rsidRDefault="00BA29FF">
      <w:pPr>
        <w:pStyle w:val="aDef"/>
      </w:pPr>
      <w:r>
        <w:rPr>
          <w:b/>
          <w:i/>
        </w:rPr>
        <w:t>approved development</w:t>
      </w:r>
      <w:r>
        <w:t xml:space="preserve"> means a development that is covered by a development approval.</w:t>
      </w:r>
    </w:p>
    <w:p w:rsidR="00BA29FF" w:rsidRDefault="00BA29FF">
      <w:pPr>
        <w:pStyle w:val="aDef"/>
        <w:keepNext/>
      </w:pPr>
      <w:r>
        <w:rPr>
          <w:b/>
          <w:i/>
        </w:rPr>
        <w:t>exempt development</w:t>
      </w:r>
      <w:r>
        <w:t xml:space="preserve"> means—</w:t>
      </w:r>
    </w:p>
    <w:p w:rsidR="00BA29FF" w:rsidRDefault="00BA29FF">
      <w:pPr>
        <w:pStyle w:val="aDefpara"/>
      </w:pPr>
      <w:r>
        <w:tab/>
        <w:t>(a)</w:t>
      </w:r>
      <w:r>
        <w:tab/>
        <w:t>a sch 1 exempt development; or</w:t>
      </w:r>
    </w:p>
    <w:p w:rsidR="00BA29FF" w:rsidRDefault="00BA29FF">
      <w:pPr>
        <w:pStyle w:val="aDefpara"/>
      </w:pPr>
      <w:r>
        <w:tab/>
        <w:t>(b)</w:t>
      </w:r>
      <w:r>
        <w:tab/>
        <w:t>a development that is exempt from requiring development approval under the relevant development table.</w:t>
      </w:r>
    </w:p>
    <w:p w:rsidR="00BA29FF" w:rsidRDefault="00BA29FF">
      <w:pPr>
        <w:pStyle w:val="aDef"/>
      </w:pPr>
      <w:r>
        <w:rPr>
          <w:b/>
          <w:i/>
        </w:rPr>
        <w:t>sch 1 exempt development</w:t>
      </w:r>
      <w:r>
        <w:t xml:space="preserve"> means a development that is exempt from requiring development approval under section 20 (1).</w:t>
      </w:r>
    </w:p>
    <w:p w:rsidR="00BA29FF" w:rsidRDefault="00BA29FF">
      <w:pPr>
        <w:pStyle w:val="Sched-Part"/>
      </w:pPr>
      <w:bookmarkStart w:id="221" w:name="_Toc206921410"/>
      <w:r>
        <w:rPr>
          <w:rStyle w:val="CharPartNo"/>
        </w:rPr>
        <w:t>Part 1A.2</w:t>
      </w:r>
      <w:r>
        <w:tab/>
      </w:r>
      <w:r>
        <w:rPr>
          <w:rStyle w:val="CharPartText"/>
        </w:rPr>
        <w:t>Permitted construction tolerances</w:t>
      </w:r>
      <w:bookmarkEnd w:id="221"/>
    </w:p>
    <w:p w:rsidR="00BA29FF" w:rsidRDefault="00BA29FF">
      <w:pPr>
        <w:pStyle w:val="Schclauseheading"/>
      </w:pPr>
      <w:bookmarkStart w:id="222" w:name="_Toc206921411"/>
      <w:r>
        <w:rPr>
          <w:rStyle w:val="CharSectNo"/>
        </w:rPr>
        <w:t>1A.10</w:t>
      </w:r>
      <w:r>
        <w:tab/>
      </w:r>
      <w:r>
        <w:rPr>
          <w:lang w:val="en-US"/>
        </w:rPr>
        <w:t>Permitted variations—</w:t>
      </w:r>
      <w:r>
        <w:t>horizontal siting tolerances for buildings and structures</w:t>
      </w:r>
      <w:bookmarkEnd w:id="222"/>
    </w:p>
    <w:p w:rsidR="00BA29FF" w:rsidRDefault="00BA29FF">
      <w:pPr>
        <w:pStyle w:val="Amain"/>
      </w:pPr>
      <w:r>
        <w:tab/>
        <w:t>(1)</w:t>
      </w:r>
      <w:r>
        <w:tab/>
        <w:t>This section applies to the horizontal siting on a block of a building or structure that does not comply with the applicable siting criteria.</w:t>
      </w:r>
    </w:p>
    <w:p w:rsidR="00BA29FF" w:rsidRDefault="00BA29FF">
      <w:pPr>
        <w:pStyle w:val="Amain"/>
        <w:keepNext/>
      </w:pPr>
      <w:r>
        <w:lastRenderedPageBreak/>
        <w:tab/>
        <w:t>(2)</w:t>
      </w:r>
      <w:r>
        <w:tab/>
        <w:t>The building or structure must be horizontally sited so that—</w:t>
      </w:r>
    </w:p>
    <w:p w:rsidR="00BA29FF" w:rsidRDefault="00BA29FF">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BA29FF" w:rsidRDefault="00BA29FF">
      <w:pPr>
        <w:pStyle w:val="Asubpara"/>
      </w:pPr>
      <w:r>
        <w:tab/>
        <w:t>(i)</w:t>
      </w:r>
      <w:r>
        <w:tab/>
        <w:t>for a boundary fence—the point is sited so that the centre of the fence’s panelling is not more than 25mm horizontally from the boundary; and</w:t>
      </w:r>
    </w:p>
    <w:p w:rsidR="00BA29FF" w:rsidRDefault="00BA29FF">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BA29FF" w:rsidRDefault="00BA29FF">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BA29FF" w:rsidRDefault="00BA29FF">
      <w:pPr>
        <w:pStyle w:val="Apara"/>
      </w:pPr>
      <w:r>
        <w:rPr>
          <w:lang w:val="en-US"/>
        </w:rPr>
        <w:tab/>
        <w:t>(c)</w:t>
      </w:r>
      <w:r>
        <w:rPr>
          <w:lang w:val="en-US"/>
        </w:rPr>
        <w:tab/>
      </w:r>
      <w:r>
        <w:t>compared to the approved development or exempt development, the building or structure does not do either or both of the following:</w:t>
      </w:r>
    </w:p>
    <w:p w:rsidR="00BA29FF" w:rsidRDefault="00BA29FF">
      <w:pPr>
        <w:pStyle w:val="Asubpara"/>
      </w:pPr>
      <w:r>
        <w:tab/>
        <w:t>(i)</w:t>
      </w:r>
      <w:r>
        <w:tab/>
        <w:t>increase the diversion or concentration of the flow of surface water—</w:t>
      </w:r>
    </w:p>
    <w:p w:rsidR="00BA29FF" w:rsidRDefault="00BA29FF">
      <w:pPr>
        <w:pStyle w:val="Asubsubpara"/>
        <w:rPr>
          <w:lang w:val="en-US"/>
        </w:rPr>
      </w:pPr>
      <w:r>
        <w:rPr>
          <w:lang w:val="en-US"/>
        </w:rPr>
        <w:tab/>
        <w:t>(A)</w:t>
      </w:r>
      <w:r>
        <w:rPr>
          <w:lang w:val="en-US"/>
        </w:rPr>
        <w:tab/>
        <w:t>in a way that causes ponding; or</w:t>
      </w:r>
    </w:p>
    <w:p w:rsidR="00BA29FF" w:rsidRDefault="00BA29FF">
      <w:pPr>
        <w:pStyle w:val="Asubsubpara"/>
        <w:rPr>
          <w:lang w:val="en-US"/>
        </w:rPr>
      </w:pPr>
      <w:r>
        <w:rPr>
          <w:lang w:val="en-US"/>
        </w:rPr>
        <w:tab/>
        <w:t>(B)</w:t>
      </w:r>
      <w:r>
        <w:rPr>
          <w:lang w:val="en-US"/>
        </w:rPr>
        <w:tab/>
        <w:t xml:space="preserve">onto other land; </w:t>
      </w:r>
    </w:p>
    <w:p w:rsidR="00BA29FF" w:rsidRDefault="00BA29FF">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BA29FF" w:rsidRDefault="00BA29FF">
      <w:pPr>
        <w:pStyle w:val="Asubpara"/>
      </w:pPr>
      <w:r>
        <w:tab/>
        <w:t>(ii)</w:t>
      </w:r>
      <w:r>
        <w:tab/>
        <w:t>change the number of stories in the building or structure.</w:t>
      </w:r>
    </w:p>
    <w:p w:rsidR="00BA29FF" w:rsidRDefault="00BA29FF">
      <w:pPr>
        <w:pStyle w:val="aExamHdgss"/>
        <w:rPr>
          <w:lang w:val="en-US"/>
        </w:rPr>
      </w:pPr>
      <w:r>
        <w:rPr>
          <w:lang w:val="en-US"/>
        </w:rPr>
        <w:t>Examples—s (2)</w:t>
      </w:r>
    </w:p>
    <w:p w:rsidR="00BA29FF" w:rsidRDefault="00BA29FF">
      <w:pPr>
        <w:pStyle w:val="aExamINumss"/>
        <w:rPr>
          <w:lang w:val="en-US"/>
        </w:rPr>
      </w:pPr>
      <w:r>
        <w:rPr>
          <w:lang w:val="en-US"/>
        </w:rPr>
        <w:t>1</w:t>
      </w:r>
      <w:r>
        <w:rPr>
          <w:lang w:val="en-US"/>
        </w:rPr>
        <w:tab/>
        <w:t xml:space="preserve">An exemption for the construction of a house requires a wall to be </w:t>
      </w:r>
      <w:r>
        <w:t xml:space="preserve">sited not closer than </w:t>
      </w:r>
      <w:r>
        <w:rPr>
          <w:lang w:val="en-US"/>
        </w:rPr>
        <w:t xml:space="preserve">900mm horizontally from the western boundary of the block.  The house is constructed so that its western wall is 850mm horizontally from the boundary (50mm less than required). The siting of the house is within the </w:t>
      </w:r>
      <w:r>
        <w:rPr>
          <w:lang w:val="en-US"/>
        </w:rPr>
        <w:lastRenderedPageBreak/>
        <w:t>allowed tolerance under par (a) (ii) because it breaches the siting requirement under the exemption by not more than 50mm.</w:t>
      </w:r>
    </w:p>
    <w:p w:rsidR="00BA29FF" w:rsidRDefault="00BA29FF">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BA29FF" w:rsidRDefault="00BA29FF">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BA29FF" w:rsidRDefault="00BA29FF">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BA29FF" w:rsidRDefault="00BA29FF">
      <w:pPr>
        <w:pStyle w:val="aNote"/>
      </w:pPr>
      <w:r>
        <w:rPr>
          <w:i/>
        </w:rPr>
        <w:t>Note 1</w:t>
      </w:r>
      <w:r>
        <w:rPr>
          <w:i/>
        </w:rPr>
        <w:tab/>
      </w:r>
      <w:r>
        <w:t>The development, as changed in accordance with this section, must also comply with the general exemption criteria, see s 20 (2) and s 35.</w:t>
      </w:r>
    </w:p>
    <w:p w:rsidR="00BA29FF" w:rsidRDefault="00BA29FF">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BA29FF" w:rsidRDefault="00BA29FF">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BA29FF" w:rsidRDefault="00BA29FF">
      <w:pPr>
        <w:pStyle w:val="Amain"/>
        <w:keepNext/>
      </w:pPr>
      <w:r>
        <w:lastRenderedPageBreak/>
        <w:tab/>
        <w:t>(3)</w:t>
      </w:r>
      <w:r>
        <w:tab/>
        <w:t>In this section:</w:t>
      </w:r>
    </w:p>
    <w:p w:rsidR="00BA29FF" w:rsidRDefault="00BA29FF">
      <w:pPr>
        <w:pStyle w:val="aDef"/>
        <w:keepNext/>
      </w:pPr>
      <w:r>
        <w:rPr>
          <w:b/>
          <w:i/>
        </w:rPr>
        <w:t>applicable siting criteria</w:t>
      </w:r>
      <w:r>
        <w:t>, in relation to a point of a building or structure on a block, means the criteria about the horizontal siting of the point on the block under—</w:t>
      </w:r>
    </w:p>
    <w:p w:rsidR="00BA29FF" w:rsidRDefault="00BA29FF">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BA29FF" w:rsidRDefault="00BA29FF">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BA29FF" w:rsidRDefault="00BA29FF">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BA29FF" w:rsidRDefault="00BA29FF">
      <w:pPr>
        <w:pStyle w:val="aDef"/>
      </w:pPr>
      <w:r>
        <w:rPr>
          <w:b/>
          <w:bCs/>
          <w:i/>
          <w:iCs/>
        </w:rPr>
        <w:t>easement</w:t>
      </w:r>
      <w:r>
        <w:t xml:space="preserve"> means an easement registered, or shown on a certificate of title, under the </w:t>
      </w:r>
      <w:r>
        <w:rPr>
          <w:i/>
          <w:iCs/>
        </w:rPr>
        <w:t>Land Titles Act 1925</w:t>
      </w:r>
      <w:r>
        <w:t>.</w:t>
      </w:r>
    </w:p>
    <w:p w:rsidR="00BA29FF" w:rsidRDefault="00BA29FF">
      <w:pPr>
        <w:pStyle w:val="aDef"/>
      </w:pPr>
      <w:r>
        <w:rPr>
          <w:b/>
          <w:i/>
        </w:rPr>
        <w:t>on</w:t>
      </w:r>
      <w:r>
        <w:t>, a block, or a boundary of a block, includes above or below ground level for the block or boundary.</w:t>
      </w:r>
    </w:p>
    <w:p w:rsidR="00BA29FF" w:rsidRDefault="00BA29FF">
      <w:pPr>
        <w:pStyle w:val="Schclauseheading"/>
      </w:pPr>
      <w:bookmarkStart w:id="223" w:name="_Toc206921412"/>
      <w:r>
        <w:rPr>
          <w:rStyle w:val="CharSectNo"/>
        </w:rPr>
        <w:t>1A.11</w:t>
      </w:r>
      <w:r>
        <w:tab/>
      </w:r>
      <w:r>
        <w:rPr>
          <w:lang w:val="en-US"/>
        </w:rPr>
        <w:t>Permitted variations—h</w:t>
      </w:r>
      <w:r>
        <w:t>eight tolerances for buildings and structures</w:t>
      </w:r>
      <w:bookmarkEnd w:id="223"/>
      <w:r>
        <w:t xml:space="preserve"> </w:t>
      </w:r>
    </w:p>
    <w:p w:rsidR="00BA29FF" w:rsidRDefault="00BA29FF">
      <w:pPr>
        <w:pStyle w:val="Amain"/>
      </w:pPr>
      <w:r>
        <w:tab/>
        <w:t>(1)</w:t>
      </w:r>
      <w:r>
        <w:tab/>
        <w:t>This section applies to the vertical siting on a block of a building or structure that does not comply with the applicable height criteria.</w:t>
      </w:r>
    </w:p>
    <w:p w:rsidR="00BA29FF" w:rsidRDefault="00BA29FF">
      <w:pPr>
        <w:pStyle w:val="Amain"/>
      </w:pPr>
      <w:r>
        <w:tab/>
        <w:t>(2)</w:t>
      </w:r>
      <w:r>
        <w:tab/>
        <w:t>The building or structure must be vertically sited so that—</w:t>
      </w:r>
    </w:p>
    <w:p w:rsidR="00BA29FF" w:rsidRDefault="00BA29FF">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BA29FF" w:rsidRDefault="00BA29FF">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BA29FF" w:rsidRDefault="00BA29FF">
      <w:pPr>
        <w:pStyle w:val="Asubpara"/>
        <w:keepNext/>
      </w:pPr>
      <w:r>
        <w:lastRenderedPageBreak/>
        <w:tab/>
        <w:t>(ii)</w:t>
      </w:r>
      <w:r>
        <w:tab/>
        <w:t>if the point is the sill of an exterior window—the sill is not more 50mm closer to the finished floor level immediately adjacent to the window’s sill; and</w:t>
      </w:r>
    </w:p>
    <w:p w:rsidR="00BA29FF" w:rsidRDefault="00BA29FF">
      <w:pPr>
        <w:pStyle w:val="aExamHdgpar"/>
      </w:pPr>
      <w:r>
        <w:t>Example—subpar (i)</w:t>
      </w:r>
    </w:p>
    <w:p w:rsidR="00BA29FF" w:rsidRDefault="00BA29FF">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BA29FF" w:rsidRDefault="00BA29FF">
      <w:pPr>
        <w:pStyle w:val="aNotepar"/>
      </w:pPr>
      <w:r>
        <w:rPr>
          <w:i/>
        </w:rPr>
        <w:t>Note</w:t>
      </w:r>
      <w:r>
        <w:rPr>
          <w:i/>
        </w:rPr>
        <w:tab/>
      </w:r>
      <w:r>
        <w:t>An example is part of the Act, is not exhaustive and may extend, but does not limit, the meaning of the provision in which it appears (see Legislation Act, s 126 and s 132).</w:t>
      </w:r>
    </w:p>
    <w:p w:rsidR="00BA29FF" w:rsidRDefault="00BA29FF">
      <w:pPr>
        <w:pStyle w:val="Apara"/>
      </w:pPr>
      <w:r>
        <w:tab/>
        <w:t>(b)</w:t>
      </w:r>
      <w:r>
        <w:tab/>
        <w:t>compared to the approved development or exempt development, the building or structure does not do any of the following:</w:t>
      </w:r>
    </w:p>
    <w:p w:rsidR="00BA29FF" w:rsidRDefault="00BA29FF">
      <w:pPr>
        <w:pStyle w:val="Asubpara"/>
      </w:pPr>
      <w:r>
        <w:tab/>
        <w:t>(i)</w:t>
      </w:r>
      <w:r>
        <w:tab/>
        <w:t>increase the diversion or concentration of the flow of surface water—</w:t>
      </w:r>
    </w:p>
    <w:p w:rsidR="00BA29FF" w:rsidRDefault="00BA29FF">
      <w:pPr>
        <w:pStyle w:val="Asubsubpara"/>
        <w:rPr>
          <w:lang w:val="en-US"/>
        </w:rPr>
      </w:pPr>
      <w:r>
        <w:rPr>
          <w:lang w:val="en-US"/>
        </w:rPr>
        <w:tab/>
        <w:t>(A)</w:t>
      </w:r>
      <w:r>
        <w:rPr>
          <w:lang w:val="en-US"/>
        </w:rPr>
        <w:tab/>
        <w:t>in a way that causes ponding; or</w:t>
      </w:r>
    </w:p>
    <w:p w:rsidR="00BA29FF" w:rsidRDefault="00BA29FF">
      <w:pPr>
        <w:pStyle w:val="Asubsubpara"/>
        <w:rPr>
          <w:lang w:val="en-US"/>
        </w:rPr>
      </w:pPr>
      <w:r>
        <w:rPr>
          <w:lang w:val="en-US"/>
        </w:rPr>
        <w:tab/>
        <w:t>(B)</w:t>
      </w:r>
      <w:r>
        <w:rPr>
          <w:lang w:val="en-US"/>
        </w:rPr>
        <w:tab/>
        <w:t xml:space="preserve">onto other land; </w:t>
      </w:r>
    </w:p>
    <w:p w:rsidR="00BA29FF" w:rsidRDefault="00BA29FF">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BA29FF" w:rsidRDefault="00BA29FF">
      <w:pPr>
        <w:pStyle w:val="Asubpara"/>
      </w:pPr>
      <w:r>
        <w:tab/>
        <w:t>(ii)</w:t>
      </w:r>
      <w:r>
        <w:tab/>
        <w:t xml:space="preserve">reduce the accessibility of the building or structure for people with disabilities; </w:t>
      </w:r>
    </w:p>
    <w:p w:rsidR="00BA29FF" w:rsidRDefault="00BA29FF">
      <w:pPr>
        <w:pStyle w:val="Asubpara"/>
      </w:pPr>
      <w:r>
        <w:tab/>
        <w:t>(iii)</w:t>
      </w:r>
      <w:r>
        <w:tab/>
        <w:t>change the number of stories in the building or structure.</w:t>
      </w:r>
    </w:p>
    <w:p w:rsidR="00BA29FF" w:rsidRDefault="00BA29FF">
      <w:pPr>
        <w:pStyle w:val="aNote"/>
      </w:pPr>
      <w:r>
        <w:rPr>
          <w:i/>
        </w:rPr>
        <w:t>Note 1</w:t>
      </w:r>
      <w:r>
        <w:rPr>
          <w:i/>
        </w:rPr>
        <w:tab/>
      </w:r>
      <w:r>
        <w:t>The development, as changed in accordance with this section, must also comply with the general exemption criteria, see s 20 (2) and s 35.</w:t>
      </w:r>
    </w:p>
    <w:p w:rsidR="00BA29FF" w:rsidRDefault="00BA29FF">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BA29FF" w:rsidRDefault="00BA29FF">
      <w:pPr>
        <w:pStyle w:val="Amain"/>
        <w:keepNext/>
      </w:pPr>
      <w:r>
        <w:lastRenderedPageBreak/>
        <w:tab/>
        <w:t>(3)</w:t>
      </w:r>
      <w:r>
        <w:tab/>
        <w:t>In this section:</w:t>
      </w:r>
    </w:p>
    <w:p w:rsidR="00BA29FF" w:rsidRDefault="00BA29FF">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BA29FF" w:rsidRDefault="00BA29FF">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BA29FF" w:rsidRDefault="00BA29FF">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BA29FF" w:rsidRDefault="00BA29FF">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BA29FF" w:rsidRDefault="00BA29FF">
      <w:pPr>
        <w:pStyle w:val="Sched-Part"/>
      </w:pPr>
      <w:bookmarkStart w:id="224" w:name="_Toc206921413"/>
      <w:r>
        <w:rPr>
          <w:rStyle w:val="CharPartNo"/>
        </w:rPr>
        <w:t>Part 1A.3</w:t>
      </w:r>
      <w:r>
        <w:rPr>
          <w:lang w:val="en-US"/>
        </w:rPr>
        <w:tab/>
      </w:r>
      <w:r>
        <w:rPr>
          <w:rStyle w:val="CharPartText"/>
          <w:lang w:val="en-US"/>
        </w:rPr>
        <w:t>Other permitted variations</w:t>
      </w:r>
      <w:bookmarkEnd w:id="224"/>
    </w:p>
    <w:p w:rsidR="00BA29FF" w:rsidRDefault="00BA29FF">
      <w:pPr>
        <w:pStyle w:val="Schclauseheading"/>
      </w:pPr>
      <w:bookmarkStart w:id="225" w:name="_Toc206921414"/>
      <w:r>
        <w:rPr>
          <w:rStyle w:val="CharSectNo"/>
        </w:rPr>
        <w:t>1A.20</w:t>
      </w:r>
      <w:r>
        <w:tab/>
      </w:r>
      <w:r>
        <w:rPr>
          <w:lang w:val="en-US"/>
        </w:rPr>
        <w:t>Other permitted variations to approved developments and exempt developments</w:t>
      </w:r>
      <w:bookmarkEnd w:id="225"/>
    </w:p>
    <w:p w:rsidR="00BA29FF" w:rsidRDefault="00BA29FF">
      <w:pPr>
        <w:pStyle w:val="Amain"/>
        <w:rPr>
          <w:lang w:val="en-US"/>
        </w:rPr>
      </w:pPr>
      <w:r>
        <w:rPr>
          <w:lang w:val="en-US"/>
        </w:rPr>
        <w:tab/>
        <w:t>(1)</w:t>
      </w:r>
      <w:r>
        <w:rPr>
          <w:lang w:val="en-US"/>
        </w:rPr>
        <w:tab/>
        <w:t>This section applies to a matter mentioned in table 1A.20, column 2.</w:t>
      </w:r>
    </w:p>
    <w:p w:rsidR="00BA29FF" w:rsidRDefault="00BA29FF">
      <w:pPr>
        <w:pStyle w:val="Amain"/>
        <w:rPr>
          <w:lang w:val="en-US"/>
        </w:rPr>
      </w:pPr>
      <w:r>
        <w:rPr>
          <w:lang w:val="en-US"/>
        </w:rPr>
        <w:tab/>
        <w:t>(2)</w:t>
      </w:r>
      <w:r>
        <w:rPr>
          <w:lang w:val="en-US"/>
        </w:rPr>
        <w:tab/>
        <w:t xml:space="preserve">A designated development for the matter must be carried out in accordance with the provision of schedule 1 (Exemptions from requirement for development approval) mentioned in table 1A.20, column 3 in relation to the matter. </w:t>
      </w:r>
    </w:p>
    <w:p w:rsidR="00BA29FF" w:rsidRDefault="00BA29FF">
      <w:pPr>
        <w:pStyle w:val="TableHd"/>
        <w:ind w:left="1122" w:firstLine="0"/>
      </w:pPr>
      <w:r>
        <w:t>Table 1A.20</w:t>
      </w:r>
      <w:r>
        <w:tab/>
        <w:t>Other permitted variations</w:t>
      </w:r>
    </w:p>
    <w:tbl>
      <w:tblPr>
        <w:tblW w:w="6545" w:type="dxa"/>
        <w:tblInd w:w="1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3665"/>
        <w:gridCol w:w="1758"/>
      </w:tblGrid>
      <w:tr w:rsidR="00BA29FF">
        <w:trPr>
          <w:cantSplit/>
          <w:tblHeader/>
        </w:trPr>
        <w:tc>
          <w:tcPr>
            <w:tcW w:w="1122" w:type="dxa"/>
            <w:tcBorders>
              <w:top w:val="single" w:sz="4" w:space="0" w:color="auto"/>
              <w:left w:val="single" w:sz="4" w:space="0" w:color="auto"/>
              <w:bottom w:val="single" w:sz="4" w:space="0" w:color="auto"/>
              <w:right w:val="single" w:sz="4" w:space="0" w:color="auto"/>
            </w:tcBorders>
          </w:tcPr>
          <w:p w:rsidR="00BA29FF" w:rsidRDefault="00BA29FF">
            <w:pPr>
              <w:pStyle w:val="TableColHd"/>
            </w:pPr>
            <w:r>
              <w:t>column 1</w:t>
            </w:r>
            <w:r>
              <w:br/>
              <w:t>item</w:t>
            </w:r>
          </w:p>
        </w:tc>
        <w:tc>
          <w:tcPr>
            <w:tcW w:w="3665" w:type="dxa"/>
            <w:tcBorders>
              <w:top w:val="single" w:sz="4" w:space="0" w:color="auto"/>
              <w:left w:val="single" w:sz="4" w:space="0" w:color="auto"/>
              <w:bottom w:val="single" w:sz="4" w:space="0" w:color="auto"/>
              <w:right w:val="single" w:sz="4" w:space="0" w:color="auto"/>
            </w:tcBorders>
          </w:tcPr>
          <w:p w:rsidR="00BA29FF" w:rsidRDefault="00BA29FF">
            <w:pPr>
              <w:pStyle w:val="TableColHd"/>
            </w:pPr>
            <w:r>
              <w:t>column 2</w:t>
            </w:r>
            <w:r>
              <w:br/>
              <w:t>matter</w:t>
            </w:r>
          </w:p>
        </w:tc>
        <w:tc>
          <w:tcPr>
            <w:tcW w:w="1758" w:type="dxa"/>
            <w:tcBorders>
              <w:top w:val="single" w:sz="4" w:space="0" w:color="auto"/>
              <w:left w:val="single" w:sz="4" w:space="0" w:color="auto"/>
              <w:bottom w:val="single" w:sz="4" w:space="0" w:color="auto"/>
              <w:right w:val="single" w:sz="4" w:space="0" w:color="auto"/>
            </w:tcBorders>
          </w:tcPr>
          <w:p w:rsidR="00BA29FF" w:rsidRDefault="00BA29FF">
            <w:pPr>
              <w:pStyle w:val="TableColHd"/>
              <w:rPr>
                <w:highlight w:val="yellow"/>
              </w:rPr>
            </w:pPr>
            <w:r>
              <w:t>column 3</w:t>
            </w:r>
            <w:r>
              <w:br/>
              <w:t>provision</w:t>
            </w:r>
          </w:p>
        </w:tc>
      </w:tr>
      <w:tr w:rsidR="00BA29FF">
        <w:trPr>
          <w:cantSplit/>
        </w:trPr>
        <w:tc>
          <w:tcPr>
            <w:tcW w:w="1122" w:type="dxa"/>
            <w:tcBorders>
              <w:top w:val="single" w:sz="4" w:space="0" w:color="auto"/>
              <w:left w:val="single" w:sz="4" w:space="0" w:color="auto"/>
              <w:bottom w:val="single" w:sz="4" w:space="0" w:color="auto"/>
              <w:right w:val="single" w:sz="4" w:space="0" w:color="auto"/>
            </w:tcBorders>
          </w:tcPr>
          <w:p w:rsidR="00BA29FF" w:rsidRDefault="00BA29FF">
            <w:pPr>
              <w:pStyle w:val="Amainreturn"/>
              <w:ind w:left="0"/>
              <w:rPr>
                <w:sz w:val="20"/>
              </w:rPr>
            </w:pPr>
            <w:r>
              <w:rPr>
                <w:sz w:val="20"/>
              </w:rPr>
              <w:t>1</w:t>
            </w:r>
          </w:p>
        </w:tc>
        <w:tc>
          <w:tcPr>
            <w:tcW w:w="3665" w:type="dxa"/>
            <w:tcBorders>
              <w:top w:val="single" w:sz="4" w:space="0" w:color="auto"/>
              <w:left w:val="single" w:sz="4" w:space="0" w:color="auto"/>
              <w:bottom w:val="single" w:sz="4" w:space="0" w:color="auto"/>
              <w:right w:val="single" w:sz="4" w:space="0" w:color="auto"/>
            </w:tcBorders>
          </w:tcPr>
          <w:p w:rsidR="00BA29FF" w:rsidRDefault="00BA29FF">
            <w:pPr>
              <w:pStyle w:val="Amainreturn"/>
              <w:ind w:left="0"/>
              <w:jc w:val="left"/>
              <w:rPr>
                <w:sz w:val="20"/>
              </w:rPr>
            </w:pPr>
            <w:r>
              <w:rPr>
                <w:sz w:val="20"/>
              </w:rPr>
              <w:t>internal alteration of class 1 building</w:t>
            </w:r>
          </w:p>
        </w:tc>
        <w:tc>
          <w:tcPr>
            <w:tcW w:w="1758" w:type="dxa"/>
            <w:tcBorders>
              <w:top w:val="single" w:sz="4" w:space="0" w:color="auto"/>
              <w:left w:val="single" w:sz="4" w:space="0" w:color="auto"/>
              <w:bottom w:val="single" w:sz="4" w:space="0" w:color="auto"/>
              <w:right w:val="single" w:sz="4" w:space="0" w:color="auto"/>
            </w:tcBorders>
          </w:tcPr>
          <w:p w:rsidR="00BA29FF" w:rsidRDefault="00BA29FF">
            <w:pPr>
              <w:pStyle w:val="Amainreturn"/>
              <w:ind w:left="0"/>
              <w:jc w:val="left"/>
              <w:rPr>
                <w:sz w:val="20"/>
                <w:highlight w:val="yellow"/>
              </w:rPr>
            </w:pPr>
            <w:r>
              <w:rPr>
                <w:sz w:val="20"/>
              </w:rPr>
              <w:t>s 1.20</w:t>
            </w:r>
          </w:p>
        </w:tc>
      </w:tr>
      <w:tr w:rsidR="00BA29FF">
        <w:trPr>
          <w:cantSplit/>
        </w:trPr>
        <w:tc>
          <w:tcPr>
            <w:tcW w:w="1122" w:type="dxa"/>
            <w:tcBorders>
              <w:top w:val="single" w:sz="4" w:space="0" w:color="auto"/>
              <w:left w:val="single" w:sz="4" w:space="0" w:color="auto"/>
              <w:bottom w:val="single" w:sz="4" w:space="0" w:color="auto"/>
              <w:right w:val="single" w:sz="4" w:space="0" w:color="auto"/>
            </w:tcBorders>
          </w:tcPr>
          <w:p w:rsidR="00BA29FF" w:rsidRDefault="00BA29FF">
            <w:pPr>
              <w:pStyle w:val="Amainreturn"/>
              <w:ind w:left="0"/>
              <w:rPr>
                <w:sz w:val="20"/>
              </w:rPr>
            </w:pPr>
            <w:r>
              <w:rPr>
                <w:sz w:val="20"/>
              </w:rPr>
              <w:t>2</w:t>
            </w:r>
          </w:p>
        </w:tc>
        <w:tc>
          <w:tcPr>
            <w:tcW w:w="3665" w:type="dxa"/>
            <w:tcBorders>
              <w:top w:val="single" w:sz="4" w:space="0" w:color="auto"/>
              <w:left w:val="single" w:sz="4" w:space="0" w:color="auto"/>
              <w:bottom w:val="single" w:sz="4" w:space="0" w:color="auto"/>
              <w:right w:val="single" w:sz="4" w:space="0" w:color="auto"/>
            </w:tcBorders>
          </w:tcPr>
          <w:p w:rsidR="00BA29FF" w:rsidRDefault="00BA29FF">
            <w:pPr>
              <w:pStyle w:val="Amainreturn"/>
              <w:ind w:left="0"/>
              <w:jc w:val="left"/>
              <w:rPr>
                <w:sz w:val="20"/>
              </w:rPr>
            </w:pPr>
            <w:r>
              <w:rPr>
                <w:sz w:val="20"/>
              </w:rPr>
              <w:t>installation, alteration or removal of external door or window in building</w:t>
            </w:r>
          </w:p>
        </w:tc>
        <w:tc>
          <w:tcPr>
            <w:tcW w:w="1758" w:type="dxa"/>
            <w:tcBorders>
              <w:top w:val="single" w:sz="4" w:space="0" w:color="auto"/>
              <w:left w:val="single" w:sz="4" w:space="0" w:color="auto"/>
              <w:bottom w:val="single" w:sz="4" w:space="0" w:color="auto"/>
              <w:right w:val="single" w:sz="4" w:space="0" w:color="auto"/>
            </w:tcBorders>
          </w:tcPr>
          <w:p w:rsidR="00BA29FF" w:rsidRDefault="00BA29FF">
            <w:pPr>
              <w:pStyle w:val="Amainreturn"/>
              <w:ind w:left="0"/>
              <w:jc w:val="left"/>
              <w:rPr>
                <w:sz w:val="20"/>
              </w:rPr>
            </w:pPr>
            <w:r>
              <w:rPr>
                <w:sz w:val="20"/>
              </w:rPr>
              <w:t>s 1.21 or s 1.21A</w:t>
            </w:r>
          </w:p>
        </w:tc>
      </w:tr>
    </w:tbl>
    <w:p w:rsidR="00BA29FF" w:rsidRDefault="00BA29FF">
      <w:pPr>
        <w:pStyle w:val="aNote"/>
        <w:spacing w:before="180"/>
      </w:pPr>
      <w:r>
        <w:rPr>
          <w:i/>
        </w:rPr>
        <w:t>Note</w:t>
      </w:r>
      <w:r>
        <w:rPr>
          <w:i/>
        </w:rPr>
        <w:tab/>
      </w:r>
      <w:r>
        <w:t>See the examples to sch 1, s 1.16.</w:t>
      </w:r>
    </w:p>
    <w:p w:rsidR="00BA29FF" w:rsidRDefault="00BA29FF">
      <w:pPr>
        <w:pStyle w:val="03Schedule"/>
        <w:sectPr w:rsidR="00BA29FF">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BA29FF" w:rsidRDefault="00BA29FF">
      <w:pPr>
        <w:pStyle w:val="PageBreak"/>
      </w:pPr>
      <w:r>
        <w:br w:type="page"/>
      </w:r>
    </w:p>
    <w:p w:rsidR="00BA29FF" w:rsidRDefault="00BA29FF">
      <w:pPr>
        <w:pStyle w:val="Sched-heading"/>
      </w:pPr>
      <w:bookmarkStart w:id="226" w:name="_Toc206921415"/>
      <w:r>
        <w:rPr>
          <w:rStyle w:val="CharChapNo"/>
        </w:rPr>
        <w:lastRenderedPageBreak/>
        <w:t>Schedule 2</w:t>
      </w:r>
      <w:r>
        <w:tab/>
      </w:r>
      <w:r>
        <w:rPr>
          <w:rStyle w:val="CharChapText"/>
        </w:rPr>
        <w:t>Limited public notification of certain merit track development applications</w:t>
      </w:r>
      <w:bookmarkEnd w:id="226"/>
    </w:p>
    <w:p w:rsidR="00BA29FF" w:rsidRDefault="00BA29FF">
      <w:pPr>
        <w:pStyle w:val="Placeholder"/>
      </w:pPr>
      <w:r>
        <w:rPr>
          <w:rStyle w:val="CharPartNo"/>
        </w:rPr>
        <w:t xml:space="preserve">  </w:t>
      </w:r>
      <w:r>
        <w:rPr>
          <w:rStyle w:val="CharPartText"/>
        </w:rPr>
        <w:t xml:space="preserve">  </w:t>
      </w:r>
    </w:p>
    <w:p w:rsidR="00BA29FF" w:rsidRDefault="00BA29FF">
      <w:pPr>
        <w:pStyle w:val="ref"/>
        <w:spacing w:after="120"/>
      </w:pPr>
      <w:r>
        <w:t>(see s 27)</w:t>
      </w:r>
    </w:p>
    <w:p w:rsidR="00BA29FF" w:rsidRDefault="00BA29FF"/>
    <w:tbl>
      <w:tblPr>
        <w:tblW w:w="7800" w:type="dxa"/>
        <w:tblInd w:w="108" w:type="dxa"/>
        <w:tblLayout w:type="fixed"/>
        <w:tblLook w:val="0000" w:firstRow="0" w:lastRow="0" w:firstColumn="0" w:lastColumn="0" w:noHBand="0" w:noVBand="0"/>
      </w:tblPr>
      <w:tblGrid>
        <w:gridCol w:w="1200"/>
        <w:gridCol w:w="6600"/>
      </w:tblGrid>
      <w:tr w:rsidR="00BA29FF">
        <w:trPr>
          <w:tblHeader/>
        </w:trPr>
        <w:tc>
          <w:tcPr>
            <w:tcW w:w="1200" w:type="dxa"/>
            <w:tcBorders>
              <w:bottom w:val="single" w:sz="4" w:space="0" w:color="auto"/>
            </w:tcBorders>
          </w:tcPr>
          <w:p w:rsidR="00BA29FF" w:rsidRDefault="00BA29FF">
            <w:pPr>
              <w:pStyle w:val="TableColHd"/>
            </w:pPr>
            <w:r>
              <w:t>column 1</w:t>
            </w:r>
          </w:p>
          <w:p w:rsidR="00BA29FF" w:rsidRDefault="00BA29FF">
            <w:pPr>
              <w:pStyle w:val="TableColHd"/>
            </w:pPr>
            <w:r>
              <w:t>item</w:t>
            </w:r>
          </w:p>
        </w:tc>
        <w:tc>
          <w:tcPr>
            <w:tcW w:w="6600" w:type="dxa"/>
            <w:tcBorders>
              <w:bottom w:val="single" w:sz="4" w:space="0" w:color="auto"/>
            </w:tcBorders>
          </w:tcPr>
          <w:p w:rsidR="00BA29FF" w:rsidRDefault="00BA29FF">
            <w:pPr>
              <w:pStyle w:val="TableColHd"/>
            </w:pPr>
            <w:r>
              <w:t>column 2</w:t>
            </w:r>
          </w:p>
          <w:p w:rsidR="00BA29FF" w:rsidRDefault="00BA29FF">
            <w:pPr>
              <w:pStyle w:val="TableColHd"/>
            </w:pPr>
            <w:r>
              <w:t>matters</w:t>
            </w:r>
          </w:p>
        </w:tc>
      </w:tr>
      <w:tr w:rsidR="00BA29FF">
        <w:tc>
          <w:tcPr>
            <w:tcW w:w="1200" w:type="dxa"/>
          </w:tcPr>
          <w:p w:rsidR="00BA29FF" w:rsidRDefault="00BA29FF">
            <w:pPr>
              <w:pStyle w:val="TableText"/>
            </w:pPr>
            <w:r>
              <w:t>1</w:t>
            </w:r>
          </w:p>
        </w:tc>
        <w:tc>
          <w:tcPr>
            <w:tcW w:w="6600" w:type="dxa"/>
          </w:tcPr>
          <w:p w:rsidR="00BA29FF" w:rsidRDefault="00BA29FF">
            <w:pPr>
              <w:pStyle w:val="TableText"/>
            </w:pPr>
            <w:r>
              <w:t>The building or alteration of 2 or more dwellings, or buildings or structures associated with the dwellings, on a block that has ceased to be in a future urban area under the Act, section 96 (3) if—</w:t>
            </w:r>
          </w:p>
          <w:p w:rsidR="00BA29FF" w:rsidRDefault="00BA29FF">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BA29FF" w:rsidRDefault="00BA29FF">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BA29FF" w:rsidRDefault="00BA29FF">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BA29FF" w:rsidRDefault="00BA29FF">
            <w:pPr>
              <w:pStyle w:val="tablesubpara"/>
              <w:tabs>
                <w:tab w:val="clear" w:pos="1500"/>
                <w:tab w:val="clear" w:pos="1800"/>
              </w:tabs>
              <w:ind w:left="630" w:hanging="1284"/>
            </w:pPr>
            <w:r>
              <w:tab/>
              <w:t>(i)</w:t>
            </w:r>
            <w:r>
              <w:tab/>
              <w:t>4m from any front boundary; and</w:t>
            </w:r>
          </w:p>
          <w:p w:rsidR="00BA29FF" w:rsidRDefault="00BA29FF">
            <w:pPr>
              <w:pStyle w:val="tablesubpara"/>
              <w:tabs>
                <w:tab w:val="clear" w:pos="1500"/>
                <w:tab w:val="clear" w:pos="1800"/>
              </w:tabs>
              <w:ind w:left="630" w:hanging="1284"/>
            </w:pPr>
            <w:r>
              <w:tab/>
              <w:t>(ii)</w:t>
            </w:r>
            <w:r>
              <w:tab/>
              <w:t>3m from any rear boundary; and</w:t>
            </w:r>
          </w:p>
          <w:p w:rsidR="00BA29FF" w:rsidRDefault="00BA29FF">
            <w:pPr>
              <w:pStyle w:val="tablesubpara"/>
              <w:tabs>
                <w:tab w:val="clear" w:pos="1500"/>
                <w:tab w:val="clear" w:pos="1800"/>
              </w:tabs>
              <w:ind w:left="630" w:hanging="1284"/>
            </w:pPr>
            <w:r>
              <w:tab/>
              <w:t>(iii)</w:t>
            </w:r>
            <w:r>
              <w:tab/>
              <w:t>3m from any side boundary; and</w:t>
            </w:r>
          </w:p>
          <w:p w:rsidR="00BA29FF" w:rsidRDefault="00BA29FF">
            <w:pPr>
              <w:pStyle w:val="tablepara"/>
              <w:tabs>
                <w:tab w:val="clear" w:pos="800"/>
                <w:tab w:val="clear" w:pos="1100"/>
                <w:tab w:val="left" w:pos="-54"/>
              </w:tabs>
              <w:ind w:left="630" w:hanging="1268"/>
            </w:pPr>
            <w:r>
              <w:tab/>
              <w:t>(d)</w:t>
            </w:r>
            <w:r>
              <w:tab/>
              <w:t>the development would not result in the building on the block of—</w:t>
            </w:r>
          </w:p>
          <w:p w:rsidR="00BA29FF" w:rsidRDefault="00BA29FF">
            <w:pPr>
              <w:pStyle w:val="tablesubpara"/>
              <w:tabs>
                <w:tab w:val="clear" w:pos="1500"/>
                <w:tab w:val="clear" w:pos="1800"/>
              </w:tabs>
              <w:ind w:left="630" w:hanging="1284"/>
            </w:pPr>
            <w:r>
              <w:tab/>
              <w:t>(i)</w:t>
            </w:r>
            <w:r>
              <w:tab/>
              <w:t>a building having more than 1 storey; or</w:t>
            </w:r>
          </w:p>
          <w:p w:rsidR="00BA29FF" w:rsidRDefault="00BA29FF">
            <w:pPr>
              <w:pStyle w:val="tablesubpara"/>
              <w:tabs>
                <w:tab w:val="clear" w:pos="1500"/>
                <w:tab w:val="clear" w:pos="1800"/>
              </w:tabs>
              <w:ind w:left="630" w:hanging="1284"/>
            </w:pPr>
          </w:p>
          <w:p w:rsidR="00BA29FF" w:rsidRDefault="00BA29FF">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BA29FF" w:rsidRDefault="00BA29FF">
            <w:pPr>
              <w:pStyle w:val="aNotepar"/>
              <w:ind w:left="2226"/>
            </w:pPr>
            <w:r>
              <w:rPr>
                <w:i/>
              </w:rPr>
              <w:t>Note</w:t>
            </w:r>
            <w:r>
              <w:rPr>
                <w:i/>
              </w:rPr>
              <w:tab/>
            </w:r>
            <w:r>
              <w:rPr>
                <w:b/>
                <w:bCs/>
                <w:i/>
                <w:iCs/>
              </w:rPr>
              <w:t>Natural ground level</w:t>
            </w:r>
            <w:r>
              <w:t>—see the territory plan (13 Definitions).</w:t>
            </w:r>
          </w:p>
          <w:p w:rsidR="00BA29FF" w:rsidRDefault="00BA29FF">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BA29FF" w:rsidRDefault="00BA29FF">
            <w:pPr>
              <w:pStyle w:val="tablesubpara"/>
              <w:tabs>
                <w:tab w:val="clear" w:pos="1500"/>
                <w:tab w:val="clear" w:pos="1800"/>
                <w:tab w:val="left" w:pos="630"/>
              </w:tabs>
              <w:ind w:left="1428" w:hanging="1284"/>
            </w:pPr>
            <w:r>
              <w:tab/>
              <w:t>(i)</w:t>
            </w:r>
            <w:r>
              <w:tab/>
              <w:t>to add 1 or more storeys; or</w:t>
            </w:r>
          </w:p>
          <w:p w:rsidR="00BA29FF" w:rsidRDefault="00BA29FF">
            <w:pPr>
              <w:pStyle w:val="tablesubpara"/>
              <w:tabs>
                <w:tab w:val="clear" w:pos="1500"/>
                <w:tab w:val="clear" w:pos="1800"/>
                <w:tab w:val="left" w:pos="630"/>
              </w:tabs>
              <w:ind w:left="1428" w:hanging="1284"/>
            </w:pPr>
            <w:r>
              <w:tab/>
              <w:t>(ii)</w:t>
            </w:r>
            <w:r>
              <w:tab/>
              <w:t>by the construction of an alteration having more than 1 storey; and</w:t>
            </w:r>
          </w:p>
          <w:p w:rsidR="00BA29FF" w:rsidRDefault="00BA29FF">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BA29FF" w:rsidRDefault="00BA29FF">
            <w:pPr>
              <w:pStyle w:val="tablesubpara"/>
              <w:tabs>
                <w:tab w:val="clear" w:pos="1500"/>
                <w:tab w:val="clear" w:pos="1800"/>
                <w:tab w:val="left" w:pos="630"/>
              </w:tabs>
              <w:ind w:left="1428" w:hanging="1284"/>
            </w:pPr>
            <w:r>
              <w:tab/>
              <w:t>(i)</w:t>
            </w:r>
            <w:r>
              <w:tab/>
              <w:t>to increase its height to more than 6.5m above natural ground level; or</w:t>
            </w:r>
          </w:p>
          <w:p w:rsidR="00BA29FF" w:rsidRDefault="00BA29FF">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BA29FF">
        <w:tc>
          <w:tcPr>
            <w:tcW w:w="1200" w:type="dxa"/>
          </w:tcPr>
          <w:p w:rsidR="00BA29FF" w:rsidRDefault="00BA29FF">
            <w:pPr>
              <w:pStyle w:val="TableText"/>
            </w:pPr>
            <w:r>
              <w:lastRenderedPageBreak/>
              <w:t>2</w:t>
            </w:r>
          </w:p>
        </w:tc>
        <w:tc>
          <w:tcPr>
            <w:tcW w:w="6600" w:type="dxa"/>
          </w:tcPr>
          <w:p w:rsidR="00BA29FF" w:rsidRDefault="00BA29FF">
            <w:pPr>
              <w:pStyle w:val="TableText"/>
            </w:pPr>
            <w:r>
              <w:t>The demolition of a building or structure in connection with the building or alteration of a building or structure to which item 1 applies.</w:t>
            </w:r>
          </w:p>
        </w:tc>
      </w:tr>
      <w:tr w:rsidR="00BA29FF">
        <w:tc>
          <w:tcPr>
            <w:tcW w:w="1200" w:type="dxa"/>
          </w:tcPr>
          <w:p w:rsidR="00BA29FF" w:rsidRDefault="00BA29FF">
            <w:pPr>
              <w:pStyle w:val="TableText"/>
            </w:pPr>
            <w:r>
              <w:t>3</w:t>
            </w:r>
          </w:p>
        </w:tc>
        <w:tc>
          <w:tcPr>
            <w:tcW w:w="6600" w:type="dxa"/>
          </w:tcPr>
          <w:p w:rsidR="00BA29FF" w:rsidRDefault="00BA29FF">
            <w:pPr>
              <w:pStyle w:val="TableText"/>
            </w:pPr>
            <w:r>
              <w:t>Public works in a future urban area if the works are—</w:t>
            </w:r>
          </w:p>
          <w:p w:rsidR="00BA29FF" w:rsidRDefault="00BA29FF">
            <w:pPr>
              <w:pStyle w:val="tablepara"/>
              <w:tabs>
                <w:tab w:val="clear" w:pos="800"/>
                <w:tab w:val="clear" w:pos="1100"/>
                <w:tab w:val="left" w:pos="-54"/>
              </w:tabs>
              <w:ind w:left="630" w:hanging="1268"/>
            </w:pPr>
            <w:r>
              <w:tab/>
              <w:t>(a)</w:t>
            </w:r>
            <w:r>
              <w:tab/>
              <w:t>the building, alteration or demolition of a building or structure; or</w:t>
            </w:r>
          </w:p>
          <w:p w:rsidR="00BA29FF" w:rsidRDefault="00BA29FF">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BA29FF">
        <w:trPr>
          <w:cantSplit/>
        </w:trPr>
        <w:tc>
          <w:tcPr>
            <w:tcW w:w="1200" w:type="dxa"/>
          </w:tcPr>
          <w:p w:rsidR="00BA29FF" w:rsidRDefault="00BA29FF">
            <w:pPr>
              <w:pStyle w:val="TableText"/>
            </w:pPr>
            <w:r>
              <w:t>4</w:t>
            </w:r>
          </w:p>
        </w:tc>
        <w:tc>
          <w:tcPr>
            <w:tcW w:w="6600" w:type="dxa"/>
          </w:tcPr>
          <w:p w:rsidR="00BA29FF" w:rsidRDefault="00BA29FF">
            <w:pPr>
              <w:pStyle w:val="TableText"/>
            </w:pPr>
            <w:r>
              <w:t>The building, alteration or demolition of a single dwelling, if the development would not result in more than 1 dwelling being on a block.</w:t>
            </w:r>
          </w:p>
        </w:tc>
      </w:tr>
      <w:tr w:rsidR="00BA29FF">
        <w:trPr>
          <w:cantSplit/>
        </w:trPr>
        <w:tc>
          <w:tcPr>
            <w:tcW w:w="1200" w:type="dxa"/>
          </w:tcPr>
          <w:p w:rsidR="00BA29FF" w:rsidRDefault="00BA29FF">
            <w:pPr>
              <w:pStyle w:val="TableText"/>
            </w:pPr>
            <w:r>
              <w:lastRenderedPageBreak/>
              <w:t>5</w:t>
            </w:r>
          </w:p>
        </w:tc>
        <w:tc>
          <w:tcPr>
            <w:tcW w:w="6600" w:type="dxa"/>
          </w:tcPr>
          <w:p w:rsidR="00BA29FF" w:rsidRDefault="00BA29FF">
            <w:pPr>
              <w:pStyle w:val="TableText"/>
            </w:pPr>
            <w:r>
              <w:t>The demolition of a building or structure in connection with the building or alteration of a single dwelling, if the development would not result in more than 1 dwelling being on a block.</w:t>
            </w:r>
          </w:p>
        </w:tc>
      </w:tr>
      <w:tr w:rsidR="00BA29FF">
        <w:tc>
          <w:tcPr>
            <w:tcW w:w="1200" w:type="dxa"/>
            <w:tcBorders>
              <w:bottom w:val="single" w:sz="4" w:space="0" w:color="auto"/>
            </w:tcBorders>
          </w:tcPr>
          <w:p w:rsidR="00BA29FF" w:rsidRDefault="00BA29FF">
            <w:pPr>
              <w:pStyle w:val="TableText"/>
            </w:pPr>
            <w:r>
              <w:t>6</w:t>
            </w:r>
          </w:p>
        </w:tc>
        <w:tc>
          <w:tcPr>
            <w:tcW w:w="6600" w:type="dxa"/>
            <w:tcBorders>
              <w:bottom w:val="single" w:sz="4" w:space="0" w:color="auto"/>
            </w:tcBorders>
          </w:tcPr>
          <w:p w:rsidR="00BA29FF" w:rsidRDefault="00BA29FF">
            <w:pPr>
              <w:pStyle w:val="TableText"/>
            </w:pPr>
            <w:r>
              <w:t>The building, alteration or demolition of a class 10 building or structure.</w:t>
            </w:r>
          </w:p>
          <w:p w:rsidR="00BA29FF" w:rsidRDefault="00BA29FF">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BA29FF" w:rsidRDefault="00BA29FF"/>
    <w:p w:rsidR="00BA29FF" w:rsidRDefault="00BA29FF">
      <w:pPr>
        <w:pStyle w:val="03Schedule"/>
        <w:sectPr w:rsidR="00BA29FF">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BA29FF" w:rsidRDefault="00BA29FF">
      <w:pPr>
        <w:pStyle w:val="PageBreak"/>
      </w:pPr>
      <w:r>
        <w:br w:type="page"/>
      </w:r>
    </w:p>
    <w:p w:rsidR="00BA29FF" w:rsidRDefault="00BA29FF">
      <w:pPr>
        <w:pStyle w:val="Sched-heading"/>
      </w:pPr>
      <w:bookmarkStart w:id="227" w:name="_Toc206921416"/>
      <w:r>
        <w:rPr>
          <w:rStyle w:val="CharChapNo"/>
        </w:rPr>
        <w:lastRenderedPageBreak/>
        <w:t>Schedule 3</w:t>
      </w:r>
      <w:r>
        <w:tab/>
      </w:r>
      <w:r>
        <w:rPr>
          <w:rStyle w:val="CharChapText"/>
        </w:rPr>
        <w:t>Matters exempt from third</w:t>
      </w:r>
      <w:r>
        <w:rPr>
          <w:rStyle w:val="CharChapText"/>
        </w:rPr>
        <w:noBreakHyphen/>
        <w:t>party AAT review</w:t>
      </w:r>
      <w:bookmarkEnd w:id="227"/>
    </w:p>
    <w:p w:rsidR="00BA29FF" w:rsidRDefault="00BA29FF">
      <w:pPr>
        <w:pStyle w:val="ref"/>
      </w:pPr>
      <w:r>
        <w:t>(see s 350 and s 351)</w:t>
      </w:r>
    </w:p>
    <w:p w:rsidR="00BA29FF" w:rsidRDefault="00BA29FF">
      <w:pPr>
        <w:pStyle w:val="Sched-Part"/>
      </w:pPr>
      <w:bookmarkStart w:id="228" w:name="_Toc206921417"/>
      <w:r>
        <w:rPr>
          <w:rStyle w:val="CharPartNo"/>
        </w:rPr>
        <w:t>Part 3.1</w:t>
      </w:r>
      <w:r>
        <w:tab/>
      </w:r>
      <w:r>
        <w:rPr>
          <w:rStyle w:val="CharPartText"/>
        </w:rPr>
        <w:t>Definitions</w:t>
      </w:r>
      <w:bookmarkEnd w:id="228"/>
    </w:p>
    <w:p w:rsidR="00BA29FF" w:rsidRDefault="00BA29FF">
      <w:pPr>
        <w:pStyle w:val="Schclauseheading"/>
      </w:pPr>
      <w:bookmarkStart w:id="229" w:name="_Toc206921418"/>
      <w:r>
        <w:rPr>
          <w:rStyle w:val="CharSectNo"/>
        </w:rPr>
        <w:t>3.1</w:t>
      </w:r>
      <w:r>
        <w:tab/>
        <w:t>Definitions—sch 3</w:t>
      </w:r>
      <w:bookmarkEnd w:id="229"/>
    </w:p>
    <w:p w:rsidR="00BA29FF" w:rsidRDefault="00BA29FF">
      <w:pPr>
        <w:pStyle w:val="Amainreturn"/>
        <w:keepNext/>
      </w:pPr>
      <w:r>
        <w:t>In this schedule:</w:t>
      </w:r>
    </w:p>
    <w:p w:rsidR="00BA29FF" w:rsidRDefault="00BA29FF">
      <w:pPr>
        <w:pStyle w:val="aDef"/>
      </w:pPr>
      <w:r>
        <w:rPr>
          <w:rStyle w:val="charBoldItals"/>
        </w:rPr>
        <w:t>Belconnen town centre</w:t>
      </w:r>
      <w:r>
        <w:t xml:space="preserve"> means the area outlined in bold on the plan in this schedule, division 3.4.2.</w:t>
      </w:r>
    </w:p>
    <w:p w:rsidR="00BA29FF" w:rsidRDefault="00BA29FF">
      <w:pPr>
        <w:pStyle w:val="aDef"/>
      </w:pPr>
      <w:r>
        <w:rPr>
          <w:rStyle w:val="charBoldItals"/>
        </w:rPr>
        <w:t xml:space="preserve">city centre </w:t>
      </w:r>
      <w:r>
        <w:t>means the area outlined in bold on the plan in this schedule, division 3.4.1.</w:t>
      </w:r>
    </w:p>
    <w:p w:rsidR="00BA29FF" w:rsidRDefault="00BA29FF">
      <w:pPr>
        <w:pStyle w:val="aDef"/>
      </w:pPr>
      <w:r>
        <w:rPr>
          <w:b/>
          <w:i/>
        </w:rPr>
        <w:t>corrections facility</w:t>
      </w:r>
      <w:r>
        <w:rPr>
          <w:bCs/>
          <w:iCs/>
        </w:rPr>
        <w:t>—see</w:t>
      </w:r>
      <w:r>
        <w:t xml:space="preserve"> the territory plan (13 Definitions).</w:t>
      </w:r>
    </w:p>
    <w:p w:rsidR="00BA29FF" w:rsidRDefault="00BA29FF">
      <w:pPr>
        <w:pStyle w:val="aDef"/>
      </w:pPr>
      <w:r>
        <w:rPr>
          <w:rStyle w:val="charBoldItals"/>
        </w:rPr>
        <w:t xml:space="preserve">Gungahlin town centre </w:t>
      </w:r>
      <w:r>
        <w:t>means the area outlined in bold on the plan in this schedule, division 3.4.3.</w:t>
      </w:r>
    </w:p>
    <w:p w:rsidR="00BA29FF" w:rsidRDefault="00BA29FF">
      <w:pPr>
        <w:pStyle w:val="aDef"/>
      </w:pPr>
      <w:r>
        <w:rPr>
          <w:rStyle w:val="charBoldItals"/>
        </w:rPr>
        <w:t xml:space="preserve">town centre </w:t>
      </w:r>
      <w:r>
        <w:t>means the Belconnen town centre, the Gungahlin town centre, the Tuggeranong town centre or the Woden town centre.</w:t>
      </w:r>
    </w:p>
    <w:p w:rsidR="00BA29FF" w:rsidRDefault="00BA29FF">
      <w:pPr>
        <w:pStyle w:val="aDef"/>
      </w:pPr>
      <w:r>
        <w:rPr>
          <w:rStyle w:val="charBoldItals"/>
        </w:rPr>
        <w:t xml:space="preserve">Tuggeranong town centre </w:t>
      </w:r>
      <w:r>
        <w:t>means the area outlined in bold on the plan in this schedule, division 3.4.4.</w:t>
      </w:r>
    </w:p>
    <w:p w:rsidR="00BA29FF" w:rsidRDefault="00BA29FF">
      <w:pPr>
        <w:pStyle w:val="aDef"/>
      </w:pPr>
      <w:r>
        <w:rPr>
          <w:rStyle w:val="charBoldItals"/>
        </w:rPr>
        <w:t xml:space="preserve">Woden town centre </w:t>
      </w:r>
      <w:r>
        <w:t>means the area outlined in bold on the plan in this schedule, division 3.4.5.</w:t>
      </w:r>
    </w:p>
    <w:p w:rsidR="00BA29FF" w:rsidRDefault="00BA29FF">
      <w:pPr>
        <w:pStyle w:val="03Schedule"/>
        <w:sectPr w:rsidR="00BA29FF">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BA29FF" w:rsidRDefault="00BA29FF">
      <w:pPr>
        <w:pStyle w:val="Sched-Part"/>
      </w:pPr>
      <w:bookmarkStart w:id="230" w:name="_Toc206921419"/>
      <w:r>
        <w:rPr>
          <w:rStyle w:val="CharPartNo"/>
        </w:rPr>
        <w:lastRenderedPageBreak/>
        <w:t>Part 3.2</w:t>
      </w:r>
      <w:r>
        <w:tab/>
      </w:r>
      <w:r>
        <w:rPr>
          <w:rStyle w:val="CharPartText"/>
        </w:rPr>
        <w:t>Merit track matters exempt from third-party AAT review</w:t>
      </w:r>
      <w:bookmarkEnd w:id="230"/>
    </w:p>
    <w:p w:rsidR="00BA29FF" w:rsidRDefault="00BA29FF">
      <w:pPr>
        <w:pStyle w:val="Placeholder"/>
      </w:pPr>
      <w:r>
        <w:rPr>
          <w:rStyle w:val="CharDivNo"/>
        </w:rPr>
        <w:t xml:space="preserve">  </w:t>
      </w:r>
      <w:r>
        <w:rPr>
          <w:rStyle w:val="CharDivText"/>
        </w:rPr>
        <w:t xml:space="preserve">  </w:t>
      </w:r>
    </w:p>
    <w:p w:rsidR="00BA29FF" w:rsidRDefault="00BA29FF"/>
    <w:tbl>
      <w:tblPr>
        <w:tblW w:w="7800" w:type="dxa"/>
        <w:tblInd w:w="108" w:type="dxa"/>
        <w:tblLayout w:type="fixed"/>
        <w:tblLook w:val="0000" w:firstRow="0" w:lastRow="0" w:firstColumn="0" w:lastColumn="0" w:noHBand="0" w:noVBand="0"/>
      </w:tblPr>
      <w:tblGrid>
        <w:gridCol w:w="1200"/>
        <w:gridCol w:w="6600"/>
      </w:tblGrid>
      <w:tr w:rsidR="00BA29FF">
        <w:trPr>
          <w:cantSplit/>
          <w:tblHeader/>
        </w:trPr>
        <w:tc>
          <w:tcPr>
            <w:tcW w:w="1200" w:type="dxa"/>
            <w:tcBorders>
              <w:bottom w:val="single" w:sz="4" w:space="0" w:color="auto"/>
            </w:tcBorders>
          </w:tcPr>
          <w:p w:rsidR="00BA29FF" w:rsidRDefault="00BA29FF">
            <w:pPr>
              <w:pStyle w:val="TableColHd"/>
            </w:pPr>
            <w:r>
              <w:t>column 1</w:t>
            </w:r>
          </w:p>
          <w:p w:rsidR="00BA29FF" w:rsidRDefault="00BA29FF">
            <w:pPr>
              <w:pStyle w:val="TableColHd"/>
            </w:pPr>
            <w:r>
              <w:t>item</w:t>
            </w:r>
          </w:p>
        </w:tc>
        <w:tc>
          <w:tcPr>
            <w:tcW w:w="6600" w:type="dxa"/>
            <w:tcBorders>
              <w:bottom w:val="single" w:sz="4" w:space="0" w:color="auto"/>
            </w:tcBorders>
          </w:tcPr>
          <w:p w:rsidR="00BA29FF" w:rsidRDefault="00BA29FF">
            <w:pPr>
              <w:pStyle w:val="TableColHd"/>
            </w:pPr>
            <w:r>
              <w:t>column 2</w:t>
            </w:r>
          </w:p>
          <w:p w:rsidR="00BA29FF" w:rsidRDefault="00BA29FF">
            <w:pPr>
              <w:pStyle w:val="TableColHd"/>
            </w:pPr>
            <w:r>
              <w:t>matters</w:t>
            </w:r>
          </w:p>
        </w:tc>
      </w:tr>
      <w:tr w:rsidR="00BA29FF">
        <w:trPr>
          <w:cantSplit/>
        </w:trPr>
        <w:tc>
          <w:tcPr>
            <w:tcW w:w="1200" w:type="dxa"/>
          </w:tcPr>
          <w:p w:rsidR="00BA29FF" w:rsidRDefault="00BA29FF">
            <w:pPr>
              <w:pStyle w:val="TableText"/>
            </w:pPr>
            <w:r>
              <w:t>1</w:t>
            </w:r>
          </w:p>
        </w:tc>
        <w:tc>
          <w:tcPr>
            <w:tcW w:w="6600" w:type="dxa"/>
          </w:tcPr>
          <w:p w:rsidR="00BA29FF" w:rsidRDefault="00BA29FF">
            <w:pPr>
              <w:pStyle w:val="TableText"/>
            </w:pPr>
            <w:r>
              <w:t>A development to which schedule 2 (Limited public notification of certain merit track development applications) applies.</w:t>
            </w:r>
          </w:p>
        </w:tc>
      </w:tr>
      <w:tr w:rsidR="00BA29FF">
        <w:trPr>
          <w:cantSplit/>
        </w:trPr>
        <w:tc>
          <w:tcPr>
            <w:tcW w:w="1200" w:type="dxa"/>
          </w:tcPr>
          <w:p w:rsidR="00BA29FF" w:rsidRDefault="00BA29FF">
            <w:pPr>
              <w:pStyle w:val="TableText"/>
            </w:pPr>
            <w:r>
              <w:t>2</w:t>
            </w:r>
          </w:p>
        </w:tc>
        <w:tc>
          <w:tcPr>
            <w:tcW w:w="6600" w:type="dxa"/>
          </w:tcPr>
          <w:p w:rsidR="00BA29FF" w:rsidRDefault="00BA29FF">
            <w:pPr>
              <w:pStyle w:val="TableText"/>
            </w:pPr>
            <w:r>
              <w:t>The putting up, attaching or displaying of a sign or advertisement on land or to a building or structure on land.</w:t>
            </w:r>
          </w:p>
        </w:tc>
      </w:tr>
      <w:tr w:rsidR="00BA29FF">
        <w:trPr>
          <w:cantSplit/>
        </w:trPr>
        <w:tc>
          <w:tcPr>
            <w:tcW w:w="1200" w:type="dxa"/>
          </w:tcPr>
          <w:p w:rsidR="00BA29FF" w:rsidRDefault="00BA29FF">
            <w:pPr>
              <w:pStyle w:val="TableText"/>
            </w:pPr>
            <w:r>
              <w:t>3</w:t>
            </w:r>
          </w:p>
        </w:tc>
        <w:tc>
          <w:tcPr>
            <w:tcW w:w="6600" w:type="dxa"/>
          </w:tcPr>
          <w:p w:rsidR="00BA29FF" w:rsidRDefault="00BA29FF">
            <w:pPr>
              <w:pStyle w:val="TableText"/>
            </w:pPr>
            <w:r>
              <w:t>The building, alteration or demolition of a single dwelling, if the development would not result in more than 1 dwelling being on a block.</w:t>
            </w:r>
          </w:p>
        </w:tc>
      </w:tr>
      <w:tr w:rsidR="00BA29FF">
        <w:trPr>
          <w:cantSplit/>
        </w:trPr>
        <w:tc>
          <w:tcPr>
            <w:tcW w:w="1200" w:type="dxa"/>
          </w:tcPr>
          <w:p w:rsidR="00BA29FF" w:rsidRDefault="00BA29FF">
            <w:pPr>
              <w:pStyle w:val="TableText"/>
            </w:pPr>
            <w:r>
              <w:t>4</w:t>
            </w:r>
          </w:p>
        </w:tc>
        <w:tc>
          <w:tcPr>
            <w:tcW w:w="6600" w:type="dxa"/>
          </w:tcPr>
          <w:p w:rsidR="00BA29FF" w:rsidRDefault="00BA29FF">
            <w:pPr>
              <w:pStyle w:val="TableText"/>
              <w:keepNext/>
            </w:pPr>
            <w:r>
              <w:t>A development on land in—</w:t>
            </w:r>
          </w:p>
          <w:p w:rsidR="00BA29FF" w:rsidRDefault="00BA29FF">
            <w:pPr>
              <w:pStyle w:val="tablepara"/>
              <w:tabs>
                <w:tab w:val="clear" w:pos="800"/>
                <w:tab w:val="clear" w:pos="1100"/>
              </w:tabs>
              <w:ind w:left="630" w:hanging="627"/>
            </w:pPr>
            <w:r>
              <w:t>(a)</w:t>
            </w:r>
            <w:r>
              <w:tab/>
              <w:t>the city centre; or</w:t>
            </w:r>
          </w:p>
          <w:p w:rsidR="00BA29FF" w:rsidRDefault="00BA29FF">
            <w:pPr>
              <w:pStyle w:val="tablepara"/>
              <w:tabs>
                <w:tab w:val="clear" w:pos="800"/>
                <w:tab w:val="clear" w:pos="1100"/>
              </w:tabs>
              <w:ind w:left="630" w:hanging="627"/>
            </w:pPr>
            <w:r>
              <w:t>(b)</w:t>
            </w:r>
            <w:r>
              <w:tab/>
              <w:t>a town centre; or</w:t>
            </w:r>
          </w:p>
          <w:p w:rsidR="00BA29FF" w:rsidRDefault="00BA29FF">
            <w:pPr>
              <w:pStyle w:val="tablepara"/>
              <w:tabs>
                <w:tab w:val="clear" w:pos="800"/>
                <w:tab w:val="clear" w:pos="1100"/>
              </w:tabs>
              <w:ind w:left="630" w:hanging="627"/>
              <w:rPr>
                <w:rStyle w:val="CharSectNo"/>
              </w:rPr>
            </w:pPr>
            <w:r>
              <w:t>(c)</w:t>
            </w:r>
            <w:r>
              <w:tab/>
              <w:t>an industrial zone.</w:t>
            </w:r>
          </w:p>
        </w:tc>
      </w:tr>
      <w:tr w:rsidR="00BA29FF">
        <w:trPr>
          <w:cantSplit/>
        </w:trPr>
        <w:tc>
          <w:tcPr>
            <w:tcW w:w="1200" w:type="dxa"/>
          </w:tcPr>
          <w:p w:rsidR="00BA29FF" w:rsidRDefault="00BA29FF">
            <w:pPr>
              <w:pStyle w:val="TableText"/>
            </w:pPr>
            <w:r>
              <w:lastRenderedPageBreak/>
              <w:t>5</w:t>
            </w:r>
          </w:p>
        </w:tc>
        <w:tc>
          <w:tcPr>
            <w:tcW w:w="6600" w:type="dxa"/>
          </w:tcPr>
          <w:p w:rsidR="00BA29FF" w:rsidRDefault="00BA29FF">
            <w:pPr>
              <w:pStyle w:val="TableText"/>
            </w:pPr>
            <w:r>
              <w:t>A development on land in a transport zone and services zone, other than land in the city centre or a town centre,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the development would not result in any of the following uses of the land being permitted:</w:t>
            </w:r>
          </w:p>
          <w:p w:rsidR="00BA29FF" w:rsidRDefault="00BA29FF">
            <w:pPr>
              <w:pStyle w:val="tablesubpara"/>
              <w:tabs>
                <w:tab w:val="clear" w:pos="1500"/>
                <w:tab w:val="clear" w:pos="1800"/>
                <w:tab w:val="left" w:pos="630"/>
              </w:tabs>
              <w:ind w:left="1428" w:hanging="798"/>
            </w:pPr>
            <w:r>
              <w:t>(i)</w:t>
            </w:r>
            <w:r>
              <w:tab/>
              <w:t>a hazardous waste facility;</w:t>
            </w:r>
          </w:p>
          <w:p w:rsidR="00BA29FF" w:rsidRDefault="00BA29FF">
            <w:pPr>
              <w:pStyle w:val="tablesubpara"/>
              <w:tabs>
                <w:tab w:val="clear" w:pos="1500"/>
                <w:tab w:val="clear" w:pos="1800"/>
                <w:tab w:val="left" w:pos="630"/>
              </w:tabs>
              <w:ind w:left="1428" w:hanging="798"/>
            </w:pPr>
            <w:r>
              <w:t>(ii)</w:t>
            </w:r>
            <w:r>
              <w:tab/>
              <w:t>an incineration facility;</w:t>
            </w:r>
          </w:p>
          <w:p w:rsidR="00BA29FF" w:rsidRDefault="00BA29FF">
            <w:pPr>
              <w:pStyle w:val="tablesubpara"/>
              <w:tabs>
                <w:tab w:val="clear" w:pos="1500"/>
                <w:tab w:val="clear" w:pos="1800"/>
                <w:tab w:val="left" w:pos="630"/>
              </w:tabs>
              <w:ind w:left="1428" w:hanging="798"/>
            </w:pPr>
            <w:r>
              <w:t>(iii)</w:t>
            </w:r>
            <w:r>
              <w:tab/>
              <w:t>a land fill site; and</w:t>
            </w:r>
          </w:p>
          <w:p w:rsidR="00BA29FF" w:rsidRDefault="00BA29FF">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BA29FF" w:rsidRDefault="00BA29FF">
            <w:pPr>
              <w:pStyle w:val="tablepara"/>
              <w:tabs>
                <w:tab w:val="clear" w:pos="800"/>
                <w:tab w:val="clear" w:pos="1100"/>
              </w:tabs>
              <w:ind w:left="630" w:hanging="627"/>
            </w:pPr>
            <w:r>
              <w:t>(d)</w:t>
            </w:r>
            <w:r>
              <w:tab/>
              <w:t>the development does not consist of—</w:t>
            </w:r>
          </w:p>
          <w:p w:rsidR="00BA29FF" w:rsidRDefault="00BA29FF">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BA29FF" w:rsidRDefault="00BA29FF">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BA29FF" w:rsidRDefault="00BA29FF">
            <w:pPr>
              <w:pStyle w:val="aNotepar"/>
              <w:ind w:left="2055" w:hanging="684"/>
            </w:pPr>
            <w:r>
              <w:rPr>
                <w:i/>
              </w:rPr>
              <w:t>Note</w:t>
            </w:r>
            <w:r>
              <w:rPr>
                <w:i/>
              </w:rPr>
              <w:tab/>
            </w:r>
            <w:r>
              <w:rPr>
                <w:b/>
                <w:bCs/>
                <w:i/>
                <w:iCs/>
              </w:rPr>
              <w:t>Natural ground level</w:t>
            </w:r>
            <w:r>
              <w:t>—see the territory plan (13 Definitions).</w:t>
            </w:r>
          </w:p>
        </w:tc>
      </w:tr>
      <w:tr w:rsidR="00BA29FF">
        <w:tc>
          <w:tcPr>
            <w:tcW w:w="1200" w:type="dxa"/>
          </w:tcPr>
          <w:p w:rsidR="00BA29FF" w:rsidRDefault="00BA29FF">
            <w:pPr>
              <w:pStyle w:val="TableText"/>
            </w:pPr>
            <w:r>
              <w:t>6</w:t>
            </w:r>
          </w:p>
        </w:tc>
        <w:tc>
          <w:tcPr>
            <w:tcW w:w="6600" w:type="dxa"/>
          </w:tcPr>
          <w:p w:rsidR="00BA29FF" w:rsidRDefault="00BA29FF">
            <w:pPr>
              <w:pStyle w:val="TableText"/>
            </w:pPr>
            <w:r>
              <w:t>A development on land in a commercial zone, other than land in the city centre or a town centre,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BA29FF" w:rsidRDefault="00BA29FF">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BA29FF" w:rsidRDefault="00BA29FF">
            <w:pPr>
              <w:pStyle w:val="tablepara"/>
              <w:tabs>
                <w:tab w:val="clear" w:pos="800"/>
                <w:tab w:val="clear" w:pos="1100"/>
              </w:tabs>
              <w:ind w:left="630" w:hanging="627"/>
            </w:pPr>
            <w:r>
              <w:t>(d)</w:t>
            </w:r>
            <w:r>
              <w:tab/>
              <w:t>the development would not have the effect of permitting the use of the land for a corrections facility; and</w:t>
            </w:r>
          </w:p>
          <w:p w:rsidR="00BA29FF" w:rsidRDefault="00BA29FF">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BA29FF" w:rsidRDefault="00BA29FF">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BA29FF" w:rsidRDefault="00BA29FF">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BA29FF" w:rsidRDefault="00BA29FF">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BA29FF" w:rsidRDefault="00BA29FF">
            <w:pPr>
              <w:pStyle w:val="tablesubpara"/>
              <w:tabs>
                <w:tab w:val="clear" w:pos="1500"/>
                <w:tab w:val="clear" w:pos="1800"/>
                <w:tab w:val="left" w:pos="630"/>
              </w:tabs>
              <w:ind w:left="1428" w:hanging="798"/>
            </w:pPr>
          </w:p>
          <w:p w:rsidR="00BA29FF" w:rsidRDefault="00BA29FF">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BA29FF" w:rsidRDefault="00BA29FF">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BA29FF" w:rsidRDefault="00BA29FF">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BA29FF" w:rsidRDefault="00BA29FF">
            <w:pPr>
              <w:pStyle w:val="tablepara"/>
              <w:tabs>
                <w:tab w:val="clear" w:pos="800"/>
                <w:tab w:val="clear" w:pos="1100"/>
              </w:tabs>
              <w:ind w:left="630" w:hanging="627"/>
            </w:pPr>
            <w:r>
              <w:t>(g)</w:t>
            </w:r>
            <w:r>
              <w:tab/>
              <w:t>if the land is in a commercial CZ4 (Local Centres Zone) zone—</w:t>
            </w:r>
          </w:p>
          <w:p w:rsidR="00BA29FF" w:rsidRDefault="00BA29FF">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BA29FF" w:rsidRDefault="00BA29FF">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BA29FF" w:rsidRDefault="00BA29FF">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BA29FF" w:rsidRDefault="00BA29FF">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BA29FF">
        <w:trPr>
          <w:cantSplit/>
        </w:trPr>
        <w:tc>
          <w:tcPr>
            <w:tcW w:w="1200" w:type="dxa"/>
          </w:tcPr>
          <w:p w:rsidR="00BA29FF" w:rsidRDefault="00BA29FF">
            <w:pPr>
              <w:pStyle w:val="TableText"/>
            </w:pPr>
            <w:r>
              <w:lastRenderedPageBreak/>
              <w:t>7</w:t>
            </w:r>
          </w:p>
        </w:tc>
        <w:tc>
          <w:tcPr>
            <w:tcW w:w="6600" w:type="dxa"/>
          </w:tcPr>
          <w:p w:rsidR="00BA29FF" w:rsidRDefault="00BA29FF">
            <w:pPr>
              <w:pStyle w:val="TableText"/>
            </w:pPr>
            <w:r>
              <w:t>A development on land in a commercial CZ5 (Mixed Use Zone) zone in Kingston or a commercial CZ6 (Leisure and Accommodation Zone) zone other than land in the city centre or a town centre,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BA29FF" w:rsidRDefault="00BA29FF">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BA29FF" w:rsidRDefault="00BA29FF">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BA29FF" w:rsidRDefault="00BA29FF">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BA29FF">
        <w:tc>
          <w:tcPr>
            <w:tcW w:w="1200" w:type="dxa"/>
          </w:tcPr>
          <w:p w:rsidR="00BA29FF" w:rsidRDefault="00BA29FF">
            <w:pPr>
              <w:pStyle w:val="TableText"/>
            </w:pPr>
            <w:r>
              <w:t>8</w:t>
            </w:r>
          </w:p>
        </w:tc>
        <w:tc>
          <w:tcPr>
            <w:tcW w:w="6600" w:type="dxa"/>
          </w:tcPr>
          <w:p w:rsidR="00BA29FF" w:rsidRDefault="00BA29FF">
            <w:pPr>
              <w:pStyle w:val="TableText"/>
              <w:keepNext/>
            </w:pPr>
            <w:r>
              <w:t>A development on land in a community facility zone or PRZ2 (Restricted Access Recreation Zone) zone, other than land in the city centre or a town centre,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BA29FF" w:rsidRDefault="00BA29FF">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BA29FF" w:rsidRDefault="00BA29FF">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BA29FF" w:rsidRDefault="00BA29FF">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BA29FF" w:rsidRDefault="00BA29FF">
            <w:pPr>
              <w:pStyle w:val="tablepara"/>
              <w:tabs>
                <w:tab w:val="clear" w:pos="800"/>
                <w:tab w:val="clear" w:pos="1100"/>
              </w:tabs>
              <w:ind w:left="630" w:hanging="627"/>
            </w:pPr>
            <w:r>
              <w:t>(f)</w:t>
            </w:r>
            <w:r>
              <w:tab/>
              <w:t>the development would not have the effect of permitting the use of the land for a corrections facility; and</w:t>
            </w:r>
          </w:p>
          <w:p w:rsidR="00BA29FF" w:rsidRDefault="00BA29FF">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BA29FF" w:rsidRDefault="00BA29FF">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BA29FF" w:rsidRDefault="00BA29FF">
            <w:pPr>
              <w:pStyle w:val="aNote"/>
              <w:ind w:left="1310" w:hanging="748"/>
            </w:pPr>
            <w:r>
              <w:rPr>
                <w:i/>
              </w:rPr>
              <w:t>Note</w:t>
            </w:r>
            <w:r>
              <w:rPr>
                <w:i/>
              </w:rPr>
              <w:tab/>
            </w:r>
            <w:r>
              <w:rPr>
                <w:b/>
                <w:bCs/>
                <w:i/>
                <w:iCs/>
              </w:rPr>
              <w:t>Natural ground level</w:t>
            </w:r>
            <w:r>
              <w:t>—see the territory plan (13 Definitions).</w:t>
            </w:r>
          </w:p>
        </w:tc>
      </w:tr>
      <w:tr w:rsidR="00BA29FF">
        <w:tc>
          <w:tcPr>
            <w:tcW w:w="1200" w:type="dxa"/>
          </w:tcPr>
          <w:p w:rsidR="00BA29FF" w:rsidRDefault="00BA29FF">
            <w:pPr>
              <w:pStyle w:val="TableText"/>
            </w:pPr>
            <w:r>
              <w:lastRenderedPageBreak/>
              <w:t>9</w:t>
            </w:r>
          </w:p>
        </w:tc>
        <w:tc>
          <w:tcPr>
            <w:tcW w:w="6600" w:type="dxa"/>
          </w:tcPr>
          <w:p w:rsidR="00BA29FF" w:rsidRDefault="00BA29FF">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BA29FF" w:rsidRDefault="00BA29FF">
            <w:pPr>
              <w:pStyle w:val="tablepara"/>
              <w:tabs>
                <w:tab w:val="clear" w:pos="800"/>
                <w:tab w:val="clear" w:pos="1100"/>
              </w:tabs>
              <w:ind w:left="630" w:hanging="627"/>
            </w:pPr>
            <w:r>
              <w:t>(c)</w:t>
            </w:r>
            <w:r>
              <w:tab/>
              <w:t>the development would not increase the area of the leased land by more than 1ha; and</w:t>
            </w:r>
          </w:p>
          <w:p w:rsidR="00BA29FF" w:rsidRDefault="00BA29FF">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BA29FF" w:rsidRDefault="00BA29FF">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BA29FF" w:rsidRDefault="00BA29FF">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BA29FF" w:rsidRDefault="00BA29FF">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BA29FF" w:rsidRDefault="00BA29FF">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BA29FF" w:rsidRDefault="00BA29FF">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BA29FF" w:rsidRDefault="00BA29FF">
            <w:pPr>
              <w:pStyle w:val="aNote"/>
              <w:ind w:left="1310" w:hanging="748"/>
            </w:pPr>
            <w:r>
              <w:rPr>
                <w:i/>
              </w:rPr>
              <w:t>Note</w:t>
            </w:r>
            <w:r>
              <w:rPr>
                <w:i/>
              </w:rPr>
              <w:tab/>
            </w:r>
            <w:r>
              <w:rPr>
                <w:b/>
                <w:bCs/>
                <w:i/>
                <w:iCs/>
              </w:rPr>
              <w:t>Natural ground level</w:t>
            </w:r>
            <w:r>
              <w:t>—see the territory plan (13 Definitions).</w:t>
            </w:r>
          </w:p>
        </w:tc>
      </w:tr>
      <w:tr w:rsidR="00BA29FF">
        <w:tc>
          <w:tcPr>
            <w:tcW w:w="1200" w:type="dxa"/>
          </w:tcPr>
          <w:p w:rsidR="00BA29FF" w:rsidRDefault="00BA29FF">
            <w:pPr>
              <w:pStyle w:val="TableText"/>
            </w:pPr>
            <w:r>
              <w:lastRenderedPageBreak/>
              <w:t>10</w:t>
            </w:r>
          </w:p>
        </w:tc>
        <w:tc>
          <w:tcPr>
            <w:tcW w:w="6600" w:type="dxa"/>
          </w:tcPr>
          <w:p w:rsidR="00BA29FF" w:rsidRDefault="00BA29FF">
            <w:pPr>
              <w:pStyle w:val="TableText"/>
            </w:pPr>
            <w:r>
              <w:t>A development on land in a broadacre zone or rural zone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BA29FF" w:rsidRDefault="00BA29FF">
            <w:pPr>
              <w:pStyle w:val="tablepara"/>
              <w:tabs>
                <w:tab w:val="clear" w:pos="800"/>
                <w:tab w:val="clear" w:pos="1100"/>
              </w:tabs>
              <w:ind w:left="630" w:hanging="627"/>
            </w:pPr>
            <w:r>
              <w:t>(c)</w:t>
            </w:r>
            <w:r>
              <w:tab/>
              <w:t>the development would not increase the area of the leased land by more than 1ha; and</w:t>
            </w:r>
          </w:p>
          <w:p w:rsidR="00BA29FF" w:rsidRDefault="00BA29FF">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BA29FF" w:rsidRDefault="00BA29FF">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BA29FF" w:rsidRDefault="00BA29FF">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BA29FF" w:rsidRDefault="00BA29FF">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BA29FF" w:rsidRDefault="00BA29FF">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BA29FF" w:rsidRDefault="00BA29FF">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BA29FF" w:rsidRDefault="00BA29FF">
            <w:pPr>
              <w:pStyle w:val="aNote"/>
              <w:ind w:left="1310" w:hanging="748"/>
            </w:pPr>
            <w:r>
              <w:rPr>
                <w:i/>
              </w:rPr>
              <w:t>Note</w:t>
            </w:r>
            <w:r>
              <w:rPr>
                <w:i/>
              </w:rPr>
              <w:tab/>
            </w:r>
            <w:r>
              <w:rPr>
                <w:b/>
                <w:bCs/>
                <w:i/>
                <w:iCs/>
              </w:rPr>
              <w:t>Natural ground level</w:t>
            </w:r>
            <w:r>
              <w:t>—see the territory plan (13 Definitions).</w:t>
            </w:r>
          </w:p>
        </w:tc>
      </w:tr>
      <w:tr w:rsidR="00BA29FF">
        <w:trPr>
          <w:cantSplit/>
        </w:trPr>
        <w:tc>
          <w:tcPr>
            <w:tcW w:w="1200" w:type="dxa"/>
          </w:tcPr>
          <w:p w:rsidR="00BA29FF" w:rsidRDefault="00BA29FF">
            <w:pPr>
              <w:pStyle w:val="TableText"/>
            </w:pPr>
            <w:r>
              <w:lastRenderedPageBreak/>
              <w:t>11</w:t>
            </w:r>
          </w:p>
        </w:tc>
        <w:tc>
          <w:tcPr>
            <w:tcW w:w="6600" w:type="dxa"/>
          </w:tcPr>
          <w:p w:rsidR="00BA29FF" w:rsidRDefault="00BA29FF">
            <w:pPr>
              <w:pStyle w:val="TableText"/>
            </w:pPr>
            <w:r>
              <w:t>A development on land in a designated area, other than land in the city centre or a town centre, if—</w:t>
            </w:r>
          </w:p>
          <w:p w:rsidR="00BA29FF" w:rsidRDefault="00BA29FF">
            <w:pPr>
              <w:pStyle w:val="tablepara"/>
              <w:tabs>
                <w:tab w:val="clear" w:pos="800"/>
                <w:tab w:val="clear" w:pos="1100"/>
              </w:tabs>
              <w:ind w:left="630" w:hanging="627"/>
            </w:pPr>
            <w:r>
              <w:t>(a)</w:t>
            </w:r>
            <w:r>
              <w:tab/>
              <w:t>the land is at least 50m from land in a residential zone; and</w:t>
            </w:r>
          </w:p>
          <w:p w:rsidR="00BA29FF" w:rsidRDefault="00BA29FF">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BA29FF" w:rsidRDefault="00BA29FF">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BA29FF">
        <w:trPr>
          <w:cantSplit/>
        </w:trPr>
        <w:tc>
          <w:tcPr>
            <w:tcW w:w="1200" w:type="dxa"/>
          </w:tcPr>
          <w:p w:rsidR="00BA29FF" w:rsidRDefault="00BA29FF">
            <w:pPr>
              <w:pStyle w:val="TableText"/>
            </w:pPr>
            <w:r>
              <w:t>12</w:t>
            </w:r>
          </w:p>
        </w:tc>
        <w:tc>
          <w:tcPr>
            <w:tcW w:w="6600" w:type="dxa"/>
          </w:tcPr>
          <w:p w:rsidR="00BA29FF" w:rsidRDefault="00BA29FF">
            <w:pPr>
              <w:pStyle w:val="TableText"/>
            </w:pPr>
            <w:r>
              <w:t>The demolition of a building or structure in connection with a development consisting of the building or alteration of a building or structure to which this schedule applies.</w:t>
            </w:r>
          </w:p>
        </w:tc>
      </w:tr>
      <w:tr w:rsidR="00BA29FF">
        <w:trPr>
          <w:cantSplit/>
        </w:trPr>
        <w:tc>
          <w:tcPr>
            <w:tcW w:w="1200" w:type="dxa"/>
          </w:tcPr>
          <w:p w:rsidR="00BA29FF" w:rsidRDefault="00BA29FF">
            <w:pPr>
              <w:pStyle w:val="TableText"/>
            </w:pPr>
            <w:r>
              <w:t>13</w:t>
            </w:r>
          </w:p>
        </w:tc>
        <w:tc>
          <w:tcPr>
            <w:tcW w:w="6600" w:type="dxa"/>
          </w:tcPr>
          <w:p w:rsidR="00BA29FF" w:rsidRDefault="00BA29FF">
            <w:pPr>
              <w:pStyle w:val="TableText"/>
            </w:pPr>
            <w:r>
              <w:t>Public works consisting of the building, alteration or demolition of—</w:t>
            </w:r>
          </w:p>
          <w:p w:rsidR="00BA29FF" w:rsidRDefault="00BA29FF">
            <w:pPr>
              <w:pStyle w:val="tablepara"/>
              <w:tabs>
                <w:tab w:val="clear" w:pos="800"/>
                <w:tab w:val="clear" w:pos="1100"/>
              </w:tabs>
              <w:ind w:left="630" w:hanging="627"/>
            </w:pPr>
            <w:r>
              <w:t>(a)</w:t>
            </w:r>
            <w:r>
              <w:tab/>
              <w:t>electricity, water, gas or communication services; or</w:t>
            </w:r>
          </w:p>
          <w:p w:rsidR="00BA29FF" w:rsidRDefault="00BA29FF">
            <w:pPr>
              <w:pStyle w:val="tablepara"/>
              <w:tabs>
                <w:tab w:val="clear" w:pos="800"/>
                <w:tab w:val="clear" w:pos="1100"/>
              </w:tabs>
              <w:ind w:left="630" w:hanging="627"/>
            </w:pPr>
            <w:r>
              <w:t>(b)</w:t>
            </w:r>
            <w:r>
              <w:tab/>
              <w:t>a floodway or sewerage or drainage works; or</w:t>
            </w:r>
          </w:p>
          <w:p w:rsidR="00BA29FF" w:rsidRDefault="00BA29FF">
            <w:pPr>
              <w:pStyle w:val="tablepara"/>
              <w:tabs>
                <w:tab w:val="clear" w:pos="800"/>
                <w:tab w:val="clear" w:pos="1100"/>
              </w:tabs>
              <w:ind w:left="630" w:hanging="627"/>
            </w:pPr>
            <w:r>
              <w:t>(c)</w:t>
            </w:r>
            <w:r>
              <w:tab/>
              <w:t>a public road, public path, cycleway or car park.</w:t>
            </w:r>
          </w:p>
        </w:tc>
      </w:tr>
      <w:tr w:rsidR="00BA29FF">
        <w:trPr>
          <w:cantSplit/>
        </w:trPr>
        <w:tc>
          <w:tcPr>
            <w:tcW w:w="1200" w:type="dxa"/>
            <w:tcBorders>
              <w:bottom w:val="single" w:sz="4" w:space="0" w:color="auto"/>
            </w:tcBorders>
          </w:tcPr>
          <w:p w:rsidR="00BA29FF" w:rsidRDefault="00BA29FF">
            <w:pPr>
              <w:pStyle w:val="TableText"/>
            </w:pPr>
            <w:r>
              <w:t>14</w:t>
            </w:r>
          </w:p>
        </w:tc>
        <w:tc>
          <w:tcPr>
            <w:tcW w:w="6600" w:type="dxa"/>
            <w:tcBorders>
              <w:bottom w:val="single" w:sz="4" w:space="0" w:color="auto"/>
            </w:tcBorders>
          </w:tcPr>
          <w:p w:rsidR="00BA29FF" w:rsidRDefault="00BA29FF">
            <w:pPr>
              <w:pStyle w:val="TableText"/>
            </w:pPr>
            <w:r>
              <w:t>The building, alteration or demolition of public facilities on unleased land, including barbecues, seating and playground equipment, or related landscaping.</w:t>
            </w:r>
          </w:p>
        </w:tc>
      </w:tr>
    </w:tbl>
    <w:p w:rsidR="00BA29FF" w:rsidRDefault="00BA29FF"/>
    <w:p w:rsidR="00BA29FF" w:rsidRDefault="00BA29FF">
      <w:pPr>
        <w:pStyle w:val="03Schedule"/>
        <w:sectPr w:rsidR="00BA29FF">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BA29FF" w:rsidRDefault="00BA29FF">
      <w:pPr>
        <w:pStyle w:val="Sched-Part"/>
      </w:pPr>
      <w:bookmarkStart w:id="231" w:name="_Toc206921420"/>
      <w:r>
        <w:rPr>
          <w:rStyle w:val="CharPartNo"/>
        </w:rPr>
        <w:lastRenderedPageBreak/>
        <w:t>Part 3.3</w:t>
      </w:r>
      <w:r>
        <w:tab/>
      </w:r>
      <w:r>
        <w:rPr>
          <w:rStyle w:val="CharPartText"/>
        </w:rPr>
        <w:t>Impact track matters exempt from third-party AAT review</w:t>
      </w:r>
      <w:bookmarkEnd w:id="231"/>
    </w:p>
    <w:p w:rsidR="00BA29FF" w:rsidRDefault="00BA29FF"/>
    <w:tbl>
      <w:tblPr>
        <w:tblW w:w="7800" w:type="dxa"/>
        <w:tblInd w:w="108" w:type="dxa"/>
        <w:tblLayout w:type="fixed"/>
        <w:tblLook w:val="0000" w:firstRow="0" w:lastRow="0" w:firstColumn="0" w:lastColumn="0" w:noHBand="0" w:noVBand="0"/>
      </w:tblPr>
      <w:tblGrid>
        <w:gridCol w:w="1200"/>
        <w:gridCol w:w="6600"/>
      </w:tblGrid>
      <w:tr w:rsidR="00BA29FF">
        <w:trPr>
          <w:cantSplit/>
          <w:tblHeader/>
        </w:trPr>
        <w:tc>
          <w:tcPr>
            <w:tcW w:w="1200" w:type="dxa"/>
            <w:tcBorders>
              <w:bottom w:val="single" w:sz="4" w:space="0" w:color="auto"/>
            </w:tcBorders>
          </w:tcPr>
          <w:p w:rsidR="00BA29FF" w:rsidRDefault="00BA29FF">
            <w:pPr>
              <w:pStyle w:val="TableColHd"/>
            </w:pPr>
            <w:r>
              <w:t>column 1</w:t>
            </w:r>
          </w:p>
          <w:p w:rsidR="00BA29FF" w:rsidRDefault="00BA29FF">
            <w:pPr>
              <w:pStyle w:val="TableColHd"/>
            </w:pPr>
            <w:r>
              <w:t>item</w:t>
            </w:r>
          </w:p>
        </w:tc>
        <w:tc>
          <w:tcPr>
            <w:tcW w:w="6600" w:type="dxa"/>
            <w:tcBorders>
              <w:bottom w:val="single" w:sz="4" w:space="0" w:color="auto"/>
            </w:tcBorders>
          </w:tcPr>
          <w:p w:rsidR="00BA29FF" w:rsidRDefault="00BA29FF">
            <w:pPr>
              <w:pStyle w:val="TableColHd"/>
            </w:pPr>
            <w:r>
              <w:t>column 2</w:t>
            </w:r>
          </w:p>
          <w:p w:rsidR="00BA29FF" w:rsidRDefault="00BA29FF">
            <w:pPr>
              <w:pStyle w:val="TableColHd"/>
            </w:pPr>
            <w:r>
              <w:t>matters</w:t>
            </w:r>
          </w:p>
        </w:tc>
      </w:tr>
      <w:tr w:rsidR="00BA29FF">
        <w:trPr>
          <w:cantSplit/>
        </w:trPr>
        <w:tc>
          <w:tcPr>
            <w:tcW w:w="1200" w:type="dxa"/>
            <w:tcBorders>
              <w:top w:val="single" w:sz="4" w:space="0" w:color="auto"/>
              <w:bottom w:val="single" w:sz="4" w:space="0" w:color="auto"/>
            </w:tcBorders>
          </w:tcPr>
          <w:p w:rsidR="00BA29FF" w:rsidRDefault="00BA29FF">
            <w:pPr>
              <w:pStyle w:val="TableText"/>
            </w:pPr>
            <w:r>
              <w:t>1</w:t>
            </w:r>
          </w:p>
        </w:tc>
        <w:tc>
          <w:tcPr>
            <w:tcW w:w="6600" w:type="dxa"/>
            <w:tcBorders>
              <w:top w:val="single" w:sz="4" w:space="0" w:color="auto"/>
              <w:bottom w:val="single" w:sz="4" w:space="0" w:color="auto"/>
            </w:tcBorders>
          </w:tcPr>
          <w:p w:rsidR="00BA29FF" w:rsidRDefault="00BA29FF">
            <w:pPr>
              <w:pStyle w:val="TableText"/>
            </w:pPr>
            <w:r>
              <w:t>The building, alteration or demolition of public facilities on unleased land, including barbecues, seating and playground equipment, or related landscaping.</w:t>
            </w:r>
          </w:p>
        </w:tc>
      </w:tr>
    </w:tbl>
    <w:p w:rsidR="00BA29FF" w:rsidRDefault="00BA29FF">
      <w:pPr>
        <w:pStyle w:val="03Schedule"/>
        <w:sectPr w:rsidR="00BA29FF">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BA29FF" w:rsidRDefault="00BA29FF">
      <w:pPr>
        <w:pStyle w:val="PageBreak"/>
      </w:pPr>
      <w:r>
        <w:br w:type="page"/>
      </w:r>
    </w:p>
    <w:p w:rsidR="00BA29FF" w:rsidRDefault="00BA29FF">
      <w:pPr>
        <w:pStyle w:val="Sched-Part"/>
      </w:pPr>
      <w:bookmarkStart w:id="232" w:name="_Toc206921421"/>
      <w:r>
        <w:rPr>
          <w:rStyle w:val="CharPartNo"/>
        </w:rPr>
        <w:lastRenderedPageBreak/>
        <w:t>Part 3.4</w:t>
      </w:r>
      <w:r>
        <w:tab/>
      </w:r>
      <w:r>
        <w:rPr>
          <w:rStyle w:val="CharPartText"/>
        </w:rPr>
        <w:t>City centre and town centres maps</w:t>
      </w:r>
      <w:bookmarkEnd w:id="232"/>
    </w:p>
    <w:p w:rsidR="00BA29FF" w:rsidRDefault="00BA29FF">
      <w:pPr>
        <w:pStyle w:val="Sched-Form"/>
      </w:pPr>
      <w:bookmarkStart w:id="233" w:name="_Toc206921422"/>
      <w:r>
        <w:rPr>
          <w:rStyle w:val="CharDivNo"/>
        </w:rPr>
        <w:t>Division 3.4.1</w:t>
      </w:r>
      <w:r>
        <w:tab/>
      </w:r>
      <w:r>
        <w:rPr>
          <w:rStyle w:val="CharDivText"/>
        </w:rPr>
        <w:t>City centre</w:t>
      </w:r>
      <w:bookmarkEnd w:id="233"/>
      <w:r>
        <w:rPr>
          <w:rStyle w:val="CharDivText"/>
        </w:rPr>
        <w:t xml:space="preserve"> </w:t>
      </w:r>
    </w:p>
    <w:p w:rsidR="00BA29FF" w:rsidRDefault="00BA29FF"/>
    <w:p w:rsidR="00BA29FF" w:rsidRDefault="00DE64BD">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BA29FF" w:rsidRDefault="00BA29FF"/>
    <w:p w:rsidR="00BA29FF" w:rsidRDefault="00BA29FF">
      <w:pPr>
        <w:pStyle w:val="03Schedule"/>
        <w:sectPr w:rsidR="00BA29FF">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BA29FF" w:rsidRDefault="00BA29FF">
      <w:pPr>
        <w:pStyle w:val="PageBreak"/>
      </w:pPr>
      <w:r>
        <w:br w:type="page"/>
      </w:r>
    </w:p>
    <w:p w:rsidR="00BA29FF" w:rsidRDefault="00BA29FF">
      <w:pPr>
        <w:pStyle w:val="Sched-Form"/>
      </w:pPr>
      <w:bookmarkStart w:id="234" w:name="_Toc206921423"/>
      <w:r>
        <w:rPr>
          <w:rStyle w:val="CharDivNo"/>
        </w:rPr>
        <w:lastRenderedPageBreak/>
        <w:t>Division 3.4.2</w:t>
      </w:r>
      <w:r>
        <w:tab/>
      </w:r>
      <w:r>
        <w:rPr>
          <w:rStyle w:val="CharDivText"/>
        </w:rPr>
        <w:t>Belconnen town centre</w:t>
      </w:r>
      <w:bookmarkEnd w:id="234"/>
      <w:r>
        <w:rPr>
          <w:rStyle w:val="CharDivText"/>
        </w:rPr>
        <w:t xml:space="preserve"> </w:t>
      </w:r>
    </w:p>
    <w:p w:rsidR="00BA29FF" w:rsidRDefault="00BA29FF"/>
    <w:p w:rsidR="00BA29FF" w:rsidRDefault="00DE64BD">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BA29FF" w:rsidRDefault="00BA29FF">
      <w:pPr>
        <w:pStyle w:val="03Schedule"/>
        <w:sectPr w:rsidR="00BA29FF">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BA29FF" w:rsidRDefault="00BA29FF">
      <w:pPr>
        <w:pStyle w:val="PageBreak"/>
      </w:pPr>
      <w:r>
        <w:br w:type="page"/>
      </w:r>
    </w:p>
    <w:p w:rsidR="00BA29FF" w:rsidRDefault="00BA29FF">
      <w:pPr>
        <w:pStyle w:val="Sched-Form"/>
      </w:pPr>
      <w:bookmarkStart w:id="235" w:name="_Toc206921424"/>
      <w:r>
        <w:rPr>
          <w:rStyle w:val="CharDivNo"/>
        </w:rPr>
        <w:lastRenderedPageBreak/>
        <w:t>Division 3.4.3</w:t>
      </w:r>
      <w:r>
        <w:tab/>
      </w:r>
      <w:r>
        <w:rPr>
          <w:rStyle w:val="CharDivText"/>
        </w:rPr>
        <w:t>Gungahlin town centre</w:t>
      </w:r>
      <w:bookmarkEnd w:id="235"/>
      <w:r>
        <w:rPr>
          <w:rStyle w:val="CharDivText"/>
        </w:rPr>
        <w:t xml:space="preserve"> </w:t>
      </w:r>
    </w:p>
    <w:p w:rsidR="00BA29FF" w:rsidRDefault="00BA29FF"/>
    <w:p w:rsidR="00BA29FF" w:rsidRDefault="00DE64BD">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BA29FF" w:rsidRDefault="00BA29FF">
      <w:pPr>
        <w:pStyle w:val="03Schedule"/>
        <w:sectPr w:rsidR="00BA29FF">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BA29FF" w:rsidRDefault="00BA29FF">
      <w:pPr>
        <w:pStyle w:val="PageBreak"/>
      </w:pPr>
      <w:r>
        <w:br w:type="page"/>
      </w:r>
    </w:p>
    <w:p w:rsidR="00BA29FF" w:rsidRDefault="00BA29FF">
      <w:pPr>
        <w:pStyle w:val="Sched-Form"/>
      </w:pPr>
      <w:bookmarkStart w:id="236" w:name="_Toc206921425"/>
      <w:r>
        <w:rPr>
          <w:rStyle w:val="CharDivNo"/>
        </w:rPr>
        <w:lastRenderedPageBreak/>
        <w:t>Division 3.4.4</w:t>
      </w:r>
      <w:r>
        <w:tab/>
      </w:r>
      <w:r>
        <w:rPr>
          <w:rStyle w:val="CharDivText"/>
        </w:rPr>
        <w:t>Tuggeranong town centre</w:t>
      </w:r>
      <w:bookmarkEnd w:id="236"/>
      <w:r>
        <w:rPr>
          <w:rStyle w:val="CharDivText"/>
        </w:rPr>
        <w:t xml:space="preserve"> </w:t>
      </w:r>
    </w:p>
    <w:p w:rsidR="00BA29FF" w:rsidRDefault="00BA29FF"/>
    <w:p w:rsidR="00BA29FF" w:rsidRDefault="00DE64BD">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BA29FF" w:rsidRDefault="00BA29FF">
      <w:pPr>
        <w:pStyle w:val="03Schedule"/>
        <w:sectPr w:rsidR="00BA29FF">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bookmarkStart w:id="237" w:name="_Toc206921426"/>
    </w:p>
    <w:p w:rsidR="00BA29FF" w:rsidRDefault="00BA29FF">
      <w:pPr>
        <w:pStyle w:val="PageBreak"/>
      </w:pPr>
      <w:r>
        <w:br w:type="page"/>
      </w:r>
    </w:p>
    <w:p w:rsidR="00BA29FF" w:rsidRDefault="00BA29FF">
      <w:pPr>
        <w:pStyle w:val="Sched-Form"/>
      </w:pPr>
      <w:r>
        <w:rPr>
          <w:rStyle w:val="CharDivNo"/>
        </w:rPr>
        <w:lastRenderedPageBreak/>
        <w:t>Division 3.4.5</w:t>
      </w:r>
      <w:r>
        <w:tab/>
      </w:r>
      <w:r>
        <w:rPr>
          <w:rStyle w:val="CharDivText"/>
        </w:rPr>
        <w:t>Woden town centre</w:t>
      </w:r>
      <w:bookmarkEnd w:id="237"/>
      <w:r>
        <w:rPr>
          <w:rStyle w:val="CharDivText"/>
        </w:rPr>
        <w:t xml:space="preserve"> </w:t>
      </w:r>
    </w:p>
    <w:p w:rsidR="00BA29FF" w:rsidRDefault="00BA29FF"/>
    <w:p w:rsidR="00BA29FF" w:rsidRDefault="00DE64BD">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BA29FF" w:rsidRDefault="00BA29FF">
      <w:pPr>
        <w:pStyle w:val="03Schedule"/>
        <w:sectPr w:rsidR="00BA29FF">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bookmarkStart w:id="238" w:name="_Toc206921427"/>
    </w:p>
    <w:p w:rsidR="00BA29FF" w:rsidRDefault="00BA29FF">
      <w:pPr>
        <w:pStyle w:val="Sched-heading"/>
      </w:pPr>
      <w:r>
        <w:rPr>
          <w:rStyle w:val="CharChapNo"/>
        </w:rPr>
        <w:lastRenderedPageBreak/>
        <w:t>Schedule 4</w:t>
      </w:r>
      <w:r>
        <w:tab/>
      </w:r>
      <w:r>
        <w:rPr>
          <w:rStyle w:val="CharChapText"/>
        </w:rPr>
        <w:t>Prescribed territory plan instruments</w:t>
      </w:r>
      <w:bookmarkEnd w:id="238"/>
    </w:p>
    <w:p w:rsidR="00BA29FF" w:rsidRDefault="00BA29FF">
      <w:pPr>
        <w:pStyle w:val="ref"/>
        <w:spacing w:after="120"/>
      </w:pPr>
      <w:r>
        <w:t>(see s 401)</w:t>
      </w:r>
    </w:p>
    <w:p w:rsidR="00BA29FF" w:rsidRDefault="00BA29FF">
      <w:pPr>
        <w:pStyle w:val="Sched-Part"/>
      </w:pPr>
      <w:bookmarkStart w:id="239" w:name="_Toc206921428"/>
      <w:r>
        <w:rPr>
          <w:rStyle w:val="CharPartNo"/>
        </w:rPr>
        <w:t>Part 4.1</w:t>
      </w:r>
      <w:r>
        <w:tab/>
      </w:r>
      <w:r>
        <w:rPr>
          <w:rStyle w:val="CharPartText"/>
        </w:rPr>
        <w:t>Australian standards</w:t>
      </w:r>
      <w:bookmarkEnd w:id="239"/>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BA29FF" w:rsidRDefault="00BA29FF">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BA29FF" w:rsidRDefault="00BA29FF">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BA29FF" w:rsidRDefault="00BA29FF">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BA29FF" w:rsidRDefault="00BA29FF">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BA29FF" w:rsidRDefault="00BA29FF">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BA29FF" w:rsidRDefault="00BA29FF">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BA29FF" w:rsidRDefault="00BA29FF">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BA29FF" w:rsidRDefault="00BA29FF">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BA29FF" w:rsidRDefault="00BA29FF">
      <w:pPr>
        <w:pStyle w:val="PageBreak"/>
      </w:pPr>
      <w:r>
        <w:br w:type="page"/>
      </w:r>
    </w:p>
    <w:p w:rsidR="00BA29FF" w:rsidRDefault="00BA29FF">
      <w:pPr>
        <w:pStyle w:val="Sched-Part"/>
      </w:pPr>
      <w:bookmarkStart w:id="240" w:name="_Toc206921429"/>
      <w:r>
        <w:rPr>
          <w:rStyle w:val="CharPartNo"/>
        </w:rPr>
        <w:lastRenderedPageBreak/>
        <w:t>Part 4.2</w:t>
      </w:r>
      <w:r>
        <w:tab/>
      </w:r>
      <w:r>
        <w:rPr>
          <w:rStyle w:val="CharPartText"/>
        </w:rPr>
        <w:t>Computer modelling software</w:t>
      </w:r>
      <w:bookmarkEnd w:id="240"/>
    </w:p>
    <w:p w:rsidR="00BA29FF" w:rsidRDefault="00BA29FF">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BA29FF" w:rsidRDefault="00BA29FF">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BA29FF" w:rsidRDefault="00BA29FF">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BA29FF" w:rsidRDefault="00BA29FF">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BA29FF" w:rsidRDefault="00BA29FF">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BA29FF" w:rsidRDefault="00BA29FF">
      <w:pPr>
        <w:pStyle w:val="Amainbullet"/>
        <w:tabs>
          <w:tab w:val="left" w:pos="1500"/>
        </w:tabs>
      </w:pPr>
      <w:r>
        <w:rPr>
          <w:rFonts w:ascii="Symbol" w:hAnsi="Symbol"/>
          <w:sz w:val="20"/>
        </w:rPr>
        <w:t></w:t>
      </w:r>
      <w:r>
        <w:rPr>
          <w:rFonts w:ascii="Symbol" w:hAnsi="Symbol"/>
          <w:sz w:val="20"/>
        </w:rPr>
        <w:tab/>
      </w:r>
      <w:r>
        <w:rPr>
          <w:i/>
          <w:iCs/>
        </w:rPr>
        <w:t>RORB</w:t>
      </w:r>
      <w:r>
        <w:t>, Monash University</w:t>
      </w:r>
    </w:p>
    <w:p w:rsidR="00BA29FF" w:rsidRDefault="00BA29FF">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BA29FF" w:rsidRDefault="00BA29FF">
      <w:pPr>
        <w:pStyle w:val="Amainbullet"/>
        <w:tabs>
          <w:tab w:val="left" w:pos="1500"/>
        </w:tabs>
      </w:pPr>
      <w:r>
        <w:rPr>
          <w:rFonts w:ascii="Symbol" w:hAnsi="Symbol"/>
          <w:sz w:val="20"/>
        </w:rPr>
        <w:t></w:t>
      </w:r>
      <w:r>
        <w:rPr>
          <w:rFonts w:ascii="Symbol" w:hAnsi="Symbol"/>
          <w:sz w:val="20"/>
        </w:rPr>
        <w:tab/>
      </w:r>
      <w:r>
        <w:rPr>
          <w:i/>
          <w:iCs/>
        </w:rPr>
        <w:t>XP-AQUALM</w:t>
      </w:r>
      <w:r>
        <w:t>, XP Software</w:t>
      </w:r>
    </w:p>
    <w:p w:rsidR="00BA29FF" w:rsidRDefault="00BA29FF">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BA29FF" w:rsidRDefault="00BA29FF">
      <w:pPr>
        <w:pStyle w:val="PageBreak"/>
      </w:pPr>
      <w:r>
        <w:br w:type="page"/>
      </w:r>
    </w:p>
    <w:p w:rsidR="00BA29FF" w:rsidRDefault="00BA29FF">
      <w:pPr>
        <w:pStyle w:val="Sched-Part"/>
      </w:pPr>
      <w:bookmarkStart w:id="241" w:name="_Toc206921430"/>
      <w:r>
        <w:rPr>
          <w:rStyle w:val="CharPartNo"/>
        </w:rPr>
        <w:lastRenderedPageBreak/>
        <w:t>Part 4.3</w:t>
      </w:r>
      <w:r>
        <w:tab/>
      </w:r>
      <w:r>
        <w:rPr>
          <w:rStyle w:val="CharPartText"/>
        </w:rPr>
        <w:t>Other instruments</w:t>
      </w:r>
      <w:bookmarkEnd w:id="241"/>
    </w:p>
    <w:p w:rsidR="00BA29FF" w:rsidRDefault="00BA29FF">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BA29FF" w:rsidRDefault="00BA29FF">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BA29FF" w:rsidRDefault="00BA29FF">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BA29FF" w:rsidRDefault="00BA29FF">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BA29FF" w:rsidRDefault="00BA29FF">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BA29FF" w:rsidRDefault="00BA29FF">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BA29FF" w:rsidRDefault="00BA29FF">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BA29FF" w:rsidRDefault="00BA29FF">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BA29FF" w:rsidRDefault="00BA29FF">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BA29FF" w:rsidRDefault="00BA29FF">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BA29FF" w:rsidRDefault="00BA29FF">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BA29FF" w:rsidRDefault="00BA29FF">
      <w:pPr>
        <w:pStyle w:val="03Schedule"/>
        <w:sectPr w:rsidR="00BA29FF">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BA29FF" w:rsidRDefault="00BA29FF">
      <w:pPr>
        <w:pStyle w:val="Sched-heading"/>
      </w:pPr>
      <w:bookmarkStart w:id="242" w:name="_Toc206921431"/>
      <w:r>
        <w:rPr>
          <w:rStyle w:val="CharChapNo"/>
        </w:rPr>
        <w:lastRenderedPageBreak/>
        <w:t>Schedule 20</w:t>
      </w:r>
      <w:r>
        <w:tab/>
      </w:r>
      <w:r>
        <w:rPr>
          <w:rStyle w:val="CharChapText"/>
        </w:rPr>
        <w:t>Modification of Act</w:t>
      </w:r>
      <w:bookmarkEnd w:id="242"/>
    </w:p>
    <w:p w:rsidR="00BA29FF" w:rsidRDefault="00BA29FF">
      <w:pPr>
        <w:pStyle w:val="Placeholder"/>
      </w:pPr>
      <w:r>
        <w:rPr>
          <w:rStyle w:val="CharPartNo"/>
        </w:rPr>
        <w:t xml:space="preserve">  </w:t>
      </w:r>
      <w:r>
        <w:rPr>
          <w:rStyle w:val="CharPartText"/>
        </w:rPr>
        <w:t xml:space="preserve">  </w:t>
      </w:r>
    </w:p>
    <w:p w:rsidR="00BA29FF" w:rsidRDefault="00BA29FF">
      <w:pPr>
        <w:pStyle w:val="ref"/>
      </w:pPr>
      <w:r>
        <w:t>(see s 410)</w:t>
      </w:r>
    </w:p>
    <w:p w:rsidR="00BA29FF" w:rsidRDefault="00BA29FF">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 to 429F</w:t>
      </w:r>
    </w:p>
    <w:p w:rsidR="00BA29FF" w:rsidRDefault="00BA29FF">
      <w:pPr>
        <w:pStyle w:val="direction"/>
        <w:keepNext/>
      </w:pPr>
      <w:r>
        <w:t>insert</w:t>
      </w:r>
    </w:p>
    <w:p w:rsidR="00BA29FF" w:rsidRDefault="00BA29FF">
      <w:pPr>
        <w:pStyle w:val="IH5Sec"/>
      </w:pPr>
      <w:r>
        <w:t>429A</w:t>
      </w:r>
      <w:r>
        <w:tab/>
        <w:t>Modification—s 197 (Applications to amend development approvals)</w:t>
      </w:r>
    </w:p>
    <w:p w:rsidR="00BA29FF" w:rsidRDefault="00BA29FF">
      <w:pPr>
        <w:pStyle w:val="Amainreturn"/>
        <w:keepNext/>
      </w:pPr>
      <w:r>
        <w:t>Section 197 (1) applies as if it read as follows:</w:t>
      </w:r>
    </w:p>
    <w:p w:rsidR="00BA29FF" w:rsidRDefault="00BA29FF">
      <w:pPr>
        <w:pStyle w:val="IMain"/>
        <w:keepNext/>
      </w:pPr>
      <w:r>
        <w:tab/>
        <w:t>‘(1)</w:t>
      </w:r>
      <w:r>
        <w:tab/>
        <w:t>This section applies if—</w:t>
      </w:r>
    </w:p>
    <w:p w:rsidR="00BA29FF" w:rsidRDefault="00BA29FF">
      <w:pPr>
        <w:pStyle w:val="Ipara"/>
      </w:pPr>
      <w:r>
        <w:tab/>
        <w:t>(a)</w:t>
      </w:r>
      <w:r>
        <w:tab/>
        <w:t xml:space="preserve">the planning and land authority has given development approval for a development proposal (the </w:t>
      </w:r>
      <w:r>
        <w:rPr>
          <w:b/>
          <w:bCs/>
          <w:i/>
          <w:iCs/>
        </w:rPr>
        <w:t>original development proposal</w:t>
      </w:r>
      <w:r>
        <w:t>); and</w:t>
      </w:r>
    </w:p>
    <w:p w:rsidR="00BA29FF" w:rsidRDefault="00BA29FF">
      <w:pPr>
        <w:pStyle w:val="Ipara"/>
      </w:pPr>
      <w:r>
        <w:tab/>
        <w:t>(b)</w:t>
      </w:r>
      <w:r>
        <w:tab/>
        <w:t xml:space="preserve">the development proposal changes (the </w:t>
      </w:r>
      <w:r>
        <w:rPr>
          <w:b/>
          <w:bCs/>
          <w:i/>
          <w:iCs/>
        </w:rPr>
        <w:t>changed development proposal</w:t>
      </w:r>
      <w:r>
        <w:t>) so that it is not covered by the approval; and</w:t>
      </w:r>
    </w:p>
    <w:p w:rsidR="00BA29FF" w:rsidRDefault="00BA29FF">
      <w:pPr>
        <w:pStyle w:val="Ipara"/>
      </w:pPr>
      <w:r>
        <w:tab/>
        <w:t>(c)</w:t>
      </w:r>
      <w:r>
        <w:tab/>
        <w:t>section 198C (When development approvals do not require amendment) does not apply to the changed development proposal.’</w:t>
      </w:r>
    </w:p>
    <w:p w:rsidR="00BA29FF" w:rsidRDefault="00BA29FF">
      <w:pPr>
        <w:pStyle w:val="IH5Sec"/>
      </w:pPr>
      <w:r>
        <w:t>429B</w:t>
      </w:r>
      <w:r>
        <w:tab/>
        <w:t>Modification—s 198 (Deciding applications to amend development approvals)</w:t>
      </w:r>
    </w:p>
    <w:p w:rsidR="00BA29FF" w:rsidRDefault="00BA29FF">
      <w:pPr>
        <w:pStyle w:val="Amainreturn"/>
        <w:keepNext/>
      </w:pPr>
      <w:r>
        <w:t>Section 198 (4) applies as if it read as follows:</w:t>
      </w:r>
    </w:p>
    <w:p w:rsidR="00BA29FF" w:rsidRDefault="00BA29FF">
      <w:pPr>
        <w:pStyle w:val="I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BA29FF" w:rsidRDefault="00BA29FF">
      <w:pPr>
        <w:pStyle w:val="IH5Sec"/>
      </w:pPr>
      <w:r>
        <w:lastRenderedPageBreak/>
        <w:t>429C</w:t>
      </w:r>
      <w:r>
        <w:tab/>
        <w:t>Modification—div 7.3.11 (Correction and amendment of development approvals)</w:t>
      </w:r>
    </w:p>
    <w:p w:rsidR="00BA29FF" w:rsidRDefault="00BA29FF">
      <w:pPr>
        <w:pStyle w:val="direction"/>
        <w:keepNext/>
        <w:rPr>
          <w:i w:val="0"/>
          <w:iCs/>
        </w:rPr>
      </w:pPr>
      <w:r>
        <w:rPr>
          <w:i w:val="0"/>
          <w:iCs/>
        </w:rPr>
        <w:t>Division 7.3.11 applies as if the following sections were inserted:</w:t>
      </w:r>
    </w:p>
    <w:p w:rsidR="00BA29FF" w:rsidRDefault="00BA29FF">
      <w:pPr>
        <w:pStyle w:val="IH5Sec"/>
      </w:pPr>
      <w:r>
        <w:rPr>
          <w:b w:val="0"/>
          <w:bCs/>
        </w:rPr>
        <w:t>‘</w:t>
      </w:r>
      <w:r>
        <w:t>198A</w:t>
      </w:r>
      <w:r>
        <w:tab/>
        <w:t>Exception to referral requirement under s 198 (1) (b)</w:t>
      </w:r>
    </w:p>
    <w:p w:rsidR="00BA29FF" w:rsidRDefault="00BA29FF">
      <w:pPr>
        <w:pStyle w:val="IMain"/>
      </w:pPr>
      <w:r>
        <w:tab/>
        <w:t>(1)</w:t>
      </w:r>
      <w:r>
        <w:tab/>
        <w:t>This section applies if—</w:t>
      </w:r>
    </w:p>
    <w:p w:rsidR="00BA29FF" w:rsidRDefault="00BA29FF">
      <w:pPr>
        <w:pStyle w:val="Ipara"/>
      </w:pPr>
      <w:r>
        <w:tab/>
        <w:t>(a)</w:t>
      </w:r>
      <w:r>
        <w:tab/>
        <w:t>a development application was referred to an entity under division 7.3.3 (Referral of development applications); and</w:t>
      </w:r>
    </w:p>
    <w:p w:rsidR="00BA29FF" w:rsidRDefault="00BA29FF">
      <w:pPr>
        <w:pStyle w:val="Ipara"/>
      </w:pPr>
      <w:r>
        <w:tab/>
        <w:t>(b)</w:t>
      </w:r>
      <w:r>
        <w:tab/>
        <w:t>an application for amendment of the development approval to which the development application related must be referred to the entity under section 198 (1) (b); and</w:t>
      </w:r>
    </w:p>
    <w:p w:rsidR="00BA29FF" w:rsidRDefault="00BA29FF">
      <w:pPr>
        <w:pStyle w:val="aNotepar"/>
      </w:pPr>
      <w:r>
        <w:rPr>
          <w:i/>
        </w:rPr>
        <w:t>Note</w:t>
      </w:r>
      <w:r>
        <w:rPr>
          <w:i/>
        </w:rPr>
        <w:tab/>
      </w:r>
      <w:r>
        <w:t>For the referral requirement, see s 145.</w:t>
      </w:r>
    </w:p>
    <w:p w:rsidR="00BA29FF" w:rsidRDefault="00BA29FF">
      <w:pPr>
        <w:pStyle w:val="Ipara"/>
      </w:pPr>
      <w:r>
        <w:tab/>
        <w:t>(c)</w:t>
      </w:r>
      <w:r>
        <w:tab/>
        <w:t>the planning and land authority is satisfied that the application for amendment does not affect any part of the development approval in relation to which the entity made a comment.</w:t>
      </w:r>
    </w:p>
    <w:p w:rsidR="00BA29FF" w:rsidRDefault="00BA29FF">
      <w:pPr>
        <w:pStyle w:val="IMain"/>
      </w:pPr>
      <w:r>
        <w:tab/>
        <w:t>(2)</w:t>
      </w:r>
      <w:r>
        <w:tab/>
        <w:t>Despite section 198 (1) (b), the planning and land authority need not refer the application for amendment to the entity.</w:t>
      </w:r>
    </w:p>
    <w:p w:rsidR="00BA29FF" w:rsidRDefault="00BA29FF">
      <w:pPr>
        <w:pStyle w:val="IH5Sec"/>
      </w:pPr>
      <w:r>
        <w:t>198B</w:t>
      </w:r>
      <w:r>
        <w:tab/>
        <w:t>Exception to notification requirement under s 198 (1) (b)</w:t>
      </w:r>
    </w:p>
    <w:p w:rsidR="00BA29FF" w:rsidRDefault="00BA29FF">
      <w:pPr>
        <w:pStyle w:val="Amainreturn"/>
      </w:pPr>
      <w:r>
        <w:t>Despite section 198 (1) (b), the planning and land authority may waive the requirement to publicly notify an application for amendment of a development approval if satisfied that—</w:t>
      </w:r>
    </w:p>
    <w:p w:rsidR="00BA29FF" w:rsidRDefault="00BA29FF">
      <w:pPr>
        <w:pStyle w:val="Ipara"/>
      </w:pPr>
      <w:r>
        <w:tab/>
        <w:t>(a)</w:t>
      </w:r>
      <w:r>
        <w:tab/>
        <w:t>no-one other than the applicant will be adversely affected by the amendment; and</w:t>
      </w:r>
    </w:p>
    <w:p w:rsidR="00BA29FF" w:rsidRDefault="00BA29FF">
      <w:pPr>
        <w:pStyle w:val="Ipara"/>
        <w:keepNext/>
      </w:pPr>
      <w:r>
        <w:tab/>
        <w:t>(b)</w:t>
      </w:r>
      <w:r>
        <w:tab/>
        <w:t>the environmental impact caused by the amendment will do no more than minimally increase the environmental impact of the development.</w:t>
      </w:r>
    </w:p>
    <w:p w:rsidR="00BA29FF" w:rsidRDefault="00BA29FF">
      <w:pPr>
        <w:pStyle w:val="aNote"/>
        <w:rPr>
          <w:iCs/>
        </w:rPr>
      </w:pPr>
      <w:r>
        <w:rPr>
          <w:i/>
        </w:rPr>
        <w:t>Note</w:t>
      </w:r>
      <w:r>
        <w:rPr>
          <w:i/>
        </w:rPr>
        <w:tab/>
      </w:r>
      <w:r>
        <w:rPr>
          <w:iCs/>
        </w:rPr>
        <w:t>For the notification requirement, see s 146.</w:t>
      </w:r>
    </w:p>
    <w:p w:rsidR="00BA29FF" w:rsidRDefault="00BA29FF">
      <w:pPr>
        <w:pStyle w:val="IH5Sec"/>
      </w:pPr>
      <w:r>
        <w:lastRenderedPageBreak/>
        <w:t>198C</w:t>
      </w:r>
      <w:r>
        <w:tab/>
        <w:t>When development approvals do not require amendment</w:t>
      </w:r>
    </w:p>
    <w:p w:rsidR="00BA29FF" w:rsidRDefault="00BA29FF">
      <w:pPr>
        <w:pStyle w:val="IMain"/>
      </w:pPr>
      <w:r>
        <w:tab/>
        <w:t>(1)</w:t>
      </w:r>
      <w:r>
        <w:tab/>
        <w:t>This section applies if—</w:t>
      </w:r>
    </w:p>
    <w:p w:rsidR="00BA29FF" w:rsidRDefault="00BA29FF">
      <w:pPr>
        <w:pStyle w:val="Ipara"/>
      </w:pPr>
      <w:r>
        <w:tab/>
        <w:t>(a)</w:t>
      </w:r>
      <w:r>
        <w:tab/>
        <w:t>the planning and land authority has given development approval for a development application; and</w:t>
      </w:r>
    </w:p>
    <w:p w:rsidR="00BA29FF" w:rsidRDefault="00BA29FF">
      <w:pPr>
        <w:pStyle w:val="Ipara"/>
      </w:pPr>
      <w:r>
        <w:tab/>
        <w:t>(b)</w:t>
      </w:r>
      <w:r>
        <w:tab/>
        <w:t>the development is changed so that it is not covered by the approval.</w:t>
      </w:r>
    </w:p>
    <w:p w:rsidR="00BA29FF" w:rsidRDefault="00BA29FF">
      <w:pPr>
        <w:pStyle w:val="IMain"/>
        <w:keepNext/>
      </w:pPr>
      <w:r>
        <w:tab/>
        <w:t>(2)</w:t>
      </w:r>
      <w:r>
        <w:tab/>
        <w:t>A regulation may prescribe the circumstances in which a development in accordance with the changed development is taken to be in accordance with the development approval.</w:t>
      </w:r>
    </w:p>
    <w:p w:rsidR="00BA29FF" w:rsidRDefault="00BA29FF">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BA29FF" w:rsidRDefault="00BA29FF">
      <w:pPr>
        <w:pStyle w:val="aNote"/>
      </w:pPr>
      <w:r>
        <w:rPr>
          <w:i/>
        </w:rPr>
        <w:t>Note 2</w:t>
      </w:r>
      <w:r>
        <w:rPr>
          <w:i/>
        </w:rPr>
        <w:tab/>
      </w:r>
      <w:r>
        <w:t>The development must also comply with the lease for the land on which it is carried out.’</w:t>
      </w:r>
    </w:p>
    <w:p w:rsidR="00BA29FF" w:rsidRDefault="00BA29FF">
      <w:pPr>
        <w:pStyle w:val="IH5Sec"/>
      </w:pPr>
      <w:r>
        <w:t>429D</w:t>
      </w:r>
      <w:r>
        <w:tab/>
        <w:t>Modification—s 203 (Development other than use lawful when begun)</w:t>
      </w:r>
    </w:p>
    <w:p w:rsidR="00BA29FF" w:rsidRDefault="00BA29FF">
      <w:pPr>
        <w:pStyle w:val="Amainreturn"/>
        <w:keepNext/>
      </w:pPr>
      <w:r>
        <w:t>Section 203 (1) (c) applies as if it read as follows:</w:t>
      </w:r>
    </w:p>
    <w:p w:rsidR="00BA29FF" w:rsidRDefault="00BA29FF">
      <w:pPr>
        <w:pStyle w:val="Ipara"/>
      </w:pPr>
      <w:r>
        <w:tab/>
        <w:t>‘(c)</w:t>
      </w:r>
      <w:r>
        <w:tab/>
        <w:t>after the person undertakes, or begins, the development, the development stops being exempt because of an amendment of this Act.</w:t>
      </w:r>
    </w:p>
    <w:p w:rsidR="00BA29FF" w:rsidRDefault="00BA29FF">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BA29FF" w:rsidRDefault="00BA29FF">
      <w:pPr>
        <w:pStyle w:val="IH5Sec"/>
      </w:pPr>
      <w:r>
        <w:t>429E</w:t>
      </w:r>
      <w:r>
        <w:tab/>
        <w:t>Modification—s 204 (Use as development lawful when begun)</w:t>
      </w:r>
    </w:p>
    <w:p w:rsidR="00BA29FF" w:rsidRDefault="00BA29FF">
      <w:pPr>
        <w:pStyle w:val="Amainreturn"/>
        <w:keepNext/>
      </w:pPr>
      <w:r>
        <w:t>Section 204 (1) (c) applies as if it read as follows:</w:t>
      </w:r>
    </w:p>
    <w:p w:rsidR="00BA29FF" w:rsidRDefault="00BA29FF">
      <w:pPr>
        <w:pStyle w:val="Ipara"/>
        <w:keepNext/>
      </w:pPr>
      <w:r>
        <w:tab/>
        <w:t>‘(c)</w:t>
      </w:r>
      <w:r>
        <w:tab/>
        <w:t>the use stops being exempt because of an amendment of this Act.</w:t>
      </w:r>
    </w:p>
    <w:p w:rsidR="00BA29FF" w:rsidRDefault="00BA29FF">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BA29FF" w:rsidRDefault="00BA29FF">
      <w:pPr>
        <w:pStyle w:val="IH5Sec"/>
      </w:pPr>
      <w:r>
        <w:lastRenderedPageBreak/>
        <w:t>429F</w:t>
      </w:r>
      <w:r>
        <w:tab/>
        <w:t>Modification—s 298A (Application for extension of time to commence or complete building and development)</w:t>
      </w:r>
    </w:p>
    <w:p w:rsidR="00BA29FF" w:rsidRDefault="00BA29FF">
      <w:pPr>
        <w:pStyle w:val="Amainreturn"/>
        <w:keepNext/>
      </w:pPr>
      <w:r>
        <w:t xml:space="preserve">Section 298A (5), definition of </w:t>
      </w:r>
      <w:r>
        <w:rPr>
          <w:b/>
          <w:bCs/>
          <w:i/>
          <w:iCs/>
        </w:rPr>
        <w:t>D</w:t>
      </w:r>
      <w:r>
        <w:t xml:space="preserve"> applies as if it and the note read as follows:</w:t>
      </w:r>
    </w:p>
    <w:p w:rsidR="00BA29FF" w:rsidRDefault="00BA29FF">
      <w:pPr>
        <w:pStyle w:val="aDef"/>
      </w:pPr>
      <w:r>
        <w:rPr>
          <w:bCs/>
          <w:iCs/>
        </w:rPr>
        <w:t>‘</w:t>
      </w:r>
      <w:r>
        <w:rPr>
          <w:b/>
          <w:i/>
        </w:rPr>
        <w:t>D</w:t>
      </w:r>
      <w:r>
        <w:t xml:space="preserve"> means—</w:t>
      </w:r>
    </w:p>
    <w:p w:rsidR="00BA29FF" w:rsidRDefault="00BA29FF">
      <w:pPr>
        <w:pStyle w:val="Idefpara"/>
      </w:pPr>
      <w:r>
        <w:tab/>
        <w:t>(a)</w:t>
      </w:r>
      <w:r>
        <w:tab/>
        <w:t>the number of days for which the extension is sought; or</w:t>
      </w:r>
    </w:p>
    <w:p w:rsidR="00BA29FF" w:rsidRDefault="00BA29FF">
      <w:pPr>
        <w:pStyle w:val="Idefpara"/>
      </w:pPr>
      <w:r>
        <w:tab/>
        <w:t>(b)</w:t>
      </w:r>
      <w:r>
        <w:tab/>
        <w:t>if more than 1 extension for the lease is sought in the application—the highest of the number of days for which the extensions are sought.</w:t>
      </w:r>
    </w:p>
    <w:p w:rsidR="00BA29FF" w:rsidRDefault="00BA29FF">
      <w:pPr>
        <w:pStyle w:val="aExamHdgss"/>
      </w:pPr>
      <w:r>
        <w:t>Example—par (b)</w:t>
      </w:r>
    </w:p>
    <w:p w:rsidR="00BA29FF" w:rsidRDefault="00BA29FF">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BA29FF" w:rsidRDefault="00BA29FF">
      <w:pPr>
        <w:pStyle w:val="aNote"/>
      </w:pPr>
      <w:r>
        <w:rPr>
          <w:i/>
        </w:rPr>
        <w:t>Note 1</w:t>
      </w:r>
      <w:r>
        <w:rPr>
          <w:i/>
        </w:rPr>
        <w:tab/>
      </w:r>
      <w:r>
        <w:t xml:space="preserve">The required fee may be waived under the </w:t>
      </w:r>
      <w:r>
        <w:rPr>
          <w:i/>
          <w:iCs/>
        </w:rPr>
        <w:t>Financial Management Act 1996</w:t>
      </w:r>
      <w:r>
        <w:t>, s 131.</w:t>
      </w:r>
    </w:p>
    <w:p w:rsidR="00BA29FF" w:rsidRDefault="00BA29FF">
      <w:pPr>
        <w:pStyle w:val="aNote"/>
      </w:pPr>
      <w:r>
        <w:rPr>
          <w:i/>
        </w:rPr>
        <w:t>Note 2</w:t>
      </w:r>
      <w:r>
        <w:rPr>
          <w:i/>
        </w:rPr>
        <w:tab/>
      </w:r>
      <w:r>
        <w:t>An example is part of the Act, is not exhaustive and may extend, but does not limit, the meaning of the provision in which it appears (see Legislation Act, s 126 and s 132).’</w:t>
      </w:r>
    </w:p>
    <w:p w:rsidR="00BA29FF" w:rsidRDefault="00BA29FF">
      <w:pPr>
        <w:pStyle w:val="IshadedSchClause"/>
      </w:pPr>
      <w:r>
        <w:t>[</w:t>
      </w:r>
      <w:r>
        <w:rPr>
          <w:rStyle w:val="CharSectNo"/>
        </w:rPr>
        <w:t>20.1A</w:t>
      </w:r>
      <w:r>
        <w:t>]</w:t>
      </w:r>
      <w:r>
        <w:tab/>
        <w:t>Section 431 (2) (a) and (b)</w:t>
      </w:r>
    </w:p>
    <w:p w:rsidR="00BA29FF" w:rsidRDefault="00BA29FF">
      <w:pPr>
        <w:pStyle w:val="direction"/>
      </w:pPr>
      <w:r>
        <w:t>substitute</w:t>
      </w:r>
    </w:p>
    <w:p w:rsidR="00BA29FF" w:rsidRDefault="00BA29FF">
      <w:pPr>
        <w:pStyle w:val="Ipara"/>
      </w:pPr>
      <w:r>
        <w:tab/>
        <w:t>(a)</w:t>
      </w:r>
      <w:r>
        <w:tab/>
        <w:t>section 446 (Power to make lease and development conditions);</w:t>
      </w:r>
    </w:p>
    <w:p w:rsidR="00BA29FF" w:rsidRDefault="00BA29FF">
      <w:pPr>
        <w:pStyle w:val="Ipara"/>
      </w:pPr>
      <w:r>
        <w:tab/>
        <w:t>(b)</w:t>
      </w:r>
      <w:r>
        <w:tab/>
        <w:t>section 446A (Transitional—application for development approval if lease and development condition);</w:t>
      </w:r>
    </w:p>
    <w:p w:rsidR="00BA29FF" w:rsidRDefault="00BA29FF">
      <w:pPr>
        <w:pStyle w:val="IshadedSchClause"/>
        <w:ind w:left="1122" w:hanging="1122"/>
      </w:pPr>
      <w:r>
        <w:t>[</w:t>
      </w:r>
      <w:r>
        <w:rPr>
          <w:rStyle w:val="CharSectNo"/>
        </w:rPr>
        <w:t>20.2</w:t>
      </w:r>
      <w:r>
        <w:t>]</w:t>
      </w:r>
      <w:r>
        <w:tab/>
        <w:t>Section 442 (1)</w:t>
      </w:r>
    </w:p>
    <w:p w:rsidR="00BA29FF" w:rsidRDefault="00BA29FF">
      <w:pPr>
        <w:pStyle w:val="direction"/>
        <w:keepNext/>
      </w:pPr>
      <w:r>
        <w:t>substitute</w:t>
      </w:r>
    </w:p>
    <w:p w:rsidR="00BA29FF" w:rsidRDefault="00BA29FF">
      <w:pPr>
        <w:pStyle w:val="IMain"/>
        <w:keepNext/>
      </w:pPr>
      <w:r>
        <w:tab/>
        <w:t>(1)</w:t>
      </w:r>
      <w:r>
        <w:tab/>
        <w:t>This section applies if—</w:t>
      </w:r>
    </w:p>
    <w:p w:rsidR="00BA29FF" w:rsidRDefault="00BA29FF">
      <w:pPr>
        <w:pStyle w:val="Ipara"/>
      </w:pPr>
      <w:r>
        <w:tab/>
        <w:t>(a)</w:t>
      </w:r>
      <w:r>
        <w:tab/>
        <w:t>before commencement day, a person applied for—</w:t>
      </w:r>
    </w:p>
    <w:p w:rsidR="00BA29FF" w:rsidRDefault="00BA29FF">
      <w:pPr>
        <w:pStyle w:val="Isubpara"/>
      </w:pPr>
      <w:r>
        <w:tab/>
        <w:t>(i)</w:t>
      </w:r>
      <w:r>
        <w:tab/>
        <w:t>an approval under the repealed Act, section 226 (Application to undertake development); or</w:t>
      </w:r>
    </w:p>
    <w:p w:rsidR="00BA29FF" w:rsidRDefault="00BA29FF">
      <w:pPr>
        <w:pStyle w:val="Isubpara"/>
      </w:pPr>
      <w:r>
        <w:lastRenderedPageBreak/>
        <w:tab/>
        <w:t>(ii)</w:t>
      </w:r>
      <w:r>
        <w:tab/>
        <w:t>an amendment of an approval under the repealed Act, section 247 (Minor amendments); and</w:t>
      </w:r>
    </w:p>
    <w:p w:rsidR="00BA29FF" w:rsidRDefault="00BA29FF">
      <w:pPr>
        <w:pStyle w:val="Ipara"/>
      </w:pPr>
      <w:r>
        <w:tab/>
        <w:t>(b)</w:t>
      </w:r>
      <w:r>
        <w:tab/>
        <w:t>immediately before commencement day, the planning and land authority had not finally decided the application.</w:t>
      </w:r>
    </w:p>
    <w:p w:rsidR="00BA29FF" w:rsidRDefault="00BA29FF">
      <w:pPr>
        <w:pStyle w:val="IshadedSchClause"/>
        <w:ind w:left="1122" w:hanging="1122"/>
      </w:pPr>
      <w:r>
        <w:t>[</w:t>
      </w:r>
      <w:r>
        <w:rPr>
          <w:rStyle w:val="CharSectNo"/>
        </w:rPr>
        <w:t>20.3</w:t>
      </w:r>
      <w:r>
        <w:t>]</w:t>
      </w:r>
      <w:r>
        <w:tab/>
        <w:t>New section 442 (4)</w:t>
      </w:r>
    </w:p>
    <w:p w:rsidR="00BA29FF" w:rsidRDefault="00BA29FF">
      <w:pPr>
        <w:pStyle w:val="direction"/>
        <w:keepNext/>
      </w:pPr>
      <w:r>
        <w:t>insert</w:t>
      </w:r>
    </w:p>
    <w:p w:rsidR="00BA29FF" w:rsidRDefault="00BA29FF">
      <w:pPr>
        <w:pStyle w:val="IMain"/>
        <w:keepNext/>
      </w:pPr>
      <w:r>
        <w:tab/>
        <w:t>(4)</w:t>
      </w:r>
      <w:r>
        <w:tab/>
        <w:t>In this section:</w:t>
      </w:r>
    </w:p>
    <w:p w:rsidR="00BA29FF" w:rsidRDefault="00BA29FF">
      <w:pPr>
        <w:pStyle w:val="aDef"/>
      </w:pPr>
      <w:r>
        <w:rPr>
          <w:b/>
          <w:i/>
        </w:rPr>
        <w:t>finally decided</w:t>
      </w:r>
      <w:r>
        <w:t xml:space="preserve">—an application for approval under the repealed Act, section 226 is </w:t>
      </w:r>
      <w:r>
        <w:rPr>
          <w:b/>
          <w:i/>
        </w:rPr>
        <w:t>finally decided</w:t>
      </w:r>
      <w:r>
        <w:t xml:space="preserve"> if—</w:t>
      </w:r>
    </w:p>
    <w:p w:rsidR="00BA29FF" w:rsidRDefault="00BA29FF">
      <w:pPr>
        <w:pStyle w:val="I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BA29FF" w:rsidRDefault="00BA29FF">
      <w:pPr>
        <w:pStyle w:val="Idefpara"/>
      </w:pPr>
      <w:r>
        <w:tab/>
        <w:t>(b)</w:t>
      </w:r>
      <w:r>
        <w:tab/>
        <w:t>if an application under the repealed Act, section 246 for reconsideration of the planning and land authority’s decision on the application for approval is made within the reconsideration period—</w:t>
      </w:r>
    </w:p>
    <w:p w:rsidR="00BA29FF" w:rsidRDefault="00BA29FF">
      <w:pPr>
        <w:pStyle w:val="Isubpara"/>
      </w:pPr>
      <w:r>
        <w:tab/>
        <w:t>(i)</w:t>
      </w:r>
      <w:r>
        <w:tab/>
        <w:t>the authority has made a decision on the application for reconsideration under the repealed Act, section 246A (1) (b); or</w:t>
      </w:r>
    </w:p>
    <w:p w:rsidR="00BA29FF" w:rsidRDefault="00BA29FF">
      <w:pPr>
        <w:pStyle w:val="Isubpara"/>
      </w:pPr>
      <w:r>
        <w:tab/>
        <w:t>(ii)</w:t>
      </w:r>
      <w:r>
        <w:tab/>
        <w:t>the authority is taken to have confirmed the original decision under the repealed Act, section 246B.</w:t>
      </w:r>
    </w:p>
    <w:p w:rsidR="00BA29FF" w:rsidRDefault="00BA29FF">
      <w:pPr>
        <w:pStyle w:val="aDef"/>
      </w:pPr>
      <w:r>
        <w:rPr>
          <w:b/>
          <w:i/>
        </w:rPr>
        <w:t>reconsideration period</w:t>
      </w:r>
      <w:r>
        <w:t xml:space="preserve"> means the period within which an application must be made under the repealed Act, section 246 (3).</w:t>
      </w:r>
    </w:p>
    <w:p w:rsidR="00BA29FF" w:rsidRDefault="00BA29FF">
      <w:pPr>
        <w:pStyle w:val="IshadedSchClause"/>
      </w:pPr>
      <w:r>
        <w:t>[</w:t>
      </w:r>
      <w:r>
        <w:rPr>
          <w:rStyle w:val="CharSectNo"/>
        </w:rPr>
        <w:t>20.3A</w:t>
      </w:r>
      <w:r>
        <w:t>]</w:t>
      </w:r>
      <w:r>
        <w:tab/>
        <w:t>New section 442C</w:t>
      </w:r>
    </w:p>
    <w:p w:rsidR="00BA29FF" w:rsidRDefault="00BA29FF">
      <w:pPr>
        <w:pStyle w:val="direction"/>
      </w:pPr>
      <w:r>
        <w:t>insert</w:t>
      </w:r>
    </w:p>
    <w:p w:rsidR="00BA29FF" w:rsidRDefault="00BA29FF">
      <w:pPr>
        <w:pStyle w:val="IH5Sec"/>
      </w:pPr>
      <w:r>
        <w:lastRenderedPageBreak/>
        <w:t>442C</w:t>
      </w:r>
      <w:r>
        <w:tab/>
        <w:t>Transitional—development application lodged on or after commencement day for estate development plan given before commencement day</w:t>
      </w:r>
    </w:p>
    <w:p w:rsidR="00BA29FF" w:rsidRDefault="00BA29FF">
      <w:pPr>
        <w:pStyle w:val="IMain"/>
      </w:pPr>
      <w:r>
        <w:tab/>
        <w:t>(1)</w:t>
      </w:r>
      <w:r>
        <w:tab/>
        <w:t>This section applies to a development application if—</w:t>
      </w:r>
    </w:p>
    <w:p w:rsidR="00BA29FF" w:rsidRDefault="00BA29FF">
      <w:pPr>
        <w:pStyle w:val="Ipara"/>
      </w:pPr>
      <w:r>
        <w:tab/>
        <w:t>(a)</w:t>
      </w:r>
      <w:r>
        <w:tab/>
        <w:t>the application is lodged on or after the commencement day but not later than 6 months after the commencement day; and</w:t>
      </w:r>
    </w:p>
    <w:p w:rsidR="00BA29FF" w:rsidRDefault="00BA29FF">
      <w:pPr>
        <w:pStyle w:val="Ipara"/>
      </w:pPr>
      <w:r>
        <w:tab/>
        <w:t>(b)</w:t>
      </w:r>
      <w:r>
        <w:tab/>
        <w:t>the application relates to, or incorporates, a document that the planning and development authority is satisfied is an estate development plan; and</w:t>
      </w:r>
    </w:p>
    <w:p w:rsidR="00BA29FF" w:rsidRDefault="00BA29FF">
      <w:pPr>
        <w:pStyle w:val="aNotepar"/>
      </w:pPr>
      <w:r>
        <w:rPr>
          <w:i/>
        </w:rPr>
        <w:t>Note</w:t>
      </w:r>
      <w:r>
        <w:rPr>
          <w:i/>
        </w:rPr>
        <w:tab/>
      </w:r>
      <w:r>
        <w:t>For considerations for when something is an estate development plan, see s (5).</w:t>
      </w:r>
    </w:p>
    <w:p w:rsidR="00BA29FF" w:rsidRDefault="00BA29FF">
      <w:pPr>
        <w:pStyle w:val="Ipara"/>
        <w:keepLines/>
      </w:pPr>
      <w:r>
        <w:tab/>
        <w:t>(c)</w:t>
      </w:r>
      <w:r>
        <w:tab/>
        <w:t>the estate development plan was given to the planning and land authority before the commencement day for consideration on the basis that the plan might form the basis of a development application.</w:t>
      </w:r>
    </w:p>
    <w:p w:rsidR="00BA29FF" w:rsidRDefault="00BA29FF">
      <w:pPr>
        <w:pStyle w:val="IMain"/>
      </w:pPr>
      <w:r>
        <w:tab/>
        <w:t>(2)</w:t>
      </w:r>
      <w:r>
        <w:tab/>
        <w:t>The development application may be made, and decided, in accordance with the repealed Act (including the territory plan and any other instruments under the repealed Act) as if that Act had not been repealed.</w:t>
      </w:r>
    </w:p>
    <w:p w:rsidR="00BA29FF" w:rsidRDefault="00BA29FF">
      <w:pPr>
        <w:pStyle w:val="IMain"/>
        <w:keepNext/>
      </w:pPr>
      <w:r>
        <w:tab/>
        <w:t>(3)</w:t>
      </w:r>
      <w:r>
        <w:tab/>
        <w:t>If the development application is approved, the approval—</w:t>
      </w:r>
    </w:p>
    <w:p w:rsidR="00BA29FF" w:rsidRDefault="00BA29FF">
      <w:pPr>
        <w:pStyle w:val="Ipara"/>
      </w:pPr>
      <w:r>
        <w:tab/>
        <w:t>(a)</w:t>
      </w:r>
      <w:r>
        <w:tab/>
        <w:t>is taken to be a development approval under this Act (including for section 96) unless otherwise provided by subsection (4); and</w:t>
      </w:r>
    </w:p>
    <w:p w:rsidR="00BA29FF" w:rsidRDefault="00BA29FF">
      <w:pPr>
        <w:pStyle w:val="Ipara"/>
      </w:pPr>
      <w:r>
        <w:tab/>
        <w:t>(b)</w:t>
      </w:r>
      <w:r>
        <w:tab/>
        <w:t>unless extended under this Act, continues in force until the time when it would have ended under the repealed Act; and</w:t>
      </w:r>
    </w:p>
    <w:p w:rsidR="00BA29FF" w:rsidRDefault="00BA29FF">
      <w:pPr>
        <w:pStyle w:val="Ipara"/>
      </w:pPr>
      <w:r>
        <w:tab/>
        <w:t>(c)</w:t>
      </w:r>
      <w:r>
        <w:tab/>
        <w:t>is taken to relate to a proposal in the merit track for section 198 (2) (Deciding applications to amend development approvals).</w:t>
      </w:r>
    </w:p>
    <w:p w:rsidR="00BA29FF" w:rsidRDefault="00BA29FF">
      <w:pPr>
        <w:pStyle w:val="I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BA29FF" w:rsidRDefault="00BA29FF">
      <w:pPr>
        <w:pStyle w:val="IMain"/>
      </w:pPr>
      <w:r>
        <w:tab/>
        <w:t>(5)</w:t>
      </w:r>
      <w:r>
        <w:tab/>
        <w:t>In deciding whether a document is an estate development plan, the planning and land authority must consider whether—</w:t>
      </w:r>
    </w:p>
    <w:p w:rsidR="00BA29FF" w:rsidRDefault="00BA29FF">
      <w:pPr>
        <w:pStyle w:val="Ipara"/>
      </w:pPr>
      <w:r>
        <w:tab/>
        <w:t>(a)</w:t>
      </w:r>
      <w:r>
        <w:tab/>
        <w:t>the document is identified, by itself or another document, as an estate development plan; and</w:t>
      </w:r>
    </w:p>
    <w:p w:rsidR="00BA29FF" w:rsidRDefault="00BA29FF">
      <w:pPr>
        <w:pStyle w:val="I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BA29FF" w:rsidRDefault="00BA29FF">
      <w:pPr>
        <w:pStyle w:val="Ipara"/>
      </w:pPr>
      <w:r>
        <w:tab/>
        <w:t>(c)</w:t>
      </w:r>
      <w:r>
        <w:tab/>
        <w:t>the document includes plans or a proposal for the subdivision of land and related infrastructure development.</w:t>
      </w:r>
    </w:p>
    <w:p w:rsidR="00BA29FF" w:rsidRDefault="00BA29FF">
      <w:pPr>
        <w:pStyle w:val="aExamHdgpar"/>
      </w:pPr>
      <w:r>
        <w:t>Examples—related infrastructure</w:t>
      </w:r>
    </w:p>
    <w:p w:rsidR="00BA29FF" w:rsidRDefault="00BA29FF">
      <w:pPr>
        <w:pStyle w:val="aExampar"/>
      </w:pPr>
      <w:r>
        <w:t>sewers, footpaths, street lighting</w:t>
      </w:r>
    </w:p>
    <w:p w:rsidR="00BA29FF" w:rsidRDefault="00BA29FF">
      <w:pPr>
        <w:pStyle w:val="aNotepar"/>
      </w:pPr>
      <w:r>
        <w:rPr>
          <w:i/>
        </w:rPr>
        <w:t>Note</w:t>
      </w:r>
      <w:r>
        <w:tab/>
        <w:t>An example is part of the Act, is not exhaustive and may extend, but does not limit, the meaning of the provision in which it appears (see Legislation Act, s 126 and s 132).</w:t>
      </w:r>
    </w:p>
    <w:p w:rsidR="00BA29FF" w:rsidRDefault="00BA29FF">
      <w:pPr>
        <w:pStyle w:val="I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BA29FF" w:rsidRDefault="00BA29FF">
      <w:pPr>
        <w:pStyle w:val="Ipara"/>
      </w:pPr>
      <w:r>
        <w:tab/>
        <w:t>(a)</w:t>
      </w:r>
      <w:r>
        <w:tab/>
        <w:t xml:space="preserve">an estate development plan (the </w:t>
      </w:r>
      <w:r>
        <w:rPr>
          <w:b/>
          <w:bCs/>
          <w:i/>
          <w:iCs/>
        </w:rPr>
        <w:t>initial plan</w:t>
      </w:r>
      <w:r>
        <w:t>) was given to the authority; and</w:t>
      </w:r>
    </w:p>
    <w:p w:rsidR="00BA29FF" w:rsidRDefault="00BA29FF">
      <w:pPr>
        <w:pStyle w:val="Ipara"/>
      </w:pPr>
      <w:r>
        <w:tab/>
        <w:t>(b)</w:t>
      </w:r>
      <w:r>
        <w:tab/>
        <w:t>the final plan is identifiable as a revised version of the initial plan.</w:t>
      </w:r>
    </w:p>
    <w:p w:rsidR="00BA29FF" w:rsidRDefault="00BA29FF">
      <w:pPr>
        <w:pStyle w:val="IshadedSchClause"/>
        <w:ind w:left="1122" w:hanging="1122"/>
      </w:pPr>
      <w:r>
        <w:t>[</w:t>
      </w:r>
      <w:r>
        <w:rPr>
          <w:rStyle w:val="CharSectNo"/>
        </w:rPr>
        <w:t>20.4</w:t>
      </w:r>
      <w:r>
        <w:t>]</w:t>
      </w:r>
      <w:r>
        <w:tab/>
        <w:t>Section 444</w:t>
      </w:r>
    </w:p>
    <w:p w:rsidR="00BA29FF" w:rsidRDefault="00BA29FF">
      <w:pPr>
        <w:pStyle w:val="direction"/>
        <w:keepNext/>
      </w:pPr>
      <w:r>
        <w:t>substitute</w:t>
      </w:r>
    </w:p>
    <w:p w:rsidR="00BA29FF" w:rsidRDefault="00BA29FF">
      <w:pPr>
        <w:pStyle w:val="IH5Sec"/>
      </w:pPr>
      <w:r>
        <w:t>444</w:t>
      </w:r>
      <w:r>
        <w:tab/>
        <w:t>Transitional—approvals under repealed Act</w:t>
      </w:r>
    </w:p>
    <w:p w:rsidR="00BA29FF" w:rsidRDefault="00BA29FF">
      <w:pPr>
        <w:pStyle w:val="IMain"/>
      </w:pPr>
      <w:r>
        <w:tab/>
        <w:t>(1)</w:t>
      </w:r>
      <w:r>
        <w:tab/>
        <w:t>This section applies if—</w:t>
      </w:r>
    </w:p>
    <w:p w:rsidR="00BA29FF" w:rsidRDefault="00BA29FF">
      <w:pPr>
        <w:pStyle w:val="Ipara"/>
      </w:pPr>
      <w:r>
        <w:lastRenderedPageBreak/>
        <w:tab/>
        <w:t>(a)</w:t>
      </w:r>
      <w:r>
        <w:tab/>
        <w:t>immediately before commencement day, a person had an approval under the repealed Act, part 6 (Approvals and orders); or</w:t>
      </w:r>
    </w:p>
    <w:p w:rsidR="00BA29FF" w:rsidRDefault="00BA29FF">
      <w:pPr>
        <w:pStyle w:val="Ipara"/>
        <w:keepNext/>
      </w:pPr>
      <w:r>
        <w:tab/>
        <w:t>(b)</w:t>
      </w:r>
      <w:r>
        <w:tab/>
        <w:t>the planning and land authority gives an approval under the repealed Act after the commencement day.</w:t>
      </w:r>
    </w:p>
    <w:p w:rsidR="00BA29FF" w:rsidRDefault="00BA29FF">
      <w:pPr>
        <w:pStyle w:val="aNotepar"/>
        <w:rPr>
          <w:iCs/>
        </w:rPr>
      </w:pPr>
      <w:r>
        <w:rPr>
          <w:i/>
        </w:rPr>
        <w:t>Note</w:t>
      </w:r>
      <w:r>
        <w:rPr>
          <w:i/>
        </w:rPr>
        <w:tab/>
      </w:r>
      <w:r>
        <w:rPr>
          <w:iCs/>
        </w:rPr>
        <w:t>The repealed Act applies to applications for approvals not decided immediately before commencement day (see s 442 as modified by regulation).</w:t>
      </w:r>
    </w:p>
    <w:p w:rsidR="00BA29FF" w:rsidRDefault="00BA29FF">
      <w:pPr>
        <w:pStyle w:val="IMain"/>
      </w:pPr>
      <w:r>
        <w:tab/>
        <w:t>(2)</w:t>
      </w:r>
      <w:r>
        <w:tab/>
        <w:t>The approval—</w:t>
      </w:r>
    </w:p>
    <w:p w:rsidR="00BA29FF" w:rsidRDefault="00BA29FF">
      <w:pPr>
        <w:pStyle w:val="Ipara"/>
      </w:pPr>
      <w:r>
        <w:tab/>
        <w:t>(a)</w:t>
      </w:r>
      <w:r>
        <w:tab/>
        <w:t>is taken to be a development approval under this Act; and</w:t>
      </w:r>
    </w:p>
    <w:p w:rsidR="00BA29FF" w:rsidRDefault="00BA29FF">
      <w:pPr>
        <w:pStyle w:val="Ipara"/>
      </w:pPr>
      <w:r>
        <w:tab/>
        <w:t>(b)</w:t>
      </w:r>
      <w:r>
        <w:tab/>
        <w:t>unless extended under this Act, continues in force until the time when it would have ended under the repealed Act; and</w:t>
      </w:r>
    </w:p>
    <w:p w:rsidR="00BA29FF" w:rsidRDefault="00BA29FF">
      <w:pPr>
        <w:pStyle w:val="Ipara"/>
      </w:pPr>
      <w:r>
        <w:tab/>
        <w:t>(c)</w:t>
      </w:r>
      <w:r>
        <w:tab/>
        <w:t>for the Act, section 198 (2) (Deciding applications to amend development applications) is taken to relate to a proposal in the merit track.</w:t>
      </w:r>
    </w:p>
    <w:p w:rsidR="00BA29FF" w:rsidRDefault="00BA29FF">
      <w:pPr>
        <w:pStyle w:val="IMain"/>
        <w:keepNext/>
      </w:pPr>
      <w:r>
        <w:tab/>
        <w:t>(3)</w:t>
      </w:r>
      <w:r>
        <w:tab/>
        <w:t>If the application to which the approval relates was not required to be publicly notified under the repealed Act, an application under this Act for the amendment of the approval need not be notified under this Act.</w:t>
      </w:r>
    </w:p>
    <w:p w:rsidR="00BA29FF" w:rsidRDefault="00BA29FF">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BA29FF" w:rsidRDefault="00BA29FF">
      <w:pPr>
        <w:pStyle w:val="IshadedSchClause"/>
      </w:pPr>
      <w:r>
        <w:lastRenderedPageBreak/>
        <w:t>[</w:t>
      </w:r>
      <w:r>
        <w:rPr>
          <w:rStyle w:val="CharSectNo"/>
        </w:rPr>
        <w:t>20.4A</w:t>
      </w:r>
      <w:r>
        <w:t>]</w:t>
      </w:r>
      <w:r>
        <w:tab/>
        <w:t>New section 444A</w:t>
      </w:r>
    </w:p>
    <w:p w:rsidR="00BA29FF" w:rsidRDefault="00BA29FF">
      <w:pPr>
        <w:pStyle w:val="direction"/>
        <w:keepNext/>
      </w:pPr>
      <w:r>
        <w:t>insert</w:t>
      </w:r>
    </w:p>
    <w:p w:rsidR="00BA29FF" w:rsidRDefault="00BA29FF">
      <w:pPr>
        <w:pStyle w:val="IH5Sec"/>
      </w:pPr>
      <w:r>
        <w:t>444A</w:t>
      </w:r>
      <w:r>
        <w:tab/>
        <w:t>Commencement of development approvals under repealed Act</w:t>
      </w:r>
    </w:p>
    <w:p w:rsidR="00BA29FF" w:rsidRDefault="00BA29FF">
      <w:pPr>
        <w:pStyle w:val="IMain"/>
        <w:keepNext/>
      </w:pPr>
      <w:r>
        <w:tab/>
        <w:t>(1)</w:t>
      </w:r>
      <w:r>
        <w:tab/>
        <w:t>This section applies to each of the following development approvals unless the development approval commenced before the commencement day:</w:t>
      </w:r>
    </w:p>
    <w:p w:rsidR="00BA29FF" w:rsidRDefault="00BA29FF">
      <w:pPr>
        <w:pStyle w:val="Ipara"/>
      </w:pPr>
      <w:r>
        <w:tab/>
        <w:t>(a)</w:t>
      </w:r>
      <w:r>
        <w:tab/>
        <w:t>a development approval mentioned in section 442 (Transitional—applications lodged before commencement day);</w:t>
      </w:r>
    </w:p>
    <w:p w:rsidR="00BA29FF" w:rsidRDefault="00BA29FF">
      <w:pPr>
        <w:pStyle w:val="Ipara"/>
        <w:keepLines/>
      </w:pPr>
      <w:r>
        <w:tab/>
        <w:t>(b)</w:t>
      </w:r>
      <w:r>
        <w:tab/>
        <w:t>a development approval mentioned in section 442B (Transitional—application for review lodged after commencement day for application lodged before commencement day);</w:t>
      </w:r>
    </w:p>
    <w:p w:rsidR="00BA29FF" w:rsidRDefault="00BA29FF">
      <w:pPr>
        <w:pStyle w:val="Ipara"/>
      </w:pPr>
      <w:r>
        <w:tab/>
        <w:t>(c)</w:t>
      </w:r>
      <w:r>
        <w:tab/>
        <w:t>a development approval mentioned in section 442C (Transitional—development application lodged on or after commencement day for estate development plan given before commencement day);</w:t>
      </w:r>
    </w:p>
    <w:p w:rsidR="00BA29FF" w:rsidRDefault="00BA29FF">
      <w:pPr>
        <w:pStyle w:val="Ipara"/>
      </w:pPr>
      <w:r>
        <w:tab/>
        <w:t>(d)</w:t>
      </w:r>
      <w:r>
        <w:tab/>
        <w:t>a development approval mentioned in section 443 (Transitional—applications for review not finally decided);</w:t>
      </w:r>
    </w:p>
    <w:p w:rsidR="00BA29FF" w:rsidRDefault="00BA29FF">
      <w:pPr>
        <w:pStyle w:val="Ipara"/>
      </w:pPr>
      <w:r>
        <w:tab/>
        <w:t>(e)</w:t>
      </w:r>
      <w:r>
        <w:tab/>
        <w:t>a development approval mentioned in section 444 (Transitional—approvals under repealed Act).</w:t>
      </w:r>
    </w:p>
    <w:p w:rsidR="00BA29FF" w:rsidRDefault="00BA29FF">
      <w:pPr>
        <w:pStyle w:val="IMain"/>
      </w:pPr>
      <w:r>
        <w:tab/>
        <w:t>(2)</w:t>
      </w:r>
      <w:r>
        <w:tab/>
        <w:t>Despite anything else in this part, the development approval commences, or is taken to have commenced, when the development approval would have commenced under the repealed Act if the repealed Act had not been repealed.</w:t>
      </w:r>
    </w:p>
    <w:p w:rsidR="00BA29FF" w:rsidRDefault="00BA29FF">
      <w:pPr>
        <w:pStyle w:val="IshadedSchClause"/>
        <w:ind w:left="1122" w:hanging="1122"/>
      </w:pPr>
      <w:r>
        <w:t>[</w:t>
      </w:r>
      <w:r>
        <w:rPr>
          <w:rStyle w:val="CharSectNo"/>
        </w:rPr>
        <w:t>20.5</w:t>
      </w:r>
      <w:r>
        <w:t>]</w:t>
      </w:r>
      <w:r>
        <w:tab/>
        <w:t>Section 445 (2) (a)</w:t>
      </w:r>
    </w:p>
    <w:p w:rsidR="00BA29FF" w:rsidRDefault="00BA29FF">
      <w:pPr>
        <w:pStyle w:val="direction"/>
        <w:keepNext/>
      </w:pPr>
      <w:r>
        <w:t>substitute</w:t>
      </w:r>
    </w:p>
    <w:p w:rsidR="00BA29FF" w:rsidRDefault="00BA29FF">
      <w:pPr>
        <w:pStyle w:val="Ipara"/>
      </w:pPr>
      <w:r>
        <w:tab/>
        <w:t>(a)</w:t>
      </w:r>
      <w:r>
        <w:tab/>
        <w:t>is taken to be a development approval under this Act; and</w:t>
      </w:r>
    </w:p>
    <w:p w:rsidR="00BA29FF" w:rsidRDefault="00BA29FF">
      <w:pPr>
        <w:pStyle w:val="IshadedSchClause"/>
      </w:pPr>
      <w:r>
        <w:lastRenderedPageBreak/>
        <w:t>[</w:t>
      </w:r>
      <w:r>
        <w:rPr>
          <w:rStyle w:val="CharSectNo"/>
        </w:rPr>
        <w:t>20.5A</w:t>
      </w:r>
      <w:r>
        <w:t>]</w:t>
      </w:r>
      <w:r>
        <w:tab/>
        <w:t>Sections 446 and 446A</w:t>
      </w:r>
    </w:p>
    <w:p w:rsidR="00BA29FF" w:rsidRDefault="00BA29FF">
      <w:pPr>
        <w:pStyle w:val="direction"/>
      </w:pPr>
      <w:r>
        <w:t>substitute</w:t>
      </w:r>
    </w:p>
    <w:p w:rsidR="00BA29FF" w:rsidRDefault="00BA29FF">
      <w:pPr>
        <w:pStyle w:val="IH5Sec"/>
      </w:pPr>
      <w:r>
        <w:t>446</w:t>
      </w:r>
      <w:r>
        <w:tab/>
        <w:t>Power to make lease and development conditions</w:t>
      </w:r>
    </w:p>
    <w:p w:rsidR="00BA29FF" w:rsidRDefault="00BA29FF">
      <w:pPr>
        <w:pStyle w:val="IMain"/>
      </w:pPr>
      <w:r>
        <w:tab/>
        <w:t>(1)</w:t>
      </w:r>
      <w:r>
        <w:tab/>
        <w:t>This section applies to land in relation to which—</w:t>
      </w:r>
    </w:p>
    <w:p w:rsidR="00BA29FF" w:rsidRDefault="00BA29FF">
      <w:pPr>
        <w:pStyle w:val="Ipara"/>
      </w:pPr>
      <w:r>
        <w:tab/>
        <w:t>(a)</w:t>
      </w:r>
      <w:r>
        <w:tab/>
        <w:t>an earlier application has been made and earlier approval given, whether the earlier approval is given before or after the commencement day; or</w:t>
      </w:r>
    </w:p>
    <w:p w:rsidR="00BA29FF" w:rsidRDefault="00BA29FF">
      <w:pPr>
        <w:pStyle w:val="Ipara"/>
        <w:keepNext/>
      </w:pPr>
      <w:r>
        <w:tab/>
        <w:t>(b)</w:t>
      </w:r>
      <w:r>
        <w:tab/>
        <w:t>development approval has been given under section 442C.</w:t>
      </w:r>
    </w:p>
    <w:p w:rsidR="00BA29FF" w:rsidRDefault="00BA29FF">
      <w:pPr>
        <w:pStyle w:val="aNotepar"/>
      </w:pPr>
      <w:r>
        <w:rPr>
          <w:i/>
        </w:rPr>
        <w:t>Note</w:t>
      </w:r>
      <w:r>
        <w:rPr>
          <w:i/>
        </w:rPr>
        <w:tab/>
      </w:r>
      <w:r>
        <w:t>Under s 442C, if an estate development plan was considered before commencement of this Act, the repealed Act applies to the application for development approval.</w:t>
      </w:r>
    </w:p>
    <w:p w:rsidR="00BA29FF" w:rsidRDefault="00BA29FF">
      <w:pPr>
        <w:pStyle w:val="IMain"/>
      </w:pPr>
      <w:r>
        <w:tab/>
        <w:t>(2)</w:t>
      </w:r>
      <w:r>
        <w:tab/>
        <w:t>On and after the commencement day, the planning and land authority may make a lease and development condition in relation to the land, or part of the land.</w:t>
      </w:r>
    </w:p>
    <w:p w:rsidR="00BA29FF" w:rsidRDefault="00BA29FF">
      <w:pPr>
        <w:pStyle w:val="IMain"/>
        <w:keepNext/>
      </w:pPr>
      <w:r>
        <w:tab/>
        <w:t>(3)</w:t>
      </w:r>
      <w:r>
        <w:tab/>
        <w:t>In this section:</w:t>
      </w:r>
    </w:p>
    <w:p w:rsidR="00BA29FF" w:rsidRDefault="00BA29FF">
      <w:pPr>
        <w:pStyle w:val="aDef"/>
      </w:pPr>
      <w:r>
        <w:rPr>
          <w:b/>
          <w:bCs/>
          <w:i/>
          <w:iCs/>
        </w:rPr>
        <w:t>defined land</w:t>
      </w:r>
      <w:r>
        <w:t xml:space="preserve"> means land identified in the old territory plan for the repealed Act, subdivision 2.3.4.</w:t>
      </w:r>
    </w:p>
    <w:p w:rsidR="00BA29FF" w:rsidRDefault="00BA29FF">
      <w:pPr>
        <w:pStyle w:val="aDef"/>
        <w:keepNext/>
      </w:pPr>
      <w:r>
        <w:rPr>
          <w:b/>
          <w:i/>
        </w:rPr>
        <w:t>earlier application</w:t>
      </w:r>
      <w:r>
        <w:t xml:space="preserve"> means an application for development approval if the application—</w:t>
      </w:r>
    </w:p>
    <w:p w:rsidR="00BA29FF" w:rsidRDefault="00BA29FF">
      <w:pPr>
        <w:pStyle w:val="Idefpara"/>
      </w:pPr>
      <w:r>
        <w:tab/>
        <w:t>(a)</w:t>
      </w:r>
      <w:r>
        <w:tab/>
        <w:t>was made under the repealed Act before the commencement day; and</w:t>
      </w:r>
    </w:p>
    <w:p w:rsidR="00BA29FF" w:rsidRDefault="00BA29FF">
      <w:pPr>
        <w:pStyle w:val="Idefpara"/>
      </w:pPr>
      <w:r>
        <w:tab/>
        <w:t>(b)</w:t>
      </w:r>
      <w:r>
        <w:tab/>
        <w:t>relates to land that was defined land when the application was made; and</w:t>
      </w:r>
    </w:p>
    <w:p w:rsidR="00BA29FF" w:rsidRDefault="00BA29FF">
      <w:pPr>
        <w:pStyle w:val="Idefpara"/>
      </w:pPr>
      <w:r>
        <w:tab/>
        <w:t>(c)</w:t>
      </w:r>
      <w:r>
        <w:tab/>
        <w:t>is for approval to subdivide land, whether or not it is also for approval of something else.</w:t>
      </w:r>
    </w:p>
    <w:p w:rsidR="00BA29FF" w:rsidRDefault="00BA29FF">
      <w:pPr>
        <w:pStyle w:val="aDef"/>
      </w:pPr>
      <w:r>
        <w:rPr>
          <w:b/>
          <w:i/>
        </w:rPr>
        <w:t>earlier approval</w:t>
      </w:r>
      <w:r>
        <w:t xml:space="preserve"> means development approval under the repealed Act of an earlier application.</w:t>
      </w:r>
    </w:p>
    <w:p w:rsidR="00BA29FF" w:rsidRDefault="00BA29FF">
      <w:pPr>
        <w:pStyle w:val="aDef"/>
      </w:pPr>
      <w:r>
        <w:rPr>
          <w:b/>
          <w:i/>
        </w:rPr>
        <w:lastRenderedPageBreak/>
        <w:t xml:space="preserve">lease and development condition </w:t>
      </w:r>
      <w:r>
        <w:rPr>
          <w:bCs/>
          <w:iCs/>
        </w:rPr>
        <w:t>means a lease and development condition that could have been made under the repealed Act, but for its repeal.</w:t>
      </w:r>
    </w:p>
    <w:p w:rsidR="00BA29FF" w:rsidRDefault="00BA29FF">
      <w:pPr>
        <w:pStyle w:val="aDef"/>
      </w:pPr>
      <w:r>
        <w:rPr>
          <w:b/>
          <w:bCs/>
          <w:i/>
          <w:iCs/>
        </w:rPr>
        <w:t xml:space="preserve">old territory plan </w:t>
      </w:r>
      <w:r>
        <w:t>means the Territory Plan under the repealed Act.</w:t>
      </w:r>
    </w:p>
    <w:p w:rsidR="00BA29FF" w:rsidRDefault="00BA29FF">
      <w:pPr>
        <w:pStyle w:val="IMain"/>
      </w:pPr>
      <w:r>
        <w:tab/>
        <w:t>(4)</w:t>
      </w:r>
      <w:r>
        <w:tab/>
        <w:t>This section is a provision to which the Legislation Act, section 88 (Repeal does not end effect of transitional laws etc) does not apply.</w:t>
      </w:r>
    </w:p>
    <w:p w:rsidR="00BA29FF" w:rsidRDefault="00BA29FF">
      <w:pPr>
        <w:pStyle w:val="IMain"/>
      </w:pPr>
      <w:r>
        <w:tab/>
        <w:t>(5)</w:t>
      </w:r>
      <w:r>
        <w:tab/>
        <w:t>This section expires 5 years after the commencement day.</w:t>
      </w:r>
    </w:p>
    <w:p w:rsidR="00BA29FF" w:rsidRDefault="00BA29FF">
      <w:pPr>
        <w:pStyle w:val="IH5Sec"/>
      </w:pPr>
      <w:r>
        <w:t>446A</w:t>
      </w:r>
      <w:r>
        <w:tab/>
        <w:t>Transitional—application for development approval if lease and development condition</w:t>
      </w:r>
    </w:p>
    <w:p w:rsidR="00BA29FF" w:rsidRDefault="00BA29FF">
      <w:pPr>
        <w:pStyle w:val="IMain"/>
      </w:pPr>
      <w:r>
        <w:tab/>
        <w:t>(1)</w:t>
      </w:r>
      <w:r>
        <w:tab/>
        <w:t>This section applies to a development application if the application is—</w:t>
      </w:r>
    </w:p>
    <w:p w:rsidR="00BA29FF" w:rsidRDefault="00BA29FF">
      <w:pPr>
        <w:pStyle w:val="Ipara"/>
      </w:pPr>
      <w:r>
        <w:tab/>
        <w:t>(a)</w:t>
      </w:r>
      <w:r>
        <w:tab/>
        <w:t>not in the code track; and</w:t>
      </w:r>
    </w:p>
    <w:p w:rsidR="00BA29FF" w:rsidRDefault="00BA29FF">
      <w:pPr>
        <w:pStyle w:val="Ipara"/>
      </w:pPr>
      <w:r>
        <w:tab/>
        <w:t>(b)</w:t>
      </w:r>
      <w:r>
        <w:tab/>
        <w:t>for development on land to which—</w:t>
      </w:r>
    </w:p>
    <w:p w:rsidR="00BA29FF" w:rsidRDefault="00BA29FF">
      <w:pPr>
        <w:pStyle w:val="Isubpara"/>
      </w:pPr>
      <w:r>
        <w:tab/>
        <w:t>(i)</w:t>
      </w:r>
      <w:r>
        <w:tab/>
        <w:t>a lease and development condition made under section 446 applies; or</w:t>
      </w:r>
    </w:p>
    <w:p w:rsidR="00BA29FF" w:rsidRDefault="00BA29FF">
      <w:pPr>
        <w:pStyle w:val="Isubpara"/>
      </w:pPr>
      <w:r>
        <w:tab/>
        <w:t>(ii)</w:t>
      </w:r>
      <w:r>
        <w:tab/>
        <w:t>a lease and development condition made under the repealed Act applied immediately before the commencement day.</w:t>
      </w:r>
    </w:p>
    <w:p w:rsidR="00BA29FF" w:rsidRDefault="00BA29FF">
      <w:pPr>
        <w:pStyle w:val="IMain"/>
      </w:pPr>
      <w:r>
        <w:tab/>
        <w:t>(2)</w:t>
      </w:r>
      <w:r>
        <w:tab/>
        <w:t>The planning and land authority, or Minister, must consider the lease and development condition in making a decision under section 162 (Deciding development applications) in relation to the development application if—</w:t>
      </w:r>
    </w:p>
    <w:p w:rsidR="00BA29FF" w:rsidRDefault="00BA29FF">
      <w:pPr>
        <w:pStyle w:val="Ipara"/>
      </w:pPr>
      <w:r>
        <w:tab/>
        <w:t>(a)</w:t>
      </w:r>
      <w:r>
        <w:tab/>
        <w:t>the territory plan provides that the condition may vary the plan; and</w:t>
      </w:r>
    </w:p>
    <w:p w:rsidR="00BA29FF" w:rsidRDefault="00BA29FF">
      <w:pPr>
        <w:pStyle w:val="Ipara"/>
      </w:pPr>
      <w:r>
        <w:tab/>
        <w:t>(b)</w:t>
      </w:r>
      <w:r>
        <w:tab/>
        <w:t>the condition is relevant to assessing the application and granting the approval.</w:t>
      </w:r>
    </w:p>
    <w:p w:rsidR="00BA29FF" w:rsidRDefault="00BA29FF">
      <w:pPr>
        <w:pStyle w:val="IMain"/>
      </w:pPr>
      <w:r>
        <w:tab/>
        <w:t>(3)</w:t>
      </w:r>
      <w:r>
        <w:tab/>
        <w:t>This section expires 5 years after the commencement day.</w:t>
      </w:r>
    </w:p>
    <w:p w:rsidR="00BA29FF" w:rsidRDefault="00BA29FF">
      <w:pPr>
        <w:pStyle w:val="IshadedSchClause"/>
        <w:ind w:left="1122" w:hanging="1122"/>
      </w:pPr>
      <w:r>
        <w:lastRenderedPageBreak/>
        <w:t>[</w:t>
      </w:r>
      <w:r>
        <w:rPr>
          <w:rStyle w:val="CharSectNo"/>
        </w:rPr>
        <w:t>20.6</w:t>
      </w:r>
      <w:r>
        <w:t>]</w:t>
      </w:r>
      <w:r>
        <w:tab/>
        <w:t>Section 447</w:t>
      </w:r>
    </w:p>
    <w:p w:rsidR="00BA29FF" w:rsidRDefault="00BA29FF">
      <w:pPr>
        <w:pStyle w:val="direction"/>
      </w:pPr>
      <w:r>
        <w:t>omit</w:t>
      </w:r>
    </w:p>
    <w:p w:rsidR="00BA29FF" w:rsidRDefault="00BA29FF">
      <w:pPr>
        <w:pStyle w:val="IshadedSchClause"/>
        <w:ind w:left="1122" w:hanging="1122"/>
      </w:pPr>
      <w:r>
        <w:t>[</w:t>
      </w:r>
      <w:r>
        <w:rPr>
          <w:rStyle w:val="CharSectNo"/>
        </w:rPr>
        <w:t>20.7</w:t>
      </w:r>
      <w:r>
        <w:t>]</w:t>
      </w:r>
      <w:r>
        <w:tab/>
        <w:t>New section 459A</w:t>
      </w:r>
    </w:p>
    <w:p w:rsidR="00BA29FF" w:rsidRDefault="00BA29FF">
      <w:pPr>
        <w:pStyle w:val="direction"/>
      </w:pPr>
      <w:r>
        <w:t>insert</w:t>
      </w:r>
    </w:p>
    <w:p w:rsidR="00BA29FF" w:rsidRDefault="00BA29FF">
      <w:pPr>
        <w:pStyle w:val="IH5Sec"/>
      </w:pPr>
      <w:r>
        <w:t>459A</w:t>
      </w:r>
      <w:r>
        <w:tab/>
        <w:t>Transitional—contracts before commencement day to grant leases</w:t>
      </w:r>
    </w:p>
    <w:p w:rsidR="00BA29FF" w:rsidRDefault="00BA29FF">
      <w:pPr>
        <w:pStyle w:val="IMain"/>
      </w:pPr>
      <w:r>
        <w:tab/>
        <w:t>(1)</w:t>
      </w:r>
      <w:r>
        <w:tab/>
        <w:t>This section applies if—</w:t>
      </w:r>
    </w:p>
    <w:p w:rsidR="00BA29FF" w:rsidRDefault="00BA29FF">
      <w:pPr>
        <w:pStyle w:val="I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BA29FF" w:rsidRDefault="00BA29FF">
      <w:pPr>
        <w:pStyle w:val="Ipara"/>
      </w:pPr>
      <w:r>
        <w:tab/>
        <w:t>(b)</w:t>
      </w:r>
      <w:r>
        <w:tab/>
        <w:t>the lease is not granted before commencement day.</w:t>
      </w:r>
    </w:p>
    <w:p w:rsidR="00BA29FF" w:rsidRDefault="00BA29FF">
      <w:pPr>
        <w:pStyle w:val="aExamHdgss"/>
      </w:pPr>
      <w:r>
        <w:t>Examples—par (a)</w:t>
      </w:r>
    </w:p>
    <w:p w:rsidR="00BA29FF" w:rsidRDefault="00BA29FF">
      <w:pPr>
        <w:pStyle w:val="aExamINumss"/>
      </w:pPr>
      <w:r>
        <w:t>1</w:t>
      </w:r>
      <w:r>
        <w:tab/>
        <w:t>The conditions of a land auction require a lease to be granted under the repealed Act.</w:t>
      </w:r>
    </w:p>
    <w:p w:rsidR="00BA29FF" w:rsidRDefault="00BA29FF">
      <w:pPr>
        <w:pStyle w:val="aExamINumss"/>
        <w:keepNext/>
      </w:pPr>
      <w:r>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BA29FF" w:rsidRDefault="00BA29FF">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BA29FF" w:rsidRDefault="00BA29FF">
      <w:pPr>
        <w:pStyle w:val="IMain"/>
        <w:keepNext/>
      </w:pPr>
      <w:r>
        <w:tab/>
        <w:t>(2)</w:t>
      </w:r>
      <w:r>
        <w:tab/>
        <w:t>The planning and land authority may grant a lease under—</w:t>
      </w:r>
    </w:p>
    <w:p w:rsidR="00BA29FF" w:rsidRDefault="00BA29FF">
      <w:pPr>
        <w:pStyle w:val="Ipara"/>
      </w:pPr>
      <w:r>
        <w:tab/>
        <w:t>(a)</w:t>
      </w:r>
      <w:r>
        <w:tab/>
        <w:t>the repealed Act as if the repealed Act had not been repealed; or</w:t>
      </w:r>
    </w:p>
    <w:p w:rsidR="00BA29FF" w:rsidRDefault="00BA29FF">
      <w:pPr>
        <w:pStyle w:val="Ipara"/>
      </w:pPr>
      <w:r>
        <w:tab/>
        <w:t>(b)</w:t>
      </w:r>
      <w:r>
        <w:tab/>
        <w:t>if the third party agrees in writing to a lease under this Act being granted—this Act.</w:t>
      </w:r>
    </w:p>
    <w:p w:rsidR="00BA29FF" w:rsidRDefault="00BA29FF">
      <w:pPr>
        <w:pStyle w:val="IMain"/>
        <w:keepNext/>
      </w:pPr>
      <w:r>
        <w:tab/>
        <w:t>(3)</w:t>
      </w:r>
      <w:r>
        <w:tab/>
        <w:t>A lease to which subsection (2) (a) applies—</w:t>
      </w:r>
    </w:p>
    <w:p w:rsidR="00BA29FF" w:rsidRDefault="00BA29FF">
      <w:pPr>
        <w:pStyle w:val="Ipara"/>
      </w:pPr>
      <w:r>
        <w:tab/>
        <w:t>(a)</w:t>
      </w:r>
      <w:r>
        <w:tab/>
        <w:t xml:space="preserve">may be registered under the </w:t>
      </w:r>
      <w:r>
        <w:rPr>
          <w:rStyle w:val="charItals"/>
        </w:rPr>
        <w:t>Land Titles Act 1925</w:t>
      </w:r>
      <w:r>
        <w:t xml:space="preserve"> as if the repealed Act had not been repealed; and</w:t>
      </w:r>
    </w:p>
    <w:p w:rsidR="00BA29FF" w:rsidRDefault="00BA29FF">
      <w:pPr>
        <w:pStyle w:val="Ipara"/>
      </w:pPr>
      <w:r>
        <w:lastRenderedPageBreak/>
        <w:tab/>
        <w:t>(b)</w:t>
      </w:r>
      <w:r>
        <w:tab/>
        <w:t>is taken to have been granted under this Act.</w:t>
      </w:r>
    </w:p>
    <w:p w:rsidR="00BA29FF" w:rsidRDefault="00BA29FF">
      <w:pPr>
        <w:pStyle w:val="IMain"/>
      </w:pPr>
      <w:r>
        <w:tab/>
        <w:t>(4)</w:t>
      </w:r>
      <w:r>
        <w:tab/>
        <w:t>This section is taken to have commenced on 31 March 2008.</w:t>
      </w:r>
    </w:p>
    <w:p w:rsidR="00BA29FF" w:rsidRDefault="00BA29FF">
      <w:pPr>
        <w:pStyle w:val="IshadedSchClause"/>
        <w:ind w:left="1122" w:hanging="1122"/>
      </w:pPr>
      <w:r>
        <w:t>[</w:t>
      </w:r>
      <w:r>
        <w:rPr>
          <w:rStyle w:val="CharSectNo"/>
        </w:rPr>
        <w:t>20.8</w:t>
      </w:r>
      <w:r>
        <w:t>]</w:t>
      </w:r>
      <w:r>
        <w:tab/>
        <w:t>New section 459B</w:t>
      </w:r>
    </w:p>
    <w:p w:rsidR="00BA29FF" w:rsidRDefault="00BA29FF">
      <w:pPr>
        <w:pStyle w:val="direction"/>
      </w:pPr>
      <w:r>
        <w:t>insert</w:t>
      </w:r>
    </w:p>
    <w:p w:rsidR="00BA29FF" w:rsidRDefault="00BA29FF">
      <w:pPr>
        <w:pStyle w:val="IH5Sec"/>
      </w:pPr>
      <w:r>
        <w:t>459B</w:t>
      </w:r>
      <w:r>
        <w:tab/>
        <w:t>Transitional—conversion of Commonwealth leases</w:t>
      </w:r>
    </w:p>
    <w:p w:rsidR="00BA29FF" w:rsidRDefault="00BA29FF">
      <w:pPr>
        <w:pStyle w:val="IMain"/>
        <w:keepNext/>
      </w:pPr>
      <w:r>
        <w:tab/>
        <w:t>(1)</w:t>
      </w:r>
      <w:r>
        <w:tab/>
        <w:t>This section applies if—</w:t>
      </w:r>
    </w:p>
    <w:p w:rsidR="00BA29FF" w:rsidRDefault="00BA29FF">
      <w:pPr>
        <w:pStyle w:val="I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BA29FF" w:rsidRDefault="00BA29FF">
      <w:pPr>
        <w:pStyle w:val="Ipara"/>
      </w:pPr>
      <w:r>
        <w:tab/>
        <w:t>(b)</w:t>
      </w:r>
      <w:r>
        <w:tab/>
        <w:t>because of the amendment or repeal of the declaration, land has ceased to be national land; and</w:t>
      </w:r>
    </w:p>
    <w:p w:rsidR="00BA29FF" w:rsidRDefault="00BA29FF">
      <w:pPr>
        <w:pStyle w:val="Ipara"/>
      </w:pPr>
      <w:r>
        <w:tab/>
        <w:t>(c)</w:t>
      </w:r>
      <w:r>
        <w:tab/>
        <w:t>a lease granted under a prescribed law over all or part of the land was in force immediately before the amendment or repeal of the declaration.</w:t>
      </w:r>
    </w:p>
    <w:p w:rsidR="00BA29FF" w:rsidRDefault="00BA29FF">
      <w:pPr>
        <w:pStyle w:val="IMain"/>
      </w:pPr>
      <w:r>
        <w:tab/>
        <w:t>(2)</w:t>
      </w:r>
      <w:r>
        <w:tab/>
        <w:t>The lease is taken to have been granted under this Act on the amendment or repeal of the declaration.</w:t>
      </w:r>
    </w:p>
    <w:p w:rsidR="00BA29FF" w:rsidRDefault="00BA29FF">
      <w:pPr>
        <w:pStyle w:val="IMain"/>
        <w:keepNext/>
      </w:pPr>
      <w:r>
        <w:tab/>
        <w:t>(3)</w:t>
      </w:r>
      <w:r>
        <w:tab/>
        <w:t>In this section:</w:t>
      </w:r>
    </w:p>
    <w:p w:rsidR="00BA29FF" w:rsidRDefault="00BA29FF">
      <w:pPr>
        <w:pStyle w:val="aDef"/>
        <w:keepNext/>
      </w:pPr>
      <w:r>
        <w:rPr>
          <w:rStyle w:val="charBoldItals"/>
        </w:rPr>
        <w:t>prescribed law</w:t>
      </w:r>
      <w:r>
        <w:t xml:space="preserve"> means any of the following:</w:t>
      </w:r>
    </w:p>
    <w:p w:rsidR="00BA29FF" w:rsidRDefault="00BA29FF">
      <w:pPr>
        <w:pStyle w:val="Idefpara"/>
      </w:pPr>
      <w:r>
        <w:tab/>
        <w:t>(a)</w:t>
      </w:r>
      <w:r>
        <w:tab/>
        <w:t xml:space="preserve">the </w:t>
      </w:r>
      <w:r>
        <w:rPr>
          <w:rStyle w:val="charItals"/>
        </w:rPr>
        <w:t>Leases Ordinance 1918</w:t>
      </w:r>
      <w:r>
        <w:t>;</w:t>
      </w:r>
    </w:p>
    <w:p w:rsidR="00BA29FF" w:rsidRDefault="00BA29FF">
      <w:pPr>
        <w:pStyle w:val="Idefpara"/>
      </w:pPr>
      <w:r>
        <w:tab/>
        <w:t>(b)</w:t>
      </w:r>
      <w:r>
        <w:tab/>
        <w:t xml:space="preserve">the </w:t>
      </w:r>
      <w:r>
        <w:rPr>
          <w:rStyle w:val="charItals"/>
        </w:rPr>
        <w:t>Leases (Special Purposes) Ordinance 1925</w:t>
      </w:r>
      <w:r>
        <w:t>;</w:t>
      </w:r>
    </w:p>
    <w:p w:rsidR="00BA29FF" w:rsidRDefault="00BA29FF">
      <w:pPr>
        <w:pStyle w:val="Idefpara"/>
      </w:pPr>
      <w:r>
        <w:tab/>
        <w:t>(c)</w:t>
      </w:r>
      <w:r>
        <w:tab/>
        <w:t xml:space="preserve">the </w:t>
      </w:r>
      <w:r>
        <w:rPr>
          <w:rStyle w:val="charItals"/>
        </w:rPr>
        <w:t>City Area Leases Ordinance 1936</w:t>
      </w:r>
      <w:r>
        <w:t>;</w:t>
      </w:r>
    </w:p>
    <w:p w:rsidR="00BA29FF" w:rsidRDefault="00BA29FF">
      <w:pPr>
        <w:pStyle w:val="Idefpara"/>
      </w:pPr>
      <w:r>
        <w:tab/>
        <w:t>(d)</w:t>
      </w:r>
      <w:r>
        <w:tab/>
        <w:t xml:space="preserve">a law mentioned in paragraph (a), (b) or (c) as in effect under the </w:t>
      </w:r>
      <w:r>
        <w:rPr>
          <w:rStyle w:val="charItals"/>
        </w:rPr>
        <w:t>National Land Ordinance 1989</w:t>
      </w:r>
      <w:r>
        <w:t xml:space="preserve"> (Cwlth).</w:t>
      </w:r>
    </w:p>
    <w:p w:rsidR="00BA29FF" w:rsidRDefault="00BA29FF">
      <w:pPr>
        <w:pStyle w:val="03Schedule"/>
        <w:sectPr w:rsidR="00BA29FF">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BA29FF" w:rsidRDefault="00BA29FF">
      <w:pPr>
        <w:pStyle w:val="Dict-Heading"/>
      </w:pPr>
      <w:bookmarkStart w:id="243" w:name="_Toc206921432"/>
      <w:r>
        <w:lastRenderedPageBreak/>
        <w:t>Dictionary</w:t>
      </w:r>
      <w:bookmarkEnd w:id="243"/>
    </w:p>
    <w:p w:rsidR="00BA29FF" w:rsidRDefault="00BA29FF">
      <w:pPr>
        <w:pStyle w:val="ref"/>
        <w:keepNext/>
      </w:pPr>
      <w:r>
        <w:t>(see s 3)</w:t>
      </w:r>
    </w:p>
    <w:p w:rsidR="00BA29FF" w:rsidRDefault="00BA29FF">
      <w:pPr>
        <w:pStyle w:val="aNote"/>
      </w:pPr>
      <w:r>
        <w:rPr>
          <w:i/>
        </w:rPr>
        <w:t>Note 1</w:t>
      </w:r>
      <w:r>
        <w:rPr>
          <w:i/>
        </w:rPr>
        <w:tab/>
      </w:r>
      <w:r>
        <w:t>The Legislation Act contains definitions and other provisions relevant to this regulation.</w:t>
      </w:r>
    </w:p>
    <w:p w:rsidR="00BA29FF" w:rsidRDefault="00BA29FF">
      <w:pPr>
        <w:pStyle w:val="aNote"/>
        <w:keepNext/>
      </w:pPr>
      <w:r>
        <w:rPr>
          <w:i/>
        </w:rPr>
        <w:t>Note 2</w:t>
      </w:r>
      <w:r>
        <w:rPr>
          <w:i/>
        </w:rPr>
        <w:tab/>
      </w:r>
      <w:r>
        <w:t>For example, the Legislation Act, dict, pt 1, defines the following terms:</w:t>
      </w:r>
    </w:p>
    <w:p w:rsidR="00BA29FF" w:rsidRDefault="00BA29FF">
      <w:pPr>
        <w:pStyle w:val="aNoteBulletss"/>
        <w:tabs>
          <w:tab w:val="left" w:pos="2300"/>
        </w:tabs>
      </w:pPr>
      <w:r>
        <w:rPr>
          <w:rFonts w:ascii="Symbol" w:hAnsi="Symbol"/>
        </w:rPr>
        <w:t></w:t>
      </w:r>
      <w:r>
        <w:rPr>
          <w:rFonts w:ascii="Symbol" w:hAnsi="Symbol"/>
        </w:rPr>
        <w:tab/>
      </w:r>
      <w:r>
        <w:t>conservator of flora and fauna</w:t>
      </w:r>
    </w:p>
    <w:p w:rsidR="00BA29FF" w:rsidRDefault="00BA29FF">
      <w:pPr>
        <w:pStyle w:val="aNoteBulletss"/>
        <w:tabs>
          <w:tab w:val="left" w:pos="2300"/>
        </w:tabs>
      </w:pPr>
      <w:r>
        <w:rPr>
          <w:rFonts w:ascii="Symbol" w:hAnsi="Symbol"/>
        </w:rPr>
        <w:t></w:t>
      </w:r>
      <w:r>
        <w:rPr>
          <w:rFonts w:ascii="Symbol" w:hAnsi="Symbol"/>
        </w:rPr>
        <w:tab/>
      </w:r>
      <w:r>
        <w:t>heritage council</w:t>
      </w:r>
    </w:p>
    <w:p w:rsidR="00BA29FF" w:rsidRDefault="00BA29FF">
      <w:pPr>
        <w:pStyle w:val="aNoteBulletss"/>
        <w:tabs>
          <w:tab w:val="left" w:pos="2300"/>
        </w:tabs>
      </w:pPr>
      <w:r>
        <w:rPr>
          <w:rFonts w:ascii="Symbol" w:hAnsi="Symbol"/>
        </w:rPr>
        <w:t></w:t>
      </w:r>
      <w:r>
        <w:rPr>
          <w:rFonts w:ascii="Symbol" w:hAnsi="Symbol"/>
        </w:rPr>
        <w:tab/>
      </w:r>
      <w:r>
        <w:t>person</w:t>
      </w:r>
    </w:p>
    <w:p w:rsidR="00BA29FF" w:rsidRDefault="00BA29FF">
      <w:pPr>
        <w:pStyle w:val="aNoteBulletss"/>
        <w:tabs>
          <w:tab w:val="left" w:pos="2300"/>
        </w:tabs>
      </w:pPr>
      <w:r>
        <w:rPr>
          <w:rFonts w:ascii="Symbol" w:hAnsi="Symbol"/>
        </w:rPr>
        <w:t></w:t>
      </w:r>
      <w:r>
        <w:rPr>
          <w:rFonts w:ascii="Symbol" w:hAnsi="Symbol"/>
        </w:rPr>
        <w:tab/>
      </w:r>
      <w:r>
        <w:t>the Territory</w:t>
      </w:r>
    </w:p>
    <w:p w:rsidR="00BA29FF" w:rsidRDefault="00BA29FF">
      <w:pPr>
        <w:pStyle w:val="aNoteBulletss"/>
        <w:keepNext/>
        <w:tabs>
          <w:tab w:val="left" w:pos="2300"/>
        </w:tabs>
      </w:pPr>
      <w:r>
        <w:rPr>
          <w:rFonts w:ascii="Symbol" w:hAnsi="Symbol"/>
        </w:rPr>
        <w:t></w:t>
      </w:r>
      <w:r>
        <w:rPr>
          <w:rFonts w:ascii="Symbol" w:hAnsi="Symbol"/>
        </w:rPr>
        <w:tab/>
      </w:r>
      <w:r>
        <w:t>working day.</w:t>
      </w:r>
    </w:p>
    <w:p w:rsidR="00BA29FF" w:rsidRDefault="00BA29FF">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BA29FF" w:rsidRDefault="00BA29FF">
      <w:pPr>
        <w:pStyle w:val="aNoteBulletss"/>
        <w:tabs>
          <w:tab w:val="left" w:pos="2300"/>
        </w:tabs>
      </w:pPr>
      <w:r>
        <w:rPr>
          <w:rFonts w:ascii="Symbol" w:hAnsi="Symbol"/>
        </w:rPr>
        <w:t></w:t>
      </w:r>
      <w:r>
        <w:rPr>
          <w:rFonts w:ascii="Symbol" w:hAnsi="Symbol"/>
        </w:rPr>
        <w:tab/>
      </w:r>
      <w:r>
        <w:t>change of use charge</w:t>
      </w:r>
    </w:p>
    <w:p w:rsidR="00BA29FF" w:rsidRDefault="00BA29FF">
      <w:pPr>
        <w:pStyle w:val="aNoteBulletss"/>
        <w:tabs>
          <w:tab w:val="left" w:pos="2300"/>
        </w:tabs>
      </w:pPr>
      <w:r>
        <w:rPr>
          <w:rFonts w:ascii="Symbol" w:hAnsi="Symbol"/>
        </w:rPr>
        <w:t></w:t>
      </w:r>
      <w:r>
        <w:rPr>
          <w:rFonts w:ascii="Symbol" w:hAnsi="Symbol"/>
        </w:rPr>
        <w:tab/>
      </w:r>
      <w:r>
        <w:t>development (see s 7)</w:t>
      </w:r>
    </w:p>
    <w:p w:rsidR="00BA29FF" w:rsidRDefault="00BA29FF">
      <w:pPr>
        <w:pStyle w:val="aNoteBulletss"/>
        <w:tabs>
          <w:tab w:val="left" w:pos="2300"/>
        </w:tabs>
      </w:pPr>
      <w:r>
        <w:rPr>
          <w:rFonts w:ascii="Symbol" w:hAnsi="Symbol"/>
        </w:rPr>
        <w:t></w:t>
      </w:r>
      <w:r>
        <w:rPr>
          <w:rFonts w:ascii="Symbol" w:hAnsi="Symbol"/>
        </w:rPr>
        <w:tab/>
      </w:r>
      <w:r>
        <w:t>exempt</w:t>
      </w:r>
    </w:p>
    <w:p w:rsidR="00BA29FF" w:rsidRDefault="00BA29FF">
      <w:pPr>
        <w:pStyle w:val="aNoteBulletss"/>
        <w:tabs>
          <w:tab w:val="left" w:pos="2300"/>
        </w:tabs>
      </w:pPr>
      <w:r>
        <w:rPr>
          <w:rFonts w:ascii="Symbol" w:hAnsi="Symbol"/>
        </w:rPr>
        <w:t></w:t>
      </w:r>
      <w:r>
        <w:rPr>
          <w:rFonts w:ascii="Symbol" w:hAnsi="Symbol"/>
        </w:rPr>
        <w:tab/>
      </w:r>
      <w:r>
        <w:t>inquiry panel</w:t>
      </w:r>
    </w:p>
    <w:p w:rsidR="00BA29FF" w:rsidRDefault="00BA29FF">
      <w:pPr>
        <w:pStyle w:val="aNoteBulletss"/>
        <w:tabs>
          <w:tab w:val="left" w:pos="2300"/>
        </w:tabs>
      </w:pPr>
      <w:r>
        <w:rPr>
          <w:rFonts w:ascii="Symbol" w:hAnsi="Symbol"/>
        </w:rPr>
        <w:t></w:t>
      </w:r>
      <w:r>
        <w:rPr>
          <w:rFonts w:ascii="Symbol" w:hAnsi="Symbol"/>
        </w:rPr>
        <w:tab/>
      </w:r>
      <w:r>
        <w:t>land agency</w:t>
      </w:r>
    </w:p>
    <w:p w:rsidR="00BA29FF" w:rsidRDefault="00BA29FF">
      <w:pPr>
        <w:pStyle w:val="aNoteBulletss"/>
        <w:tabs>
          <w:tab w:val="left" w:pos="2300"/>
        </w:tabs>
      </w:pPr>
      <w:r>
        <w:rPr>
          <w:rFonts w:ascii="Symbol" w:hAnsi="Symbol"/>
        </w:rPr>
        <w:t></w:t>
      </w:r>
      <w:r>
        <w:rPr>
          <w:rFonts w:ascii="Symbol" w:hAnsi="Symbol"/>
        </w:rPr>
        <w:tab/>
      </w:r>
      <w:r>
        <w:t>land management agreement</w:t>
      </w:r>
    </w:p>
    <w:p w:rsidR="00BA29FF" w:rsidRDefault="00BA29FF">
      <w:pPr>
        <w:pStyle w:val="aNoteBulletss"/>
        <w:tabs>
          <w:tab w:val="left" w:pos="2300"/>
        </w:tabs>
      </w:pPr>
      <w:r>
        <w:rPr>
          <w:rFonts w:ascii="Symbol" w:hAnsi="Symbol"/>
        </w:rPr>
        <w:t></w:t>
      </w:r>
      <w:r>
        <w:rPr>
          <w:rFonts w:ascii="Symbol" w:hAnsi="Symbol"/>
        </w:rPr>
        <w:tab/>
      </w:r>
      <w:r>
        <w:t>lease (see s 235)</w:t>
      </w:r>
    </w:p>
    <w:p w:rsidR="00BA29FF" w:rsidRDefault="00BA29FF">
      <w:pPr>
        <w:pStyle w:val="aNoteBulletss"/>
        <w:tabs>
          <w:tab w:val="left" w:pos="2300"/>
        </w:tabs>
      </w:pPr>
      <w:r>
        <w:rPr>
          <w:rFonts w:ascii="Symbol" w:hAnsi="Symbol"/>
        </w:rPr>
        <w:t></w:t>
      </w:r>
      <w:r>
        <w:rPr>
          <w:rFonts w:ascii="Symbol" w:hAnsi="Symbol"/>
        </w:rPr>
        <w:tab/>
      </w:r>
      <w:r>
        <w:t>nominal rent lease</w:t>
      </w:r>
    </w:p>
    <w:p w:rsidR="00BA29FF" w:rsidRDefault="00BA29FF">
      <w:pPr>
        <w:pStyle w:val="aNoteBulletss"/>
        <w:tabs>
          <w:tab w:val="left" w:pos="2300"/>
        </w:tabs>
      </w:pPr>
      <w:r>
        <w:rPr>
          <w:rFonts w:ascii="Symbol" w:hAnsi="Symbol"/>
        </w:rPr>
        <w:t></w:t>
      </w:r>
      <w:r>
        <w:rPr>
          <w:rFonts w:ascii="Symbol" w:hAnsi="Symbol"/>
        </w:rPr>
        <w:tab/>
      </w:r>
      <w:r>
        <w:t>structure</w:t>
      </w:r>
    </w:p>
    <w:p w:rsidR="00BA29FF" w:rsidRDefault="00BA29FF">
      <w:pPr>
        <w:pStyle w:val="aNoteBulletss"/>
        <w:tabs>
          <w:tab w:val="left" w:pos="2300"/>
        </w:tabs>
      </w:pPr>
      <w:r>
        <w:rPr>
          <w:rFonts w:ascii="Symbol" w:hAnsi="Symbol"/>
        </w:rPr>
        <w:t></w:t>
      </w:r>
      <w:r>
        <w:rPr>
          <w:rFonts w:ascii="Symbol" w:hAnsi="Symbol"/>
        </w:rPr>
        <w:tab/>
      </w:r>
      <w:r>
        <w:t>territory plan (www.legislation.act.gov.au)</w:t>
      </w:r>
    </w:p>
    <w:p w:rsidR="00BA29FF" w:rsidRDefault="00BA29FF">
      <w:pPr>
        <w:pStyle w:val="aNoteBulletss"/>
        <w:tabs>
          <w:tab w:val="left" w:pos="2300"/>
        </w:tabs>
      </w:pPr>
      <w:r>
        <w:rPr>
          <w:rFonts w:ascii="Symbol" w:hAnsi="Symbol"/>
        </w:rPr>
        <w:t></w:t>
      </w:r>
      <w:r>
        <w:rPr>
          <w:rFonts w:ascii="Symbol" w:hAnsi="Symbol"/>
        </w:rPr>
        <w:tab/>
      </w:r>
      <w:r>
        <w:t>zone.</w:t>
      </w:r>
    </w:p>
    <w:p w:rsidR="00BA29FF" w:rsidRDefault="00BA29FF">
      <w:pPr>
        <w:pStyle w:val="aDef"/>
      </w:pPr>
      <w:r>
        <w:rPr>
          <w:b/>
          <w:i/>
        </w:rPr>
        <w:t>added value</w:t>
      </w:r>
      <w:r>
        <w:rPr>
          <w:bCs/>
          <w:iCs/>
        </w:rPr>
        <w:t>, for the variation of a lease, for part 5.5 (</w:t>
      </w:r>
      <w:r>
        <w:t>Change of use charges</w:t>
      </w:r>
      <w:r>
        <w:rPr>
          <w:bCs/>
          <w:iCs/>
        </w:rPr>
        <w:t xml:space="preserve">)—see section 170. </w:t>
      </w:r>
    </w:p>
    <w:p w:rsidR="00BA29FF" w:rsidRDefault="00BA29FF">
      <w:pPr>
        <w:pStyle w:val="aDef"/>
      </w:pPr>
      <w:r>
        <w:rPr>
          <w:b/>
          <w:i/>
        </w:rPr>
        <w:t>allocated land</w:t>
      </w:r>
      <w:r>
        <w:t xml:space="preserve">, in relation to the housing commissioner, for part 5.1 (Direct sale of leases)—see section </w:t>
      </w:r>
      <w:r>
        <w:rPr>
          <w:iCs/>
        </w:rPr>
        <w:t>100</w:t>
      </w:r>
      <w:r>
        <w:t>.</w:t>
      </w:r>
    </w:p>
    <w:p w:rsidR="00BA29FF" w:rsidRDefault="00BA29FF">
      <w:pPr>
        <w:pStyle w:val="aDef"/>
      </w:pPr>
      <w:r>
        <w:rPr>
          <w:b/>
          <w:i/>
        </w:rPr>
        <w:lastRenderedPageBreak/>
        <w:t>approved development</w:t>
      </w:r>
      <w:r>
        <w:t>, for schedule 1A (Permitted variations to approved and exempt developments)—see schedule 1A, section 1A.1.</w:t>
      </w:r>
    </w:p>
    <w:p w:rsidR="00BA29FF" w:rsidRDefault="00BA29FF">
      <w:pPr>
        <w:pStyle w:val="aDef"/>
      </w:pPr>
      <w:r>
        <w:rPr>
          <w:b/>
          <w:i/>
        </w:rPr>
        <w:t>Australian National University</w:t>
      </w:r>
      <w:r>
        <w:t>, for part 5.1 (Direct sale of leases)—see section </w:t>
      </w:r>
      <w:r>
        <w:rPr>
          <w:iCs/>
        </w:rPr>
        <w:t>100</w:t>
      </w:r>
      <w:r>
        <w:t>.</w:t>
      </w:r>
    </w:p>
    <w:p w:rsidR="00BA29FF" w:rsidRDefault="00BA29FF">
      <w:pPr>
        <w:pStyle w:val="aDef"/>
      </w:pPr>
      <w:r>
        <w:rPr>
          <w:b/>
          <w:i/>
        </w:rPr>
        <w:t>basic paling fence</w:t>
      </w:r>
      <w:r>
        <w:t>, for schedule 1 (Exemptions from requirement for development approval)—see the Act, section 416A.</w:t>
      </w:r>
    </w:p>
    <w:p w:rsidR="00BA29FF" w:rsidRDefault="00BA29FF">
      <w:pPr>
        <w:pStyle w:val="aDef"/>
      </w:pPr>
      <w:r>
        <w:rPr>
          <w:rStyle w:val="charBoldItals"/>
        </w:rPr>
        <w:t>Belconnen town centre</w:t>
      </w:r>
      <w:r>
        <w:t>, for schedule 3 (Matters exempt from third</w:t>
      </w:r>
      <w:r>
        <w:noBreakHyphen/>
        <w:t>party AAT review)—see schedule 3, section 3.1.</w:t>
      </w:r>
    </w:p>
    <w:p w:rsidR="00BA29FF" w:rsidRDefault="00BA29FF">
      <w:pPr>
        <w:pStyle w:val="aDef"/>
      </w:pPr>
      <w:r>
        <w:rPr>
          <w:b/>
          <w:bCs/>
          <w:i/>
          <w:iCs/>
        </w:rPr>
        <w:t>block</w:t>
      </w:r>
      <w:r>
        <w:t xml:space="preserve"> means a block under the </w:t>
      </w:r>
      <w:r>
        <w:rPr>
          <w:i/>
          <w:iCs/>
        </w:rPr>
        <w:t>Districts Act 2002</w:t>
      </w:r>
      <w:r>
        <w:t>.</w:t>
      </w:r>
    </w:p>
    <w:p w:rsidR="00BA29FF" w:rsidRDefault="00BA29FF">
      <w:pPr>
        <w:pStyle w:val="aDef"/>
      </w:pPr>
      <w:r>
        <w:rPr>
          <w:b/>
          <w:bCs/>
          <w:i/>
          <w:iCs/>
        </w:rPr>
        <w:t>building line</w:t>
      </w:r>
      <w:r>
        <w:t>, for schedule 1 (Exemptions from requirement for development approval)—see the territory plan (13 Definitions).</w:t>
      </w:r>
    </w:p>
    <w:p w:rsidR="00BA29FF" w:rsidRDefault="00BA29FF">
      <w:pPr>
        <w:pStyle w:val="aDef"/>
      </w:pPr>
      <w:r>
        <w:rPr>
          <w:rStyle w:val="charBoldItals"/>
        </w:rPr>
        <w:t>bushfire emergency</w:t>
      </w:r>
      <w:r>
        <w:t>, for chapter 9 (Bushfire emergency rebuilding)—see section 372.</w:t>
      </w:r>
    </w:p>
    <w:p w:rsidR="00BA29FF" w:rsidRDefault="00BA29FF">
      <w:pPr>
        <w:pStyle w:val="aDef"/>
      </w:pPr>
      <w:r>
        <w:rPr>
          <w:b/>
          <w:i/>
        </w:rPr>
        <w:t>business-case criteria</w:t>
      </w:r>
      <w:r>
        <w:t xml:space="preserve">, in relation to the direct sale of a lease to a person, for part 5.1 (Direct sale of leases)—see </w:t>
      </w:r>
      <w:r>
        <w:rPr>
          <w:bCs/>
          <w:iCs/>
        </w:rPr>
        <w:t>section 101</w:t>
      </w:r>
      <w:r>
        <w:t>.</w:t>
      </w:r>
    </w:p>
    <w:p w:rsidR="00BA29FF" w:rsidRDefault="00BA29FF">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BA29FF" w:rsidRDefault="00BA29FF">
      <w:pPr>
        <w:pStyle w:val="aDef"/>
      </w:pPr>
      <w:r>
        <w:rPr>
          <w:b/>
          <w:bCs/>
          <w:i/>
          <w:iCs/>
        </w:rPr>
        <w:t>carport</w:t>
      </w:r>
      <w:r>
        <w:t>, for schedule 1 (Exemptions from requirement for development approval)—see the territory plan (13 Definitions).</w:t>
      </w:r>
    </w:p>
    <w:p w:rsidR="00BA29FF" w:rsidRDefault="00BA29FF">
      <w:pPr>
        <w:pStyle w:val="aDef"/>
      </w:pPr>
      <w:r>
        <w:rPr>
          <w:rStyle w:val="charBoldItals"/>
        </w:rPr>
        <w:t>city centre</w:t>
      </w:r>
      <w:r>
        <w:t>, for schedule 3 (Matters exempt from third</w:t>
      </w:r>
      <w:r>
        <w:noBreakHyphen/>
        <w:t>party AAT review)—see schedule 3, section 3.1.</w:t>
      </w:r>
    </w:p>
    <w:p w:rsidR="00BA29FF" w:rsidRDefault="00BA29FF">
      <w:pPr>
        <w:pStyle w:val="aDef"/>
      </w:pPr>
      <w:r>
        <w:rPr>
          <w:b/>
          <w:i/>
        </w:rPr>
        <w:t>City West precinct</w:t>
      </w:r>
      <w:r>
        <w:t>, for part 5.1 (Direct sale of leases)—see section 102.</w:t>
      </w:r>
    </w:p>
    <w:p w:rsidR="00BA29FF" w:rsidRDefault="00BA29FF">
      <w:pPr>
        <w:pStyle w:val="aDef"/>
      </w:pPr>
      <w:r>
        <w:rPr>
          <w:b/>
          <w:i/>
        </w:rPr>
        <w:t>City West precinct deed</w:t>
      </w:r>
      <w:r>
        <w:t xml:space="preserve">, for part 5.1 (Direct sale of leases)—see </w:t>
      </w:r>
      <w:r>
        <w:rPr>
          <w:bCs/>
          <w:iCs/>
        </w:rPr>
        <w:t>section </w:t>
      </w:r>
      <w:r>
        <w:rPr>
          <w:iCs/>
        </w:rPr>
        <w:t>100</w:t>
      </w:r>
      <w:r>
        <w:t>.</w:t>
      </w:r>
    </w:p>
    <w:p w:rsidR="00BA29FF" w:rsidRDefault="00BA29FF">
      <w:pPr>
        <w:pStyle w:val="aDef"/>
        <w:keepNext/>
      </w:pPr>
      <w:r>
        <w:rPr>
          <w:b/>
          <w:bCs/>
          <w:i/>
          <w:iCs/>
        </w:rPr>
        <w:t>class</w:t>
      </w:r>
      <w:r>
        <w:t>, for a building or structure, means the class of building or structure under the building code.</w:t>
      </w:r>
    </w:p>
    <w:p w:rsidR="00BA29FF" w:rsidRDefault="00BA29FF">
      <w:pPr>
        <w:pStyle w:val="aNote"/>
      </w:pPr>
      <w:r>
        <w:rPr>
          <w:i/>
        </w:rPr>
        <w:t>Note</w:t>
      </w:r>
      <w:r>
        <w:rPr>
          <w:i/>
        </w:rPr>
        <w:tab/>
      </w:r>
      <w:r>
        <w:rPr>
          <w:b/>
          <w:bCs/>
          <w:i/>
          <w:iCs/>
        </w:rPr>
        <w:t>Building code</w:t>
      </w:r>
      <w:r>
        <w:t>—see the Legislation Act, dict, pt 1.</w:t>
      </w:r>
    </w:p>
    <w:p w:rsidR="00BA29FF" w:rsidRDefault="00BA29FF">
      <w:pPr>
        <w:pStyle w:val="aDef"/>
      </w:pPr>
      <w:r>
        <w:rPr>
          <w:b/>
          <w:i/>
        </w:rPr>
        <w:lastRenderedPageBreak/>
        <w:t>class 10a building</w:t>
      </w:r>
      <w:r>
        <w:t>, for schedule 1, division 1.3.2 (Exempt developments—non-habitable buildings and structures)—see schedule 1, section 1.40.</w:t>
      </w:r>
    </w:p>
    <w:p w:rsidR="00BA29FF" w:rsidRDefault="00BA29FF">
      <w:pPr>
        <w:pStyle w:val="aDef"/>
      </w:pPr>
      <w:r>
        <w:rPr>
          <w:b/>
          <w:i/>
        </w:rPr>
        <w:t>clearing</w:t>
      </w:r>
      <w:r>
        <w:t xml:space="preserve">, for schedule 1 (Exemptions from requirement for development approval)—see the </w:t>
      </w:r>
      <w:r>
        <w:rPr>
          <w:i/>
          <w:iCs/>
        </w:rPr>
        <w:t>Nature Conservation Act 1980</w:t>
      </w:r>
      <w:r>
        <w:t>, section 74.</w:t>
      </w:r>
    </w:p>
    <w:p w:rsidR="00BA29FF" w:rsidRDefault="00BA29FF">
      <w:pPr>
        <w:pStyle w:val="aDef"/>
        <w:keepNext/>
      </w:pPr>
      <w:r>
        <w:rPr>
          <w:rStyle w:val="charBoldItals"/>
        </w:rPr>
        <w:t>Commonwealth entity</w:t>
      </w:r>
      <w:r>
        <w:t xml:space="preserve">, for part 5.1 (Direct sale of leases)—see section </w:t>
      </w:r>
      <w:r>
        <w:rPr>
          <w:iCs/>
        </w:rPr>
        <w:t>100</w:t>
      </w:r>
      <w:r>
        <w:t>.</w:t>
      </w:r>
    </w:p>
    <w:p w:rsidR="00BA29FF" w:rsidRDefault="00BA29FF">
      <w:pPr>
        <w:pStyle w:val="aDef"/>
        <w:keepNext/>
      </w:pPr>
      <w:r>
        <w:rPr>
          <w:b/>
          <w:i/>
        </w:rPr>
        <w:t>community organisation</w:t>
      </w:r>
      <w:r>
        <w:t xml:space="preserve"> means a corporation that—</w:t>
      </w:r>
    </w:p>
    <w:p w:rsidR="00BA29FF" w:rsidRDefault="00BA29FF">
      <w:pPr>
        <w:pStyle w:val="aDefpara"/>
      </w:pPr>
      <w:r>
        <w:tab/>
        <w:t>(a)</w:t>
      </w:r>
      <w:r>
        <w:tab/>
        <w:t>has, as its principal purpose, the provision of a service, or a form of assistance, to people living or working in the ACT; and</w:t>
      </w:r>
    </w:p>
    <w:p w:rsidR="00BA29FF" w:rsidRDefault="00BA29FF">
      <w:pPr>
        <w:pStyle w:val="aDefpara"/>
      </w:pPr>
      <w:r>
        <w:tab/>
        <w:t>(b)</w:t>
      </w:r>
      <w:r>
        <w:tab/>
        <w:t xml:space="preserve">is not carried on for the financial benefit of its members; and </w:t>
      </w:r>
    </w:p>
    <w:p w:rsidR="00BA29FF" w:rsidRDefault="00BA29FF">
      <w:pPr>
        <w:pStyle w:val="aDefpara"/>
      </w:pPr>
      <w:r>
        <w:tab/>
        <w:t>(c)</w:t>
      </w:r>
      <w:r>
        <w:tab/>
        <w:t xml:space="preserve">does not hold a club licence under the </w:t>
      </w:r>
      <w:r>
        <w:rPr>
          <w:i/>
          <w:iCs/>
        </w:rPr>
        <w:t>Liquor Act 1975</w:t>
      </w:r>
      <w:r>
        <w:t>.</w:t>
      </w:r>
    </w:p>
    <w:p w:rsidR="00BA29FF" w:rsidRDefault="00BA29FF">
      <w:pPr>
        <w:pStyle w:val="aDef"/>
      </w:pPr>
      <w:r>
        <w:rPr>
          <w:b/>
          <w:i/>
        </w:rPr>
        <w:t>community use</w:t>
      </w:r>
      <w:r>
        <w:t>—see the territory plan (13 Definitions).</w:t>
      </w:r>
    </w:p>
    <w:p w:rsidR="00BA29FF" w:rsidRDefault="00BA29FF">
      <w:pPr>
        <w:pStyle w:val="aDef"/>
      </w:pPr>
      <w:r>
        <w:rPr>
          <w:b/>
          <w:i/>
        </w:rPr>
        <w:t>constitution</w:t>
      </w:r>
      <w:r>
        <w:rPr>
          <w:bCs/>
          <w:iCs/>
        </w:rPr>
        <w:t xml:space="preserve">, for a corporation, </w:t>
      </w:r>
      <w:r>
        <w:t xml:space="preserve">for part 5.1 (Direct sale of leases)—see section </w:t>
      </w:r>
      <w:r>
        <w:rPr>
          <w:iCs/>
        </w:rPr>
        <w:t>100</w:t>
      </w:r>
      <w:r>
        <w:t>.</w:t>
      </w:r>
    </w:p>
    <w:p w:rsidR="00BA29FF" w:rsidRDefault="00BA29FF">
      <w:pPr>
        <w:pStyle w:val="aDef"/>
      </w:pPr>
      <w:r>
        <w:rPr>
          <w:b/>
          <w:i/>
        </w:rPr>
        <w:t>consultation plan</w:t>
      </w:r>
      <w:r>
        <w:t>, in relation to a strategic environmental assessment—see section 15.</w:t>
      </w:r>
    </w:p>
    <w:p w:rsidR="00BA29FF" w:rsidRDefault="00BA29FF">
      <w:pPr>
        <w:pStyle w:val="aDef"/>
      </w:pPr>
      <w:r>
        <w:rPr>
          <w:b/>
          <w:i/>
        </w:rPr>
        <w:t>consultation report</w:t>
      </w:r>
      <w:r>
        <w:t>, in relation to a strategic environmental assessment—see section 15.</w:t>
      </w:r>
    </w:p>
    <w:p w:rsidR="00BA29FF" w:rsidRDefault="00BA29FF">
      <w:pPr>
        <w:pStyle w:val="aDef"/>
      </w:pPr>
      <w:r>
        <w:rPr>
          <w:rStyle w:val="charBoldItals"/>
        </w:rPr>
        <w:t>corrections facility</w:t>
      </w:r>
      <w:r>
        <w:t>, for schedule 3 (Matters exempt from third-party AAT review)—see the territory plan (13 Definitions).</w:t>
      </w:r>
    </w:p>
    <w:p w:rsidR="00BA29FF" w:rsidRDefault="00BA29FF">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BA29FF" w:rsidRDefault="00BA29FF">
      <w:pPr>
        <w:pStyle w:val="aDef"/>
      </w:pPr>
      <w:r>
        <w:rPr>
          <w:b/>
          <w:bCs/>
          <w:i/>
          <w:iCs/>
          <w:lang w:val="en-US"/>
        </w:rPr>
        <w:t>designated development</w:t>
      </w:r>
      <w:r>
        <w:rPr>
          <w:lang w:val="en-US"/>
        </w:rPr>
        <w:t>, in relation to land—see schedule 1 (Exemptions from requirement for development approval), section 1.2.</w:t>
      </w:r>
    </w:p>
    <w:p w:rsidR="00BA29FF" w:rsidRDefault="00BA29FF">
      <w:pPr>
        <w:pStyle w:val="aDef"/>
      </w:pPr>
      <w:r>
        <w:rPr>
          <w:b/>
          <w:i/>
        </w:rPr>
        <w:t>direct sale</w:t>
      </w:r>
      <w:r>
        <w:t xml:space="preserve">, for part 5.1 (Direct sale of leases)—see section </w:t>
      </w:r>
      <w:r>
        <w:rPr>
          <w:iCs/>
        </w:rPr>
        <w:t>100</w:t>
      </w:r>
      <w:r>
        <w:t>.</w:t>
      </w:r>
    </w:p>
    <w:p w:rsidR="00BA29FF" w:rsidRDefault="00BA29FF">
      <w:pPr>
        <w:pStyle w:val="aDef"/>
      </w:pPr>
      <w:r>
        <w:rPr>
          <w:b/>
          <w:bCs/>
          <w:i/>
          <w:iCs/>
        </w:rPr>
        <w:lastRenderedPageBreak/>
        <w:t>dwelling</w:t>
      </w:r>
      <w:r>
        <w:t>—see section 5.</w:t>
      </w:r>
    </w:p>
    <w:p w:rsidR="00BA29FF" w:rsidRDefault="00BA29FF">
      <w:pPr>
        <w:pStyle w:val="aDef"/>
      </w:pPr>
      <w:r>
        <w:rPr>
          <w:b/>
          <w:i/>
        </w:rPr>
        <w:t>earlier index number</w:t>
      </w:r>
      <w:r>
        <w:rPr>
          <w:bCs/>
          <w:iCs/>
        </w:rPr>
        <w:t xml:space="preserve">, in relation to a lease, </w:t>
      </w:r>
      <w:r>
        <w:t xml:space="preserve">for part 5.6 (Discharge amounts for rural leases)—see section 190. </w:t>
      </w:r>
    </w:p>
    <w:p w:rsidR="00BA29FF" w:rsidRDefault="00BA29FF">
      <w:pPr>
        <w:pStyle w:val="aDef"/>
      </w:pPr>
      <w:r>
        <w:rPr>
          <w:b/>
          <w:i/>
        </w:rPr>
        <w:t>educational establishment</w:t>
      </w:r>
      <w:r>
        <w:t>, for part 5.1 (Direct sale of leases)—see section 100.</w:t>
      </w:r>
    </w:p>
    <w:p w:rsidR="00BA29FF" w:rsidRDefault="00BA29FF">
      <w:pPr>
        <w:pStyle w:val="aDef"/>
      </w:pPr>
      <w:r>
        <w:rPr>
          <w:b/>
          <w:i/>
        </w:rPr>
        <w:t>excluded amount</w:t>
      </w:r>
      <w:r>
        <w:rPr>
          <w:bCs/>
          <w:iCs/>
        </w:rPr>
        <w:t xml:space="preserve">, in relation to a lease, </w:t>
      </w:r>
      <w:r>
        <w:t>for part 5.6 (Discharge amounts for rural leases)—see section 190.</w:t>
      </w:r>
    </w:p>
    <w:p w:rsidR="00BA29FF" w:rsidRDefault="00BA29FF">
      <w:pPr>
        <w:pStyle w:val="aDef"/>
      </w:pPr>
      <w:r>
        <w:rPr>
          <w:b/>
          <w:i/>
        </w:rPr>
        <w:t>exempt development</w:t>
      </w:r>
      <w:r>
        <w:t>, for schedule 1A (Permitted variations to approved and exempt developments)—see schedule 1A, section 1A.1.</w:t>
      </w:r>
    </w:p>
    <w:p w:rsidR="00BA29FF" w:rsidRDefault="00BA29FF">
      <w:pPr>
        <w:pStyle w:val="aDef"/>
      </w:pPr>
      <w:r>
        <w:rPr>
          <w:b/>
          <w:bCs/>
          <w:i/>
          <w:iCs/>
          <w:lang w:val="en-US"/>
        </w:rPr>
        <w:t>finished floor level</w:t>
      </w:r>
      <w:r>
        <w:rPr>
          <w:lang w:val="en-US"/>
        </w:rPr>
        <w:t>—see the territory plan (13 Definitions).</w:t>
      </w:r>
    </w:p>
    <w:p w:rsidR="00BA29FF" w:rsidRDefault="00BA29FF">
      <w:pPr>
        <w:pStyle w:val="aDef"/>
      </w:pPr>
      <w:r>
        <w:rPr>
          <w:b/>
          <w:bCs/>
          <w:i/>
          <w:iCs/>
        </w:rPr>
        <w:t>finished ground level</w:t>
      </w:r>
      <w:r>
        <w:t>—see the territory plan (13 Definitions).</w:t>
      </w:r>
    </w:p>
    <w:p w:rsidR="00BA29FF" w:rsidRDefault="00BA29FF">
      <w:pPr>
        <w:pStyle w:val="aDef"/>
        <w:keepNext/>
      </w:pPr>
      <w:r>
        <w:rPr>
          <w:rStyle w:val="charBoldItals"/>
        </w:rPr>
        <w:t>fire-caused rebuilding development</w:t>
      </w:r>
      <w:r>
        <w:t>, for chapter 9 (Bushfire emergency rebuilding)—see section 373.</w:t>
      </w:r>
    </w:p>
    <w:p w:rsidR="00BA29FF" w:rsidRDefault="00BA29FF">
      <w:pPr>
        <w:pStyle w:val="aDef"/>
      </w:pPr>
      <w:r>
        <w:rPr>
          <w:b/>
          <w:bCs/>
          <w:i/>
          <w:iCs/>
        </w:rPr>
        <w:t>front boundary</w:t>
      </w:r>
      <w:r>
        <w:t>—see the territory plan (13 Definitions).</w:t>
      </w:r>
    </w:p>
    <w:p w:rsidR="00BA29FF" w:rsidRDefault="00BA29FF">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BA29FF" w:rsidRDefault="00BA29FF">
      <w:pPr>
        <w:pStyle w:val="aDef"/>
      </w:pPr>
      <w:r>
        <w:rPr>
          <w:b/>
          <w:i/>
        </w:rPr>
        <w:t>gross floor area</w:t>
      </w:r>
      <w:r>
        <w:t>—see the territory plan (13 Definitions).</w:t>
      </w:r>
    </w:p>
    <w:p w:rsidR="00BA29FF" w:rsidRDefault="00BA29FF">
      <w:pPr>
        <w:pStyle w:val="aDef"/>
      </w:pPr>
      <w:r>
        <w:rPr>
          <w:rStyle w:val="charBoldItals"/>
        </w:rPr>
        <w:t>Gungahlin town centre</w:t>
      </w:r>
      <w:r>
        <w:t>, for schedule 3 (Matters exempt from third</w:t>
      </w:r>
      <w:r>
        <w:noBreakHyphen/>
        <w:t>party AAT review)—see schedule 3, section 3.1.</w:t>
      </w:r>
    </w:p>
    <w:p w:rsidR="00BA29FF" w:rsidRDefault="00BA29FF">
      <w:pPr>
        <w:pStyle w:val="aDef"/>
        <w:keepNext/>
      </w:pPr>
      <w:r>
        <w:rPr>
          <w:b/>
          <w:i/>
        </w:rPr>
        <w:t>height</w:t>
      </w:r>
      <w:r>
        <w:t xml:space="preserve"> means—</w:t>
      </w:r>
    </w:p>
    <w:p w:rsidR="00BA29FF" w:rsidRDefault="00BA29FF">
      <w:pPr>
        <w:pStyle w:val="aDefpara"/>
        <w:keepNext/>
      </w:pPr>
      <w:r>
        <w:tab/>
        <w:t>(a)</w:t>
      </w:r>
      <w:r>
        <w:tab/>
        <w:t>for a thing (including a building or structure)—</w:t>
      </w:r>
    </w:p>
    <w:p w:rsidR="00BA29FF" w:rsidRDefault="00BA29FF">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BA29FF" w:rsidRDefault="00BA29FF">
      <w:pPr>
        <w:pStyle w:val="aDefsubpara"/>
      </w:pPr>
      <w:r>
        <w:lastRenderedPageBreak/>
        <w:tab/>
        <w:t>(ii)</w:t>
      </w:r>
      <w:r>
        <w:tab/>
        <w:t>in relation to natural ground level—the largest of the vertical distances measured at all points for the thing between natural ground level for each point to the top of the thing above the point; or</w:t>
      </w:r>
    </w:p>
    <w:p w:rsidR="00BA29FF" w:rsidRDefault="00BA29FF">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BA29FF" w:rsidRDefault="00BA29FF">
      <w:pPr>
        <w:pStyle w:val="aDefpara"/>
      </w:pPr>
      <w:r>
        <w:tab/>
        <w:t>(b)</w:t>
      </w:r>
      <w:r>
        <w:tab/>
        <w:t xml:space="preserve">for a building or structure, for chapter 9 (Bushfire emergency rebuilding)—see section 371. </w:t>
      </w:r>
    </w:p>
    <w:p w:rsidR="00BA29FF" w:rsidRDefault="00BA29FF">
      <w:pPr>
        <w:pStyle w:val="aDef"/>
      </w:pPr>
      <w:r>
        <w:rPr>
          <w:b/>
          <w:i/>
        </w:rPr>
        <w:t>index number</w:t>
      </w:r>
      <w:r>
        <w:t>, for part 5.6 (Discharge amounts for rural leases)—see section 190.</w:t>
      </w:r>
    </w:p>
    <w:p w:rsidR="00BA29FF" w:rsidRDefault="00BA29FF">
      <w:pPr>
        <w:pStyle w:val="aDef"/>
      </w:pPr>
      <w:r>
        <w:rPr>
          <w:b/>
          <w:bCs/>
          <w:i/>
          <w:iCs/>
        </w:rPr>
        <w:t>member</w:t>
      </w:r>
      <w:r>
        <w:t>, for part 4.2 (Inquiry panels)—see section 70.</w:t>
      </w:r>
    </w:p>
    <w:p w:rsidR="00BA29FF" w:rsidRDefault="00BA29FF">
      <w:pPr>
        <w:pStyle w:val="aDef"/>
      </w:pPr>
      <w:r>
        <w:rPr>
          <w:b/>
          <w:i/>
        </w:rPr>
        <w:t>native vegetation</w:t>
      </w:r>
      <w:r>
        <w:t xml:space="preserve">, for schedule 1 (Exemptions from requirement for development approval)—see the </w:t>
      </w:r>
      <w:r>
        <w:rPr>
          <w:i/>
          <w:iCs/>
        </w:rPr>
        <w:t>Nature Conservation Act 1980</w:t>
      </w:r>
      <w:r>
        <w:t>, section 73.</w:t>
      </w:r>
    </w:p>
    <w:p w:rsidR="00BA29FF" w:rsidRDefault="00BA29FF">
      <w:pPr>
        <w:pStyle w:val="aDef"/>
      </w:pPr>
      <w:r>
        <w:rPr>
          <w:b/>
          <w:bCs/>
          <w:i/>
          <w:iCs/>
        </w:rPr>
        <w:t>natural ground level</w:t>
      </w:r>
      <w:r>
        <w:t>—see the territory plan (13 Definitions).</w:t>
      </w:r>
    </w:p>
    <w:p w:rsidR="00BA29FF" w:rsidRDefault="00BA29FF">
      <w:pPr>
        <w:pStyle w:val="aDef"/>
      </w:pPr>
      <w:r>
        <w:rPr>
          <w:b/>
          <w:i/>
        </w:rPr>
        <w:t>open space boundary</w:t>
      </w:r>
      <w:r>
        <w:t>, for schedule 1 (Exemptions from requirement for development approval)—see schedule 1, section 1.1.</w:t>
      </w:r>
    </w:p>
    <w:p w:rsidR="00BA29FF" w:rsidRDefault="00BA29FF">
      <w:pPr>
        <w:pStyle w:val="aDef"/>
        <w:keepNext/>
      </w:pPr>
      <w:r>
        <w:rPr>
          <w:b/>
          <w:bCs/>
          <w:i/>
          <w:iCs/>
        </w:rPr>
        <w:t>plan area</w:t>
      </w:r>
      <w:r>
        <w:t>, of a building or structure, means the total horizontal area of the building or structure if viewed from above.</w:t>
      </w:r>
    </w:p>
    <w:p w:rsidR="00BA29FF" w:rsidRDefault="00BA29FF">
      <w:pPr>
        <w:pStyle w:val="aExamHdgss"/>
      </w:pPr>
      <w:r>
        <w:t>Example</w:t>
      </w:r>
    </w:p>
    <w:p w:rsidR="00BA29FF" w:rsidRDefault="00BA29FF">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BA29FF" w:rsidRDefault="00BA29FF">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BA29FF" w:rsidRDefault="00BA29FF">
      <w:pPr>
        <w:pStyle w:val="aNote"/>
      </w:pPr>
      <w:r>
        <w:rPr>
          <w:i/>
        </w:rPr>
        <w:t>Note</w:t>
      </w:r>
      <w:r>
        <w:rPr>
          <w:i/>
        </w:rPr>
        <w:tab/>
      </w:r>
      <w:r>
        <w:t>An example is part of the regulation, is not exhaustive and may extend, but does not limit, the meaning of the provision in which it appears (see Legislation Act, s 126 and s 132).</w:t>
      </w:r>
    </w:p>
    <w:p w:rsidR="00BA29FF" w:rsidRDefault="00BA29FF">
      <w:pPr>
        <w:pStyle w:val="aDef"/>
      </w:pPr>
      <w:r>
        <w:rPr>
          <w:b/>
          <w:i/>
        </w:rPr>
        <w:lastRenderedPageBreak/>
        <w:t>prescribed general exemption criteria</w:t>
      </w:r>
      <w:r>
        <w:t>, for schedule 1, division 1.3.3 (Exempt developments—signs)—see schedule 1, section 1.66.</w:t>
      </w:r>
    </w:p>
    <w:p w:rsidR="00BA29FF" w:rsidRDefault="00BA29FF">
      <w:pPr>
        <w:pStyle w:val="aDef"/>
      </w:pPr>
      <w:r>
        <w:rPr>
          <w:b/>
          <w:bCs/>
          <w:i/>
          <w:iCs/>
        </w:rPr>
        <w:t>presiding member</w:t>
      </w:r>
      <w:r>
        <w:t>, for part 4.2 (Inquiry panels)—see section 70.</w:t>
      </w:r>
    </w:p>
    <w:p w:rsidR="00BA29FF" w:rsidRDefault="00BA29FF">
      <w:pPr>
        <w:pStyle w:val="aDef"/>
      </w:pPr>
      <w:r>
        <w:rPr>
          <w:rStyle w:val="charBoldItals"/>
        </w:rPr>
        <w:t>previously approved</w:t>
      </w:r>
      <w:r>
        <w:t>, for chapter 9 (Bushfire emergency rebuilding)—see section 374.</w:t>
      </w:r>
    </w:p>
    <w:p w:rsidR="00BA29FF" w:rsidRDefault="00BA29FF">
      <w:pPr>
        <w:pStyle w:val="aDef"/>
      </w:pPr>
      <w:r>
        <w:rPr>
          <w:b/>
          <w:bCs/>
          <w:i/>
          <w:iCs/>
        </w:rPr>
        <w:t>proposal</w:t>
      </w:r>
      <w:r>
        <w:t>, for a strategic environmental assessment, for chapter 2 (Strategic environmental assessments)—see section 10.</w:t>
      </w:r>
    </w:p>
    <w:p w:rsidR="00BA29FF" w:rsidRDefault="00BA29FF">
      <w:pPr>
        <w:pStyle w:val="aDef"/>
      </w:pPr>
      <w:r>
        <w:rPr>
          <w:b/>
          <w:bCs/>
          <w:i/>
          <w:iCs/>
        </w:rPr>
        <w:t>rear boundary</w:t>
      </w:r>
      <w:r>
        <w:t xml:space="preserve"> means a boundary that is not a front boundary and does not meet a front boundary.</w:t>
      </w:r>
    </w:p>
    <w:p w:rsidR="00BA29FF" w:rsidRDefault="00BA29FF">
      <w:pPr>
        <w:pStyle w:val="aDef"/>
      </w:pPr>
      <w:r>
        <w:rPr>
          <w:b/>
          <w:i/>
        </w:rPr>
        <w:t>recently commenced lease</w:t>
      </w:r>
      <w:r>
        <w:t>, for division 5.5.3 (Increase of change of use charge)—see section 180.</w:t>
      </w:r>
    </w:p>
    <w:p w:rsidR="00BA29FF" w:rsidRDefault="00BA29FF">
      <w:pPr>
        <w:pStyle w:val="aDef"/>
      </w:pPr>
      <w:r>
        <w:rPr>
          <w:b/>
          <w:i/>
        </w:rPr>
        <w:t>residential lease</w:t>
      </w:r>
      <w:r>
        <w:t>—see the Act, section 234.</w:t>
      </w:r>
    </w:p>
    <w:p w:rsidR="00BA29FF" w:rsidRDefault="00BA29FF">
      <w:pPr>
        <w:pStyle w:val="aDef"/>
      </w:pPr>
      <w:r>
        <w:rPr>
          <w:b/>
          <w:i/>
        </w:rPr>
        <w:t>rules</w:t>
      </w:r>
      <w:r>
        <w:rPr>
          <w:bCs/>
          <w:iCs/>
        </w:rPr>
        <w:t>, for an incorporated association</w:t>
      </w:r>
      <w:r>
        <w:t>, for part 5.1 (Direct sale of leases)—see section 100.</w:t>
      </w:r>
    </w:p>
    <w:p w:rsidR="00BA29FF" w:rsidRDefault="00BA29FF">
      <w:pPr>
        <w:pStyle w:val="aDef"/>
      </w:pPr>
      <w:r>
        <w:rPr>
          <w:b/>
          <w:i/>
        </w:rPr>
        <w:t>rural lease</w:t>
      </w:r>
      <w:r>
        <w:t>—see the Act, section 234.</w:t>
      </w:r>
    </w:p>
    <w:p w:rsidR="00BA29FF" w:rsidRDefault="00BA29FF">
      <w:pPr>
        <w:pStyle w:val="aDef"/>
      </w:pPr>
      <w:r>
        <w:rPr>
          <w:b/>
          <w:i/>
        </w:rPr>
        <w:t>sch 1 exempt development</w:t>
      </w:r>
      <w:r>
        <w:t>, for schedule 1A (Permitted variations to approved and exempt developments)—see schedule 1A, section 1A.1.</w:t>
      </w:r>
    </w:p>
    <w:p w:rsidR="00BA29FF" w:rsidRDefault="00BA29FF">
      <w:pPr>
        <w:pStyle w:val="aDef"/>
      </w:pPr>
      <w:r>
        <w:rPr>
          <w:b/>
          <w:i/>
        </w:rPr>
        <w:t>SEA scoping document</w:t>
      </w:r>
      <w:r>
        <w:t>, in relation to a strategic environmental assessment—see section 13.</w:t>
      </w:r>
    </w:p>
    <w:p w:rsidR="00BA29FF" w:rsidRDefault="00BA29FF">
      <w:pPr>
        <w:pStyle w:val="aDef"/>
      </w:pPr>
      <w:r>
        <w:rPr>
          <w:rStyle w:val="charBoldItals"/>
        </w:rPr>
        <w:t>setback</w:t>
      </w:r>
      <w:r>
        <w:t>—see the territory plan (13 Definitions).</w:t>
      </w:r>
    </w:p>
    <w:p w:rsidR="00BA29FF" w:rsidRDefault="00BA29FF">
      <w:pPr>
        <w:pStyle w:val="aDef"/>
      </w:pPr>
      <w:r>
        <w:rPr>
          <w:b/>
          <w:bCs/>
          <w:i/>
          <w:iCs/>
        </w:rPr>
        <w:t>side boundary</w:t>
      </w:r>
      <w:r>
        <w:t xml:space="preserve"> means a boundary that meets a front boundary.</w:t>
      </w:r>
    </w:p>
    <w:p w:rsidR="00BA29FF" w:rsidRDefault="00BA29FF">
      <w:pPr>
        <w:pStyle w:val="aDef"/>
      </w:pPr>
      <w:r>
        <w:rPr>
          <w:b/>
          <w:i/>
        </w:rPr>
        <w:t>special Pialligo lease</w:t>
      </w:r>
      <w:r>
        <w:t>, for part 5.6 (Discharge amounts for rural leases)—see section 190.</w:t>
      </w:r>
    </w:p>
    <w:p w:rsidR="00BA29FF" w:rsidRDefault="00BA29FF">
      <w:pPr>
        <w:pStyle w:val="aDef"/>
      </w:pPr>
      <w:r>
        <w:rPr>
          <w:b/>
          <w:i/>
        </w:rPr>
        <w:t>subdivision</w:t>
      </w:r>
      <w:r>
        <w:t>—see the Act, section 234.</w:t>
      </w:r>
    </w:p>
    <w:p w:rsidR="00BA29FF" w:rsidRDefault="00BA29FF">
      <w:pPr>
        <w:pStyle w:val="aDef"/>
      </w:pPr>
      <w:r>
        <w:rPr>
          <w:b/>
          <w:i/>
        </w:rPr>
        <w:t>supportive accommodation</w:t>
      </w:r>
      <w:r>
        <w:t xml:space="preserve">, for part 5.1 (Direct sale of leases)—see section </w:t>
      </w:r>
      <w:r>
        <w:rPr>
          <w:iCs/>
        </w:rPr>
        <w:t>100</w:t>
      </w:r>
      <w:r>
        <w:t>.</w:t>
      </w:r>
    </w:p>
    <w:p w:rsidR="00BA29FF" w:rsidRDefault="00BA29FF">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BA29FF" w:rsidRDefault="00BA29FF">
      <w:pPr>
        <w:pStyle w:val="aDef"/>
      </w:pPr>
      <w:r>
        <w:rPr>
          <w:b/>
          <w:i/>
        </w:rPr>
        <w:lastRenderedPageBreak/>
        <w:t>territory entity</w:t>
      </w:r>
      <w:r>
        <w:t>, for part 5.1 (Direct sale of leases)—see section </w:t>
      </w:r>
      <w:r>
        <w:rPr>
          <w:iCs/>
        </w:rPr>
        <w:t>100</w:t>
      </w:r>
      <w:r>
        <w:t>.</w:t>
      </w:r>
    </w:p>
    <w:p w:rsidR="00BA29FF" w:rsidRDefault="00BA29FF">
      <w:pPr>
        <w:pStyle w:val="Amainreturn"/>
      </w:pPr>
      <w:r>
        <w:rPr>
          <w:rStyle w:val="charBoldItals"/>
        </w:rPr>
        <w:t>town centre</w:t>
      </w:r>
      <w:r>
        <w:t>, for schedule 3 (Matters exempt from third</w:t>
      </w:r>
      <w:r>
        <w:noBreakHyphen/>
        <w:t>party AAT review)—see schedule 3, section 3.1.</w:t>
      </w:r>
    </w:p>
    <w:p w:rsidR="00BA29FF" w:rsidRDefault="00BA29FF">
      <w:pPr>
        <w:pStyle w:val="Amainreturn"/>
      </w:pPr>
      <w:r>
        <w:rPr>
          <w:rStyle w:val="charBoldItals"/>
        </w:rPr>
        <w:t>Tuggeranong town centre</w:t>
      </w:r>
      <w:r>
        <w:t>, for schedule 3 (Matters exempt from third</w:t>
      </w:r>
      <w:r>
        <w:noBreakHyphen/>
        <w:t>party AAT review)—see schedule 3, section 3.1.</w:t>
      </w:r>
    </w:p>
    <w:p w:rsidR="00BA29FF" w:rsidRDefault="00BA29FF">
      <w:pPr>
        <w:pStyle w:val="aDef"/>
      </w:pPr>
      <w:r>
        <w:rPr>
          <w:b/>
          <w:i/>
        </w:rPr>
        <w:t>type</w:t>
      </w:r>
      <w:r>
        <w:t>, for a sign, for schedule 1 (Exemptions from requirement for development approval)—see schedule 1, section 1.1.</w:t>
      </w:r>
    </w:p>
    <w:p w:rsidR="00BA29FF" w:rsidRDefault="00BA29FF">
      <w:pPr>
        <w:pStyle w:val="Amainreturn"/>
      </w:pPr>
      <w:r>
        <w:rPr>
          <w:rStyle w:val="charBoldItals"/>
        </w:rPr>
        <w:t>Woden town centre</w:t>
      </w:r>
      <w:r>
        <w:t>, for schedule 3 (Matters exempt from third</w:t>
      </w:r>
      <w:r>
        <w:noBreakHyphen/>
        <w:t>party AAT review)—see schedule 3, section 3.1.</w:t>
      </w:r>
    </w:p>
    <w:p w:rsidR="00BA29FF" w:rsidRDefault="00BA29FF">
      <w:pPr>
        <w:pStyle w:val="04Dictionary"/>
        <w:sectPr w:rsidR="00BA29FF">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BA29FF" w:rsidRDefault="00BA29FF">
      <w:pPr>
        <w:pStyle w:val="Endnote1"/>
      </w:pPr>
      <w:bookmarkStart w:id="244" w:name="_Toc206921433"/>
      <w:r>
        <w:lastRenderedPageBreak/>
        <w:t>Endnotes</w:t>
      </w:r>
      <w:bookmarkEnd w:id="244"/>
    </w:p>
    <w:p w:rsidR="00BA29FF" w:rsidRDefault="00BA29FF">
      <w:pPr>
        <w:pStyle w:val="Endnote20"/>
      </w:pPr>
      <w:bookmarkStart w:id="245" w:name="_Toc206921434"/>
      <w:r>
        <w:rPr>
          <w:rStyle w:val="charTableNo"/>
        </w:rPr>
        <w:t>1</w:t>
      </w:r>
      <w:r>
        <w:tab/>
      </w:r>
      <w:r>
        <w:rPr>
          <w:rStyle w:val="charTableText"/>
        </w:rPr>
        <w:t>About the endnotes</w:t>
      </w:r>
      <w:bookmarkEnd w:id="245"/>
    </w:p>
    <w:p w:rsidR="00BA29FF" w:rsidRDefault="00BA29FF">
      <w:pPr>
        <w:pStyle w:val="EndNoteTextPub"/>
      </w:pPr>
      <w:r>
        <w:t>Amending and modifying laws are annotated in the legislation history and the amendment history.  Current modifications are not included in the republished law but are set out in the endnotes.</w:t>
      </w:r>
    </w:p>
    <w:p w:rsidR="00BA29FF" w:rsidRDefault="00BA29F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BA29FF" w:rsidRDefault="00BA29F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BA29FF" w:rsidRDefault="00BA29FF">
      <w:pPr>
        <w:pStyle w:val="EndNoteTextPub"/>
      </w:pPr>
      <w:r>
        <w:t xml:space="preserve">If all the provisions of the law have been renumbered, a table of renumbered provisions gives details of previous and current numbering.  </w:t>
      </w:r>
    </w:p>
    <w:p w:rsidR="00BA29FF" w:rsidRDefault="00BA29FF">
      <w:pPr>
        <w:pStyle w:val="EndNoteTextPub"/>
      </w:pPr>
      <w:r>
        <w:t>The endnotes also include a table of earlier republications.</w:t>
      </w:r>
    </w:p>
    <w:p w:rsidR="00BA29FF" w:rsidRDefault="00BA29FF">
      <w:pPr>
        <w:pStyle w:val="Endnote20"/>
      </w:pPr>
      <w:bookmarkStart w:id="246" w:name="_Toc206921435"/>
      <w:r>
        <w:rPr>
          <w:rStyle w:val="charTableNo"/>
        </w:rPr>
        <w:t>2</w:t>
      </w:r>
      <w:r>
        <w:tab/>
      </w:r>
      <w:r>
        <w:rPr>
          <w:rStyle w:val="charTableText"/>
        </w:rPr>
        <w:t>Abbreviation key</w:t>
      </w:r>
      <w:bookmarkEnd w:id="246"/>
    </w:p>
    <w:p w:rsidR="00BA29FF" w:rsidRDefault="00BA29FF">
      <w:pPr>
        <w:rPr>
          <w:sz w:val="4"/>
        </w:rPr>
      </w:pPr>
    </w:p>
    <w:tbl>
      <w:tblPr>
        <w:tblW w:w="7056" w:type="dxa"/>
        <w:tblInd w:w="1100" w:type="dxa"/>
        <w:tblLayout w:type="fixed"/>
        <w:tblLook w:val="0000" w:firstRow="0" w:lastRow="0" w:firstColumn="0" w:lastColumn="0" w:noHBand="0" w:noVBand="0"/>
      </w:tblPr>
      <w:tblGrid>
        <w:gridCol w:w="3720"/>
        <w:gridCol w:w="3336"/>
      </w:tblGrid>
      <w:tr w:rsidR="00BA29FF">
        <w:tc>
          <w:tcPr>
            <w:tcW w:w="3720" w:type="dxa"/>
          </w:tcPr>
          <w:p w:rsidR="00BA29FF" w:rsidRDefault="00BA29FF">
            <w:pPr>
              <w:pStyle w:val="EndnotesAbbrev"/>
            </w:pPr>
            <w:r>
              <w:t>am = amended</w:t>
            </w:r>
          </w:p>
        </w:tc>
        <w:tc>
          <w:tcPr>
            <w:tcW w:w="3336" w:type="dxa"/>
          </w:tcPr>
          <w:p w:rsidR="00BA29FF" w:rsidRDefault="00BA29FF">
            <w:pPr>
              <w:pStyle w:val="EndnotesAbbrev"/>
            </w:pPr>
            <w:r>
              <w:t>ord = ordinance</w:t>
            </w:r>
          </w:p>
        </w:tc>
      </w:tr>
      <w:tr w:rsidR="00BA29FF">
        <w:tc>
          <w:tcPr>
            <w:tcW w:w="3720" w:type="dxa"/>
          </w:tcPr>
          <w:p w:rsidR="00BA29FF" w:rsidRDefault="00BA29FF">
            <w:pPr>
              <w:pStyle w:val="EndnotesAbbrev"/>
            </w:pPr>
            <w:r>
              <w:t>amdt = amendment</w:t>
            </w:r>
          </w:p>
        </w:tc>
        <w:tc>
          <w:tcPr>
            <w:tcW w:w="3336" w:type="dxa"/>
          </w:tcPr>
          <w:p w:rsidR="00BA29FF" w:rsidRDefault="00BA29FF">
            <w:pPr>
              <w:pStyle w:val="EndnotesAbbrev"/>
            </w:pPr>
            <w:r>
              <w:t>orig = original</w:t>
            </w:r>
          </w:p>
        </w:tc>
      </w:tr>
      <w:tr w:rsidR="00BA29FF">
        <w:tc>
          <w:tcPr>
            <w:tcW w:w="3720" w:type="dxa"/>
          </w:tcPr>
          <w:p w:rsidR="00BA29FF" w:rsidRDefault="00BA29FF">
            <w:pPr>
              <w:pStyle w:val="EndnotesAbbrev"/>
            </w:pPr>
            <w:r>
              <w:t>ch = chapter</w:t>
            </w:r>
          </w:p>
        </w:tc>
        <w:tc>
          <w:tcPr>
            <w:tcW w:w="3336" w:type="dxa"/>
          </w:tcPr>
          <w:p w:rsidR="00BA29FF" w:rsidRDefault="00BA29FF">
            <w:pPr>
              <w:pStyle w:val="EndnotesAbbrev"/>
            </w:pPr>
            <w:r>
              <w:t>par = paragraph/subparagraph</w:t>
            </w:r>
          </w:p>
        </w:tc>
      </w:tr>
      <w:tr w:rsidR="00BA29FF">
        <w:tc>
          <w:tcPr>
            <w:tcW w:w="3720" w:type="dxa"/>
          </w:tcPr>
          <w:p w:rsidR="00BA29FF" w:rsidRDefault="00BA29FF">
            <w:pPr>
              <w:pStyle w:val="EndnotesAbbrev"/>
            </w:pPr>
            <w:r>
              <w:t>def = definition</w:t>
            </w:r>
          </w:p>
        </w:tc>
        <w:tc>
          <w:tcPr>
            <w:tcW w:w="3336" w:type="dxa"/>
          </w:tcPr>
          <w:p w:rsidR="00BA29FF" w:rsidRDefault="00BA29FF">
            <w:pPr>
              <w:pStyle w:val="EndnotesAbbrev"/>
            </w:pPr>
            <w:r>
              <w:t>pres = present</w:t>
            </w:r>
          </w:p>
        </w:tc>
      </w:tr>
      <w:tr w:rsidR="00BA29FF">
        <w:tc>
          <w:tcPr>
            <w:tcW w:w="3720" w:type="dxa"/>
          </w:tcPr>
          <w:p w:rsidR="00BA29FF" w:rsidRDefault="00BA29FF">
            <w:pPr>
              <w:pStyle w:val="EndnotesAbbrev"/>
            </w:pPr>
            <w:r>
              <w:t>dict = dictionary</w:t>
            </w:r>
          </w:p>
        </w:tc>
        <w:tc>
          <w:tcPr>
            <w:tcW w:w="3336" w:type="dxa"/>
          </w:tcPr>
          <w:p w:rsidR="00BA29FF" w:rsidRDefault="00BA29FF">
            <w:pPr>
              <w:pStyle w:val="EndnotesAbbrev"/>
            </w:pPr>
            <w:r>
              <w:t>prev = previous</w:t>
            </w:r>
          </w:p>
        </w:tc>
      </w:tr>
      <w:tr w:rsidR="00BA29FF">
        <w:tc>
          <w:tcPr>
            <w:tcW w:w="3720" w:type="dxa"/>
          </w:tcPr>
          <w:p w:rsidR="00BA29FF" w:rsidRDefault="00BA29FF">
            <w:pPr>
              <w:pStyle w:val="EndnotesAbbrev"/>
            </w:pPr>
            <w:r>
              <w:t xml:space="preserve">disallowed = disallowed by the Legislative </w:t>
            </w:r>
          </w:p>
        </w:tc>
        <w:tc>
          <w:tcPr>
            <w:tcW w:w="3336" w:type="dxa"/>
          </w:tcPr>
          <w:p w:rsidR="00BA29FF" w:rsidRDefault="00BA29FF">
            <w:pPr>
              <w:pStyle w:val="EndnotesAbbrev"/>
            </w:pPr>
            <w:r>
              <w:t>(prev...) = previously</w:t>
            </w:r>
          </w:p>
        </w:tc>
      </w:tr>
      <w:tr w:rsidR="00BA29FF">
        <w:tc>
          <w:tcPr>
            <w:tcW w:w="3720" w:type="dxa"/>
          </w:tcPr>
          <w:p w:rsidR="00BA29FF" w:rsidRDefault="00BA29FF">
            <w:pPr>
              <w:pStyle w:val="EndnotesAbbrev"/>
              <w:ind w:left="972"/>
            </w:pPr>
            <w:r>
              <w:t>Assembly</w:t>
            </w:r>
          </w:p>
        </w:tc>
        <w:tc>
          <w:tcPr>
            <w:tcW w:w="3336" w:type="dxa"/>
          </w:tcPr>
          <w:p w:rsidR="00BA29FF" w:rsidRDefault="00BA29FF">
            <w:pPr>
              <w:pStyle w:val="EndnotesAbbrev"/>
            </w:pPr>
            <w:r>
              <w:t>pt = part</w:t>
            </w:r>
          </w:p>
        </w:tc>
      </w:tr>
      <w:tr w:rsidR="00BA29FF">
        <w:tc>
          <w:tcPr>
            <w:tcW w:w="3720" w:type="dxa"/>
          </w:tcPr>
          <w:p w:rsidR="00BA29FF" w:rsidRDefault="00BA29FF">
            <w:pPr>
              <w:pStyle w:val="EndnotesAbbrev"/>
            </w:pPr>
            <w:r>
              <w:t>div = division</w:t>
            </w:r>
          </w:p>
        </w:tc>
        <w:tc>
          <w:tcPr>
            <w:tcW w:w="3336" w:type="dxa"/>
          </w:tcPr>
          <w:p w:rsidR="00BA29FF" w:rsidRDefault="00BA29FF">
            <w:pPr>
              <w:pStyle w:val="EndnotesAbbrev"/>
            </w:pPr>
            <w:r>
              <w:t>r = rule/subrule</w:t>
            </w:r>
          </w:p>
        </w:tc>
      </w:tr>
      <w:tr w:rsidR="00BA29FF">
        <w:tc>
          <w:tcPr>
            <w:tcW w:w="3720" w:type="dxa"/>
          </w:tcPr>
          <w:p w:rsidR="00BA29FF" w:rsidRDefault="00BA29FF">
            <w:pPr>
              <w:pStyle w:val="EndnotesAbbrev"/>
            </w:pPr>
            <w:r>
              <w:t>exp = expires/expired</w:t>
            </w:r>
          </w:p>
        </w:tc>
        <w:tc>
          <w:tcPr>
            <w:tcW w:w="3336" w:type="dxa"/>
          </w:tcPr>
          <w:p w:rsidR="00BA29FF" w:rsidRDefault="00BA29FF">
            <w:pPr>
              <w:pStyle w:val="EndnotesAbbrev"/>
            </w:pPr>
            <w:r>
              <w:t>renum = renumbered</w:t>
            </w:r>
          </w:p>
        </w:tc>
      </w:tr>
      <w:tr w:rsidR="00BA29FF">
        <w:tc>
          <w:tcPr>
            <w:tcW w:w="3720" w:type="dxa"/>
          </w:tcPr>
          <w:p w:rsidR="00BA29FF" w:rsidRDefault="00BA29FF">
            <w:pPr>
              <w:pStyle w:val="EndnotesAbbrev"/>
            </w:pPr>
            <w:r>
              <w:t>Gaz = gazette</w:t>
            </w:r>
          </w:p>
        </w:tc>
        <w:tc>
          <w:tcPr>
            <w:tcW w:w="3336" w:type="dxa"/>
          </w:tcPr>
          <w:p w:rsidR="00BA29FF" w:rsidRDefault="00BA29FF">
            <w:pPr>
              <w:pStyle w:val="EndnotesAbbrev"/>
            </w:pPr>
            <w:r>
              <w:t>reloc = relocated</w:t>
            </w:r>
          </w:p>
        </w:tc>
      </w:tr>
      <w:tr w:rsidR="00BA29FF">
        <w:tc>
          <w:tcPr>
            <w:tcW w:w="3720" w:type="dxa"/>
          </w:tcPr>
          <w:p w:rsidR="00BA29FF" w:rsidRDefault="00BA29FF">
            <w:pPr>
              <w:pStyle w:val="EndnotesAbbrev"/>
            </w:pPr>
            <w:r>
              <w:t>hdg = heading</w:t>
            </w:r>
          </w:p>
        </w:tc>
        <w:tc>
          <w:tcPr>
            <w:tcW w:w="3336" w:type="dxa"/>
          </w:tcPr>
          <w:p w:rsidR="00BA29FF" w:rsidRDefault="00BA29FF">
            <w:pPr>
              <w:pStyle w:val="EndnotesAbbrev"/>
            </w:pPr>
            <w:r>
              <w:t>R[X] = Republication No</w:t>
            </w:r>
          </w:p>
        </w:tc>
      </w:tr>
      <w:tr w:rsidR="00BA29FF">
        <w:tc>
          <w:tcPr>
            <w:tcW w:w="3720" w:type="dxa"/>
          </w:tcPr>
          <w:p w:rsidR="00BA29FF" w:rsidRDefault="00BA29FF">
            <w:pPr>
              <w:pStyle w:val="EndnotesAbbrev"/>
            </w:pPr>
            <w:r>
              <w:t>IA = Interpretation Act 1967</w:t>
            </w:r>
          </w:p>
        </w:tc>
        <w:tc>
          <w:tcPr>
            <w:tcW w:w="3336" w:type="dxa"/>
          </w:tcPr>
          <w:p w:rsidR="00BA29FF" w:rsidRDefault="00BA29FF">
            <w:pPr>
              <w:pStyle w:val="EndnotesAbbrev"/>
            </w:pPr>
            <w:r>
              <w:t>RI = reissue</w:t>
            </w:r>
          </w:p>
        </w:tc>
      </w:tr>
      <w:tr w:rsidR="00BA29FF">
        <w:tc>
          <w:tcPr>
            <w:tcW w:w="3720" w:type="dxa"/>
          </w:tcPr>
          <w:p w:rsidR="00BA29FF" w:rsidRDefault="00BA29FF">
            <w:pPr>
              <w:pStyle w:val="EndnotesAbbrev"/>
            </w:pPr>
            <w:r>
              <w:t>ins = inserted/added</w:t>
            </w:r>
          </w:p>
        </w:tc>
        <w:tc>
          <w:tcPr>
            <w:tcW w:w="3336" w:type="dxa"/>
          </w:tcPr>
          <w:p w:rsidR="00BA29FF" w:rsidRDefault="00BA29FF">
            <w:pPr>
              <w:pStyle w:val="EndnotesAbbrev"/>
            </w:pPr>
            <w:r>
              <w:t>s = section/subsection</w:t>
            </w:r>
          </w:p>
        </w:tc>
      </w:tr>
      <w:tr w:rsidR="00BA29FF">
        <w:tc>
          <w:tcPr>
            <w:tcW w:w="3720" w:type="dxa"/>
          </w:tcPr>
          <w:p w:rsidR="00BA29FF" w:rsidRDefault="00BA29FF">
            <w:pPr>
              <w:pStyle w:val="EndnotesAbbrev"/>
            </w:pPr>
            <w:r>
              <w:t>LA = Legislation Act 2001</w:t>
            </w:r>
          </w:p>
        </w:tc>
        <w:tc>
          <w:tcPr>
            <w:tcW w:w="3336" w:type="dxa"/>
          </w:tcPr>
          <w:p w:rsidR="00BA29FF" w:rsidRDefault="00BA29FF">
            <w:pPr>
              <w:pStyle w:val="EndnotesAbbrev"/>
            </w:pPr>
            <w:r>
              <w:t>sch = schedule</w:t>
            </w:r>
          </w:p>
        </w:tc>
      </w:tr>
      <w:tr w:rsidR="00BA29FF">
        <w:tc>
          <w:tcPr>
            <w:tcW w:w="3720" w:type="dxa"/>
          </w:tcPr>
          <w:p w:rsidR="00BA29FF" w:rsidRDefault="00BA29FF">
            <w:pPr>
              <w:pStyle w:val="EndnotesAbbrev"/>
            </w:pPr>
            <w:r>
              <w:t>LR = legislation register</w:t>
            </w:r>
          </w:p>
        </w:tc>
        <w:tc>
          <w:tcPr>
            <w:tcW w:w="3336" w:type="dxa"/>
          </w:tcPr>
          <w:p w:rsidR="00BA29FF" w:rsidRDefault="00BA29FF">
            <w:pPr>
              <w:pStyle w:val="EndnotesAbbrev"/>
            </w:pPr>
            <w:r>
              <w:t>sdiv = subdivision</w:t>
            </w:r>
          </w:p>
        </w:tc>
      </w:tr>
      <w:tr w:rsidR="00BA29FF">
        <w:tc>
          <w:tcPr>
            <w:tcW w:w="3720" w:type="dxa"/>
          </w:tcPr>
          <w:p w:rsidR="00BA29FF" w:rsidRDefault="00BA29FF">
            <w:pPr>
              <w:pStyle w:val="EndnotesAbbrev"/>
            </w:pPr>
            <w:r>
              <w:t>LRA = Legislation (Republication) Act 1996</w:t>
            </w:r>
          </w:p>
        </w:tc>
        <w:tc>
          <w:tcPr>
            <w:tcW w:w="3336" w:type="dxa"/>
          </w:tcPr>
          <w:p w:rsidR="00BA29FF" w:rsidRDefault="00BA29FF">
            <w:pPr>
              <w:pStyle w:val="EndnotesAbbrev"/>
            </w:pPr>
            <w:r>
              <w:t>sub = substituted</w:t>
            </w:r>
          </w:p>
        </w:tc>
      </w:tr>
      <w:tr w:rsidR="00BA29FF">
        <w:tc>
          <w:tcPr>
            <w:tcW w:w="3720" w:type="dxa"/>
          </w:tcPr>
          <w:p w:rsidR="00BA29FF" w:rsidRDefault="00BA29FF">
            <w:pPr>
              <w:pStyle w:val="EndnotesAbbrev"/>
            </w:pPr>
            <w:r>
              <w:t>mod = modified/modification</w:t>
            </w:r>
          </w:p>
        </w:tc>
        <w:tc>
          <w:tcPr>
            <w:tcW w:w="3336" w:type="dxa"/>
          </w:tcPr>
          <w:p w:rsidR="00BA29FF" w:rsidRDefault="00BA29FF">
            <w:pPr>
              <w:pStyle w:val="EndnotesAbbrev"/>
            </w:pPr>
            <w:r>
              <w:t>SL = Subordinate Law</w:t>
            </w:r>
          </w:p>
        </w:tc>
      </w:tr>
      <w:tr w:rsidR="00BA29FF">
        <w:tc>
          <w:tcPr>
            <w:tcW w:w="3720" w:type="dxa"/>
          </w:tcPr>
          <w:p w:rsidR="00BA29FF" w:rsidRDefault="00BA29FF">
            <w:pPr>
              <w:pStyle w:val="EndnotesAbbrev"/>
            </w:pPr>
            <w:r>
              <w:t>o = order</w:t>
            </w:r>
          </w:p>
        </w:tc>
        <w:tc>
          <w:tcPr>
            <w:tcW w:w="3336" w:type="dxa"/>
          </w:tcPr>
          <w:p w:rsidR="00BA29FF" w:rsidRDefault="00BA29FF">
            <w:pPr>
              <w:pStyle w:val="EndnotesAbbrev"/>
            </w:pPr>
            <w:r>
              <w:rPr>
                <w:u w:val="single"/>
              </w:rPr>
              <w:t>underlining</w:t>
            </w:r>
            <w:r>
              <w:t xml:space="preserve"> = whole or part not commenced</w:t>
            </w:r>
          </w:p>
        </w:tc>
      </w:tr>
      <w:tr w:rsidR="00BA29FF">
        <w:tc>
          <w:tcPr>
            <w:tcW w:w="3720" w:type="dxa"/>
          </w:tcPr>
          <w:p w:rsidR="00BA29FF" w:rsidRDefault="00BA29FF">
            <w:pPr>
              <w:pStyle w:val="EndnotesAbbrev"/>
            </w:pPr>
            <w:r>
              <w:t>om = omitted/repealed</w:t>
            </w:r>
          </w:p>
        </w:tc>
        <w:tc>
          <w:tcPr>
            <w:tcW w:w="3336" w:type="dxa"/>
          </w:tcPr>
          <w:p w:rsidR="00BA29FF" w:rsidRDefault="00BA29FF">
            <w:pPr>
              <w:pStyle w:val="EndnotesAbbrev"/>
              <w:ind w:left="972"/>
            </w:pPr>
            <w:r>
              <w:t>or to be expired</w:t>
            </w:r>
          </w:p>
        </w:tc>
      </w:tr>
    </w:tbl>
    <w:p w:rsidR="00BA29FF" w:rsidRDefault="00BA29FF">
      <w:pPr>
        <w:pStyle w:val="Endnote20"/>
      </w:pPr>
      <w:bookmarkStart w:id="247" w:name="_Toc206921436"/>
      <w:r>
        <w:rPr>
          <w:rStyle w:val="charTableNo"/>
        </w:rPr>
        <w:lastRenderedPageBreak/>
        <w:t>3</w:t>
      </w:r>
      <w:r>
        <w:tab/>
      </w:r>
      <w:r>
        <w:rPr>
          <w:rStyle w:val="charTableText"/>
        </w:rPr>
        <w:t>Legislation history</w:t>
      </w:r>
      <w:bookmarkEnd w:id="247"/>
    </w:p>
    <w:p w:rsidR="00BA29FF" w:rsidRDefault="00BA29FF">
      <w:pPr>
        <w:pStyle w:val="NewReg"/>
      </w:pPr>
      <w:r>
        <w:t>Planning and Development Regulation 2008 SL2008-2</w:t>
      </w:r>
    </w:p>
    <w:p w:rsidR="00BA29FF" w:rsidRDefault="00BA29FF">
      <w:pPr>
        <w:pStyle w:val="Actdetails"/>
      </w:pPr>
      <w:r>
        <w:t>notified LR 3 March 2008</w:t>
      </w:r>
      <w:r>
        <w:br/>
        <w:t>s 1, s 2 commenced 3 March 2008 (LA s 75 (1))</w:t>
      </w:r>
      <w:r>
        <w:br/>
        <w:t>remainder commenced 31 March 2008 (s 2 and see Planning and Development Act 2007 A2007-24, s 2 and CN2008-1)</w:t>
      </w:r>
    </w:p>
    <w:p w:rsidR="00BA29FF" w:rsidRDefault="00BA29FF">
      <w:pPr>
        <w:pStyle w:val="Asamby"/>
      </w:pPr>
      <w:r>
        <w:t>as amended by</w:t>
      </w:r>
    </w:p>
    <w:p w:rsidR="00BA29FF" w:rsidRDefault="00BA29FF">
      <w:pPr>
        <w:pStyle w:val="NewReg"/>
      </w:pPr>
      <w:r>
        <w:t>Planning and Development Amendment Regulation 2008 (No 1) SL2008-8</w:t>
      </w:r>
    </w:p>
    <w:p w:rsidR="00BA29FF" w:rsidRDefault="00BA29FF">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BA29FF" w:rsidRDefault="00BA29FF">
      <w:pPr>
        <w:pStyle w:val="NewReg"/>
      </w:pPr>
      <w:r>
        <w:t>Planning and Development Amendment Regulation 2008 (No 2) SL2008-27</w:t>
      </w:r>
    </w:p>
    <w:p w:rsidR="00BA29FF" w:rsidRDefault="00BA29FF">
      <w:pPr>
        <w:pStyle w:val="Actdetails"/>
      </w:pPr>
      <w:r>
        <w:t>notified LR 30 June 2008</w:t>
      </w:r>
    </w:p>
    <w:p w:rsidR="00BA29FF" w:rsidRDefault="00BA29FF">
      <w:pPr>
        <w:pStyle w:val="Actdetails"/>
      </w:pPr>
      <w:r>
        <w:t>s 1, s 2 commenced 30 June 2008 (LA s 75 (1))</w:t>
      </w:r>
    </w:p>
    <w:p w:rsidR="00BA29FF" w:rsidRDefault="00BA29FF">
      <w:pPr>
        <w:pStyle w:val="Actdetails"/>
      </w:pPr>
      <w:r>
        <w:t>remainder commenced 1 July 2008 (s 2)</w:t>
      </w:r>
    </w:p>
    <w:p w:rsidR="00BA29FF" w:rsidRDefault="00BA29FF">
      <w:pPr>
        <w:pStyle w:val="NewReg"/>
      </w:pPr>
      <w:r>
        <w:t>Planning and Development Amendment Regulation 2008 (No 3) SL2008-33</w:t>
      </w:r>
    </w:p>
    <w:p w:rsidR="00BA29FF" w:rsidRDefault="00BA29FF">
      <w:pPr>
        <w:pStyle w:val="Actdetails"/>
      </w:pPr>
      <w:r>
        <w:t>notified LR 5 August 2008</w:t>
      </w:r>
    </w:p>
    <w:p w:rsidR="00BA29FF" w:rsidRDefault="00BA29FF">
      <w:pPr>
        <w:pStyle w:val="Actdetails"/>
      </w:pPr>
      <w:r>
        <w:t>s 1, s 2 commenced 5 August 2008 (LA s 75 (1))</w:t>
      </w:r>
    </w:p>
    <w:p w:rsidR="00BA29FF" w:rsidRDefault="00BA29FF">
      <w:pPr>
        <w:pStyle w:val="Actdetails"/>
      </w:pPr>
      <w:r>
        <w:t>remainder commenced 6 August 2008 (s 2)</w:t>
      </w:r>
    </w:p>
    <w:p w:rsidR="00BA29FF" w:rsidRDefault="00BA29FF">
      <w:pPr>
        <w:pStyle w:val="NewAct"/>
      </w:pPr>
      <w:r>
        <w:t>Statute Law Amendment Act 2008 A2008-28 sch 3 pt 3.44</w:t>
      </w:r>
    </w:p>
    <w:p w:rsidR="00BA29FF" w:rsidRDefault="00BA29FF">
      <w:pPr>
        <w:pStyle w:val="Actdetails"/>
        <w:keepNext/>
      </w:pPr>
      <w:r>
        <w:t>notified LR 12 August 2008</w:t>
      </w:r>
    </w:p>
    <w:p w:rsidR="00BA29FF" w:rsidRDefault="00BA29FF">
      <w:pPr>
        <w:pStyle w:val="Actdetails"/>
        <w:keepNext/>
      </w:pPr>
      <w:r>
        <w:t>s 1, s 2 commenced 12 August 2008 (LA s 75 (1))</w:t>
      </w:r>
    </w:p>
    <w:p w:rsidR="00BA29FF" w:rsidRDefault="00BA29FF">
      <w:pPr>
        <w:pStyle w:val="Actdetails"/>
      </w:pPr>
      <w:r>
        <w:t>sch 3 pt 3.44 commenced 26 August 2008 (s 2)</w:t>
      </w:r>
    </w:p>
    <w:p w:rsidR="00BA29FF" w:rsidRDefault="00BA29FF">
      <w:pPr>
        <w:pStyle w:val="Endnote20"/>
      </w:pPr>
      <w:bookmarkStart w:id="248" w:name="_Toc206921437"/>
      <w:r>
        <w:rPr>
          <w:rStyle w:val="charTableNo"/>
        </w:rPr>
        <w:t>4</w:t>
      </w:r>
      <w:r>
        <w:tab/>
      </w:r>
      <w:r>
        <w:rPr>
          <w:rStyle w:val="charTableText"/>
        </w:rPr>
        <w:t>Amendment history</w:t>
      </w:r>
      <w:bookmarkEnd w:id="248"/>
    </w:p>
    <w:p w:rsidR="00BA29FF" w:rsidRDefault="00BA29FF">
      <w:pPr>
        <w:pStyle w:val="AmdtsEntryHd"/>
      </w:pPr>
      <w:r>
        <w:t>Commencement</w:t>
      </w:r>
    </w:p>
    <w:p w:rsidR="00BA29FF" w:rsidRDefault="00BA29FF">
      <w:pPr>
        <w:pStyle w:val="AmdtsEntries"/>
      </w:pPr>
      <w:r>
        <w:t>s 2</w:t>
      </w:r>
      <w:r>
        <w:tab/>
        <w:t>om LA s 89 (4)</w:t>
      </w:r>
    </w:p>
    <w:p w:rsidR="00BA29FF" w:rsidRDefault="00BA29FF">
      <w:pPr>
        <w:pStyle w:val="AmdtsEntryHd"/>
      </w:pPr>
      <w:r>
        <w:rPr>
          <w:lang w:val="en-US"/>
        </w:rPr>
        <w:t xml:space="preserve">Exempt developments—Act, s 133, def </w:t>
      </w:r>
      <w:r>
        <w:rPr>
          <w:rStyle w:val="charItals"/>
        </w:rPr>
        <w:t>exempt development</w:t>
      </w:r>
      <w:r>
        <w:rPr>
          <w:lang w:val="en-US"/>
        </w:rPr>
        <w:t>, par (c)</w:t>
      </w:r>
    </w:p>
    <w:p w:rsidR="00BA29FF" w:rsidRDefault="00BA29FF">
      <w:pPr>
        <w:pStyle w:val="AmdtsEntries"/>
      </w:pPr>
      <w:r>
        <w:t>s 20</w:t>
      </w:r>
      <w:r>
        <w:tab/>
        <w:t>am SL2008-8 s 4</w:t>
      </w:r>
    </w:p>
    <w:p w:rsidR="00BA29FF" w:rsidRDefault="00BA29FF">
      <w:pPr>
        <w:pStyle w:val="AmdtsEntries"/>
      </w:pPr>
      <w:r>
        <w:tab/>
        <w:t>sub SL2008-33 s 4</w:t>
      </w:r>
    </w:p>
    <w:p w:rsidR="00BA29FF" w:rsidRDefault="00BA29FF">
      <w:pPr>
        <w:pStyle w:val="AmdtsEntryHd"/>
      </w:pPr>
      <w:r>
        <w:lastRenderedPageBreak/>
        <w:t>Public notification of merit track development applications—Act, s 152 (1) (a) and (2)</w:t>
      </w:r>
    </w:p>
    <w:p w:rsidR="00BA29FF" w:rsidRDefault="00BA29FF">
      <w:pPr>
        <w:pStyle w:val="AmdtsEntries"/>
      </w:pPr>
      <w:r>
        <w:t>s 27</w:t>
      </w:r>
      <w:r>
        <w:tab/>
        <w:t>sub SL2008-8 s 5</w:t>
      </w:r>
    </w:p>
    <w:p w:rsidR="00BA29FF" w:rsidRDefault="00BA29FF">
      <w:pPr>
        <w:pStyle w:val="AmdtsEntryHd"/>
      </w:pPr>
      <w:r>
        <w:t>Public consultation period—Act, s 157, def </w:t>
      </w:r>
      <w:r>
        <w:rPr>
          <w:rStyle w:val="charItals"/>
        </w:rPr>
        <w:t>public consultation period</w:t>
      </w:r>
      <w:r>
        <w:t>, par (a)</w:t>
      </w:r>
    </w:p>
    <w:p w:rsidR="00BA29FF" w:rsidRDefault="00BA29FF">
      <w:pPr>
        <w:pStyle w:val="AmdtsEntries"/>
      </w:pPr>
      <w:r>
        <w:t>s 28</w:t>
      </w:r>
      <w:r>
        <w:tab/>
        <w:t>sub SL2008-8 s 5</w:t>
      </w:r>
    </w:p>
    <w:p w:rsidR="00BA29FF" w:rsidRDefault="00BA29FF">
      <w:pPr>
        <w:pStyle w:val="AmdtsEntryHd"/>
      </w:pPr>
      <w:r>
        <w:t>Development approvals—when amendment not required</w:t>
      </w:r>
    </w:p>
    <w:p w:rsidR="00BA29FF" w:rsidRDefault="00BA29FF">
      <w:pPr>
        <w:pStyle w:val="AmdtsEntries"/>
      </w:pPr>
      <w:r>
        <w:t>pt 3.3 hdg</w:t>
      </w:r>
      <w:r>
        <w:tab/>
        <w:t>ins SL2008-33 s 5</w:t>
      </w:r>
    </w:p>
    <w:p w:rsidR="00BA29FF" w:rsidRDefault="00BA29FF">
      <w:pPr>
        <w:pStyle w:val="AmdtsEntries"/>
        <w:rPr>
          <w:rStyle w:val="charUnderline"/>
        </w:rPr>
      </w:pPr>
      <w:r>
        <w:tab/>
      </w:r>
      <w:r>
        <w:rPr>
          <w:rStyle w:val="charUnderline"/>
        </w:rPr>
        <w:t>exp 31 March 2010 (s 36)</w:t>
      </w:r>
    </w:p>
    <w:p w:rsidR="00BA29FF" w:rsidRDefault="00BA29FF">
      <w:pPr>
        <w:pStyle w:val="AmdtsEntryHd"/>
      </w:pPr>
      <w:r>
        <w:t>When development approvals do not require amendment—Act, s 198C (2)</w:t>
      </w:r>
    </w:p>
    <w:p w:rsidR="00BA29FF" w:rsidRDefault="00BA29FF">
      <w:pPr>
        <w:pStyle w:val="AmdtsEntries"/>
      </w:pPr>
      <w:r>
        <w:t>s 35</w:t>
      </w:r>
      <w:r>
        <w:tab/>
        <w:t>ins SL2008-33 s 5</w:t>
      </w:r>
    </w:p>
    <w:p w:rsidR="00BA29FF" w:rsidRDefault="00BA29FF">
      <w:pPr>
        <w:pStyle w:val="AmdtsEntries"/>
        <w:rPr>
          <w:rStyle w:val="charUnderline"/>
        </w:rPr>
      </w:pPr>
      <w:r>
        <w:tab/>
      </w:r>
      <w:r>
        <w:rPr>
          <w:rStyle w:val="charUnderline"/>
        </w:rPr>
        <w:t>exp 31 March 2010 (s 36)</w:t>
      </w:r>
    </w:p>
    <w:p w:rsidR="00BA29FF" w:rsidRDefault="00BA29FF">
      <w:pPr>
        <w:pStyle w:val="AmdtsEntryHd"/>
      </w:pPr>
      <w:r>
        <w:t>Expiry—pt 3.3</w:t>
      </w:r>
    </w:p>
    <w:p w:rsidR="00BA29FF" w:rsidRDefault="00BA29FF">
      <w:pPr>
        <w:pStyle w:val="AmdtsEntries"/>
      </w:pPr>
      <w:r>
        <w:t>s 36</w:t>
      </w:r>
      <w:r>
        <w:tab/>
        <w:t>ins SL2008-33 s 5</w:t>
      </w:r>
    </w:p>
    <w:p w:rsidR="00BA29FF" w:rsidRDefault="00BA29FF">
      <w:pPr>
        <w:pStyle w:val="AmdtsEntries"/>
        <w:rPr>
          <w:rStyle w:val="charUnderline"/>
        </w:rPr>
      </w:pPr>
      <w:r>
        <w:tab/>
      </w:r>
      <w:r>
        <w:rPr>
          <w:rStyle w:val="charUnderline"/>
        </w:rPr>
        <w:t>exp 31 March 2010 (s 36)</w:t>
      </w:r>
    </w:p>
    <w:p w:rsidR="00BA29FF" w:rsidRDefault="00BA29FF">
      <w:pPr>
        <w:pStyle w:val="AmdtsEntryHd"/>
      </w:pPr>
      <w:r>
        <w:t>Definitions—pt 4.2</w:t>
      </w:r>
    </w:p>
    <w:p w:rsidR="00BA29FF" w:rsidRDefault="00BA29FF">
      <w:pPr>
        <w:pStyle w:val="AmdtsEntries"/>
      </w:pPr>
      <w:r>
        <w:t>s 70</w:t>
      </w:r>
      <w:r>
        <w:tab/>
        <w:t xml:space="preserve">def </w:t>
      </w:r>
      <w:r>
        <w:rPr>
          <w:b/>
          <w:bCs/>
          <w:i/>
          <w:iCs/>
        </w:rPr>
        <w:t>inquiry panel</w:t>
      </w:r>
      <w:r>
        <w:t xml:space="preserve"> om A2008-28 amdt 3.136</w:t>
      </w:r>
    </w:p>
    <w:p w:rsidR="00BA29FF" w:rsidRDefault="00BA29FF">
      <w:pPr>
        <w:pStyle w:val="AmdtsEntryHd"/>
      </w:pPr>
      <w:r>
        <w:t>Definitions—pt 5.1</w:t>
      </w:r>
    </w:p>
    <w:p w:rsidR="00BA29FF" w:rsidRDefault="00BA29FF">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BA29FF" w:rsidRDefault="00BA29FF">
      <w:pPr>
        <w:pStyle w:val="AmdtsEntries"/>
      </w:pPr>
      <w:r>
        <w:tab/>
      </w:r>
      <w:r>
        <w:rPr>
          <w:rStyle w:val="charUnderline"/>
        </w:rPr>
        <w:t xml:space="preserve">def </w:t>
      </w:r>
      <w:r>
        <w:rPr>
          <w:rStyle w:val="charUnderline"/>
          <w:b/>
          <w:bCs/>
          <w:i/>
          <w:iCs/>
        </w:rPr>
        <w:t>City West precinct</w:t>
      </w:r>
      <w:r>
        <w:rPr>
          <w:rStyle w:val="charUnderline"/>
        </w:rPr>
        <w:t xml:space="preserve"> exp 5 April 2015 (s 402 (a))</w:t>
      </w:r>
    </w:p>
    <w:p w:rsidR="00BA29FF" w:rsidRDefault="00BA29FF">
      <w:pPr>
        <w:pStyle w:val="AmdtsEntries"/>
      </w:pPr>
      <w:r>
        <w:tab/>
      </w:r>
      <w:r>
        <w:rPr>
          <w:rStyle w:val="charUnderline"/>
        </w:rPr>
        <w:t xml:space="preserve">def </w:t>
      </w:r>
      <w:r>
        <w:rPr>
          <w:rStyle w:val="charUnderline"/>
          <w:b/>
          <w:bCs/>
          <w:i/>
          <w:iCs/>
        </w:rPr>
        <w:t>City West precinct deed</w:t>
      </w:r>
      <w:r>
        <w:rPr>
          <w:rStyle w:val="charUnderline"/>
        </w:rPr>
        <w:t xml:space="preserve"> exp 5 April 2015 (s 402 (a))</w:t>
      </w:r>
    </w:p>
    <w:p w:rsidR="00BA29FF" w:rsidRDefault="00BA29FF">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BA29FF" w:rsidRDefault="00BA29FF">
      <w:pPr>
        <w:pStyle w:val="AmdtsEntryHd"/>
      </w:pPr>
      <w:r>
        <w:t xml:space="preserve">Meaning of </w:t>
      </w:r>
      <w:r>
        <w:rPr>
          <w:i/>
          <w:iCs/>
        </w:rPr>
        <w:t>City West precinct</w:t>
      </w:r>
      <w:r>
        <w:t>—pt 5.1</w:t>
      </w:r>
    </w:p>
    <w:p w:rsidR="00BA29FF" w:rsidRDefault="00BA29FF">
      <w:pPr>
        <w:pStyle w:val="AmdtsEntries"/>
      </w:pPr>
      <w:r>
        <w:t>s 102</w:t>
      </w:r>
      <w:r>
        <w:tab/>
        <w:t>am SL2008-8 s 7</w:t>
      </w:r>
    </w:p>
    <w:p w:rsidR="00BA29FF" w:rsidRDefault="00BA29FF">
      <w:pPr>
        <w:pStyle w:val="AmdtsEntries"/>
      </w:pPr>
      <w:r>
        <w:tab/>
      </w:r>
      <w:r>
        <w:rPr>
          <w:rStyle w:val="charUnderline"/>
        </w:rPr>
        <w:t>exp 5 April 2015 (s 402 (b))</w:t>
      </w:r>
    </w:p>
    <w:p w:rsidR="00BA29FF" w:rsidRDefault="00BA29FF">
      <w:pPr>
        <w:pStyle w:val="AmdtsEntryHd"/>
      </w:pPr>
      <w:r>
        <w:t>Direct sales requiring approval by Executive—Act, s 240 (1) (a)</w:t>
      </w:r>
    </w:p>
    <w:p w:rsidR="00BA29FF" w:rsidRDefault="00BA29FF">
      <w:pPr>
        <w:pStyle w:val="AmdtsEntries"/>
        <w:rPr>
          <w:rStyle w:val="charUnderline"/>
        </w:rPr>
      </w:pPr>
      <w:r>
        <w:t>s 105</w:t>
      </w:r>
      <w:r>
        <w:tab/>
      </w:r>
      <w:r>
        <w:rPr>
          <w:rStyle w:val="charUnderline"/>
        </w:rPr>
        <w:t>(d) exp 5 April 2015 (s 402 (c))</w:t>
      </w:r>
    </w:p>
    <w:p w:rsidR="00BA29FF" w:rsidRDefault="00BA29FF">
      <w:pPr>
        <w:pStyle w:val="AmdtsEntryHd"/>
      </w:pPr>
      <w:r>
        <w:t>Direct sale criteria for Commonwealth entities—Act, s 240 (1) (a) (i)</w:t>
      </w:r>
    </w:p>
    <w:p w:rsidR="00BA29FF" w:rsidRDefault="00BA29FF">
      <w:pPr>
        <w:pStyle w:val="AmdtsEntries"/>
        <w:rPr>
          <w:rStyle w:val="charUnderline"/>
        </w:rPr>
      </w:pPr>
      <w:r>
        <w:t>s 107</w:t>
      </w:r>
      <w:r>
        <w:tab/>
      </w:r>
      <w:r>
        <w:rPr>
          <w:rStyle w:val="charUnderline"/>
        </w:rPr>
        <w:t>(2) exp 5 April 2015 (s 402 (d))</w:t>
      </w:r>
    </w:p>
    <w:p w:rsidR="00BA29FF" w:rsidRDefault="00BA29FF">
      <w:pPr>
        <w:pStyle w:val="AmdtsEntryHd"/>
      </w:pPr>
      <w:r>
        <w:t>Direct sale criteria for non-government educational establishments—Act, s 240 (1) (a) (i)</w:t>
      </w:r>
    </w:p>
    <w:p w:rsidR="00BA29FF" w:rsidRDefault="00BA29FF">
      <w:pPr>
        <w:pStyle w:val="AmdtsEntries"/>
        <w:rPr>
          <w:rStyle w:val="charUnderline"/>
        </w:rPr>
      </w:pPr>
      <w:r>
        <w:t>s 108</w:t>
      </w:r>
      <w:r>
        <w:tab/>
      </w:r>
      <w:r>
        <w:rPr>
          <w:rStyle w:val="charUnderline"/>
        </w:rPr>
        <w:t>(4) exp 5 April 2015 (s 402 (e))</w:t>
      </w:r>
    </w:p>
    <w:p w:rsidR="00BA29FF" w:rsidRDefault="00BA29FF">
      <w:pPr>
        <w:pStyle w:val="AmdtsEntryHd"/>
      </w:pPr>
      <w:r>
        <w:t>Direct sale criteria for City West precinct land for Australian National University—Act, s 240 (1) (a) (i)</w:t>
      </w:r>
    </w:p>
    <w:p w:rsidR="00BA29FF" w:rsidRDefault="00BA29FF">
      <w:pPr>
        <w:pStyle w:val="AmdtsEntries"/>
      </w:pPr>
      <w:r>
        <w:t>s 111</w:t>
      </w:r>
      <w:r>
        <w:tab/>
        <w:t>am SL2008-8 s 8</w:t>
      </w:r>
    </w:p>
    <w:p w:rsidR="00BA29FF" w:rsidRDefault="00BA29FF">
      <w:pPr>
        <w:pStyle w:val="AmdtsEntries"/>
      </w:pPr>
      <w:r>
        <w:tab/>
      </w:r>
      <w:r>
        <w:rPr>
          <w:rStyle w:val="charUnderline"/>
        </w:rPr>
        <w:t>exp 5 April 2015 (s 402 (f))</w:t>
      </w:r>
    </w:p>
    <w:p w:rsidR="00BA29FF" w:rsidRDefault="00BA29FF">
      <w:pPr>
        <w:pStyle w:val="AmdtsEntryHd"/>
      </w:pPr>
      <w:r>
        <w:t>Direct sale criteria for supportive accommodation—Act, s 240 (1) (a) (i)</w:t>
      </w:r>
    </w:p>
    <w:p w:rsidR="00BA29FF" w:rsidRDefault="00BA29FF">
      <w:pPr>
        <w:pStyle w:val="AmdtsEntries"/>
      </w:pPr>
      <w:r>
        <w:t>s 113</w:t>
      </w:r>
      <w:r>
        <w:tab/>
        <w:t>am SL2008-33 s 6</w:t>
      </w:r>
    </w:p>
    <w:p w:rsidR="00BA29FF" w:rsidRDefault="00BA29FF">
      <w:pPr>
        <w:pStyle w:val="AmdtsEntryHd"/>
      </w:pPr>
      <w:r>
        <w:t>Direct sales requiring approval by Minister—Act, s 240 (1) (b)</w:t>
      </w:r>
    </w:p>
    <w:p w:rsidR="00BA29FF" w:rsidRDefault="00BA29FF">
      <w:pPr>
        <w:pStyle w:val="AmdtsEntries"/>
      </w:pPr>
      <w:r>
        <w:t>s 120</w:t>
      </w:r>
      <w:r>
        <w:tab/>
        <w:t>am SL2008-8 s 9</w:t>
      </w:r>
    </w:p>
    <w:p w:rsidR="00BA29FF" w:rsidRDefault="00BA29FF">
      <w:pPr>
        <w:pStyle w:val="AmdtsEntryHd"/>
      </w:pPr>
      <w:r>
        <w:lastRenderedPageBreak/>
        <w:t>Certain direct sales not requiring approval</w:t>
      </w:r>
    </w:p>
    <w:p w:rsidR="00BA29FF" w:rsidRDefault="00BA29FF">
      <w:pPr>
        <w:pStyle w:val="AmdtsEntries"/>
      </w:pPr>
      <w:r>
        <w:t>div 5.1.4 hdg</w:t>
      </w:r>
      <w:r>
        <w:tab/>
        <w:t>ins SL2008-8 s 10</w:t>
      </w:r>
    </w:p>
    <w:p w:rsidR="00BA29FF" w:rsidRDefault="00BA29FF">
      <w:pPr>
        <w:pStyle w:val="AmdtsEntryHd"/>
      </w:pPr>
      <w:r>
        <w:t>Certain direct sales not requiring approval—Act, s 240 (1) (d)</w:t>
      </w:r>
    </w:p>
    <w:p w:rsidR="00BA29FF" w:rsidRDefault="00BA29FF">
      <w:pPr>
        <w:pStyle w:val="AmdtsEntries"/>
      </w:pPr>
      <w:r>
        <w:t>s 130</w:t>
      </w:r>
      <w:r>
        <w:tab/>
        <w:t>ins SL2008-8 s 10</w:t>
      </w:r>
    </w:p>
    <w:p w:rsidR="00BA29FF" w:rsidRDefault="00BA29FF">
      <w:pPr>
        <w:pStyle w:val="AmdtsEntryHd"/>
      </w:pPr>
      <w:r>
        <w:t>Exemptions from restrictions on dealings with certain single dwelling house leases—Act, s 251 (1) (c) (ii)</w:t>
      </w:r>
    </w:p>
    <w:p w:rsidR="00BA29FF" w:rsidRDefault="00BA29FF">
      <w:pPr>
        <w:pStyle w:val="AmdtsEntries"/>
      </w:pPr>
      <w:r>
        <w:t>s 141</w:t>
      </w:r>
      <w:r>
        <w:tab/>
        <w:t>ins SL2008-8 s 11</w:t>
      </w:r>
    </w:p>
    <w:p w:rsidR="00BA29FF" w:rsidRDefault="00BA29FF">
      <w:pPr>
        <w:pStyle w:val="AmdtsEntryHd"/>
      </w:pPr>
      <w:r>
        <w:t>Exemptions from restrictions on dealings with certain leases—Act, s 251 (3)</w:t>
      </w:r>
    </w:p>
    <w:p w:rsidR="00BA29FF" w:rsidRDefault="00BA29FF">
      <w:pPr>
        <w:pStyle w:val="AmdtsEntries"/>
      </w:pPr>
      <w:r>
        <w:t>s 142</w:t>
      </w:r>
      <w:r>
        <w:tab/>
        <w:t>ins SL2008-8 s 11</w:t>
      </w:r>
    </w:p>
    <w:p w:rsidR="00BA29FF" w:rsidRDefault="00BA29FF">
      <w:pPr>
        <w:pStyle w:val="AmdtsEntryHd"/>
      </w:pPr>
      <w:r>
        <w:t>Lease classes for variation to pay out rent—Act, s 272A (1)</w:t>
      </w:r>
    </w:p>
    <w:p w:rsidR="00BA29FF" w:rsidRDefault="00BA29FF">
      <w:pPr>
        <w:pStyle w:val="AmdtsEntries"/>
      </w:pPr>
      <w:r>
        <w:t>s 160 hdg</w:t>
      </w:r>
      <w:r>
        <w:tab/>
        <w:t>sub SL2008-8 s 12</w:t>
      </w:r>
    </w:p>
    <w:p w:rsidR="00BA29FF" w:rsidRDefault="00BA29FF">
      <w:pPr>
        <w:pStyle w:val="AmdtsEntryHd"/>
      </w:pPr>
      <w:r>
        <w:t>Decision on rent payout lease variation application—Act, s 272B (1)</w:t>
      </w:r>
    </w:p>
    <w:p w:rsidR="00BA29FF" w:rsidRDefault="00BA29FF">
      <w:pPr>
        <w:pStyle w:val="AmdtsEntries"/>
      </w:pPr>
      <w:r>
        <w:t>s 161</w:t>
      </w:r>
      <w:r>
        <w:tab/>
        <w:t>ins SL2008-8 s 13</w:t>
      </w:r>
    </w:p>
    <w:p w:rsidR="00BA29FF" w:rsidRDefault="00BA29FF">
      <w:pPr>
        <w:pStyle w:val="AmdtsEntryHd"/>
      </w:pPr>
      <w:r>
        <w:rPr>
          <w:noProof/>
        </w:rPr>
        <w:t>Remission of change of use charges generally—Act, s 278 (1) and (2)</w:t>
      </w:r>
    </w:p>
    <w:p w:rsidR="00BA29FF" w:rsidRDefault="00BA29FF">
      <w:pPr>
        <w:pStyle w:val="AmdtsEntries"/>
        <w:rPr>
          <w:rStyle w:val="charUnderline"/>
        </w:rPr>
      </w:pPr>
      <w:r>
        <w:t>s 175</w:t>
      </w:r>
      <w:r>
        <w:tab/>
      </w:r>
      <w:r>
        <w:rPr>
          <w:rStyle w:val="charUnderline"/>
        </w:rPr>
        <w:t>(1) (a) (vii), (3), (5) exp 1 December 2010 (s 175 (5))</w:t>
      </w:r>
    </w:p>
    <w:p w:rsidR="00BA29FF" w:rsidRDefault="00BA29FF">
      <w:pPr>
        <w:pStyle w:val="AmdtsEntryHd"/>
      </w:pPr>
      <w:r>
        <w:t>Application for extension of time to commence or complete building and development—Act, s 298A (5), def </w:t>
      </w:r>
      <w:r>
        <w:rPr>
          <w:i/>
          <w:iCs/>
        </w:rPr>
        <w:t>A</w:t>
      </w:r>
      <w:r>
        <w:t>, par (b)</w:t>
      </w:r>
    </w:p>
    <w:p w:rsidR="00BA29FF" w:rsidRDefault="00BA29FF">
      <w:pPr>
        <w:pStyle w:val="AmdtsEntries"/>
      </w:pPr>
      <w:r>
        <w:t>s 202</w:t>
      </w:r>
      <w:r>
        <w:tab/>
        <w:t>ins SL2008-8 s 14</w:t>
      </w:r>
    </w:p>
    <w:p w:rsidR="00BA29FF" w:rsidRDefault="00BA29FF">
      <w:pPr>
        <w:pStyle w:val="AmdtsEntryHd"/>
      </w:pPr>
      <w:r>
        <w:t xml:space="preserve">Extension of time to complete building or development on hardship grounds—Act, s 298B (6), def </w:t>
      </w:r>
      <w:r>
        <w:rPr>
          <w:i/>
          <w:iCs/>
        </w:rPr>
        <w:t>prescribed period</w:t>
      </w:r>
      <w:r>
        <w:t>, par (b)</w:t>
      </w:r>
    </w:p>
    <w:p w:rsidR="00BA29FF" w:rsidRDefault="00BA29FF">
      <w:pPr>
        <w:pStyle w:val="AmdtsEntries"/>
      </w:pPr>
      <w:r>
        <w:t>s 203</w:t>
      </w:r>
      <w:r>
        <w:tab/>
        <w:t>ins SL2008-8 s 14</w:t>
      </w:r>
    </w:p>
    <w:p w:rsidR="00BA29FF" w:rsidRDefault="00BA29FF">
      <w:pPr>
        <w:pStyle w:val="AmdtsEntryHd"/>
      </w:pPr>
      <w:r>
        <w:t>Amount of refund on surrender or termination of certain leases—Act, s 300 (2)</w:t>
      </w:r>
    </w:p>
    <w:p w:rsidR="00BA29FF" w:rsidRDefault="00BA29FF">
      <w:pPr>
        <w:pStyle w:val="AmdtsEntries"/>
      </w:pPr>
      <w:r>
        <w:t>s 210 hdg</w:t>
      </w:r>
      <w:r>
        <w:tab/>
        <w:t>sub A2008-28 amdt 3.137</w:t>
      </w:r>
    </w:p>
    <w:p w:rsidR="00BA29FF" w:rsidRDefault="00BA29FF">
      <w:pPr>
        <w:pStyle w:val="AmdtsEntries"/>
        <w:rPr>
          <w:rStyle w:val="charUnderline"/>
        </w:rPr>
      </w:pPr>
      <w:r>
        <w:t>s 210</w:t>
      </w:r>
      <w:r>
        <w:tab/>
      </w:r>
      <w:r>
        <w:rPr>
          <w:rStyle w:val="charUnderline"/>
        </w:rPr>
        <w:t>(3), (4) exp 1 November 2011 (s 210 (4))</w:t>
      </w:r>
    </w:p>
    <w:p w:rsidR="00BA29FF" w:rsidRDefault="00BA29FF">
      <w:pPr>
        <w:pStyle w:val="AmdtsEntryHd"/>
      </w:pPr>
      <w:r>
        <w:t>Limitations for refund on surrender or termination of leases—Act, s 300 (3)</w:t>
      </w:r>
    </w:p>
    <w:p w:rsidR="00BA29FF" w:rsidRDefault="00BA29FF">
      <w:pPr>
        <w:pStyle w:val="AmdtsEntries"/>
      </w:pPr>
      <w:r>
        <w:t>s 211 hdg</w:t>
      </w:r>
      <w:r>
        <w:tab/>
        <w:t>sub A2008-28 amdt 3.138</w:t>
      </w:r>
    </w:p>
    <w:p w:rsidR="00BA29FF" w:rsidRDefault="00BA29FF">
      <w:pPr>
        <w:pStyle w:val="AmdtsEntryHd"/>
      </w:pPr>
      <w:r>
        <w:t>Disapplication of Legislation Act, s 47 (5) and (6)—regulation</w:t>
      </w:r>
    </w:p>
    <w:p w:rsidR="00BA29FF" w:rsidRDefault="00BA29FF">
      <w:pPr>
        <w:pStyle w:val="AmdtsEntries"/>
      </w:pPr>
      <w:r>
        <w:t>s 400 hdg</w:t>
      </w:r>
      <w:r>
        <w:tab/>
        <w:t>sub SL2008-8 s 15</w:t>
      </w:r>
    </w:p>
    <w:p w:rsidR="00BA29FF" w:rsidRDefault="00BA29FF">
      <w:pPr>
        <w:pStyle w:val="AmdtsEntries"/>
        <w:rPr>
          <w:rStyle w:val="charUnderline"/>
        </w:rPr>
      </w:pPr>
      <w:r>
        <w:t>s 400</w:t>
      </w:r>
      <w:r>
        <w:tab/>
      </w:r>
      <w:r>
        <w:rPr>
          <w:rStyle w:val="charUnderline"/>
        </w:rPr>
        <w:t>(1) (a), (3) exp 5 April 2015 (s 402 (g))</w:t>
      </w:r>
    </w:p>
    <w:p w:rsidR="00BA29FF" w:rsidRDefault="00BA29FF">
      <w:pPr>
        <w:pStyle w:val="AmdtsEntryHd"/>
      </w:pPr>
      <w:r>
        <w:t>Disapplication of Legislation Act, s 47 (6) for certain territory plan instruments—Act, s 422A (1)</w:t>
      </w:r>
    </w:p>
    <w:p w:rsidR="00BA29FF" w:rsidRDefault="00BA29FF">
      <w:pPr>
        <w:pStyle w:val="AmdtsEntries"/>
      </w:pPr>
      <w:r>
        <w:t>s 400A</w:t>
      </w:r>
      <w:r>
        <w:tab/>
        <w:t>renum as s 401</w:t>
      </w:r>
    </w:p>
    <w:p w:rsidR="00BA29FF" w:rsidRDefault="00BA29FF">
      <w:pPr>
        <w:pStyle w:val="AmdtsEntryHd"/>
      </w:pPr>
      <w:r>
        <w:t>Disapplication of Legislation Act, s 47 (6) for certain territory plan instruments—Act, s 422A (1)</w:t>
      </w:r>
    </w:p>
    <w:p w:rsidR="00BA29FF" w:rsidRDefault="00BA29FF">
      <w:pPr>
        <w:pStyle w:val="AmdtsEntries"/>
        <w:keepNext/>
      </w:pPr>
      <w:r>
        <w:t>s 401</w:t>
      </w:r>
      <w:r>
        <w:tab/>
      </w:r>
      <w:r>
        <w:rPr>
          <w:rStyle w:val="charBold"/>
        </w:rPr>
        <w:t>orig s 401</w:t>
      </w:r>
    </w:p>
    <w:p w:rsidR="00BA29FF" w:rsidRDefault="00BA29FF">
      <w:pPr>
        <w:pStyle w:val="AmdtsEntries"/>
        <w:keepNext/>
      </w:pPr>
      <w:r>
        <w:tab/>
        <w:t>renum as s 402</w:t>
      </w:r>
    </w:p>
    <w:p w:rsidR="00BA29FF" w:rsidRDefault="00BA29FF">
      <w:pPr>
        <w:pStyle w:val="AmdtsEntries"/>
        <w:keepNext/>
      </w:pPr>
      <w:r>
        <w:tab/>
      </w:r>
      <w:r>
        <w:rPr>
          <w:rStyle w:val="charBold"/>
        </w:rPr>
        <w:t>pres s 401</w:t>
      </w:r>
    </w:p>
    <w:p w:rsidR="00BA29FF" w:rsidRDefault="00BA29FF">
      <w:pPr>
        <w:pStyle w:val="AmdtsEntries"/>
      </w:pPr>
      <w:r>
        <w:tab/>
        <w:t>(prev s 400A) ins SL2008-8 s 16</w:t>
      </w:r>
    </w:p>
    <w:p w:rsidR="00BA29FF" w:rsidRDefault="00BA29FF">
      <w:pPr>
        <w:pStyle w:val="AmdtsEntries"/>
      </w:pPr>
      <w:r>
        <w:tab/>
        <w:t>renum as s 401 SL2008-8 s 18</w:t>
      </w:r>
    </w:p>
    <w:p w:rsidR="00BA29FF" w:rsidRDefault="00BA29FF">
      <w:pPr>
        <w:pStyle w:val="AmdtsEntryHd"/>
      </w:pPr>
      <w:r>
        <w:lastRenderedPageBreak/>
        <w:t>Expiry of City West precinct provisions</w:t>
      </w:r>
    </w:p>
    <w:p w:rsidR="00BA29FF" w:rsidRDefault="00BA29FF">
      <w:pPr>
        <w:pStyle w:val="AmdtsEntries"/>
      </w:pPr>
      <w:r>
        <w:t>s 402</w:t>
      </w:r>
      <w:r>
        <w:tab/>
        <w:t>(prev s 401) am SL2008-8 s 17</w:t>
      </w:r>
    </w:p>
    <w:p w:rsidR="00BA29FF" w:rsidRDefault="00BA29FF">
      <w:pPr>
        <w:pStyle w:val="AmdtsEntries"/>
      </w:pPr>
      <w:r>
        <w:tab/>
        <w:t>renum as s 402 SL2008-8 s 18</w:t>
      </w:r>
    </w:p>
    <w:p w:rsidR="00BA29FF" w:rsidRDefault="00BA29FF">
      <w:pPr>
        <w:pStyle w:val="AmdtsEntries"/>
        <w:rPr>
          <w:rStyle w:val="charUnderline"/>
        </w:rPr>
      </w:pPr>
      <w:r>
        <w:tab/>
      </w:r>
      <w:r>
        <w:rPr>
          <w:rStyle w:val="charUnderline"/>
        </w:rPr>
        <w:t>exp 5 April 2015 (s 402)</w:t>
      </w:r>
    </w:p>
    <w:p w:rsidR="00BA29FF" w:rsidRDefault="00BA29FF">
      <w:pPr>
        <w:pStyle w:val="AmdtsEntryHd"/>
      </w:pPr>
      <w:r>
        <w:t>Securing things seized under the Act, pt 12.3</w:t>
      </w:r>
    </w:p>
    <w:p w:rsidR="00BA29FF" w:rsidRDefault="00BA29FF">
      <w:pPr>
        <w:pStyle w:val="AmdtsEntries"/>
      </w:pPr>
      <w:r>
        <w:t>s 403</w:t>
      </w:r>
      <w:r>
        <w:tab/>
        <w:t>ins SL2008-8 s 19</w:t>
      </w:r>
    </w:p>
    <w:p w:rsidR="00BA29FF" w:rsidRDefault="00BA29FF">
      <w:pPr>
        <w:pStyle w:val="AmdtsEntryHd"/>
      </w:pPr>
      <w:r>
        <w:t>Modification of Act, ch 15—Act, s 429</w:t>
      </w:r>
    </w:p>
    <w:p w:rsidR="00BA29FF" w:rsidRDefault="00BA29FF">
      <w:pPr>
        <w:pStyle w:val="AmdtsEntries"/>
      </w:pPr>
      <w:r>
        <w:t>s 410</w:t>
      </w:r>
      <w:r>
        <w:tab/>
        <w:t>ins SL2008-8 s 20</w:t>
      </w:r>
    </w:p>
    <w:p w:rsidR="00BA29FF" w:rsidRDefault="00BA29FF">
      <w:pPr>
        <w:pStyle w:val="AmdtsEntries"/>
      </w:pPr>
      <w:r>
        <w:tab/>
        <w:t>am SL2008-33 s 7</w:t>
      </w:r>
    </w:p>
    <w:p w:rsidR="00BA29FF" w:rsidRDefault="00BA29FF">
      <w:pPr>
        <w:pStyle w:val="AmdtsEntries"/>
      </w:pPr>
      <w:r>
        <w:tab/>
      </w:r>
      <w:r>
        <w:rPr>
          <w:rStyle w:val="charUnderline"/>
        </w:rPr>
        <w:t>exp 31 March 2010 (s 410 (2))</w:t>
      </w:r>
    </w:p>
    <w:p w:rsidR="00BA29FF" w:rsidRDefault="00BA29FF">
      <w:pPr>
        <w:pStyle w:val="AmdtsEntryHd"/>
        <w:rPr>
          <w:rStyle w:val="CharChapText"/>
        </w:rPr>
      </w:pPr>
      <w:r>
        <w:rPr>
          <w:rStyle w:val="CharChapText"/>
        </w:rPr>
        <w:t>Exemptions from requirement for development approval</w:t>
      </w:r>
    </w:p>
    <w:p w:rsidR="00BA29FF" w:rsidRDefault="00BA29FF">
      <w:pPr>
        <w:pStyle w:val="AmdtsEntries"/>
      </w:pPr>
      <w:r>
        <w:t>sch 1</w:t>
      </w:r>
      <w:r>
        <w:tab/>
        <w:t>am SL2008-33 s 8</w:t>
      </w:r>
    </w:p>
    <w:p w:rsidR="00BA29FF" w:rsidRDefault="00BA29FF">
      <w:pPr>
        <w:pStyle w:val="AmdtsEntryHd"/>
      </w:pPr>
      <w:r>
        <w:rPr>
          <w:szCs w:val="24"/>
        </w:rPr>
        <w:t>Definitions—sch 1</w:t>
      </w:r>
    </w:p>
    <w:p w:rsidR="00BA29FF" w:rsidRDefault="00BA29FF">
      <w:pPr>
        <w:pStyle w:val="AmdtsEntries"/>
      </w:pPr>
      <w:r>
        <w:t>sch 1 s 1.1</w:t>
      </w:r>
      <w:r>
        <w:tab/>
        <w:t xml:space="preserve">def </w:t>
      </w:r>
      <w:r>
        <w:rPr>
          <w:b/>
          <w:i/>
        </w:rPr>
        <w:t xml:space="preserve">basic paling fence </w:t>
      </w:r>
      <w:r>
        <w:t>ins SL2008-8 s 21</w:t>
      </w:r>
    </w:p>
    <w:p w:rsidR="00BA29FF" w:rsidRDefault="00BA29FF">
      <w:pPr>
        <w:pStyle w:val="AmdtsEntries"/>
      </w:pPr>
      <w:r>
        <w:tab/>
        <w:t xml:space="preserve">def </w:t>
      </w:r>
      <w:r>
        <w:rPr>
          <w:rStyle w:val="charBoldItals"/>
        </w:rPr>
        <w:t xml:space="preserve">designated development </w:t>
      </w:r>
      <w:r>
        <w:t>om SL2008-33 s 9</w:t>
      </w:r>
    </w:p>
    <w:p w:rsidR="00BA29FF" w:rsidRDefault="00BA29FF">
      <w:pPr>
        <w:pStyle w:val="AmdtsEntries"/>
      </w:pPr>
      <w:r>
        <w:tab/>
        <w:t xml:space="preserve">def </w:t>
      </w:r>
      <w:r>
        <w:rPr>
          <w:rStyle w:val="charBoldItals"/>
        </w:rPr>
        <w:t xml:space="preserve">finished floor level </w:t>
      </w:r>
      <w:r>
        <w:t>om SL2008-33 s 9</w:t>
      </w:r>
    </w:p>
    <w:p w:rsidR="00BA29FF" w:rsidRDefault="00BA29FF">
      <w:pPr>
        <w:pStyle w:val="AmdtsEntries"/>
      </w:pPr>
      <w:r>
        <w:tab/>
        <w:t xml:space="preserve">def </w:t>
      </w:r>
      <w:r>
        <w:rPr>
          <w:rStyle w:val="charBoldItals"/>
        </w:rPr>
        <w:t xml:space="preserve">general exemption criteria </w:t>
      </w:r>
      <w:r>
        <w:t>om SL2008-33 s 9</w:t>
      </w:r>
    </w:p>
    <w:p w:rsidR="00BA29FF" w:rsidRDefault="00BA29FF">
      <w:pPr>
        <w:pStyle w:val="AmdtsEntries"/>
      </w:pPr>
      <w:r>
        <w:tab/>
        <w:t xml:space="preserve">def </w:t>
      </w:r>
      <w:r>
        <w:rPr>
          <w:b/>
          <w:i/>
        </w:rPr>
        <w:t>open space boundary</w:t>
      </w:r>
      <w:r>
        <w:t xml:space="preserve"> ins SL2008-8 s 21</w:t>
      </w:r>
    </w:p>
    <w:p w:rsidR="00BA29FF" w:rsidRDefault="00BA29FF">
      <w:pPr>
        <w:pStyle w:val="AmdtsEntries"/>
      </w:pPr>
      <w:r>
        <w:tab/>
        <w:t xml:space="preserve">def </w:t>
      </w:r>
      <w:r>
        <w:rPr>
          <w:rStyle w:val="charBoldItals"/>
        </w:rPr>
        <w:t xml:space="preserve">surface water </w:t>
      </w:r>
      <w:r>
        <w:t>om SL2008-33 s 9</w:t>
      </w:r>
    </w:p>
    <w:p w:rsidR="00BA29FF" w:rsidRDefault="00BA29FF">
      <w:pPr>
        <w:pStyle w:val="AmdtsEntryHd"/>
      </w:pPr>
      <w:r>
        <w:t>General exemption criteria</w:t>
      </w:r>
    </w:p>
    <w:p w:rsidR="00BA29FF" w:rsidRDefault="00BA29FF">
      <w:pPr>
        <w:pStyle w:val="AmdtsEntries"/>
      </w:pPr>
      <w:r>
        <w:t>sch 1 pt 1.2 hdg</w:t>
      </w:r>
      <w:r>
        <w:tab/>
        <w:t>sub SL2008-33 s 10</w:t>
      </w:r>
    </w:p>
    <w:p w:rsidR="00BA29FF" w:rsidRDefault="00BA29FF">
      <w:pPr>
        <w:pStyle w:val="AmdtsEntryHd"/>
      </w:pPr>
      <w:r>
        <w:t>Criterion 2—plumbing and drainage clearances</w:t>
      </w:r>
    </w:p>
    <w:p w:rsidR="00BA29FF" w:rsidRDefault="00BA29FF">
      <w:pPr>
        <w:pStyle w:val="AmdtsEntries"/>
      </w:pPr>
      <w:r>
        <w:t>sch 1 s 1.12</w:t>
      </w:r>
      <w:r>
        <w:tab/>
        <w:t>am SL2008-33 s 11</w:t>
      </w:r>
    </w:p>
    <w:p w:rsidR="00BA29FF" w:rsidRDefault="00BA29FF">
      <w:pPr>
        <w:pStyle w:val="AmdtsEntryHd"/>
      </w:pPr>
      <w:r>
        <w:t>Criterion 3—metallic, white and off-white exterior finishes in residential zones</w:t>
      </w:r>
    </w:p>
    <w:p w:rsidR="00BA29FF" w:rsidRDefault="00BA29FF">
      <w:pPr>
        <w:pStyle w:val="AmdtsEntries"/>
      </w:pPr>
      <w:r>
        <w:t>sch 1 s 1.13</w:t>
      </w:r>
      <w:r>
        <w:tab/>
        <w:t>am SL2008-8 s 22</w:t>
      </w:r>
    </w:p>
    <w:p w:rsidR="00BA29FF" w:rsidRDefault="00BA29FF">
      <w:pPr>
        <w:pStyle w:val="AmdtsEntryHd"/>
      </w:pPr>
      <w:r>
        <w:t>Criterion 5—compliance with lease and other development approvals</w:t>
      </w:r>
    </w:p>
    <w:p w:rsidR="00BA29FF" w:rsidRDefault="00BA29FF">
      <w:pPr>
        <w:pStyle w:val="AmdtsEntries"/>
      </w:pPr>
      <w:r>
        <w:t>sch 1 s 1.15</w:t>
      </w:r>
      <w:r>
        <w:tab/>
        <w:t>am SL2008-33 s 12</w:t>
      </w:r>
    </w:p>
    <w:p w:rsidR="00BA29FF" w:rsidRDefault="00BA29FF">
      <w:pPr>
        <w:pStyle w:val="AmdtsEntryHd"/>
      </w:pPr>
      <w:r>
        <w:t>Criterion 6—development approval not otherwise required</w:t>
      </w:r>
    </w:p>
    <w:p w:rsidR="00BA29FF" w:rsidRDefault="00BA29FF">
      <w:pPr>
        <w:pStyle w:val="AmdtsEntries"/>
      </w:pPr>
      <w:r>
        <w:t>sch 1 s 1.16</w:t>
      </w:r>
      <w:r>
        <w:tab/>
        <w:t>am SL2008-8 s 23; SL2008-33 s 13</w:t>
      </w:r>
    </w:p>
    <w:p w:rsidR="00BA29FF" w:rsidRDefault="00BA29FF">
      <w:pPr>
        <w:pStyle w:val="AmdtsEntryHd"/>
      </w:pPr>
      <w:r>
        <w:t>Temporary buildings and structures</w:t>
      </w:r>
    </w:p>
    <w:p w:rsidR="00BA29FF" w:rsidRDefault="00BA29FF">
      <w:pPr>
        <w:pStyle w:val="AmdtsEntries"/>
      </w:pPr>
      <w:r>
        <w:t>sch 1 s 1.19</w:t>
      </w:r>
      <w:r>
        <w:tab/>
        <w:t>om SL2008-8 s 24</w:t>
      </w:r>
    </w:p>
    <w:p w:rsidR="00BA29FF" w:rsidRDefault="00BA29FF">
      <w:pPr>
        <w:pStyle w:val="AmdtsEntryHd"/>
      </w:pPr>
      <w:r>
        <w:t>Internal alterations of buildings</w:t>
      </w:r>
    </w:p>
    <w:p w:rsidR="00BA29FF" w:rsidRDefault="00BA29FF">
      <w:pPr>
        <w:pStyle w:val="AmdtsEntries"/>
      </w:pPr>
      <w:r>
        <w:t>sch 1 s 1.20</w:t>
      </w:r>
      <w:r>
        <w:tab/>
        <w:t>sub SL2008-8 s 25</w:t>
      </w:r>
    </w:p>
    <w:p w:rsidR="00BA29FF" w:rsidRDefault="00BA29FF">
      <w:pPr>
        <w:pStyle w:val="AmdtsEntryHd"/>
      </w:pPr>
      <w:r>
        <w:rPr>
          <w:lang w:val="en-US"/>
        </w:rPr>
        <w:t>Installation, alteration and removal of low impact external doors and windows in buildings</w:t>
      </w:r>
    </w:p>
    <w:p w:rsidR="00BA29FF" w:rsidRDefault="00BA29FF">
      <w:pPr>
        <w:pStyle w:val="AmdtsEntries"/>
      </w:pPr>
      <w:r>
        <w:t>sch 1 s 1.21</w:t>
      </w:r>
      <w:r>
        <w:tab/>
        <w:t>am SL2008-8 s 26</w:t>
      </w:r>
    </w:p>
    <w:p w:rsidR="00BA29FF" w:rsidRDefault="00BA29FF">
      <w:pPr>
        <w:pStyle w:val="AmdtsEntries"/>
      </w:pPr>
      <w:r>
        <w:tab/>
        <w:t>sub SL2008-33 s 14</w:t>
      </w:r>
    </w:p>
    <w:p w:rsidR="00BA29FF" w:rsidRDefault="00BA29FF">
      <w:pPr>
        <w:pStyle w:val="AmdtsEntryHd"/>
      </w:pPr>
      <w:r>
        <w:rPr>
          <w:lang w:val="en-US"/>
        </w:rPr>
        <w:lastRenderedPageBreak/>
        <w:t>Installation, alteration and removal of high impact external doors and windows in buildings</w:t>
      </w:r>
    </w:p>
    <w:p w:rsidR="00BA29FF" w:rsidRDefault="00BA29FF">
      <w:pPr>
        <w:pStyle w:val="AmdtsEntries"/>
      </w:pPr>
      <w:r>
        <w:t>sch 1 s 1.21A</w:t>
      </w:r>
      <w:r>
        <w:tab/>
        <w:t>ins SL2008-33 s 14</w:t>
      </w:r>
    </w:p>
    <w:p w:rsidR="00BA29FF" w:rsidRDefault="00BA29FF">
      <w:pPr>
        <w:pStyle w:val="AmdtsEntryHd"/>
      </w:pPr>
      <w:r>
        <w:t>Exterior refinishing of buildings and structures</w:t>
      </w:r>
    </w:p>
    <w:p w:rsidR="00BA29FF" w:rsidRDefault="00BA29FF">
      <w:pPr>
        <w:pStyle w:val="AmdtsEntries"/>
      </w:pPr>
      <w:r>
        <w:t>sch 1 s 1.22</w:t>
      </w:r>
      <w:r>
        <w:tab/>
        <w:t>am SL2008-8 s 27; SL2008-33 s 15</w:t>
      </w:r>
    </w:p>
    <w:p w:rsidR="00BA29FF" w:rsidRDefault="00BA29FF">
      <w:pPr>
        <w:pStyle w:val="AmdtsEntryHd"/>
      </w:pPr>
      <w:r>
        <w:t>Temporary buildings and structures</w:t>
      </w:r>
    </w:p>
    <w:p w:rsidR="00BA29FF" w:rsidRDefault="00BA29FF">
      <w:pPr>
        <w:pStyle w:val="AmdtsEntries"/>
      </w:pPr>
      <w:r>
        <w:t>sch 1 s 1.31</w:t>
      </w:r>
      <w:r>
        <w:tab/>
        <w:t>ins SL2008-8 s 28</w:t>
      </w:r>
    </w:p>
    <w:p w:rsidR="00BA29FF" w:rsidRDefault="00BA29FF">
      <w:pPr>
        <w:pStyle w:val="AmdtsEntryHd"/>
      </w:pPr>
      <w:r>
        <w:t>Exempt developments—non-habitable buildings and structures</w:t>
      </w:r>
    </w:p>
    <w:p w:rsidR="00BA29FF" w:rsidRDefault="00BA29FF">
      <w:pPr>
        <w:pStyle w:val="AmdtsEntries"/>
      </w:pPr>
      <w:r>
        <w:t>sch 1 div 1.3.2 hdg</w:t>
      </w:r>
      <w:r>
        <w:tab/>
        <w:t>sub SL2008-8 s 29</w:t>
      </w:r>
    </w:p>
    <w:p w:rsidR="00BA29FF" w:rsidRDefault="00BA29FF">
      <w:pPr>
        <w:pStyle w:val="AmdtsEntryHd"/>
      </w:pPr>
      <w:r>
        <w:t>Preliminary</w:t>
      </w:r>
    </w:p>
    <w:p w:rsidR="00BA29FF" w:rsidRDefault="00BA29FF">
      <w:pPr>
        <w:pStyle w:val="AmdtsEntries"/>
      </w:pPr>
      <w:r>
        <w:t>sch 1 sdiv 1.3.2.1</w:t>
      </w:r>
      <w:r>
        <w:tab/>
        <w:t>ins SL2008-8 s 29</w:t>
      </w:r>
    </w:p>
    <w:p w:rsidR="00BA29FF" w:rsidRDefault="00BA29FF">
      <w:pPr>
        <w:pStyle w:val="AmdtsEntries"/>
      </w:pPr>
      <w:r>
        <w:t>hdg</w:t>
      </w:r>
    </w:p>
    <w:p w:rsidR="00BA29FF" w:rsidRDefault="00BA29FF">
      <w:pPr>
        <w:pStyle w:val="AmdtsEntryHd"/>
      </w:pPr>
      <w:r>
        <w:t xml:space="preserve">Meaning of </w:t>
      </w:r>
      <w:r>
        <w:rPr>
          <w:i/>
          <w:iCs/>
        </w:rPr>
        <w:t>class 10a building</w:t>
      </w:r>
      <w:r>
        <w:t>—div 1.3.2</w:t>
      </w:r>
    </w:p>
    <w:p w:rsidR="00BA29FF" w:rsidRDefault="00BA29FF">
      <w:pPr>
        <w:pStyle w:val="AmdtsEntries"/>
      </w:pPr>
      <w:r>
        <w:t>sch 1 s 1.40</w:t>
      </w:r>
      <w:r>
        <w:tab/>
        <w:t>sub SL2008-8 s 29</w:t>
      </w:r>
    </w:p>
    <w:p w:rsidR="00BA29FF" w:rsidRDefault="00BA29FF">
      <w:pPr>
        <w:pStyle w:val="AmdtsEntryHd"/>
      </w:pPr>
      <w:r>
        <w:t>Class 10 buildings and structures—2nd exempt building or structure within boundary clearance area</w:t>
      </w:r>
    </w:p>
    <w:p w:rsidR="00BA29FF" w:rsidRDefault="00BA29FF">
      <w:pPr>
        <w:pStyle w:val="AmdtsEntries"/>
      </w:pPr>
      <w:r>
        <w:t>sch 1 s 1.41</w:t>
      </w:r>
      <w:r>
        <w:tab/>
        <w:t>sub SL2008-8 s 29</w:t>
      </w:r>
    </w:p>
    <w:p w:rsidR="00BA29FF" w:rsidRDefault="00BA29FF">
      <w:pPr>
        <w:pStyle w:val="AmdtsEntryHd"/>
      </w:pPr>
      <w:r>
        <w:t>Class 10a buildings—outdoor verandas</w:t>
      </w:r>
    </w:p>
    <w:p w:rsidR="00BA29FF" w:rsidRDefault="00BA29FF">
      <w:pPr>
        <w:pStyle w:val="AmdtsEntries"/>
      </w:pPr>
      <w:r>
        <w:t>sch 1 s 1.42</w:t>
      </w:r>
      <w:r>
        <w:tab/>
        <w:t>om SL2008-8 s 29</w:t>
      </w:r>
    </w:p>
    <w:p w:rsidR="00BA29FF" w:rsidRDefault="00BA29FF">
      <w:pPr>
        <w:pStyle w:val="AmdtsEntryHd"/>
      </w:pPr>
      <w:r>
        <w:t>Class 10b structures—plan area not more than 2m</w:t>
      </w:r>
      <w:r>
        <w:rPr>
          <w:vertAlign w:val="superscript"/>
        </w:rPr>
        <w:t>2</w:t>
      </w:r>
    </w:p>
    <w:p w:rsidR="00BA29FF" w:rsidRDefault="00BA29FF">
      <w:pPr>
        <w:pStyle w:val="AmdtsEntries"/>
      </w:pPr>
      <w:r>
        <w:t>sch 1 s 1.43</w:t>
      </w:r>
      <w:r>
        <w:tab/>
        <w:t>om SL2008-8 s 29</w:t>
      </w:r>
    </w:p>
    <w:p w:rsidR="00BA29FF" w:rsidRDefault="00BA29FF">
      <w:pPr>
        <w:pStyle w:val="AmdtsEntryHd"/>
      </w:pPr>
      <w:r>
        <w:t>Fences and freestanding walls generally</w:t>
      </w:r>
    </w:p>
    <w:p w:rsidR="00BA29FF" w:rsidRDefault="00BA29FF">
      <w:pPr>
        <w:pStyle w:val="AmdtsEntries"/>
      </w:pPr>
      <w:r>
        <w:t>sch 1 s 1.44</w:t>
      </w:r>
      <w:r>
        <w:tab/>
        <w:t>om SL2008-8 s 29</w:t>
      </w:r>
    </w:p>
    <w:p w:rsidR="00BA29FF" w:rsidRDefault="00BA29FF">
      <w:pPr>
        <w:pStyle w:val="AmdtsEntryHd"/>
      </w:pPr>
      <w:r>
        <w:t>Class 10a buildings</w:t>
      </w:r>
    </w:p>
    <w:p w:rsidR="00BA29FF" w:rsidRDefault="00BA29FF">
      <w:pPr>
        <w:pStyle w:val="AmdtsEntries"/>
      </w:pPr>
      <w:r>
        <w:t>sch 1 sdiv 1.3.2.2</w:t>
      </w:r>
      <w:r>
        <w:tab/>
        <w:t>ins SL2008-8 s 29</w:t>
      </w:r>
    </w:p>
    <w:p w:rsidR="00BA29FF" w:rsidRDefault="00BA29FF">
      <w:pPr>
        <w:pStyle w:val="AmdtsEntries"/>
      </w:pPr>
      <w:r>
        <w:t>hdg</w:t>
      </w:r>
    </w:p>
    <w:p w:rsidR="00BA29FF" w:rsidRDefault="00BA29FF">
      <w:pPr>
        <w:pStyle w:val="AmdtsEntryHd"/>
      </w:pPr>
      <w:r>
        <w:t>Roofed class 10a buildings—enclosed or open on 1 side</w:t>
      </w:r>
    </w:p>
    <w:p w:rsidR="00BA29FF" w:rsidRDefault="00BA29FF">
      <w:pPr>
        <w:pStyle w:val="AmdtsEntries"/>
      </w:pPr>
      <w:r>
        <w:t>sch 1 s 1.45</w:t>
      </w:r>
      <w:r>
        <w:tab/>
        <w:t>ins SL2008-8 s 29</w:t>
      </w:r>
    </w:p>
    <w:p w:rsidR="00BA29FF" w:rsidRDefault="00BA29FF">
      <w:pPr>
        <w:pStyle w:val="AmdtsEntryHd"/>
      </w:pPr>
      <w:r>
        <w:t>Roofed class 10a buildings—unenclosed or partially open</w:t>
      </w:r>
    </w:p>
    <w:p w:rsidR="00BA29FF" w:rsidRDefault="00BA29FF">
      <w:pPr>
        <w:pStyle w:val="AmdtsEntries"/>
      </w:pPr>
      <w:r>
        <w:t>sch 1 s 1.46</w:t>
      </w:r>
      <w:r>
        <w:tab/>
        <w:t>sub SL2008-8 s 29</w:t>
      </w:r>
    </w:p>
    <w:p w:rsidR="00BA29FF" w:rsidRDefault="00BA29FF">
      <w:pPr>
        <w:pStyle w:val="AmdtsEntryHd"/>
      </w:pPr>
      <w:r>
        <w:t>Class 10a buildings—unroofed and unenclosed</w:t>
      </w:r>
    </w:p>
    <w:p w:rsidR="00BA29FF" w:rsidRDefault="00BA29FF">
      <w:pPr>
        <w:pStyle w:val="AmdtsEntries"/>
      </w:pPr>
      <w:r>
        <w:t>sch 1 s 1.47</w:t>
      </w:r>
      <w:r>
        <w:tab/>
        <w:t>sub SL2008-8 s 29</w:t>
      </w:r>
    </w:p>
    <w:p w:rsidR="00BA29FF" w:rsidRDefault="00BA29FF">
      <w:pPr>
        <w:pStyle w:val="AmdtsEntryHd"/>
      </w:pPr>
      <w:r>
        <w:t>Class 10a buildings—external decks</w:t>
      </w:r>
    </w:p>
    <w:p w:rsidR="00BA29FF" w:rsidRDefault="00BA29FF">
      <w:pPr>
        <w:pStyle w:val="AmdtsEntries"/>
      </w:pPr>
      <w:r>
        <w:t>sch 1 s 1.48</w:t>
      </w:r>
      <w:r>
        <w:tab/>
        <w:t>sub SL2008-8 s 29</w:t>
      </w:r>
    </w:p>
    <w:p w:rsidR="00BA29FF" w:rsidRDefault="00BA29FF">
      <w:pPr>
        <w:pStyle w:val="AmdtsEntryHd"/>
      </w:pPr>
      <w:r>
        <w:t>Class 10a buildings—external verandahs</w:t>
      </w:r>
    </w:p>
    <w:p w:rsidR="00BA29FF" w:rsidRDefault="00BA29FF">
      <w:pPr>
        <w:pStyle w:val="AmdtsEntries"/>
      </w:pPr>
      <w:r>
        <w:t>sch 1 s 1.49</w:t>
      </w:r>
      <w:r>
        <w:tab/>
        <w:t>sub SL2008-8 s 29</w:t>
      </w:r>
    </w:p>
    <w:p w:rsidR="00BA29FF" w:rsidRDefault="00BA29FF">
      <w:pPr>
        <w:pStyle w:val="AmdtsEntryHd"/>
      </w:pPr>
      <w:r>
        <w:t>Class 10b structures</w:t>
      </w:r>
    </w:p>
    <w:p w:rsidR="00BA29FF" w:rsidRDefault="00BA29FF">
      <w:pPr>
        <w:pStyle w:val="AmdtsEntries"/>
      </w:pPr>
      <w:r>
        <w:t>sch 1 sdiv 1.3.2.3</w:t>
      </w:r>
      <w:r>
        <w:tab/>
        <w:t>ins SL2008-8 s 29</w:t>
      </w:r>
    </w:p>
    <w:p w:rsidR="00BA29FF" w:rsidRDefault="00BA29FF">
      <w:pPr>
        <w:pStyle w:val="AmdtsEntries"/>
      </w:pPr>
      <w:r>
        <w:lastRenderedPageBreak/>
        <w:t>hdg</w:t>
      </w:r>
    </w:p>
    <w:p w:rsidR="00BA29FF" w:rsidRDefault="00BA29FF">
      <w:pPr>
        <w:pStyle w:val="AmdtsEntryHd"/>
      </w:pPr>
      <w:r>
        <w:t>Class 10b structures—plan area not more than 2m</w:t>
      </w:r>
      <w:r>
        <w:rPr>
          <w:vertAlign w:val="superscript"/>
        </w:rPr>
        <w:t>2</w:t>
      </w:r>
    </w:p>
    <w:p w:rsidR="00BA29FF" w:rsidRDefault="00BA29FF">
      <w:pPr>
        <w:pStyle w:val="AmdtsEntries"/>
      </w:pPr>
      <w:r>
        <w:t>sch 1 s 1.50</w:t>
      </w:r>
      <w:r>
        <w:tab/>
        <w:t>sub SL2008-8 s 29</w:t>
      </w:r>
    </w:p>
    <w:p w:rsidR="00BA29FF" w:rsidRDefault="00BA29FF">
      <w:pPr>
        <w:pStyle w:val="AmdtsEntryHd"/>
      </w:pPr>
      <w:r>
        <w:t>Fences and freestanding walls generally</w:t>
      </w:r>
    </w:p>
    <w:p w:rsidR="00BA29FF" w:rsidRDefault="00BA29FF">
      <w:pPr>
        <w:pStyle w:val="AmdtsEntries"/>
      </w:pPr>
      <w:r>
        <w:t>sch 1 s 1.51</w:t>
      </w:r>
      <w:r>
        <w:tab/>
        <w:t>sub SL2008-8 s 29</w:t>
      </w:r>
    </w:p>
    <w:p w:rsidR="00BA29FF" w:rsidRDefault="00BA29FF">
      <w:pPr>
        <w:pStyle w:val="AmdtsEntries"/>
      </w:pPr>
      <w:r>
        <w:tab/>
        <w:t>am SL2008-33 s 16</w:t>
      </w:r>
    </w:p>
    <w:p w:rsidR="00BA29FF" w:rsidRDefault="00BA29FF">
      <w:pPr>
        <w:pStyle w:val="AmdtsEntryHd"/>
      </w:pPr>
      <w:r>
        <w:t>Basic open space boundary fences</w:t>
      </w:r>
    </w:p>
    <w:p w:rsidR="00BA29FF" w:rsidRDefault="00BA29FF">
      <w:pPr>
        <w:pStyle w:val="AmdtsEntries"/>
      </w:pPr>
      <w:r>
        <w:t>sch 1 s 1.52</w:t>
      </w:r>
      <w:r>
        <w:tab/>
        <w:t>sub SL2008-8 s 29</w:t>
      </w:r>
    </w:p>
    <w:p w:rsidR="00BA29FF" w:rsidRDefault="00BA29FF">
      <w:pPr>
        <w:pStyle w:val="AmdtsEntries"/>
      </w:pPr>
      <w:r>
        <w:tab/>
        <w:t>am SL2008-33 s 16</w:t>
      </w:r>
    </w:p>
    <w:p w:rsidR="00BA29FF" w:rsidRDefault="00BA29FF">
      <w:pPr>
        <w:pStyle w:val="AmdtsEntryHd"/>
      </w:pPr>
      <w:r>
        <w:t>Retaining walls</w:t>
      </w:r>
    </w:p>
    <w:p w:rsidR="00BA29FF" w:rsidRDefault="00BA29FF">
      <w:pPr>
        <w:pStyle w:val="AmdtsEntries"/>
      </w:pPr>
      <w:r>
        <w:t>sch 1 s 1.53</w:t>
      </w:r>
      <w:r>
        <w:tab/>
        <w:t>sub SL2008-8 s 29</w:t>
      </w:r>
    </w:p>
    <w:p w:rsidR="00BA29FF" w:rsidRDefault="00BA29FF">
      <w:pPr>
        <w:pStyle w:val="AmdtsEntryHd"/>
      </w:pPr>
      <w:r>
        <w:t>Swimming pools</w:t>
      </w:r>
    </w:p>
    <w:p w:rsidR="00BA29FF" w:rsidRDefault="00BA29FF">
      <w:pPr>
        <w:pStyle w:val="AmdtsEntries"/>
      </w:pPr>
      <w:r>
        <w:t>sch 1 s 1.54</w:t>
      </w:r>
      <w:r>
        <w:tab/>
        <w:t>sub SL2008-8 s 29</w:t>
      </w:r>
    </w:p>
    <w:p w:rsidR="00BA29FF" w:rsidRDefault="00BA29FF">
      <w:pPr>
        <w:pStyle w:val="AmdtsEntryHd"/>
      </w:pPr>
      <w:r>
        <w:t>Water tanks</w:t>
      </w:r>
    </w:p>
    <w:p w:rsidR="00BA29FF" w:rsidRDefault="00BA29FF">
      <w:pPr>
        <w:pStyle w:val="AmdtsEntries"/>
      </w:pPr>
      <w:r>
        <w:t>sch 1 s 1.55</w:t>
      </w:r>
      <w:r>
        <w:tab/>
        <w:t>om SL2008-8 s 30</w:t>
      </w:r>
    </w:p>
    <w:p w:rsidR="00BA29FF" w:rsidRDefault="00BA29FF">
      <w:pPr>
        <w:pStyle w:val="AmdtsEntries"/>
      </w:pPr>
      <w:r>
        <w:tab/>
        <w:t>ins SL2008-8 s 29</w:t>
      </w:r>
    </w:p>
    <w:p w:rsidR="00BA29FF" w:rsidRDefault="00BA29FF">
      <w:pPr>
        <w:pStyle w:val="AmdtsEntryHd"/>
      </w:pPr>
      <w:r>
        <w:t>External ponds</w:t>
      </w:r>
    </w:p>
    <w:p w:rsidR="00BA29FF" w:rsidRDefault="00BA29FF">
      <w:pPr>
        <w:pStyle w:val="AmdtsEntries"/>
      </w:pPr>
      <w:r>
        <w:t>sch 1 s 1.56</w:t>
      </w:r>
      <w:r>
        <w:tab/>
        <w:t>om SL2008-8 s 30</w:t>
      </w:r>
    </w:p>
    <w:p w:rsidR="00BA29FF" w:rsidRDefault="00BA29FF">
      <w:pPr>
        <w:pStyle w:val="AmdtsEntries"/>
      </w:pPr>
      <w:r>
        <w:tab/>
        <w:t>ins SL2008-8 s 29</w:t>
      </w:r>
    </w:p>
    <w:p w:rsidR="00BA29FF" w:rsidRDefault="00BA29FF">
      <w:pPr>
        <w:pStyle w:val="AmdtsEntryHd"/>
      </w:pPr>
      <w:r>
        <w:t>Animal enclosures</w:t>
      </w:r>
    </w:p>
    <w:p w:rsidR="00BA29FF" w:rsidRDefault="00BA29FF">
      <w:pPr>
        <w:pStyle w:val="AmdtsEntries"/>
      </w:pPr>
      <w:r>
        <w:t>sch 1 s 1.57</w:t>
      </w:r>
      <w:r>
        <w:tab/>
        <w:t>om SL2008-8 s 30</w:t>
      </w:r>
    </w:p>
    <w:p w:rsidR="00BA29FF" w:rsidRDefault="00BA29FF">
      <w:pPr>
        <w:pStyle w:val="AmdtsEntries"/>
      </w:pPr>
      <w:r>
        <w:tab/>
        <w:t>ins SL2008-8 s 29</w:t>
      </w:r>
    </w:p>
    <w:p w:rsidR="00BA29FF" w:rsidRDefault="00BA29FF">
      <w:pPr>
        <w:pStyle w:val="AmdtsEntryHd"/>
      </w:pPr>
      <w:r>
        <w:t>Clothes lines</w:t>
      </w:r>
    </w:p>
    <w:p w:rsidR="00BA29FF" w:rsidRDefault="00BA29FF">
      <w:pPr>
        <w:pStyle w:val="AmdtsEntries"/>
      </w:pPr>
      <w:r>
        <w:t>sch 1 s 1.58</w:t>
      </w:r>
      <w:r>
        <w:tab/>
        <w:t>om SL2008-8 s 30</w:t>
      </w:r>
    </w:p>
    <w:p w:rsidR="00BA29FF" w:rsidRDefault="00BA29FF">
      <w:pPr>
        <w:pStyle w:val="AmdtsEntries"/>
      </w:pPr>
      <w:r>
        <w:tab/>
        <w:t>ins SL2008-8 s 29</w:t>
      </w:r>
    </w:p>
    <w:p w:rsidR="00BA29FF" w:rsidRDefault="00BA29FF">
      <w:pPr>
        <w:pStyle w:val="AmdtsEntryHd"/>
      </w:pPr>
      <w:r>
        <w:t>Dish antennas</w:t>
      </w:r>
    </w:p>
    <w:p w:rsidR="00BA29FF" w:rsidRDefault="00BA29FF">
      <w:pPr>
        <w:pStyle w:val="AmdtsEntries"/>
      </w:pPr>
      <w:r>
        <w:t>sch 1 s 1.59</w:t>
      </w:r>
      <w:r>
        <w:tab/>
        <w:t>ins SL2008-8 s 29</w:t>
      </w:r>
    </w:p>
    <w:p w:rsidR="00BA29FF" w:rsidRDefault="00BA29FF">
      <w:pPr>
        <w:pStyle w:val="AmdtsEntryHd"/>
      </w:pPr>
      <w:r>
        <w:t>Mast antennas</w:t>
      </w:r>
    </w:p>
    <w:p w:rsidR="00BA29FF" w:rsidRDefault="00BA29FF">
      <w:pPr>
        <w:pStyle w:val="AmdtsEntries"/>
      </w:pPr>
      <w:r>
        <w:t>sch 1 s 1.60</w:t>
      </w:r>
      <w:r>
        <w:tab/>
        <w:t>ins SL2008-8 s 29</w:t>
      </w:r>
    </w:p>
    <w:p w:rsidR="00BA29FF" w:rsidRDefault="00BA29FF">
      <w:pPr>
        <w:pStyle w:val="AmdtsEntryHd"/>
      </w:pPr>
      <w:r>
        <w:t>Exempt developments—signs</w:t>
      </w:r>
    </w:p>
    <w:p w:rsidR="00BA29FF" w:rsidRDefault="00BA29FF">
      <w:pPr>
        <w:pStyle w:val="AmdtsEntries"/>
      </w:pPr>
      <w:r>
        <w:t>sch 1 div 1.3.3 hdg</w:t>
      </w:r>
      <w:r>
        <w:tab/>
        <w:t>sub SL2008-8 s 30</w:t>
      </w:r>
    </w:p>
    <w:p w:rsidR="00BA29FF" w:rsidRDefault="00BA29FF">
      <w:pPr>
        <w:pStyle w:val="AmdtsEntryHd"/>
      </w:pPr>
      <w:r>
        <w:t>Minor public works signs excluded—div 1.3.3</w:t>
      </w:r>
    </w:p>
    <w:p w:rsidR="00BA29FF" w:rsidRDefault="00BA29FF">
      <w:pPr>
        <w:pStyle w:val="AmdtsEntries"/>
      </w:pPr>
      <w:r>
        <w:t>sch 1 s 1.65</w:t>
      </w:r>
      <w:r>
        <w:tab/>
        <w:t>ins SL2008-8 s 30</w:t>
      </w:r>
    </w:p>
    <w:p w:rsidR="00BA29FF" w:rsidRDefault="00BA29FF">
      <w:pPr>
        <w:pStyle w:val="AmdtsEntryHd"/>
      </w:pPr>
      <w:r>
        <w:t xml:space="preserve">Meaning of </w:t>
      </w:r>
      <w:r>
        <w:rPr>
          <w:i/>
          <w:iCs/>
        </w:rPr>
        <w:t>prescribed general exemption criteria</w:t>
      </w:r>
      <w:r>
        <w:t>—div 1.3.3</w:t>
      </w:r>
    </w:p>
    <w:p w:rsidR="00BA29FF" w:rsidRDefault="00BA29FF">
      <w:pPr>
        <w:pStyle w:val="AmdtsEntries"/>
      </w:pPr>
      <w:r>
        <w:t>sch 1 s 1.66</w:t>
      </w:r>
      <w:r>
        <w:tab/>
        <w:t>ins SL2008-8 s 30</w:t>
      </w:r>
    </w:p>
    <w:p w:rsidR="00BA29FF" w:rsidRDefault="00BA29FF">
      <w:pPr>
        <w:pStyle w:val="AmdtsEntryHd"/>
      </w:pPr>
      <w:r>
        <w:t>Signs attached etc to buildings, structures and land</w:t>
      </w:r>
    </w:p>
    <w:p w:rsidR="00BA29FF" w:rsidRDefault="00BA29FF">
      <w:pPr>
        <w:pStyle w:val="AmdtsEntries"/>
      </w:pPr>
      <w:r>
        <w:t>sch 1 s 1.67</w:t>
      </w:r>
      <w:r>
        <w:tab/>
        <w:t>ins SL2008-8 s 30</w:t>
      </w:r>
    </w:p>
    <w:p w:rsidR="00BA29FF" w:rsidRDefault="00BA29FF">
      <w:pPr>
        <w:pStyle w:val="AmdtsEntryHd"/>
      </w:pPr>
      <w:r>
        <w:lastRenderedPageBreak/>
        <w:t>Moveable signs in public places</w:t>
      </w:r>
    </w:p>
    <w:p w:rsidR="00BA29FF" w:rsidRDefault="00BA29FF">
      <w:pPr>
        <w:pStyle w:val="AmdtsEntries"/>
      </w:pPr>
      <w:r>
        <w:t>sch 1 s 1.68</w:t>
      </w:r>
      <w:r>
        <w:tab/>
        <w:t>ins SL2008-8 s 30</w:t>
      </w:r>
    </w:p>
    <w:p w:rsidR="00BA29FF" w:rsidRDefault="00BA29FF">
      <w:pPr>
        <w:pStyle w:val="AmdtsEntryHd"/>
      </w:pPr>
      <w:r>
        <w:t>Temporary signs</w:t>
      </w:r>
    </w:p>
    <w:p w:rsidR="00BA29FF" w:rsidRDefault="00BA29FF">
      <w:pPr>
        <w:pStyle w:val="AmdtsEntries"/>
      </w:pPr>
      <w:r>
        <w:t>sch 1 s 1.69</w:t>
      </w:r>
      <w:r>
        <w:tab/>
        <w:t>ins SL2008-8 s 30</w:t>
      </w:r>
    </w:p>
    <w:p w:rsidR="00BA29FF" w:rsidRDefault="00BA29FF">
      <w:pPr>
        <w:pStyle w:val="AmdtsEntryHd"/>
      </w:pPr>
      <w:r>
        <w:t>Signs—information about future urban areas</w:t>
      </w:r>
    </w:p>
    <w:p w:rsidR="00BA29FF" w:rsidRDefault="00BA29FF">
      <w:pPr>
        <w:pStyle w:val="AmdtsEntries"/>
        <w:keepNext/>
      </w:pPr>
      <w:r>
        <w:t>sch 1 s 1.70</w:t>
      </w:r>
      <w:r>
        <w:tab/>
      </w:r>
      <w:r>
        <w:rPr>
          <w:rStyle w:val="charBold"/>
        </w:rPr>
        <w:t>orig s 1.70</w:t>
      </w:r>
    </w:p>
    <w:p w:rsidR="00BA29FF" w:rsidRDefault="00BA29FF">
      <w:pPr>
        <w:pStyle w:val="AmdtsEntries"/>
        <w:keepNext/>
        <w:keepLines/>
      </w:pPr>
      <w:r>
        <w:tab/>
        <w:t>renum as s 1.75</w:t>
      </w:r>
    </w:p>
    <w:p w:rsidR="00BA29FF" w:rsidRDefault="00BA29FF">
      <w:pPr>
        <w:pStyle w:val="AmdtsEntries"/>
        <w:keepNext/>
        <w:keepLines/>
      </w:pPr>
      <w:r>
        <w:tab/>
      </w:r>
      <w:r>
        <w:rPr>
          <w:rStyle w:val="charBold"/>
        </w:rPr>
        <w:t>pres s 1.70</w:t>
      </w:r>
    </w:p>
    <w:p w:rsidR="00BA29FF" w:rsidRDefault="00BA29FF">
      <w:pPr>
        <w:pStyle w:val="AmdtsEntries"/>
      </w:pPr>
      <w:r>
        <w:tab/>
        <w:t>ins SL2008-8 s 30</w:t>
      </w:r>
    </w:p>
    <w:p w:rsidR="00BA29FF" w:rsidRDefault="00BA29FF">
      <w:pPr>
        <w:pStyle w:val="AmdtsEntryHd"/>
      </w:pPr>
      <w:r>
        <w:t>Lease variations—withdrawal of part of land</w:t>
      </w:r>
    </w:p>
    <w:p w:rsidR="00BA29FF" w:rsidRDefault="00BA29FF">
      <w:pPr>
        <w:pStyle w:val="AmdtsEntries"/>
      </w:pPr>
      <w:r>
        <w:t>sch 1 s 1.71</w:t>
      </w:r>
      <w:r>
        <w:tab/>
        <w:t>renum as s 1.76</w:t>
      </w:r>
    </w:p>
    <w:p w:rsidR="00BA29FF" w:rsidRDefault="00BA29FF">
      <w:pPr>
        <w:pStyle w:val="AmdtsEntryHd"/>
      </w:pPr>
      <w:r>
        <w:t>Lease variations—subdivision for unit titles</w:t>
      </w:r>
    </w:p>
    <w:p w:rsidR="00BA29FF" w:rsidRDefault="00BA29FF">
      <w:pPr>
        <w:pStyle w:val="AmdtsEntries"/>
      </w:pPr>
      <w:r>
        <w:t>sch 1 s 1.72</w:t>
      </w:r>
      <w:r>
        <w:tab/>
        <w:t>renum as s 1.77</w:t>
      </w:r>
    </w:p>
    <w:p w:rsidR="00BA29FF" w:rsidRDefault="00BA29FF">
      <w:pPr>
        <w:pStyle w:val="AmdtsEntryHd"/>
      </w:pPr>
      <w:r>
        <w:t>Lease variations—other subdivisions</w:t>
      </w:r>
    </w:p>
    <w:p w:rsidR="00BA29FF" w:rsidRDefault="00BA29FF">
      <w:pPr>
        <w:pStyle w:val="AmdtsEntries"/>
      </w:pPr>
      <w:r>
        <w:t>sch 1 s 1.73</w:t>
      </w:r>
      <w:r>
        <w:tab/>
        <w:t>renum as s 1.78</w:t>
      </w:r>
    </w:p>
    <w:p w:rsidR="00BA29FF" w:rsidRDefault="00BA29FF">
      <w:pPr>
        <w:pStyle w:val="AmdtsEntryHd"/>
      </w:pPr>
      <w:r>
        <w:t>Signs—information about future urban areas</w:t>
      </w:r>
    </w:p>
    <w:p w:rsidR="00BA29FF" w:rsidRDefault="00BA29FF">
      <w:pPr>
        <w:pStyle w:val="AmdtsEntries"/>
      </w:pPr>
      <w:r>
        <w:t>sch 1 s 1.75</w:t>
      </w:r>
      <w:r>
        <w:tab/>
        <w:t>(prev s 1.70) renum as s 1.75 SL2008-8 s 31</w:t>
      </w:r>
    </w:p>
    <w:p w:rsidR="00BA29FF" w:rsidRDefault="00BA29FF">
      <w:pPr>
        <w:pStyle w:val="AmdtsEntryHd"/>
      </w:pPr>
      <w:r>
        <w:t>Lease variations—withdrawal of part of land</w:t>
      </w:r>
    </w:p>
    <w:p w:rsidR="00BA29FF" w:rsidRDefault="00BA29FF">
      <w:pPr>
        <w:pStyle w:val="AmdtsEntries"/>
      </w:pPr>
      <w:r>
        <w:t>sch 1 s 1.76</w:t>
      </w:r>
      <w:r>
        <w:tab/>
        <w:t>(prev s 1.71) renum as s 1.76 SL2008-8 s 31</w:t>
      </w:r>
    </w:p>
    <w:p w:rsidR="00BA29FF" w:rsidRDefault="00BA29FF">
      <w:pPr>
        <w:pStyle w:val="AmdtsEntryHd"/>
      </w:pPr>
      <w:r>
        <w:t>Lease variations—subdivision for unit titles</w:t>
      </w:r>
    </w:p>
    <w:p w:rsidR="00BA29FF" w:rsidRDefault="00BA29FF">
      <w:pPr>
        <w:pStyle w:val="AmdtsEntries"/>
      </w:pPr>
      <w:r>
        <w:t>sch 1 s 1.77</w:t>
      </w:r>
      <w:r>
        <w:tab/>
        <w:t>(prev s 1.72) renum as s 1.77 SL2008-8 s 31</w:t>
      </w:r>
    </w:p>
    <w:p w:rsidR="00BA29FF" w:rsidRDefault="00BA29FF">
      <w:pPr>
        <w:pStyle w:val="AmdtsEntryHd"/>
      </w:pPr>
      <w:r>
        <w:t>Lease variations—other subdivisions</w:t>
      </w:r>
    </w:p>
    <w:p w:rsidR="00BA29FF" w:rsidRDefault="00BA29FF">
      <w:pPr>
        <w:pStyle w:val="AmdtsEntries"/>
      </w:pPr>
      <w:r>
        <w:t>sch 1 s 1.78</w:t>
      </w:r>
      <w:r>
        <w:tab/>
        <w:t>(prev s 1.73) renum as s 1.78 SL2008-8 s 31</w:t>
      </w:r>
    </w:p>
    <w:p w:rsidR="00BA29FF" w:rsidRDefault="00BA29FF">
      <w:pPr>
        <w:pStyle w:val="AmdtsEntries"/>
      </w:pPr>
      <w:r>
        <w:tab/>
        <w:t>am SL2008-33 s 17</w:t>
      </w:r>
    </w:p>
    <w:p w:rsidR="00BA29FF" w:rsidRDefault="00BA29FF">
      <w:pPr>
        <w:pStyle w:val="AmdtsEntryHd"/>
      </w:pPr>
      <w:r>
        <w:t>Rural lease developments generally</w:t>
      </w:r>
    </w:p>
    <w:p w:rsidR="00BA29FF" w:rsidRDefault="00BA29FF">
      <w:pPr>
        <w:pStyle w:val="AmdtsEntries"/>
      </w:pPr>
      <w:r>
        <w:t>sch 1 s 1.80</w:t>
      </w:r>
      <w:r>
        <w:tab/>
        <w:t>om SL2008-8 s 32</w:t>
      </w:r>
    </w:p>
    <w:p w:rsidR="00BA29FF" w:rsidRDefault="00BA29FF">
      <w:pPr>
        <w:pStyle w:val="AmdtsEntryHd"/>
      </w:pPr>
      <w:r>
        <w:t>Rural leases—consolidation of rural leases</w:t>
      </w:r>
    </w:p>
    <w:p w:rsidR="00BA29FF" w:rsidRDefault="00BA29FF">
      <w:pPr>
        <w:pStyle w:val="AmdtsEntries"/>
      </w:pPr>
      <w:r>
        <w:t>sch 1 s 1.81</w:t>
      </w:r>
      <w:r>
        <w:tab/>
        <w:t>renum as s 1.86</w:t>
      </w:r>
    </w:p>
    <w:p w:rsidR="00BA29FF" w:rsidRDefault="00BA29FF">
      <w:pPr>
        <w:pStyle w:val="AmdtsEntryHd"/>
      </w:pPr>
      <w:r>
        <w:t>Rural lease developments generally</w:t>
      </w:r>
    </w:p>
    <w:p w:rsidR="00BA29FF" w:rsidRDefault="00BA29FF">
      <w:pPr>
        <w:pStyle w:val="AmdtsEntries"/>
      </w:pPr>
      <w:r>
        <w:t>sch 1 s 1.85</w:t>
      </w:r>
      <w:r>
        <w:tab/>
        <w:t>ins SL2008-8 s 32</w:t>
      </w:r>
    </w:p>
    <w:p w:rsidR="00BA29FF" w:rsidRDefault="00BA29FF">
      <w:pPr>
        <w:pStyle w:val="AmdtsEntryHd"/>
      </w:pPr>
      <w:r>
        <w:t>Rural leases—consolidation of rural leases</w:t>
      </w:r>
    </w:p>
    <w:p w:rsidR="00BA29FF" w:rsidRDefault="00BA29FF">
      <w:pPr>
        <w:pStyle w:val="AmdtsEntries"/>
      </w:pPr>
      <w:r>
        <w:t>sch 1 s 1.86</w:t>
      </w:r>
      <w:r>
        <w:tab/>
        <w:t>(prev s 1.80) renum as s 1.86 SL2008-8 s 33</w:t>
      </w:r>
    </w:p>
    <w:p w:rsidR="00BA29FF" w:rsidRDefault="00BA29FF">
      <w:pPr>
        <w:pStyle w:val="AmdtsEntryHd"/>
      </w:pPr>
      <w:r>
        <w:rPr>
          <w:szCs w:val="24"/>
        </w:rPr>
        <w:t>Minor public works</w:t>
      </w:r>
    </w:p>
    <w:p w:rsidR="00BA29FF" w:rsidRDefault="00BA29FF">
      <w:pPr>
        <w:pStyle w:val="AmdtsEntries"/>
      </w:pPr>
      <w:r>
        <w:t>sch 1 s 1.90</w:t>
      </w:r>
      <w:r>
        <w:tab/>
        <w:t>am SL2008-8 s 34, s 35</w:t>
      </w:r>
    </w:p>
    <w:p w:rsidR="00BA29FF" w:rsidRDefault="00BA29FF">
      <w:pPr>
        <w:pStyle w:val="AmdtsEntryHd"/>
      </w:pPr>
      <w:r>
        <w:t>Temporary flood mitigation measures</w:t>
      </w:r>
    </w:p>
    <w:p w:rsidR="00BA29FF" w:rsidRDefault="00BA29FF">
      <w:pPr>
        <w:pStyle w:val="AmdtsEntries"/>
      </w:pPr>
      <w:r>
        <w:t>sch 1 s 1.95</w:t>
      </w:r>
      <w:r>
        <w:tab/>
        <w:t>am SL2008-8 s 36</w:t>
      </w:r>
    </w:p>
    <w:p w:rsidR="00BA29FF" w:rsidRDefault="00BA29FF">
      <w:pPr>
        <w:pStyle w:val="AmdtsEntryHd"/>
      </w:pPr>
      <w:r>
        <w:t>Single dwellings—new residential land</w:t>
      </w:r>
    </w:p>
    <w:p w:rsidR="00BA29FF" w:rsidRDefault="00BA29FF">
      <w:pPr>
        <w:pStyle w:val="AmdtsEntries"/>
      </w:pPr>
      <w:r>
        <w:t>sch 1 s 1.100</w:t>
      </w:r>
      <w:r>
        <w:tab/>
        <w:t>sub SL2008-8 s 37</w:t>
      </w:r>
    </w:p>
    <w:p w:rsidR="00BA29FF" w:rsidRDefault="00BA29FF">
      <w:pPr>
        <w:pStyle w:val="AmdtsEntryHd"/>
      </w:pPr>
      <w:r>
        <w:lastRenderedPageBreak/>
        <w:t>Temporary use of land for emergency services training etc</w:t>
      </w:r>
    </w:p>
    <w:p w:rsidR="00BA29FF" w:rsidRDefault="00BA29FF">
      <w:pPr>
        <w:pStyle w:val="AmdtsEntries"/>
      </w:pPr>
      <w:r>
        <w:t>sch 1 s 1.102</w:t>
      </w:r>
      <w:r>
        <w:tab/>
        <w:t>am SL2008-33 s 18</w:t>
      </w:r>
    </w:p>
    <w:p w:rsidR="00BA29FF" w:rsidRDefault="00BA29FF">
      <w:pPr>
        <w:pStyle w:val="AmdtsEntryHd"/>
      </w:pPr>
      <w:r>
        <w:rPr>
          <w:szCs w:val="24"/>
        </w:rPr>
        <w:t>Landscape gardening</w:t>
      </w:r>
    </w:p>
    <w:p w:rsidR="00BA29FF" w:rsidRDefault="00BA29FF">
      <w:pPr>
        <w:pStyle w:val="AmdtsEntries"/>
      </w:pPr>
      <w:r>
        <w:t>sch 1 s 1.104</w:t>
      </w:r>
      <w:r>
        <w:tab/>
        <w:t>am SL2008-8 s 38, s 39</w:t>
      </w:r>
    </w:p>
    <w:p w:rsidR="00BA29FF" w:rsidRDefault="00BA29FF">
      <w:pPr>
        <w:pStyle w:val="AmdtsEntryHd"/>
      </w:pPr>
      <w:r>
        <w:t>Resiting of buildings with development approval</w:t>
      </w:r>
    </w:p>
    <w:p w:rsidR="00BA29FF" w:rsidRDefault="00BA29FF">
      <w:pPr>
        <w:pStyle w:val="AmdtsEntries"/>
      </w:pPr>
      <w:r>
        <w:t>sch 1 s 1.106</w:t>
      </w:r>
      <w:r>
        <w:tab/>
        <w:t>sub SL2008-8 s 40</w:t>
      </w:r>
    </w:p>
    <w:p w:rsidR="00BA29FF" w:rsidRDefault="00BA29FF">
      <w:pPr>
        <w:pStyle w:val="AmdtsEntries"/>
      </w:pPr>
      <w:r>
        <w:tab/>
        <w:t>om SL2008-33 s 19</w:t>
      </w:r>
    </w:p>
    <w:p w:rsidR="00BA29FF" w:rsidRDefault="00BA29FF">
      <w:pPr>
        <w:pStyle w:val="AmdtsEntryHd"/>
      </w:pPr>
      <w:r>
        <w:t>Resiting of exempt buildings</w:t>
      </w:r>
    </w:p>
    <w:p w:rsidR="00BA29FF" w:rsidRDefault="00BA29FF">
      <w:pPr>
        <w:pStyle w:val="AmdtsEntries"/>
      </w:pPr>
      <w:r>
        <w:t>sch 1 s 1.107</w:t>
      </w:r>
      <w:r>
        <w:tab/>
        <w:t>sub SL2008-8 s 40</w:t>
      </w:r>
    </w:p>
    <w:p w:rsidR="00BA29FF" w:rsidRDefault="00BA29FF">
      <w:pPr>
        <w:pStyle w:val="AmdtsEntries"/>
      </w:pPr>
      <w:r>
        <w:tab/>
        <w:t>om SL2008-33 s 19</w:t>
      </w:r>
    </w:p>
    <w:p w:rsidR="00BA29FF" w:rsidRDefault="00BA29FF">
      <w:pPr>
        <w:pStyle w:val="AmdtsEntryHd"/>
      </w:pPr>
      <w:r>
        <w:t>Designated areas—developments not involving lease variations</w:t>
      </w:r>
    </w:p>
    <w:p w:rsidR="00BA29FF" w:rsidRDefault="00BA29FF">
      <w:pPr>
        <w:pStyle w:val="AmdtsEntries"/>
      </w:pPr>
      <w:r>
        <w:t>sch 1 s 1.109</w:t>
      </w:r>
      <w:r>
        <w:tab/>
        <w:t>sub SL2008-8 s 41</w:t>
      </w:r>
    </w:p>
    <w:p w:rsidR="00BA29FF" w:rsidRDefault="00BA29FF">
      <w:pPr>
        <w:pStyle w:val="AmdtsEntryHd"/>
      </w:pPr>
      <w:r>
        <w:t>Permitted open space boundary fence colours</w:t>
      </w:r>
    </w:p>
    <w:p w:rsidR="00BA29FF" w:rsidRDefault="00BA29FF">
      <w:pPr>
        <w:pStyle w:val="AmdtsEntries"/>
      </w:pPr>
      <w:r>
        <w:t>sch 1 pt 1.4</w:t>
      </w:r>
      <w:r>
        <w:tab/>
        <w:t>ins SL2008-8 s 42</w:t>
      </w:r>
    </w:p>
    <w:p w:rsidR="00BA29FF" w:rsidRDefault="00BA29FF">
      <w:pPr>
        <w:pStyle w:val="AmdtsEntryHd"/>
      </w:pPr>
      <w:r>
        <w:rPr>
          <w:szCs w:val="32"/>
        </w:rPr>
        <w:t>Tables of exempt signs</w:t>
      </w:r>
    </w:p>
    <w:p w:rsidR="00BA29FF" w:rsidRDefault="00BA29FF">
      <w:pPr>
        <w:pStyle w:val="AmdtsEntries"/>
      </w:pPr>
      <w:r>
        <w:t>sch 1 pt 1.5 hdg</w:t>
      </w:r>
      <w:r>
        <w:tab/>
        <w:t>note sub SL2008-8 s 43</w:t>
      </w:r>
    </w:p>
    <w:p w:rsidR="00BA29FF" w:rsidRDefault="00BA29FF">
      <w:pPr>
        <w:pStyle w:val="AmdtsEntryHd"/>
      </w:pPr>
      <w:r>
        <w:t>Permitted variations to approved and exempt developments</w:t>
      </w:r>
    </w:p>
    <w:p w:rsidR="00BA29FF" w:rsidRDefault="00BA29FF">
      <w:pPr>
        <w:pStyle w:val="AmdtsEntries"/>
      </w:pPr>
      <w:r>
        <w:t>sch 1A hdg</w:t>
      </w:r>
      <w:r>
        <w:tab/>
        <w:t>ins SL2008-33 s 20</w:t>
      </w:r>
    </w:p>
    <w:p w:rsidR="00BA29FF" w:rsidRDefault="00BA29FF">
      <w:pPr>
        <w:pStyle w:val="AmdtsEntryHd"/>
      </w:pPr>
      <w:r>
        <w:t>Preliminary</w:t>
      </w:r>
    </w:p>
    <w:p w:rsidR="00BA29FF" w:rsidRDefault="00BA29FF">
      <w:pPr>
        <w:pStyle w:val="AmdtsEntries"/>
      </w:pPr>
      <w:r>
        <w:t>sch 1A pt 1A.1 hdg</w:t>
      </w:r>
      <w:r>
        <w:tab/>
        <w:t>ins SL2008-33 s 20</w:t>
      </w:r>
    </w:p>
    <w:p w:rsidR="00BA29FF" w:rsidRDefault="00BA29FF">
      <w:pPr>
        <w:pStyle w:val="AmdtsEntryHd"/>
      </w:pPr>
      <w:r>
        <w:rPr>
          <w:lang w:val="en-US"/>
        </w:rPr>
        <w:t>Definitions—sch 1A</w:t>
      </w:r>
    </w:p>
    <w:p w:rsidR="00BA29FF" w:rsidRDefault="00BA29FF">
      <w:pPr>
        <w:pStyle w:val="AmdtsEntries"/>
      </w:pPr>
      <w:r>
        <w:t>sch 1A s 1A.1</w:t>
      </w:r>
      <w:r>
        <w:tab/>
        <w:t>ins SL2008-33 s 20</w:t>
      </w:r>
    </w:p>
    <w:p w:rsidR="00BA29FF" w:rsidRDefault="00BA29FF">
      <w:pPr>
        <w:pStyle w:val="AmdtsEntries"/>
      </w:pPr>
      <w:r>
        <w:tab/>
        <w:t xml:space="preserve">def </w:t>
      </w:r>
      <w:r>
        <w:rPr>
          <w:rStyle w:val="charBoldItals"/>
        </w:rPr>
        <w:t xml:space="preserve">approved development </w:t>
      </w:r>
      <w:r>
        <w:t>ins SL2008-33 s 20</w:t>
      </w:r>
    </w:p>
    <w:p w:rsidR="00BA29FF" w:rsidRDefault="00BA29FF">
      <w:pPr>
        <w:pStyle w:val="AmdtsEntries"/>
      </w:pPr>
      <w:r>
        <w:tab/>
        <w:t xml:space="preserve">def </w:t>
      </w:r>
      <w:r>
        <w:rPr>
          <w:rStyle w:val="charBoldItals"/>
        </w:rPr>
        <w:t xml:space="preserve">exempt development </w:t>
      </w:r>
      <w:r>
        <w:t>ins SL2008-33 s 20</w:t>
      </w:r>
    </w:p>
    <w:p w:rsidR="00BA29FF" w:rsidRDefault="00BA29FF">
      <w:pPr>
        <w:pStyle w:val="AmdtsEntries"/>
      </w:pPr>
      <w:r>
        <w:tab/>
        <w:t xml:space="preserve">def </w:t>
      </w:r>
      <w:r>
        <w:rPr>
          <w:rStyle w:val="charBoldItals"/>
        </w:rPr>
        <w:t xml:space="preserve">sch 1 exempt development </w:t>
      </w:r>
      <w:r>
        <w:t>ins SL2008-33 s 20</w:t>
      </w:r>
    </w:p>
    <w:p w:rsidR="00BA29FF" w:rsidRDefault="00BA29FF">
      <w:pPr>
        <w:pStyle w:val="AmdtsEntryHd"/>
      </w:pPr>
      <w:r>
        <w:t>Permitted construction tolerances</w:t>
      </w:r>
    </w:p>
    <w:p w:rsidR="00BA29FF" w:rsidRDefault="00BA29FF">
      <w:pPr>
        <w:pStyle w:val="AmdtsEntries"/>
      </w:pPr>
      <w:r>
        <w:t>sch 1A pt 1A.2 hdg</w:t>
      </w:r>
      <w:r>
        <w:tab/>
        <w:t>ins SL2008-33 s 20</w:t>
      </w:r>
    </w:p>
    <w:p w:rsidR="00BA29FF" w:rsidRDefault="00BA29FF">
      <w:pPr>
        <w:pStyle w:val="AmdtsEntryHd"/>
      </w:pPr>
      <w:r>
        <w:rPr>
          <w:lang w:val="en-US"/>
        </w:rPr>
        <w:t>Permitted variations—</w:t>
      </w:r>
      <w:r>
        <w:t>horizontal siting tolerances for buildings and structures</w:t>
      </w:r>
    </w:p>
    <w:p w:rsidR="00BA29FF" w:rsidRDefault="00BA29FF">
      <w:pPr>
        <w:pStyle w:val="AmdtsEntries"/>
      </w:pPr>
      <w:r>
        <w:t>sch 1A s 1A.10</w:t>
      </w:r>
      <w:r>
        <w:tab/>
        <w:t>ins SL2008-33 s 20</w:t>
      </w:r>
    </w:p>
    <w:p w:rsidR="00BA29FF" w:rsidRDefault="00BA29FF">
      <w:pPr>
        <w:pStyle w:val="AmdtsEntryHd"/>
      </w:pPr>
      <w:r>
        <w:rPr>
          <w:lang w:val="en-US"/>
        </w:rPr>
        <w:t>Permitted variations—h</w:t>
      </w:r>
      <w:r>
        <w:t>eight tolerances for buildings and structures</w:t>
      </w:r>
    </w:p>
    <w:p w:rsidR="00BA29FF" w:rsidRDefault="00BA29FF">
      <w:pPr>
        <w:pStyle w:val="AmdtsEntries"/>
      </w:pPr>
      <w:r>
        <w:t>sch 1A s 1A.11</w:t>
      </w:r>
      <w:r>
        <w:tab/>
        <w:t>ins SL2008-33 s 20</w:t>
      </w:r>
    </w:p>
    <w:p w:rsidR="00BA29FF" w:rsidRDefault="00BA29FF">
      <w:pPr>
        <w:pStyle w:val="AmdtsEntryHd"/>
      </w:pPr>
      <w:r>
        <w:rPr>
          <w:lang w:val="en-US"/>
        </w:rPr>
        <w:t>Other permitted variations</w:t>
      </w:r>
    </w:p>
    <w:p w:rsidR="00BA29FF" w:rsidRDefault="00BA29FF">
      <w:pPr>
        <w:pStyle w:val="AmdtsEntries"/>
      </w:pPr>
      <w:r>
        <w:t>sch 1A pt 1A.3 hdg</w:t>
      </w:r>
      <w:r>
        <w:tab/>
        <w:t>ins SL2008-33 s 20</w:t>
      </w:r>
    </w:p>
    <w:p w:rsidR="00BA29FF" w:rsidRDefault="00BA29FF">
      <w:pPr>
        <w:pStyle w:val="AmdtsEntryHd"/>
      </w:pPr>
      <w:r>
        <w:rPr>
          <w:lang w:val="en-US"/>
        </w:rPr>
        <w:t>Other permitted variations to approved developments and exempt developments</w:t>
      </w:r>
    </w:p>
    <w:p w:rsidR="00BA29FF" w:rsidRDefault="00BA29FF">
      <w:pPr>
        <w:pStyle w:val="AmdtsEntries"/>
      </w:pPr>
      <w:r>
        <w:t>sch 1A s 1A.20</w:t>
      </w:r>
      <w:r>
        <w:tab/>
        <w:t>ins SL2008-33 s 20</w:t>
      </w:r>
    </w:p>
    <w:p w:rsidR="00BA29FF" w:rsidRDefault="00BA29FF">
      <w:pPr>
        <w:pStyle w:val="AmdtsEntryHd"/>
      </w:pPr>
      <w:r>
        <w:t>Limited public notification of certain merit track development applications</w:t>
      </w:r>
    </w:p>
    <w:p w:rsidR="00BA29FF" w:rsidRDefault="00BA29FF">
      <w:pPr>
        <w:pStyle w:val="AmdtsEntries"/>
      </w:pPr>
      <w:r>
        <w:t>sch 2</w:t>
      </w:r>
      <w:r>
        <w:tab/>
        <w:t>am SL2008-8 s 44, s 45</w:t>
      </w:r>
    </w:p>
    <w:p w:rsidR="00BA29FF" w:rsidRDefault="00BA29FF">
      <w:pPr>
        <w:pStyle w:val="AmdtsEntryHd"/>
      </w:pPr>
      <w:r>
        <w:lastRenderedPageBreak/>
        <w:t>Matters exempt from third</w:t>
      </w:r>
      <w:r>
        <w:noBreakHyphen/>
        <w:t>party AAT review</w:t>
      </w:r>
    </w:p>
    <w:p w:rsidR="00BA29FF" w:rsidRDefault="00BA29FF">
      <w:pPr>
        <w:pStyle w:val="AmdtsEntries"/>
      </w:pPr>
      <w:r>
        <w:t>sch 3</w:t>
      </w:r>
      <w:r>
        <w:tab/>
        <w:t>am SL2008-8 ss 46-49</w:t>
      </w:r>
    </w:p>
    <w:p w:rsidR="00BA29FF" w:rsidRDefault="00BA29FF">
      <w:pPr>
        <w:pStyle w:val="AmdtsEntryHd"/>
      </w:pPr>
      <w:r>
        <w:t>Prescribed territory plan instruments</w:t>
      </w:r>
    </w:p>
    <w:p w:rsidR="00BA29FF" w:rsidRDefault="00BA29FF">
      <w:pPr>
        <w:pStyle w:val="AmdtsEntries"/>
      </w:pPr>
      <w:r>
        <w:t>sch 4</w:t>
      </w:r>
      <w:r>
        <w:tab/>
        <w:t>ins SL2008-8 s 50</w:t>
      </w:r>
    </w:p>
    <w:p w:rsidR="00BA29FF" w:rsidRDefault="00BA29FF">
      <w:pPr>
        <w:pStyle w:val="AmdtsEntryHd"/>
      </w:pPr>
      <w:r>
        <w:t>Modification of Act</w:t>
      </w:r>
    </w:p>
    <w:p w:rsidR="00BA29FF" w:rsidRDefault="00BA29FF">
      <w:pPr>
        <w:pStyle w:val="AmdtsEntries"/>
        <w:keepNext/>
      </w:pPr>
      <w:r>
        <w:t>sch 20</w:t>
      </w:r>
      <w:r>
        <w:tab/>
        <w:t>(prev sch 5) ins SL2008-8 s 51</w:t>
      </w:r>
    </w:p>
    <w:p w:rsidR="00BA29FF" w:rsidRDefault="00BA29FF">
      <w:pPr>
        <w:pStyle w:val="AmdtsEntries"/>
        <w:keepNext/>
      </w:pPr>
      <w:r>
        <w:tab/>
        <w:t>am SL2008-27 ss 4-7; SL2008-33 ss 21-23</w:t>
      </w:r>
    </w:p>
    <w:p w:rsidR="00BA29FF" w:rsidRDefault="00BA29FF">
      <w:pPr>
        <w:pStyle w:val="AmdtsEntries"/>
        <w:keepNext/>
      </w:pPr>
      <w:r>
        <w:tab/>
        <w:t>renum as sch 20 SL2008-33 s 24</w:t>
      </w:r>
    </w:p>
    <w:p w:rsidR="00BA29FF" w:rsidRDefault="00BA29FF">
      <w:pPr>
        <w:pStyle w:val="AmdtsEntries"/>
        <w:rPr>
          <w:rStyle w:val="charUnderline"/>
        </w:rPr>
      </w:pPr>
      <w:r>
        <w:tab/>
      </w:r>
      <w:r>
        <w:rPr>
          <w:rStyle w:val="charUnderline"/>
        </w:rPr>
        <w:t>exp 31 March 2010 (s 410 (2))</w:t>
      </w:r>
    </w:p>
    <w:p w:rsidR="00BA29FF" w:rsidRDefault="00BA29FF">
      <w:pPr>
        <w:pStyle w:val="AmdtsEntryHd"/>
      </w:pPr>
      <w:r>
        <w:t>Dictionary</w:t>
      </w:r>
    </w:p>
    <w:p w:rsidR="00BA29FF" w:rsidRDefault="00BA29FF">
      <w:pPr>
        <w:pStyle w:val="AmdtsEntries"/>
      </w:pPr>
      <w:r>
        <w:t>dict</w:t>
      </w:r>
      <w:r>
        <w:tab/>
        <w:t>am SL2008-33 s 25; A2008-28 amdt 3.139</w:t>
      </w:r>
    </w:p>
    <w:p w:rsidR="00BA29FF" w:rsidRDefault="00BA29FF">
      <w:pPr>
        <w:pStyle w:val="AmdtsEntries"/>
      </w:pPr>
      <w:r>
        <w:tab/>
        <w:t xml:space="preserve">def </w:t>
      </w:r>
      <w:r>
        <w:rPr>
          <w:rStyle w:val="charBoldItals"/>
        </w:rPr>
        <w:t xml:space="preserve">approved development </w:t>
      </w:r>
      <w:r>
        <w:t>ins SL2008-33 s 26</w:t>
      </w:r>
    </w:p>
    <w:p w:rsidR="00BA29FF" w:rsidRDefault="00BA29FF">
      <w:pPr>
        <w:pStyle w:val="AmdtsEntries"/>
      </w:pPr>
      <w:r>
        <w:tab/>
      </w:r>
      <w:r>
        <w:rPr>
          <w:rStyle w:val="charUnderline"/>
        </w:rPr>
        <w:t xml:space="preserve">def </w:t>
      </w:r>
      <w:r>
        <w:rPr>
          <w:rStyle w:val="charBoldItals"/>
          <w:u w:val="single"/>
        </w:rPr>
        <w:t>A</w:t>
      </w:r>
      <w:r>
        <w:rPr>
          <w:rStyle w:val="charUnderline"/>
          <w:b/>
          <w:bCs/>
          <w:i/>
          <w:iCs/>
        </w:rPr>
        <w:t>ustralian National University</w:t>
      </w:r>
      <w:r>
        <w:rPr>
          <w:rStyle w:val="charUnderline"/>
        </w:rPr>
        <w:t xml:space="preserve"> exp 5 April 2015 (s 402 (h))</w:t>
      </w:r>
    </w:p>
    <w:p w:rsidR="00BA29FF" w:rsidRDefault="00BA29FF">
      <w:pPr>
        <w:pStyle w:val="AmdtsEntries"/>
      </w:pPr>
      <w:r>
        <w:tab/>
        <w:t xml:space="preserve">def </w:t>
      </w:r>
      <w:r>
        <w:rPr>
          <w:b/>
          <w:bCs/>
          <w:i/>
          <w:iCs/>
        </w:rPr>
        <w:t xml:space="preserve">basic paling fence </w:t>
      </w:r>
      <w:r>
        <w:t>ins SL2008-8 s 52</w:t>
      </w:r>
    </w:p>
    <w:p w:rsidR="00BA29FF" w:rsidRDefault="00BA29FF">
      <w:pPr>
        <w:pStyle w:val="AmdtsEntries"/>
      </w:pPr>
      <w:r>
        <w:tab/>
      </w:r>
      <w:r>
        <w:rPr>
          <w:rStyle w:val="charUnderline"/>
        </w:rPr>
        <w:t xml:space="preserve">def </w:t>
      </w:r>
      <w:r>
        <w:rPr>
          <w:rStyle w:val="charUnderline"/>
          <w:b/>
          <w:bCs/>
          <w:i/>
          <w:iCs/>
        </w:rPr>
        <w:t>City West precinct</w:t>
      </w:r>
      <w:r>
        <w:rPr>
          <w:rStyle w:val="charUnderline"/>
        </w:rPr>
        <w:t xml:space="preserve"> exp 5 April 2015 (s 402 (h))</w:t>
      </w:r>
    </w:p>
    <w:p w:rsidR="00BA29FF" w:rsidRDefault="00BA29FF">
      <w:pPr>
        <w:pStyle w:val="AmdtsEntries"/>
        <w:rPr>
          <w:rStyle w:val="charUnderline"/>
        </w:rPr>
      </w:pPr>
      <w:r>
        <w:tab/>
      </w:r>
      <w:r>
        <w:rPr>
          <w:rStyle w:val="charUnderline"/>
        </w:rPr>
        <w:t xml:space="preserve">def </w:t>
      </w:r>
      <w:r>
        <w:rPr>
          <w:rStyle w:val="charUnderline"/>
          <w:b/>
          <w:bCs/>
          <w:i/>
          <w:iCs/>
        </w:rPr>
        <w:t>City West precinct deed</w:t>
      </w:r>
      <w:r>
        <w:rPr>
          <w:rStyle w:val="charUnderline"/>
        </w:rPr>
        <w:t xml:space="preserve"> exp 5 April 2015 (s 402 (h))</w:t>
      </w:r>
    </w:p>
    <w:p w:rsidR="00BA29FF" w:rsidRDefault="00BA29FF">
      <w:pPr>
        <w:pStyle w:val="AmdtsEntries"/>
      </w:pPr>
      <w:r>
        <w:tab/>
        <w:t xml:space="preserve">def </w:t>
      </w:r>
      <w:r>
        <w:rPr>
          <w:b/>
          <w:bCs/>
          <w:i/>
          <w:iCs/>
        </w:rPr>
        <w:t xml:space="preserve">class 10a building </w:t>
      </w:r>
      <w:r>
        <w:t>ins SL2008-8 s 52</w:t>
      </w:r>
    </w:p>
    <w:p w:rsidR="00BA29FF" w:rsidRDefault="00BA29FF">
      <w:pPr>
        <w:pStyle w:val="AmdtsEntries"/>
      </w:pPr>
      <w:r>
        <w:tab/>
        <w:t xml:space="preserve">def </w:t>
      </w:r>
      <w:r>
        <w:rPr>
          <w:rStyle w:val="charBoldItals"/>
        </w:rPr>
        <w:t xml:space="preserve">designated development </w:t>
      </w:r>
      <w:r>
        <w:t>sub SL2008-33 s 27</w:t>
      </w:r>
    </w:p>
    <w:p w:rsidR="00BA29FF" w:rsidRDefault="00BA29FF">
      <w:pPr>
        <w:pStyle w:val="AmdtsEntries"/>
      </w:pPr>
      <w:r>
        <w:tab/>
        <w:t xml:space="preserve">def </w:t>
      </w:r>
      <w:r>
        <w:rPr>
          <w:rStyle w:val="charBoldItals"/>
        </w:rPr>
        <w:t xml:space="preserve">exempt development </w:t>
      </w:r>
      <w:r>
        <w:t>ins SL2008-33 s 28</w:t>
      </w:r>
    </w:p>
    <w:p w:rsidR="00BA29FF" w:rsidRDefault="00BA29FF">
      <w:pPr>
        <w:pStyle w:val="AmdtsEntries"/>
      </w:pPr>
      <w:r>
        <w:tab/>
        <w:t xml:space="preserve">def </w:t>
      </w:r>
      <w:r>
        <w:rPr>
          <w:rStyle w:val="charBoldItals"/>
        </w:rPr>
        <w:t xml:space="preserve">finished floor level </w:t>
      </w:r>
      <w:r>
        <w:t>sub SL2008-33 s 29</w:t>
      </w:r>
    </w:p>
    <w:p w:rsidR="00BA29FF" w:rsidRDefault="00BA29FF">
      <w:pPr>
        <w:pStyle w:val="AmdtsEntries"/>
      </w:pPr>
      <w:r>
        <w:tab/>
        <w:t xml:space="preserve">def </w:t>
      </w:r>
      <w:r>
        <w:rPr>
          <w:rStyle w:val="charBoldItals"/>
        </w:rPr>
        <w:t xml:space="preserve">general exemption criteria </w:t>
      </w:r>
      <w:r>
        <w:t>sub SL2008-33 s 29</w:t>
      </w:r>
    </w:p>
    <w:p w:rsidR="00BA29FF" w:rsidRDefault="00BA29FF">
      <w:pPr>
        <w:pStyle w:val="AmdtsEntries"/>
      </w:pPr>
      <w:r>
        <w:tab/>
        <w:t xml:space="preserve">def </w:t>
      </w:r>
      <w:r>
        <w:rPr>
          <w:b/>
          <w:bCs/>
          <w:i/>
          <w:iCs/>
        </w:rPr>
        <w:t>height</w:t>
      </w:r>
      <w:r>
        <w:t xml:space="preserve"> sub SL2008-8 s 53</w:t>
      </w:r>
    </w:p>
    <w:p w:rsidR="00BA29FF" w:rsidRDefault="00BA29FF">
      <w:pPr>
        <w:pStyle w:val="AmdtsEntries"/>
      </w:pPr>
      <w:r>
        <w:tab/>
        <w:t xml:space="preserve">def </w:t>
      </w:r>
      <w:r>
        <w:rPr>
          <w:b/>
          <w:bCs/>
          <w:i/>
          <w:iCs/>
        </w:rPr>
        <w:t>inquiry panel</w:t>
      </w:r>
      <w:r>
        <w:t xml:space="preserve"> om A2008-28 amdt 3.140</w:t>
      </w:r>
    </w:p>
    <w:p w:rsidR="00BA29FF" w:rsidRDefault="00BA29FF">
      <w:pPr>
        <w:pStyle w:val="AmdtsEntries"/>
      </w:pPr>
      <w:r>
        <w:tab/>
        <w:t xml:space="preserve">def </w:t>
      </w:r>
      <w:r>
        <w:rPr>
          <w:b/>
          <w:bCs/>
          <w:i/>
          <w:iCs/>
        </w:rPr>
        <w:t>open space boundary</w:t>
      </w:r>
      <w:r>
        <w:t xml:space="preserve"> ins SL2008-8 s 54</w:t>
      </w:r>
    </w:p>
    <w:p w:rsidR="00BA29FF" w:rsidRDefault="00BA29FF">
      <w:pPr>
        <w:pStyle w:val="AmdtsEntries"/>
      </w:pPr>
      <w:r>
        <w:tab/>
        <w:t xml:space="preserve">def </w:t>
      </w:r>
      <w:r>
        <w:rPr>
          <w:b/>
          <w:bCs/>
          <w:i/>
          <w:iCs/>
        </w:rPr>
        <w:t>prescribed general exemption criteria</w:t>
      </w:r>
      <w:r>
        <w:t xml:space="preserve"> ins SL2008-8 s 54</w:t>
      </w:r>
    </w:p>
    <w:p w:rsidR="00BA29FF" w:rsidRDefault="00BA29FF">
      <w:pPr>
        <w:pStyle w:val="AmdtsEntries"/>
      </w:pPr>
      <w:r>
        <w:tab/>
        <w:t xml:space="preserve">def </w:t>
      </w:r>
      <w:r>
        <w:rPr>
          <w:rStyle w:val="charBoldItals"/>
        </w:rPr>
        <w:t xml:space="preserve">sch 1 exempt development </w:t>
      </w:r>
      <w:r>
        <w:t>ins SL2008-33 s 30</w:t>
      </w:r>
    </w:p>
    <w:p w:rsidR="00BA29FF" w:rsidRDefault="00BA29FF">
      <w:pPr>
        <w:pStyle w:val="AmdtsEntries"/>
      </w:pPr>
      <w:r>
        <w:tab/>
        <w:t xml:space="preserve">def </w:t>
      </w:r>
      <w:r>
        <w:rPr>
          <w:rStyle w:val="charBoldItals"/>
        </w:rPr>
        <w:t xml:space="preserve">surface water </w:t>
      </w:r>
      <w:r>
        <w:t>sub SL2008-33 s 31</w:t>
      </w:r>
    </w:p>
    <w:p w:rsidR="00BA29FF" w:rsidRDefault="00BA29FF">
      <w:pPr>
        <w:pStyle w:val="PageBreak"/>
      </w:pPr>
      <w:r>
        <w:br w:type="page"/>
      </w:r>
    </w:p>
    <w:p w:rsidR="00BA29FF" w:rsidRDefault="00BA29FF">
      <w:pPr>
        <w:pStyle w:val="Endnote20"/>
      </w:pPr>
      <w:bookmarkStart w:id="249" w:name="_Toc206921438"/>
      <w:r>
        <w:rPr>
          <w:rStyle w:val="charTableNo"/>
        </w:rPr>
        <w:lastRenderedPageBreak/>
        <w:t>5</w:t>
      </w:r>
      <w:r>
        <w:tab/>
      </w:r>
      <w:r>
        <w:rPr>
          <w:rStyle w:val="charTableText"/>
        </w:rPr>
        <w:t>Earlier republications</w:t>
      </w:r>
      <w:bookmarkEnd w:id="249"/>
    </w:p>
    <w:p w:rsidR="00BA29FF" w:rsidRDefault="00BA29FF">
      <w:pPr>
        <w:pStyle w:val="EndNoteTextPub"/>
      </w:pPr>
      <w:r>
        <w:t xml:space="preserve">Some earlier republications were not numbered. The number in column 1 refers to the publication order.  </w:t>
      </w:r>
    </w:p>
    <w:p w:rsidR="00BA29FF" w:rsidRDefault="00BA29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A29FF" w:rsidRDefault="00BA29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A29FF">
        <w:trPr>
          <w:cantSplit/>
          <w:tblHeader/>
        </w:trPr>
        <w:tc>
          <w:tcPr>
            <w:tcW w:w="1576" w:type="dxa"/>
            <w:tcBorders>
              <w:bottom w:val="single" w:sz="4" w:space="0" w:color="auto"/>
            </w:tcBorders>
          </w:tcPr>
          <w:p w:rsidR="00BA29FF" w:rsidRDefault="00BA29FF">
            <w:pPr>
              <w:pStyle w:val="EarlierRepubHdg"/>
            </w:pPr>
            <w:r>
              <w:t>Republication No and date</w:t>
            </w:r>
          </w:p>
        </w:tc>
        <w:tc>
          <w:tcPr>
            <w:tcW w:w="1681" w:type="dxa"/>
            <w:tcBorders>
              <w:bottom w:val="single" w:sz="4" w:space="0" w:color="auto"/>
            </w:tcBorders>
          </w:tcPr>
          <w:p w:rsidR="00BA29FF" w:rsidRDefault="00BA29FF">
            <w:pPr>
              <w:pStyle w:val="EarlierRepubHdg"/>
            </w:pPr>
            <w:r>
              <w:t>Effective</w:t>
            </w:r>
          </w:p>
        </w:tc>
        <w:tc>
          <w:tcPr>
            <w:tcW w:w="1783" w:type="dxa"/>
            <w:tcBorders>
              <w:bottom w:val="single" w:sz="4" w:space="0" w:color="auto"/>
            </w:tcBorders>
          </w:tcPr>
          <w:p w:rsidR="00BA29FF" w:rsidRDefault="00BA29FF">
            <w:pPr>
              <w:pStyle w:val="EarlierRepubHdg"/>
            </w:pPr>
            <w:r>
              <w:t>Last amendment made by</w:t>
            </w:r>
          </w:p>
        </w:tc>
        <w:tc>
          <w:tcPr>
            <w:tcW w:w="1783" w:type="dxa"/>
            <w:tcBorders>
              <w:bottom w:val="single" w:sz="4" w:space="0" w:color="auto"/>
            </w:tcBorders>
          </w:tcPr>
          <w:p w:rsidR="00BA29FF" w:rsidRDefault="00BA29FF">
            <w:pPr>
              <w:pStyle w:val="EarlierRepubHdg"/>
            </w:pPr>
            <w:r>
              <w:t>Republication for</w:t>
            </w:r>
          </w:p>
        </w:tc>
      </w:tr>
      <w:tr w:rsidR="00BA29FF">
        <w:trPr>
          <w:cantSplit/>
        </w:trPr>
        <w:tc>
          <w:tcPr>
            <w:tcW w:w="1576" w:type="dxa"/>
            <w:tcBorders>
              <w:top w:val="single" w:sz="4" w:space="0" w:color="auto"/>
              <w:bottom w:val="single" w:sz="4" w:space="0" w:color="auto"/>
            </w:tcBorders>
          </w:tcPr>
          <w:p w:rsidR="00BA29FF" w:rsidRDefault="00BA29FF">
            <w:pPr>
              <w:pStyle w:val="EarlierRepubEntries"/>
            </w:pPr>
            <w:r>
              <w:t>R1</w:t>
            </w:r>
            <w:r>
              <w:br/>
              <w:t>31 Mar 2008</w:t>
            </w:r>
          </w:p>
        </w:tc>
        <w:tc>
          <w:tcPr>
            <w:tcW w:w="1681" w:type="dxa"/>
            <w:tcBorders>
              <w:top w:val="single" w:sz="4" w:space="0" w:color="auto"/>
              <w:bottom w:val="single" w:sz="4" w:space="0" w:color="auto"/>
            </w:tcBorders>
          </w:tcPr>
          <w:p w:rsidR="00BA29FF" w:rsidRDefault="00BA29FF">
            <w:pPr>
              <w:pStyle w:val="EarlierRepubEntries"/>
            </w:pPr>
            <w:r>
              <w:t>31 Mar 2008–</w:t>
            </w:r>
            <w:r>
              <w:br/>
              <w:t>30 June 2008</w:t>
            </w:r>
          </w:p>
        </w:tc>
        <w:tc>
          <w:tcPr>
            <w:tcW w:w="1783" w:type="dxa"/>
            <w:tcBorders>
              <w:top w:val="single" w:sz="4" w:space="0" w:color="auto"/>
              <w:bottom w:val="single" w:sz="4" w:space="0" w:color="auto"/>
            </w:tcBorders>
          </w:tcPr>
          <w:p w:rsidR="00BA29FF" w:rsidRDefault="00BA29FF">
            <w:pPr>
              <w:pStyle w:val="EarlierRepubEntries"/>
            </w:pPr>
            <w:r>
              <w:t>SL2008-8</w:t>
            </w:r>
          </w:p>
        </w:tc>
        <w:tc>
          <w:tcPr>
            <w:tcW w:w="1783" w:type="dxa"/>
            <w:tcBorders>
              <w:top w:val="single" w:sz="4" w:space="0" w:color="auto"/>
              <w:bottom w:val="single" w:sz="4" w:space="0" w:color="auto"/>
            </w:tcBorders>
          </w:tcPr>
          <w:p w:rsidR="00BA29FF" w:rsidRDefault="00BA29FF">
            <w:pPr>
              <w:pStyle w:val="EarlierRepubEntries"/>
            </w:pPr>
            <w:r>
              <w:t>new regulation and amendments by SL2008-8</w:t>
            </w:r>
          </w:p>
        </w:tc>
      </w:tr>
      <w:tr w:rsidR="00BA29FF">
        <w:trPr>
          <w:cantSplit/>
        </w:trPr>
        <w:tc>
          <w:tcPr>
            <w:tcW w:w="1576" w:type="dxa"/>
            <w:tcBorders>
              <w:top w:val="single" w:sz="4" w:space="0" w:color="auto"/>
              <w:bottom w:val="single" w:sz="4" w:space="0" w:color="auto"/>
            </w:tcBorders>
          </w:tcPr>
          <w:p w:rsidR="00BA29FF" w:rsidRDefault="00BA29FF">
            <w:pPr>
              <w:pStyle w:val="EarlierRepubEntries"/>
            </w:pPr>
            <w:r>
              <w:t>R2</w:t>
            </w:r>
            <w:r>
              <w:br/>
              <w:t>1 July 2008</w:t>
            </w:r>
          </w:p>
        </w:tc>
        <w:tc>
          <w:tcPr>
            <w:tcW w:w="1681" w:type="dxa"/>
            <w:tcBorders>
              <w:top w:val="single" w:sz="4" w:space="0" w:color="auto"/>
              <w:bottom w:val="single" w:sz="4" w:space="0" w:color="auto"/>
            </w:tcBorders>
          </w:tcPr>
          <w:p w:rsidR="00BA29FF" w:rsidRDefault="00BA29FF">
            <w:pPr>
              <w:pStyle w:val="EarlierRepubEntries"/>
            </w:pPr>
            <w:r>
              <w:t>1 July 2008–</w:t>
            </w:r>
            <w:r>
              <w:br/>
              <w:t>5 Aug 2008</w:t>
            </w:r>
          </w:p>
        </w:tc>
        <w:tc>
          <w:tcPr>
            <w:tcW w:w="1783" w:type="dxa"/>
            <w:tcBorders>
              <w:top w:val="single" w:sz="4" w:space="0" w:color="auto"/>
              <w:bottom w:val="single" w:sz="4" w:space="0" w:color="auto"/>
            </w:tcBorders>
          </w:tcPr>
          <w:p w:rsidR="00BA29FF" w:rsidRDefault="00BA29FF">
            <w:pPr>
              <w:pStyle w:val="EarlierRepubEntries"/>
            </w:pPr>
            <w:r>
              <w:t>SL2008-27</w:t>
            </w:r>
          </w:p>
        </w:tc>
        <w:tc>
          <w:tcPr>
            <w:tcW w:w="1783" w:type="dxa"/>
            <w:tcBorders>
              <w:top w:val="single" w:sz="4" w:space="0" w:color="auto"/>
              <w:bottom w:val="single" w:sz="4" w:space="0" w:color="auto"/>
            </w:tcBorders>
          </w:tcPr>
          <w:p w:rsidR="00BA29FF" w:rsidRDefault="00BA29FF">
            <w:pPr>
              <w:pStyle w:val="EarlierRepubEntries"/>
            </w:pPr>
            <w:r>
              <w:t>amendments by SL2008-27</w:t>
            </w:r>
          </w:p>
        </w:tc>
      </w:tr>
      <w:tr w:rsidR="00BA29FF">
        <w:trPr>
          <w:cantSplit/>
        </w:trPr>
        <w:tc>
          <w:tcPr>
            <w:tcW w:w="1576" w:type="dxa"/>
            <w:tcBorders>
              <w:top w:val="single" w:sz="4" w:space="0" w:color="auto"/>
              <w:bottom w:val="single" w:sz="4" w:space="0" w:color="auto"/>
            </w:tcBorders>
          </w:tcPr>
          <w:p w:rsidR="00BA29FF" w:rsidRDefault="00BA29FF">
            <w:pPr>
              <w:pStyle w:val="EarlierRepubEntries"/>
            </w:pPr>
            <w:r>
              <w:t>R3</w:t>
            </w:r>
            <w:r>
              <w:br/>
              <w:t>6 Aug 2008</w:t>
            </w:r>
          </w:p>
        </w:tc>
        <w:tc>
          <w:tcPr>
            <w:tcW w:w="1681" w:type="dxa"/>
            <w:tcBorders>
              <w:top w:val="single" w:sz="4" w:space="0" w:color="auto"/>
              <w:bottom w:val="single" w:sz="4" w:space="0" w:color="auto"/>
            </w:tcBorders>
          </w:tcPr>
          <w:p w:rsidR="00BA29FF" w:rsidRDefault="00BA29FF">
            <w:pPr>
              <w:pStyle w:val="EarlierRepubEntries"/>
            </w:pPr>
            <w:r>
              <w:t>6 Aug 2008</w:t>
            </w:r>
            <w:r>
              <w:noBreakHyphen/>
            </w:r>
            <w:r>
              <w:br/>
              <w:t>25 Aug 2008</w:t>
            </w:r>
          </w:p>
        </w:tc>
        <w:tc>
          <w:tcPr>
            <w:tcW w:w="1783" w:type="dxa"/>
            <w:tcBorders>
              <w:top w:val="single" w:sz="4" w:space="0" w:color="auto"/>
              <w:bottom w:val="single" w:sz="4" w:space="0" w:color="auto"/>
            </w:tcBorders>
          </w:tcPr>
          <w:p w:rsidR="00BA29FF" w:rsidRDefault="00BA29FF">
            <w:pPr>
              <w:pStyle w:val="EarlierRepubEntries"/>
            </w:pPr>
            <w:r>
              <w:t>SL2008-33</w:t>
            </w:r>
          </w:p>
        </w:tc>
        <w:tc>
          <w:tcPr>
            <w:tcW w:w="1783" w:type="dxa"/>
            <w:tcBorders>
              <w:top w:val="single" w:sz="4" w:space="0" w:color="auto"/>
              <w:bottom w:val="single" w:sz="4" w:space="0" w:color="auto"/>
            </w:tcBorders>
          </w:tcPr>
          <w:p w:rsidR="00BA29FF" w:rsidRDefault="00BA29FF">
            <w:pPr>
              <w:pStyle w:val="EarlierRepubEntries"/>
            </w:pPr>
            <w:r>
              <w:t>amendments by SL2008-33</w:t>
            </w:r>
          </w:p>
        </w:tc>
      </w:tr>
    </w:tbl>
    <w:p w:rsidR="00BA29FF" w:rsidRDefault="00BA29FF">
      <w:pPr>
        <w:pStyle w:val="05EndNote"/>
        <w:sectPr w:rsidR="00BA29FF">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BA29FF" w:rsidRDefault="00BA29FF"/>
    <w:p w:rsidR="00BA29FF" w:rsidRDefault="00BA29FF"/>
    <w:p w:rsidR="00BA29FF" w:rsidRDefault="00BA29FF"/>
    <w:p w:rsidR="00BA29FF" w:rsidRDefault="00BA29FF"/>
    <w:p w:rsidR="00BA29FF" w:rsidRDefault="00BA29FF"/>
    <w:p w:rsidR="00BA29FF" w:rsidRDefault="00BA29FF">
      <w:pPr>
        <w:rPr>
          <w:color w:val="000000"/>
          <w:sz w:val="22"/>
        </w:rPr>
      </w:pPr>
    </w:p>
    <w:p w:rsidR="00BA29FF" w:rsidRDefault="00BA29FF">
      <w:pPr>
        <w:rPr>
          <w:color w:val="000000"/>
          <w:sz w:val="22"/>
        </w:rPr>
      </w:pPr>
    </w:p>
    <w:p w:rsidR="00BA29FF" w:rsidRDefault="00BA29FF">
      <w:pPr>
        <w:rPr>
          <w:color w:val="000000"/>
          <w:sz w:val="22"/>
        </w:rPr>
      </w:pPr>
    </w:p>
    <w:p w:rsidR="00BA29FF" w:rsidRDefault="00BA29FF">
      <w:pPr>
        <w:rPr>
          <w:color w:val="000000"/>
          <w:sz w:val="22"/>
        </w:rPr>
      </w:pPr>
      <w:r>
        <w:rPr>
          <w:color w:val="000000"/>
          <w:sz w:val="22"/>
        </w:rPr>
        <w:t xml:space="preserve">©  Australian Capital Territory </w:t>
      </w:r>
      <w:r>
        <w:rPr>
          <w:noProof/>
          <w:color w:val="000000"/>
          <w:sz w:val="22"/>
        </w:rPr>
        <w:t>2008</w:t>
      </w:r>
    </w:p>
    <w:p w:rsidR="00BA29FF" w:rsidRDefault="00BA29FF">
      <w:pPr>
        <w:rPr>
          <w:color w:val="000000"/>
          <w:sz w:val="22"/>
        </w:rPr>
      </w:pPr>
    </w:p>
    <w:p w:rsidR="00BA29FF" w:rsidRDefault="00BA29FF"/>
    <w:p w:rsidR="00BA29FF" w:rsidRDefault="00BA29FF">
      <w:pPr>
        <w:pStyle w:val="06Copyright"/>
        <w:sectPr w:rsidR="00BA29FF">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BA29FF" w:rsidRDefault="00BA29FF"/>
    <w:sectPr w:rsidR="00BA29FF">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29FF" w:rsidRDefault="00BA29FF">
      <w:r>
        <w:separator/>
      </w:r>
    </w:p>
  </w:endnote>
  <w:endnote w:type="continuationSeparator" w:id="0">
    <w:p w:rsidR="00BA29FF" w:rsidRDefault="00BA2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New (W1)">
    <w:altName w:val="Times New Roman"/>
    <w:charset w:val="00"/>
    <w:family w:val="roman"/>
    <w:pitch w:val="variable"/>
    <w:sig w:usb0="00000000"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Pr="00E072F5" w:rsidRDefault="00BA29FF" w:rsidP="00E072F5">
    <w:pPr>
      <w:pStyle w:val="Footer"/>
      <w:jc w:val="center"/>
      <w:rPr>
        <w:rFonts w:cs="Arial"/>
        <w:sz w:val="14"/>
      </w:rPr>
    </w:pPr>
    <w:r w:rsidRPr="00E072F5">
      <w:rPr>
        <w:rFonts w:cs="Arial"/>
        <w:sz w:val="14"/>
      </w:rPr>
      <w:fldChar w:fldCharType="begin"/>
    </w:r>
    <w:r w:rsidRPr="00E072F5">
      <w:rPr>
        <w:rFonts w:cs="Arial"/>
        <w:sz w:val="14"/>
      </w:rPr>
      <w:instrText xml:space="preserve"> DOCPROPERTY "Status" </w:instrText>
    </w:r>
    <w:r w:rsidRPr="00E072F5">
      <w:rPr>
        <w:rFonts w:cs="Arial"/>
        <w:sz w:val="14"/>
      </w:rPr>
      <w:fldChar w:fldCharType="separate"/>
    </w:r>
    <w:r w:rsidRPr="00E072F5">
      <w:rPr>
        <w:rFonts w:cs="Arial"/>
        <w:sz w:val="14"/>
      </w:rPr>
      <w:t xml:space="preserve"> </w:t>
    </w:r>
    <w:r w:rsidRPr="00E072F5">
      <w:rPr>
        <w:rFonts w:cs="Arial"/>
        <w:sz w:val="14"/>
      </w:rPr>
      <w:fldChar w:fldCharType="end"/>
    </w:r>
    <w:r w:rsidR="00E072F5" w:rsidRPr="00E072F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Pr="00E072F5" w:rsidRDefault="00BA29FF" w:rsidP="00E072F5">
    <w:pPr>
      <w:pStyle w:val="Footer"/>
      <w:jc w:val="center"/>
      <w:rPr>
        <w:rFonts w:cs="Arial"/>
        <w:sz w:val="14"/>
      </w:rPr>
    </w:pPr>
    <w:r w:rsidRPr="00E072F5">
      <w:rPr>
        <w:rFonts w:cs="Arial"/>
        <w:sz w:val="14"/>
      </w:rPr>
      <w:fldChar w:fldCharType="begin"/>
    </w:r>
    <w:r w:rsidRPr="00E072F5">
      <w:rPr>
        <w:rFonts w:cs="Arial"/>
        <w:sz w:val="14"/>
      </w:rPr>
      <w:instrText xml:space="preserve"> DOCPROPERTY "Status" </w:instrText>
    </w:r>
    <w:r w:rsidRPr="00E072F5">
      <w:rPr>
        <w:rFonts w:cs="Arial"/>
        <w:sz w:val="14"/>
      </w:rPr>
      <w:fldChar w:fldCharType="separate"/>
    </w:r>
    <w:r w:rsidRPr="00E072F5">
      <w:rPr>
        <w:rFonts w:cs="Arial"/>
        <w:sz w:val="14"/>
      </w:rPr>
      <w:t xml:space="preserve"> </w:t>
    </w:r>
    <w:r w:rsidRPr="00E072F5">
      <w:rPr>
        <w:rFonts w:cs="Arial"/>
        <w:sz w:val="14"/>
      </w:rPr>
      <w:fldChar w:fldCharType="end"/>
    </w:r>
    <w:r w:rsidRPr="00E072F5">
      <w:rPr>
        <w:rFonts w:cs="Arial"/>
        <w:sz w:val="14"/>
      </w:rPr>
      <w:fldChar w:fldCharType="begin"/>
    </w:r>
    <w:r w:rsidRPr="00E072F5">
      <w:rPr>
        <w:rFonts w:cs="Arial"/>
        <w:sz w:val="14"/>
      </w:rPr>
      <w:instrText xml:space="preserve"> COMMENTS  \* MERGEFORMAT </w:instrText>
    </w:r>
    <w:r w:rsidRPr="00E072F5">
      <w:rPr>
        <w:rFonts w:cs="Arial"/>
        <w:sz w:val="14"/>
      </w:rPr>
      <w:fldChar w:fldCharType="end"/>
    </w:r>
    <w:r w:rsidR="00E072F5" w:rsidRPr="00E072F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Pr="00E072F5" w:rsidRDefault="00E072F5" w:rsidP="00E072F5">
    <w:pPr>
      <w:pStyle w:val="Footer"/>
      <w:jc w:val="center"/>
      <w:rPr>
        <w:rFonts w:cs="Arial"/>
        <w:sz w:val="14"/>
      </w:rPr>
    </w:pPr>
    <w:r w:rsidRPr="00E072F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A29FF">
      <w:tc>
        <w:tcPr>
          <w:tcW w:w="846" w:type="pct"/>
        </w:tcPr>
        <w:p w:rsidR="00BA29FF" w:rsidRDefault="00BA29F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10</w:t>
          </w:r>
          <w:r>
            <w:rPr>
              <w:rStyle w:val="PageNumber"/>
            </w:rPr>
            <w:fldChar w:fldCharType="end"/>
          </w:r>
        </w:p>
      </w:tc>
      <w:tc>
        <w:tcPr>
          <w:tcW w:w="3093"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w:instrText>
          </w:r>
          <w:r>
            <w:fldChar w:fldCharType="separate"/>
          </w:r>
          <w:r w:rsidR="00BA29FF">
            <w:t xml:space="preserve">Effective:  </w:t>
          </w:r>
          <w:r>
            <w:fldChar w:fldCharType="end"/>
          </w:r>
          <w:r>
            <w:fldChar w:fldCharType="begin"/>
          </w:r>
          <w:r>
            <w:instrText xml:space="preserve"> DOCPROPERTY "StartDt"   </w:instrText>
          </w:r>
          <w:r>
            <w:fldChar w:fldCharType="separate"/>
          </w:r>
          <w:r w:rsidR="00BA29FF">
            <w:t>26/08/08</w:t>
          </w:r>
          <w:r>
            <w:fldChar w:fldCharType="end"/>
          </w:r>
          <w:r>
            <w:fldChar w:fldCharType="begin"/>
          </w:r>
          <w:r>
            <w:instrText xml:space="preserve"> DOCPROPERTY "EndDt"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w:instrText>
          </w:r>
          <w:r>
            <w:fldChar w:fldCharType="separate"/>
          </w:r>
          <w:r w:rsidR="00BA29FF">
            <w:t>R4</w:t>
          </w:r>
          <w:r>
            <w:fldChar w:fldCharType="end"/>
          </w:r>
          <w:r w:rsidR="00BA29FF">
            <w:br/>
          </w:r>
          <w:r>
            <w:fldChar w:fldCharType="begin"/>
          </w:r>
          <w:r>
            <w:instrText xml:space="preserve"> DOCPROPERTY "RepubDt"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A29FF">
      <w:tc>
        <w:tcPr>
          <w:tcW w:w="1061" w:type="pct"/>
        </w:tcPr>
        <w:p w:rsidR="00BA29FF" w:rsidRDefault="00E072F5">
          <w:pPr>
            <w:pStyle w:val="Footer"/>
          </w:pPr>
          <w:r>
            <w:fldChar w:fldCharType="begin"/>
          </w:r>
          <w:r>
            <w:instrText xml:space="preserve"> DOCPROPERTY "Category"  </w:instrText>
          </w:r>
          <w:r>
            <w:fldChar w:fldCharType="separate"/>
          </w:r>
          <w:r w:rsidR="00BA29FF">
            <w:t>R4</w:t>
          </w:r>
          <w:r>
            <w:fldChar w:fldCharType="end"/>
          </w:r>
          <w:r w:rsidR="00BA29FF">
            <w:br/>
          </w:r>
          <w:r>
            <w:fldChar w:fldCharType="begin"/>
          </w:r>
          <w:r>
            <w:instrText xml:space="preserve"> DOCPROPERTY "RepubDt"  </w:instrText>
          </w:r>
          <w:r>
            <w:fldChar w:fldCharType="separate"/>
          </w:r>
          <w:r w:rsidR="00BA29FF">
            <w:t>26/08/08</w:t>
          </w:r>
          <w:r>
            <w:fldChar w:fldCharType="end"/>
          </w:r>
        </w:p>
      </w:tc>
      <w:tc>
        <w:tcPr>
          <w:tcW w:w="3093"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w:instrText>
          </w:r>
          <w:r>
            <w:fldChar w:fldCharType="separate"/>
          </w:r>
          <w:r w:rsidR="00BA29FF">
            <w:t xml:space="preserve">Effective:  </w:t>
          </w:r>
          <w:r>
            <w:fldChar w:fldCharType="end"/>
          </w:r>
          <w:r>
            <w:fldChar w:fldCharType="begin"/>
          </w:r>
          <w:r>
            <w:instrText xml:space="preserve"> DOCPROPERTY "StartDt"  </w:instrText>
          </w:r>
          <w:r>
            <w:fldChar w:fldCharType="separate"/>
          </w:r>
          <w:r w:rsidR="00BA29FF">
            <w:t>26/08/08</w:t>
          </w:r>
          <w:r>
            <w:fldChar w:fldCharType="end"/>
          </w:r>
          <w:r>
            <w:fldChar w:fldCharType="begin"/>
          </w:r>
          <w:r>
            <w:instrText xml:space="preserve"> DOCPROPERTY "EndDt"  </w:instrText>
          </w:r>
          <w:r>
            <w:fldChar w:fldCharType="separate"/>
          </w:r>
          <w:r w:rsidR="00BA29FF">
            <w:t>-15/09/08</w:t>
          </w:r>
          <w:r>
            <w:fldChar w:fldCharType="end"/>
          </w:r>
        </w:p>
      </w:tc>
      <w:tc>
        <w:tcPr>
          <w:tcW w:w="846" w:type="pct"/>
        </w:tcPr>
        <w:p w:rsidR="00BA29FF" w:rsidRDefault="00BA29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A29FF">
      <w:tc>
        <w:tcPr>
          <w:tcW w:w="1061" w:type="pct"/>
        </w:tcPr>
        <w:p w:rsidR="00BA29FF" w:rsidRDefault="00E072F5">
          <w:pPr>
            <w:pStyle w:val="Footer"/>
          </w:pPr>
          <w:r>
            <w:fldChar w:fldCharType="begin"/>
          </w:r>
          <w:r>
            <w:instrText xml:space="preserve"> DOCPROPERTY "Category"  </w:instrText>
          </w:r>
          <w:r>
            <w:fldChar w:fldCharType="separate"/>
          </w:r>
          <w:r w:rsidR="00BA29FF">
            <w:t>R4</w:t>
          </w:r>
          <w:r>
            <w:fldChar w:fldCharType="end"/>
          </w:r>
          <w:r w:rsidR="00BA29FF">
            <w:br/>
          </w:r>
          <w:r>
            <w:fldChar w:fldCharType="begin"/>
          </w:r>
          <w:r>
            <w:instrText xml:space="preserve"> DOCPROPERTY "RepubDt"  </w:instrText>
          </w:r>
          <w:r>
            <w:fldChar w:fldCharType="separate"/>
          </w:r>
          <w:r w:rsidR="00BA29FF">
            <w:t>26/08/08</w:t>
          </w:r>
          <w:r>
            <w:fldChar w:fldCharType="end"/>
          </w:r>
        </w:p>
      </w:tc>
      <w:tc>
        <w:tcPr>
          <w:tcW w:w="3093"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w:instrText>
          </w:r>
          <w:r>
            <w:fldChar w:fldCharType="separate"/>
          </w:r>
          <w:r w:rsidR="00BA29FF">
            <w:t xml:space="preserve">Effective:  </w:t>
          </w:r>
          <w:r>
            <w:fldChar w:fldCharType="end"/>
          </w:r>
          <w:r>
            <w:fldChar w:fldCharType="begin"/>
          </w:r>
          <w:r>
            <w:instrText xml:space="preserve"> DOCPROPERTY "StartDt"   </w:instrText>
          </w:r>
          <w:r>
            <w:fldChar w:fldCharType="separate"/>
          </w:r>
          <w:r w:rsidR="00BA29FF">
            <w:t>26/08/08</w:t>
          </w:r>
          <w:r>
            <w:fldChar w:fldCharType="end"/>
          </w:r>
          <w:r>
            <w:fldChar w:fldCharType="begin"/>
          </w:r>
          <w:r>
            <w:instrText xml:space="preserve"> DOCPROPERTY "EndDt"  </w:instrText>
          </w:r>
          <w:r>
            <w:fldChar w:fldCharType="separate"/>
          </w:r>
          <w:r w:rsidR="00BA29FF">
            <w:t>-15/09/08</w:t>
          </w:r>
          <w:r>
            <w:fldChar w:fldCharType="end"/>
          </w:r>
        </w:p>
      </w:tc>
      <w:tc>
        <w:tcPr>
          <w:tcW w:w="846" w:type="pct"/>
        </w:tcPr>
        <w:p w:rsidR="00BA29FF" w:rsidRDefault="00BA29F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64</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w:instrText>
          </w:r>
          <w:r>
            <w:instrText xml:space="preserve">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63</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68</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67</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r>
  </w:tbl>
  <w:p w:rsidR="00BA29FF" w:rsidRDefault="00E072F5">
    <w:pPr>
      <w:pStyle w:val="Status"/>
    </w:pPr>
    <w:r>
      <w:fldChar w:fldCharType="begin"/>
    </w:r>
    <w:r>
      <w:instrText xml:space="preserve"> DOCPROPERTY "Status" </w:instrText>
    </w:r>
    <w:r>
      <w:fldChar w:fldCharType="separate"/>
    </w:r>
    <w:r w:rsidR="00BA29FF">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82</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81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A29FF">
      <w:trPr>
        <w:jc w:val="center"/>
      </w:trPr>
      <w:tc>
        <w:tcPr>
          <w:tcW w:w="1240" w:type="dxa"/>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142</w:t>
          </w:r>
          <w:r>
            <w:rPr>
              <w:rStyle w:val="PageNumber"/>
            </w:rPr>
            <w:fldChar w:fldCharType="end"/>
          </w:r>
        </w:p>
      </w:tc>
      <w:tc>
        <w:tcPr>
          <w:tcW w:w="4527" w:type="dxa"/>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r w:rsidR="00BA29FF">
            <w:br/>
          </w:r>
          <w:r>
            <w:fldChar w:fldCharType="begin"/>
          </w:r>
          <w:r>
            <w:instrText xml:space="preserve"> DOCPROPERTY "Eff"  </w:instrText>
          </w:r>
          <w:r>
            <w:fldChar w:fldCharType="separate"/>
          </w:r>
          <w:r w:rsidR="00BA29FF">
            <w:t xml:space="preserve">Effective:  </w:t>
          </w:r>
          <w:r>
            <w:fldChar w:fldCharType="end"/>
          </w:r>
          <w:r>
            <w:fldChar w:fldCharType="begin"/>
          </w:r>
          <w:r>
            <w:instrText xml:space="preserve"> DOCPROPERTY "StartDt"   </w:instrText>
          </w:r>
          <w:r>
            <w:fldChar w:fldCharType="separate"/>
          </w:r>
          <w:r w:rsidR="00BA29FF">
            <w:t>26/08/08</w:t>
          </w:r>
          <w:r>
            <w:fldChar w:fldCharType="end"/>
          </w:r>
          <w:r>
            <w:fldChar w:fldCharType="begin"/>
          </w:r>
          <w:r>
            <w:instrText xml:space="preserve"> DOCPROPERTY "EndDt"  </w:instrText>
          </w:r>
          <w:r>
            <w:fldChar w:fldCharType="separate"/>
          </w:r>
          <w:r w:rsidR="00BA29FF">
            <w:t>-15/09/08</w:t>
          </w:r>
          <w:r>
            <w:fldChar w:fldCharType="end"/>
          </w:r>
        </w:p>
      </w:tc>
      <w:tc>
        <w:tcPr>
          <w:tcW w:w="1553" w:type="dxa"/>
        </w:tcPr>
        <w:p w:rsidR="00BA29FF" w:rsidRDefault="00E072F5">
          <w:pPr>
            <w:pStyle w:val="Footer"/>
            <w:jc w:val="right"/>
          </w:pPr>
          <w:r>
            <w:fldChar w:fldCharType="begin"/>
          </w:r>
          <w:r>
            <w:instrText xml:space="preserve"> DOCPROPERTY "Category"  </w:instrText>
          </w:r>
          <w:r>
            <w:fldChar w:fldCharType="separate"/>
          </w:r>
          <w:r w:rsidR="00BA29FF">
            <w:t>R4</w:t>
          </w:r>
          <w:r>
            <w:fldChar w:fldCharType="end"/>
          </w:r>
          <w:r w:rsidR="00BA29FF">
            <w:br/>
          </w:r>
          <w:r>
            <w:fldChar w:fldCharType="begin"/>
          </w:r>
          <w:r>
            <w:instrText xml:space="preserve"> DOCPROPERTY "RepubDt"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A29FF">
      <w:trPr>
        <w:jc w:val="center"/>
      </w:trPr>
      <w:tc>
        <w:tcPr>
          <w:tcW w:w="1963" w:type="dxa"/>
        </w:tcPr>
        <w:p w:rsidR="00BA29FF" w:rsidRDefault="00E072F5">
          <w:pPr>
            <w:pStyle w:val="Footer"/>
          </w:pPr>
          <w:r>
            <w:fldChar w:fldCharType="begin"/>
          </w:r>
          <w:r>
            <w:instrText xml:space="preserve"> DOCPROPERTY "Category"  </w:instrText>
          </w:r>
          <w:r>
            <w:fldChar w:fldCharType="separate"/>
          </w:r>
          <w:r w:rsidR="00BA29FF">
            <w:t>R4</w:t>
          </w:r>
          <w:r>
            <w:fldChar w:fldCharType="end"/>
          </w:r>
          <w:r w:rsidR="00BA29FF">
            <w:br/>
          </w:r>
          <w:r>
            <w:fldChar w:fldCharType="begin"/>
          </w:r>
          <w:r>
            <w:instrText xml:space="preserve"> DOCPROPERTY "RepubDt"  </w:instrText>
          </w:r>
          <w:r>
            <w:fldChar w:fldCharType="separate"/>
          </w:r>
          <w:r w:rsidR="00BA29FF">
            <w:t>26/08/08</w:t>
          </w:r>
          <w:r>
            <w:fldChar w:fldCharType="end"/>
          </w:r>
        </w:p>
      </w:tc>
      <w:tc>
        <w:tcPr>
          <w:tcW w:w="4527" w:type="dxa"/>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r w:rsidR="00BA29FF">
            <w:br/>
          </w:r>
          <w:r>
            <w:fldChar w:fldCharType="begin"/>
          </w:r>
          <w:r>
            <w:instrText xml:space="preserve"> DOCPROPERTY "Eff"  </w:instrText>
          </w:r>
          <w:r>
            <w:fldChar w:fldCharType="separate"/>
          </w:r>
          <w:r w:rsidR="00BA29FF">
            <w:t xml:space="preserve">Effective:  </w:t>
          </w:r>
          <w:r>
            <w:fldChar w:fldCharType="end"/>
          </w:r>
          <w:r>
            <w:fldChar w:fldCharType="begin"/>
          </w:r>
          <w:r>
            <w:instrText xml:space="preserve"> DOCPROPERTY "StartDt"   </w:instrText>
          </w:r>
          <w:r>
            <w:fldChar w:fldCharType="separate"/>
          </w:r>
          <w:r w:rsidR="00BA29FF">
            <w:t>26/08/08</w:t>
          </w:r>
          <w:r>
            <w:fldChar w:fldCharType="end"/>
          </w:r>
          <w:r>
            <w:fldChar w:fldCharType="begin"/>
          </w:r>
          <w:r>
            <w:instrText xml:space="preserve"> DOCPROPERTY "EndDt"  </w:instrText>
          </w:r>
          <w:r>
            <w:fldChar w:fldCharType="separate"/>
          </w:r>
          <w:r w:rsidR="00BA29FF">
            <w:t>-15/09/08</w:t>
          </w:r>
          <w:r>
            <w:fldChar w:fldCharType="end"/>
          </w:r>
        </w:p>
      </w:tc>
      <w:tc>
        <w:tcPr>
          <w:tcW w:w="1240" w:type="dxa"/>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143</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148</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w:instrText>
          </w:r>
          <w:r>
            <w:instrText xml:space="preserve">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147</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A29FF">
      <w:tc>
        <w:tcPr>
          <w:tcW w:w="1240" w:type="dxa"/>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150</w:t>
          </w:r>
          <w:r>
            <w:rPr>
              <w:rStyle w:val="PageNumber"/>
            </w:rPr>
            <w:fldChar w:fldCharType="end"/>
          </w:r>
        </w:p>
      </w:tc>
      <w:tc>
        <w:tcPr>
          <w:tcW w:w="8580" w:type="dxa"/>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
            <w:jc w:val="center"/>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553" w:type="dxa"/>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A29FF">
      <w:tc>
        <w:tcPr>
          <w:tcW w:w="1553" w:type="dxa"/>
        </w:tcPr>
        <w:p w:rsidR="00BA29FF" w:rsidRDefault="00E072F5">
          <w:pPr>
            <w:pStyle w:val="Footer"/>
          </w:pPr>
          <w:r>
            <w:fldChar w:fldCharType="begin"/>
          </w:r>
          <w:r>
            <w:instrText xml:space="preserve"> DOCPROPERTY "Category"  *\charforma</w:instrText>
          </w:r>
          <w:r>
            <w:instrText xml:space="preserve">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8580" w:type="dxa"/>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
            <w:jc w:val="center"/>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240" w:type="dxa"/>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151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156</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157</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160</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159</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161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170</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172</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w:instrText>
          </w:r>
          <w:r>
            <w:instrText xml:space="preserve">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w:instrText>
          </w:r>
          <w:r>
            <w:instrText xml:space="preserve">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173</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174</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w:instrText>
          </w:r>
          <w:r>
            <w:instrText xml:space="preserve">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175</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176</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w:instrText>
          </w:r>
          <w:r>
            <w:instrText xml:space="preserve">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177</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180</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w:instrText>
          </w:r>
          <w:r>
            <w:instrText xml:space="preserve">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181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194</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193</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200</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201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A29FF">
      <w:tc>
        <w:tcPr>
          <w:tcW w:w="847" w:type="pct"/>
        </w:tcPr>
        <w:p w:rsidR="00BA29FF" w:rsidRDefault="00BA29F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212</w:t>
          </w:r>
          <w:r>
            <w:rPr>
              <w:rStyle w:val="PageNumber"/>
            </w:rP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w:instrText>
          </w:r>
          <w:r>
            <w:instrText xml:space="preserve">t"  *\charformat </w:instrText>
          </w:r>
          <w:r>
            <w:fldChar w:fldCharType="separate"/>
          </w:r>
          <w:r w:rsidR="00BA29FF">
            <w:t>-15/09/08</w:t>
          </w:r>
          <w:r>
            <w:fldChar w:fldCharType="end"/>
          </w:r>
        </w:p>
      </w:tc>
      <w:tc>
        <w:tcPr>
          <w:tcW w:w="1061" w:type="pct"/>
        </w:tcPr>
        <w:p w:rsidR="00BA29FF" w:rsidRDefault="00E072F5">
          <w:pPr>
            <w:pStyle w:val="Footer"/>
            <w:jc w:val="right"/>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A29FF">
      <w:tc>
        <w:tcPr>
          <w:tcW w:w="1061" w:type="pct"/>
        </w:tcPr>
        <w:p w:rsidR="00BA29FF" w:rsidRDefault="00E072F5">
          <w:pPr>
            <w:pStyle w:val="Footer"/>
          </w:pPr>
          <w:r>
            <w:fldChar w:fldCharType="begin"/>
          </w:r>
          <w:r>
            <w:instrText xml:space="preserve"> DOCPROPERTY "Category"  *\charformat  </w:instrText>
          </w:r>
          <w:r>
            <w:fldChar w:fldCharType="separate"/>
          </w:r>
          <w:r w:rsidR="00BA29FF">
            <w:t>R4</w:t>
          </w:r>
          <w:r>
            <w:fldChar w:fldCharType="end"/>
          </w:r>
          <w:r w:rsidR="00BA29FF">
            <w:br/>
          </w:r>
          <w:r>
            <w:fldChar w:fldCharType="begin"/>
          </w:r>
          <w:r>
            <w:instrText xml:space="preserve"> DOCPROPERTY "RepubDt"  *\charformat  </w:instrText>
          </w:r>
          <w:r>
            <w:fldChar w:fldCharType="separate"/>
          </w:r>
          <w:r w:rsidR="00BA29FF">
            <w:t>26/08/08</w:t>
          </w:r>
          <w:r>
            <w:fldChar w:fldCharType="end"/>
          </w:r>
        </w:p>
      </w:tc>
      <w:tc>
        <w:tcPr>
          <w:tcW w:w="3092" w:type="pct"/>
        </w:tcPr>
        <w:p w:rsidR="00BA29FF" w:rsidRDefault="00E072F5">
          <w:pPr>
            <w:pStyle w:val="Footer"/>
            <w:jc w:val="center"/>
          </w:pPr>
          <w:r>
            <w:fldChar w:fldCharType="begin"/>
          </w:r>
          <w:r>
            <w:instrText xml:space="preserve"> REF Citation *\charformat </w:instrText>
          </w:r>
          <w:r>
            <w:fldChar w:fldCharType="separate"/>
          </w:r>
          <w:r w:rsidR="00BA29FF">
            <w:t>Planning and Development Regulation 2008</w:t>
          </w:r>
          <w:r>
            <w:fldChar w:fldCharType="end"/>
          </w:r>
        </w:p>
        <w:p w:rsidR="00BA29FF" w:rsidRDefault="00E072F5">
          <w:pPr>
            <w:pStyle w:val="FooterInfoCentre"/>
          </w:pPr>
          <w:r>
            <w:fldChar w:fldCharType="begin"/>
          </w:r>
          <w:r>
            <w:instrText xml:space="preserve"> DOCPROPERTY "Eff"  *\charformat </w:instrText>
          </w:r>
          <w:r>
            <w:fldChar w:fldCharType="separate"/>
          </w:r>
          <w:r w:rsidR="00BA29FF">
            <w:t xml:space="preserve">Effective:  </w:t>
          </w:r>
          <w:r>
            <w:fldChar w:fldCharType="end"/>
          </w:r>
          <w:r>
            <w:fldChar w:fldCharType="begin"/>
          </w:r>
          <w:r>
            <w:instrText xml:space="preserve"> DOCPROPERTY "StartDt"  *\charformat </w:instrText>
          </w:r>
          <w:r>
            <w:fldChar w:fldCharType="separate"/>
          </w:r>
          <w:r w:rsidR="00BA29FF">
            <w:t>26/08/08</w:t>
          </w:r>
          <w:r>
            <w:fldChar w:fldCharType="end"/>
          </w:r>
          <w:r>
            <w:fldChar w:fldCharType="begin"/>
          </w:r>
          <w:r>
            <w:instrText xml:space="preserve"> DOCPROPERTY "EndDt"  *\charformat </w:instrText>
          </w:r>
          <w:r>
            <w:fldChar w:fldCharType="separate"/>
          </w:r>
          <w:r w:rsidR="00BA29FF">
            <w:t>-15/09/08</w:t>
          </w:r>
          <w:r>
            <w:fldChar w:fldCharType="end"/>
          </w:r>
        </w:p>
      </w:tc>
      <w:tc>
        <w:tcPr>
          <w:tcW w:w="847" w:type="pct"/>
        </w:tcPr>
        <w:p w:rsidR="00BA29FF" w:rsidRDefault="00BA29F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72F5">
            <w:rPr>
              <w:rStyle w:val="PageNumber"/>
              <w:noProof/>
            </w:rPr>
            <w:t>211</w:t>
          </w:r>
          <w:r>
            <w:rPr>
              <w:rStyle w:val="PageNumber"/>
            </w:rPr>
            <w:fldChar w:fldCharType="end"/>
          </w:r>
        </w:p>
      </w:tc>
    </w:tr>
  </w:tbl>
  <w:p w:rsidR="00BA29FF" w:rsidRPr="00E072F5" w:rsidRDefault="00E072F5" w:rsidP="00E072F5">
    <w:pPr>
      <w:pStyle w:val="Status"/>
      <w:rPr>
        <w:rFonts w:cs="Arial"/>
      </w:rPr>
    </w:pPr>
    <w:r w:rsidRPr="00E072F5">
      <w:rPr>
        <w:rFonts w:cs="Arial"/>
      </w:rPr>
      <w:fldChar w:fldCharType="begin"/>
    </w:r>
    <w:r w:rsidRPr="00E072F5">
      <w:rPr>
        <w:rFonts w:cs="Arial"/>
      </w:rPr>
      <w:instrText xml:space="preserve"> DOCPROPERTY "Status" </w:instrText>
    </w:r>
    <w:r w:rsidRPr="00E072F5">
      <w:rPr>
        <w:rFonts w:cs="Arial"/>
      </w:rPr>
      <w:fldChar w:fldCharType="separate"/>
    </w:r>
    <w:r w:rsidR="00BA29FF" w:rsidRPr="00E072F5">
      <w:rPr>
        <w:rFonts w:cs="Arial"/>
      </w:rPr>
      <w:t xml:space="preserve"> </w:t>
    </w:r>
    <w:r w:rsidRPr="00E072F5">
      <w:rPr>
        <w:rFonts w:cs="Arial"/>
      </w:rPr>
      <w:fldChar w:fldCharType="end"/>
    </w:r>
    <w:r w:rsidRPr="00E072F5">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Pr="00E072F5" w:rsidRDefault="00E072F5" w:rsidP="00E072F5">
    <w:pPr>
      <w:pStyle w:val="Footer"/>
      <w:jc w:val="center"/>
      <w:rPr>
        <w:rFonts w:cs="Arial"/>
        <w:sz w:val="14"/>
      </w:rPr>
    </w:pPr>
    <w:r w:rsidRPr="00E072F5">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Pr="00E072F5" w:rsidRDefault="00BA29FF" w:rsidP="00E072F5">
    <w:pPr>
      <w:pStyle w:val="Footer"/>
      <w:jc w:val="center"/>
      <w:rPr>
        <w:rFonts w:cs="Arial"/>
        <w:sz w:val="14"/>
      </w:rPr>
    </w:pPr>
    <w:r w:rsidRPr="00E072F5">
      <w:rPr>
        <w:rFonts w:cs="Arial"/>
        <w:sz w:val="14"/>
      </w:rPr>
      <w:fldChar w:fldCharType="begin"/>
    </w:r>
    <w:r w:rsidRPr="00E072F5">
      <w:rPr>
        <w:rFonts w:cs="Arial"/>
        <w:sz w:val="14"/>
      </w:rPr>
      <w:instrText xml:space="preserve"> COMMENTS  \* MERGEFORMAT </w:instrText>
    </w:r>
    <w:r w:rsidRPr="00E072F5">
      <w:rPr>
        <w:rFonts w:cs="Arial"/>
        <w:sz w:val="14"/>
      </w:rPr>
      <w:fldChar w:fldCharType="end"/>
    </w:r>
    <w:r w:rsidR="00E072F5" w:rsidRPr="00E072F5">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Pr="00E072F5" w:rsidRDefault="00E072F5" w:rsidP="00E072F5">
    <w:pPr>
      <w:pStyle w:val="Footer"/>
      <w:jc w:val="center"/>
      <w:rPr>
        <w:rFonts w:cs="Arial"/>
        <w:sz w:val="14"/>
      </w:rPr>
    </w:pPr>
    <w:r w:rsidRPr="00E072F5">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29FF" w:rsidRDefault="00BA29FF">
      <w:r>
        <w:separator/>
      </w:r>
    </w:p>
  </w:footnote>
  <w:footnote w:type="continuationSeparator" w:id="0">
    <w:p w:rsidR="00BA29FF" w:rsidRDefault="00BA29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29FF">
      <w:tc>
        <w:tcPr>
          <w:tcW w:w="900" w:type="pct"/>
        </w:tcPr>
        <w:p w:rsidR="00BA29FF" w:rsidRDefault="00BA29FF">
          <w:pPr>
            <w:pStyle w:val="HeaderEven"/>
          </w:pPr>
        </w:p>
      </w:tc>
      <w:tc>
        <w:tcPr>
          <w:tcW w:w="4100" w:type="pct"/>
        </w:tcPr>
        <w:p w:rsidR="00BA29FF" w:rsidRDefault="00BA29FF">
          <w:pPr>
            <w:pStyle w:val="HeaderEven"/>
          </w:pPr>
        </w:p>
      </w:tc>
    </w:tr>
    <w:tr w:rsidR="00BA29FF">
      <w:tc>
        <w:tcPr>
          <w:tcW w:w="4100" w:type="pct"/>
          <w:gridSpan w:val="2"/>
          <w:tcBorders>
            <w:bottom w:val="single" w:sz="4" w:space="0" w:color="auto"/>
          </w:tcBorders>
        </w:tcPr>
        <w:p w:rsidR="00BA29FF" w:rsidRDefault="00E072F5">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A29FF" w:rsidRDefault="00BA29FF">
    <w:pPr>
      <w:pStyle w:val="N-9pt"/>
    </w:pPr>
    <w:r>
      <w:tab/>
    </w:r>
    <w:r w:rsidR="00E072F5">
      <w:rPr>
        <w:noProof/>
      </w:rPr>
      <w:fldChar w:fldCharType="begin"/>
    </w:r>
    <w:r w:rsidR="00E072F5">
      <w:rPr>
        <w:noProof/>
      </w:rPr>
      <w:instrText xml:space="preserve"> STYLEREF charPage \* MERGEFORMAT </w:instrText>
    </w:r>
    <w:r w:rsidR="00E072F5">
      <w:rPr>
        <w:noProof/>
      </w:rPr>
      <w:fldChar w:fldCharType="separate"/>
    </w:r>
    <w:r w:rsidR="00E072F5">
      <w:rPr>
        <w:noProof/>
      </w:rPr>
      <w:t>Page</w:t>
    </w:r>
    <w:r w:rsidR="00E072F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29FF">
      <w:tc>
        <w:tcPr>
          <w:tcW w:w="4100" w:type="pct"/>
        </w:tcPr>
        <w:p w:rsidR="00BA29FF" w:rsidRDefault="00BA29FF">
          <w:pPr>
            <w:pStyle w:val="HeaderOdd"/>
          </w:pPr>
        </w:p>
      </w:tc>
      <w:tc>
        <w:tcPr>
          <w:tcW w:w="900" w:type="pct"/>
        </w:tcPr>
        <w:p w:rsidR="00BA29FF" w:rsidRDefault="00BA29FF">
          <w:pPr>
            <w:pStyle w:val="HeaderOdd"/>
          </w:pPr>
        </w:p>
      </w:tc>
    </w:tr>
    <w:tr w:rsidR="00BA29FF">
      <w:tc>
        <w:tcPr>
          <w:tcW w:w="900" w:type="pct"/>
          <w:gridSpan w:val="2"/>
          <w:tcBorders>
            <w:bottom w:val="single" w:sz="4" w:space="0" w:color="auto"/>
          </w:tcBorders>
        </w:tcPr>
        <w:p w:rsidR="00BA29FF" w:rsidRDefault="00E072F5">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BA29FF" w:rsidRDefault="00BA29FF">
    <w:pPr>
      <w:pStyle w:val="N-9pt"/>
    </w:pPr>
    <w:r>
      <w:tab/>
    </w:r>
    <w:r w:rsidR="00E072F5">
      <w:rPr>
        <w:noProof/>
      </w:rPr>
      <w:fldChar w:fldCharType="begin"/>
    </w:r>
    <w:r w:rsidR="00E072F5">
      <w:rPr>
        <w:noProof/>
      </w:rPr>
      <w:instrText xml:space="preserve"> STYLEREF charPage \* MERGEFORMAT </w:instrText>
    </w:r>
    <w:r w:rsidR="00E072F5">
      <w:rPr>
        <w:noProof/>
      </w:rPr>
      <w:fldChar w:fldCharType="separate"/>
    </w:r>
    <w:r w:rsidR="00E072F5">
      <w:rPr>
        <w:noProof/>
      </w:rPr>
      <w:t>Page</w:t>
    </w:r>
    <w:r w:rsidR="00E072F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29FF">
      <w:tc>
        <w:tcPr>
          <w:tcW w:w="900" w:type="pct"/>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Chapter 5</w:t>
          </w:r>
          <w:r>
            <w:rPr>
              <w:b/>
            </w:rPr>
            <w:fldChar w:fldCharType="end"/>
          </w:r>
        </w:p>
      </w:tc>
      <w:tc>
        <w:tcPr>
          <w:tcW w:w="4100" w:type="pct"/>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r>
    <w:tr w:rsidR="00BA29FF">
      <w:tc>
        <w:tcPr>
          <w:tcW w:w="900" w:type="pct"/>
        </w:tcPr>
        <w:p w:rsidR="00BA29FF" w:rsidRDefault="00BA29FF">
          <w:pPr>
            <w:pStyle w:val="HeaderEven"/>
            <w:rPr>
              <w:b/>
            </w:rPr>
          </w:pPr>
          <w:r>
            <w:rPr>
              <w:b/>
            </w:rPr>
            <w:fldChar w:fldCharType="begin"/>
          </w:r>
          <w:r>
            <w:rPr>
              <w:b/>
            </w:rPr>
            <w:instrText xml:space="preserve"> STYLEREF CharPartNo \*charformat </w:instrText>
          </w:r>
          <w:r w:rsidR="00E072F5">
            <w:rPr>
              <w:b/>
            </w:rPr>
            <w:fldChar w:fldCharType="separate"/>
          </w:r>
          <w:r w:rsidR="00E072F5">
            <w:rPr>
              <w:b/>
              <w:noProof/>
            </w:rPr>
            <w:t>Part 5.6</w:t>
          </w:r>
          <w:r>
            <w:rPr>
              <w:b/>
            </w:rPr>
            <w:fldChar w:fldCharType="end"/>
          </w:r>
        </w:p>
      </w:tc>
      <w:tc>
        <w:tcPr>
          <w:tcW w:w="4100" w:type="pct"/>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r>
    <w:tr w:rsidR="00BA29FF">
      <w:tc>
        <w:tcPr>
          <w:tcW w:w="900" w:type="pct"/>
        </w:tcPr>
        <w:p w:rsidR="00BA29FF" w:rsidRDefault="00BA29F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BA29FF" w:rsidRDefault="00BA29FF">
          <w:pPr>
            <w:pStyle w:val="HeaderEven"/>
          </w:pPr>
          <w:r>
            <w:fldChar w:fldCharType="begin"/>
          </w:r>
          <w:r>
            <w:instrText xml:space="preserve"> STYLEREF CharDivText \*charformat </w:instrText>
          </w:r>
          <w:r>
            <w:fldChar w:fldCharType="end"/>
          </w:r>
        </w:p>
      </w:tc>
    </w:tr>
    <w:tr w:rsidR="00BA29FF">
      <w:trPr>
        <w:cantSplit/>
      </w:trPr>
      <w:tc>
        <w:tcPr>
          <w:tcW w:w="900" w:type="pct"/>
          <w:gridSpan w:val="2"/>
          <w:tcBorders>
            <w:bottom w:val="single" w:sz="4" w:space="0" w:color="auto"/>
          </w:tcBorders>
        </w:tcPr>
        <w:p w:rsidR="00BA29FF" w:rsidRDefault="00E072F5">
          <w:pPr>
            <w:pStyle w:val="HeaderEven6"/>
          </w:pPr>
          <w:r>
            <w:fldChar w:fldCharType="begin"/>
          </w:r>
          <w:r>
            <w:instrText xml:space="preserve"> DOCPROPERTY "Company"  \* MERGEFORMAT </w:instrText>
          </w:r>
          <w:r>
            <w:fldChar w:fldCharType="separate"/>
          </w:r>
          <w:r w:rsidR="00BA29FF">
            <w:t>Section</w:t>
          </w:r>
          <w:r>
            <w:fldChar w:fldCharType="end"/>
          </w:r>
          <w:r w:rsidR="00BA29FF">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BA29FF" w:rsidRDefault="00BA29FF">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29FF">
      <w:tc>
        <w:tcPr>
          <w:tcW w:w="4100" w:type="pct"/>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Chapter 5</w:t>
          </w:r>
          <w:r>
            <w:rPr>
              <w:b/>
            </w:rPr>
            <w:fldChar w:fldCharType="end"/>
          </w:r>
        </w:p>
      </w:tc>
    </w:tr>
    <w:tr w:rsidR="00BA29FF">
      <w:tc>
        <w:tcPr>
          <w:tcW w:w="4100" w:type="pct"/>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Discharge amounts for rural leases</w:t>
          </w:r>
          <w:r>
            <w:rPr>
              <w:noProof/>
            </w:rPr>
            <w:fldChar w:fldCharType="end"/>
          </w:r>
        </w:p>
      </w:tc>
      <w:tc>
        <w:tcPr>
          <w:tcW w:w="900" w:type="pct"/>
        </w:tcPr>
        <w:p w:rsidR="00BA29FF" w:rsidRDefault="00BA29FF">
          <w:pPr>
            <w:pStyle w:val="HeaderEven"/>
            <w:jc w:val="right"/>
            <w:rPr>
              <w:b/>
            </w:rPr>
          </w:pPr>
          <w:r>
            <w:rPr>
              <w:b/>
            </w:rPr>
            <w:fldChar w:fldCharType="begin"/>
          </w:r>
          <w:r>
            <w:rPr>
              <w:b/>
            </w:rPr>
            <w:instrText xml:space="preserve"> STYLEREF CharPartNo \*charformat </w:instrText>
          </w:r>
          <w:r w:rsidR="00E072F5">
            <w:rPr>
              <w:b/>
            </w:rPr>
            <w:fldChar w:fldCharType="separate"/>
          </w:r>
          <w:r w:rsidR="00E072F5">
            <w:rPr>
              <w:b/>
              <w:noProof/>
            </w:rPr>
            <w:t>Part 5.6</w:t>
          </w:r>
          <w:r>
            <w:rPr>
              <w:b/>
            </w:rPr>
            <w:fldChar w:fldCharType="end"/>
          </w:r>
        </w:p>
      </w:tc>
    </w:tr>
    <w:tr w:rsidR="00BA29FF">
      <w:tc>
        <w:tcPr>
          <w:tcW w:w="4100" w:type="pct"/>
        </w:tcPr>
        <w:p w:rsidR="00BA29FF" w:rsidRDefault="00BA29FF">
          <w:pPr>
            <w:pStyle w:val="HeaderEven"/>
            <w:jc w:val="right"/>
          </w:pPr>
          <w:r>
            <w:fldChar w:fldCharType="begin"/>
          </w:r>
          <w:r>
            <w:instrText xml:space="preserve"> STYLEREF CharDivText \*charformat </w:instrText>
          </w:r>
          <w:r>
            <w:fldChar w:fldCharType="end"/>
          </w:r>
        </w:p>
      </w:tc>
      <w:tc>
        <w:tcPr>
          <w:tcW w:w="900" w:type="pct"/>
        </w:tcPr>
        <w:p w:rsidR="00BA29FF" w:rsidRDefault="00BA29FF">
          <w:pPr>
            <w:pStyle w:val="HeaderEven"/>
            <w:jc w:val="right"/>
            <w:rPr>
              <w:b/>
            </w:rPr>
          </w:pPr>
          <w:r>
            <w:rPr>
              <w:b/>
            </w:rPr>
            <w:fldChar w:fldCharType="begin"/>
          </w:r>
          <w:r>
            <w:rPr>
              <w:b/>
            </w:rPr>
            <w:instrText xml:space="preserve"> STYLEREF CharDivNo \*charformat </w:instrText>
          </w:r>
          <w:r>
            <w:rPr>
              <w:b/>
            </w:rPr>
            <w:fldChar w:fldCharType="end"/>
          </w:r>
        </w:p>
      </w:tc>
    </w:tr>
    <w:tr w:rsidR="00BA29FF">
      <w:trPr>
        <w:cantSplit/>
      </w:trPr>
      <w:tc>
        <w:tcPr>
          <w:tcW w:w="900" w:type="pct"/>
          <w:gridSpan w:val="2"/>
          <w:tcBorders>
            <w:bottom w:val="single" w:sz="4" w:space="0" w:color="auto"/>
          </w:tcBorders>
        </w:tcPr>
        <w:p w:rsidR="00BA29FF" w:rsidRDefault="00E072F5">
          <w:pPr>
            <w:pStyle w:val="HeaderOdd6"/>
          </w:pPr>
          <w:r>
            <w:fldChar w:fldCharType="begin"/>
          </w:r>
          <w:r>
            <w:instrText xml:space="preserve"> DOCPROPERTY "Company"  \* MERGEFORMAT </w:instrText>
          </w:r>
          <w:r>
            <w:fldChar w:fldCharType="separate"/>
          </w:r>
          <w:r w:rsidR="00BA29FF">
            <w:t>Section</w:t>
          </w:r>
          <w:r>
            <w:fldChar w:fldCharType="end"/>
          </w:r>
          <w:r w:rsidR="00BA29FF">
            <w:t xml:space="preserve"> </w:t>
          </w:r>
          <w:r>
            <w:rPr>
              <w:noProof/>
            </w:rPr>
            <w:fldChar w:fldCharType="begin"/>
          </w:r>
          <w:r>
            <w:rPr>
              <w:noProof/>
            </w:rPr>
            <w:instrText xml:space="preserve"> STYLEREF CharSectNo \*charformat </w:instrText>
          </w:r>
          <w:r>
            <w:rPr>
              <w:noProof/>
            </w:rPr>
            <w:fldChar w:fldCharType="separate"/>
          </w:r>
          <w:r>
            <w:rPr>
              <w:noProof/>
            </w:rPr>
            <w:t>192</w:t>
          </w:r>
          <w:r>
            <w:rPr>
              <w:noProof/>
            </w:rPr>
            <w:fldChar w:fldCharType="end"/>
          </w:r>
        </w:p>
      </w:tc>
    </w:tr>
  </w:tbl>
  <w:p w:rsidR="00BA29FF" w:rsidRDefault="00BA29F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29FF">
      <w:tc>
        <w:tcPr>
          <w:tcW w:w="900" w:type="pct"/>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Chapter 5</w:t>
          </w:r>
          <w:r>
            <w:rPr>
              <w:b/>
            </w:rPr>
            <w:fldChar w:fldCharType="end"/>
          </w:r>
        </w:p>
      </w:tc>
      <w:tc>
        <w:tcPr>
          <w:tcW w:w="4100" w:type="pct"/>
        </w:tcPr>
        <w:p w:rsidR="00BA29FF" w:rsidRDefault="00E072F5">
          <w:pPr>
            <w:pStyle w:val="HeaderEven"/>
          </w:pPr>
          <w:r>
            <w:rPr>
              <w:noProof/>
            </w:rPr>
            <w:fldChar w:fldCharType="begin"/>
          </w:r>
          <w:r>
            <w:rPr>
              <w:noProof/>
            </w:rPr>
            <w:instrText xml:space="preserve"> STYLEREF CharChapT</w:instrText>
          </w:r>
          <w:r>
            <w:rPr>
              <w:noProof/>
            </w:rPr>
            <w:instrText xml:space="preserve">ext \*charformat  </w:instrText>
          </w:r>
          <w:r>
            <w:rPr>
              <w:noProof/>
            </w:rPr>
            <w:fldChar w:fldCharType="separate"/>
          </w:r>
          <w:r>
            <w:rPr>
              <w:noProof/>
            </w:rPr>
            <w:t>Leases generally</w:t>
          </w:r>
          <w:r>
            <w:rPr>
              <w:noProof/>
            </w:rPr>
            <w:fldChar w:fldCharType="end"/>
          </w:r>
        </w:p>
      </w:tc>
    </w:tr>
    <w:tr w:rsidR="00BA29FF">
      <w:tc>
        <w:tcPr>
          <w:tcW w:w="900" w:type="pct"/>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5.7</w:t>
          </w:r>
          <w:r>
            <w:rPr>
              <w:b/>
            </w:rPr>
            <w:fldChar w:fldCharType="end"/>
          </w:r>
        </w:p>
      </w:tc>
      <w:tc>
        <w:tcPr>
          <w:tcW w:w="4100" w:type="pct"/>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BA29FF">
      <w:tc>
        <w:tcPr>
          <w:tcW w:w="900" w:type="pct"/>
        </w:tcPr>
        <w:p w:rsidR="00BA29FF" w:rsidRDefault="00BA29F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BA29FF" w:rsidRDefault="00BA29FF">
          <w:pPr>
            <w:pStyle w:val="HeaderEven"/>
          </w:pPr>
          <w:r>
            <w:fldChar w:fldCharType="begin"/>
          </w:r>
          <w:r>
            <w:instrText xml:space="preserve"> STYLEREF CharDivText \*charformat </w:instrText>
          </w:r>
          <w:r>
            <w:fldChar w:fldCharType="end"/>
          </w:r>
        </w:p>
      </w:tc>
    </w:tr>
    <w:tr w:rsidR="00BA29FF">
      <w:trPr>
        <w:cantSplit/>
      </w:trPr>
      <w:tc>
        <w:tcPr>
          <w:tcW w:w="900" w:type="pct"/>
          <w:gridSpan w:val="2"/>
          <w:tcBorders>
            <w:bottom w:val="single" w:sz="4" w:space="0" w:color="auto"/>
          </w:tcBorders>
        </w:tcPr>
        <w:p w:rsidR="00BA29FF" w:rsidRDefault="00E072F5">
          <w:pPr>
            <w:pStyle w:val="HeaderEven6"/>
          </w:pPr>
          <w:r>
            <w:fldChar w:fldCharType="begin"/>
          </w:r>
          <w:r>
            <w:instrText xml:space="preserve"> DOCPROPERTY "Company"  \* MERGEFORMAT </w:instrText>
          </w:r>
          <w:r>
            <w:fldChar w:fldCharType="separate"/>
          </w:r>
          <w:r w:rsidR="00BA29FF">
            <w:t>Section</w:t>
          </w:r>
          <w:r>
            <w:fldChar w:fldCharType="end"/>
          </w:r>
          <w:r w:rsidR="00BA29FF">
            <w:t xml:space="preserve"> </w:t>
          </w:r>
          <w:r>
            <w:rPr>
              <w:noProof/>
            </w:rPr>
            <w:fldChar w:fldCharType="begin"/>
          </w:r>
          <w:r>
            <w:rPr>
              <w:noProof/>
            </w:rPr>
            <w:instrText xml:space="preserve"> STYLEREF CharSectNo \*charformat </w:instrText>
          </w:r>
          <w:r>
            <w:rPr>
              <w:noProof/>
            </w:rPr>
            <w:fldChar w:fldCharType="separate"/>
          </w:r>
          <w:r>
            <w:rPr>
              <w:noProof/>
            </w:rPr>
            <w:t>203</w:t>
          </w:r>
          <w:r>
            <w:rPr>
              <w:noProof/>
            </w:rPr>
            <w:fldChar w:fldCharType="end"/>
          </w:r>
        </w:p>
      </w:tc>
    </w:tr>
  </w:tbl>
  <w:p w:rsidR="00BA29FF" w:rsidRDefault="00BA29F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29FF">
      <w:tc>
        <w:tcPr>
          <w:tcW w:w="4100" w:type="pct"/>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Chapter 5</w:t>
          </w:r>
          <w:r>
            <w:rPr>
              <w:b/>
            </w:rPr>
            <w:fldChar w:fldCharType="end"/>
          </w:r>
        </w:p>
      </w:tc>
    </w:tr>
    <w:tr w:rsidR="00BA29FF">
      <w:tc>
        <w:tcPr>
          <w:tcW w:w="4100" w:type="pct"/>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5.7</w:t>
          </w:r>
          <w:r>
            <w:rPr>
              <w:b/>
            </w:rPr>
            <w:fldChar w:fldCharType="end"/>
          </w:r>
        </w:p>
      </w:tc>
    </w:tr>
    <w:tr w:rsidR="00BA29FF">
      <w:tc>
        <w:tcPr>
          <w:tcW w:w="4100" w:type="pct"/>
        </w:tcPr>
        <w:p w:rsidR="00BA29FF" w:rsidRDefault="00BA29FF">
          <w:pPr>
            <w:pStyle w:val="HeaderEven"/>
            <w:jc w:val="right"/>
          </w:pPr>
          <w:r>
            <w:fldChar w:fldCharType="begin"/>
          </w:r>
          <w:r>
            <w:instrText xml:space="preserve"> STYLEREF CharDivText \*charformat </w:instrText>
          </w:r>
          <w:r>
            <w:fldChar w:fldCharType="end"/>
          </w:r>
        </w:p>
      </w:tc>
      <w:tc>
        <w:tcPr>
          <w:tcW w:w="900" w:type="pct"/>
        </w:tcPr>
        <w:p w:rsidR="00BA29FF" w:rsidRDefault="00BA29FF">
          <w:pPr>
            <w:pStyle w:val="HeaderEven"/>
            <w:jc w:val="right"/>
            <w:rPr>
              <w:b/>
            </w:rPr>
          </w:pPr>
          <w:r>
            <w:rPr>
              <w:b/>
            </w:rPr>
            <w:fldChar w:fldCharType="begin"/>
          </w:r>
          <w:r>
            <w:rPr>
              <w:b/>
            </w:rPr>
            <w:instrText xml:space="preserve"> STYLEREF CharDivNo \*charformat </w:instrText>
          </w:r>
          <w:r>
            <w:rPr>
              <w:b/>
            </w:rPr>
            <w:fldChar w:fldCharType="end"/>
          </w:r>
        </w:p>
      </w:tc>
    </w:tr>
    <w:tr w:rsidR="00BA29FF">
      <w:trPr>
        <w:cantSplit/>
      </w:trPr>
      <w:tc>
        <w:tcPr>
          <w:tcW w:w="900" w:type="pct"/>
          <w:gridSpan w:val="2"/>
          <w:tcBorders>
            <w:bottom w:val="single" w:sz="4" w:space="0" w:color="auto"/>
          </w:tcBorders>
        </w:tcPr>
        <w:p w:rsidR="00BA29FF" w:rsidRDefault="00E072F5">
          <w:pPr>
            <w:pStyle w:val="HeaderOdd6"/>
          </w:pPr>
          <w:r>
            <w:fldChar w:fldCharType="begin"/>
          </w:r>
          <w:r>
            <w:instrText xml:space="preserve"> DOCPROPERTY "Co</w:instrText>
          </w:r>
          <w:r>
            <w:instrText xml:space="preserve">mpany"  \* MERGEFORMAT </w:instrText>
          </w:r>
          <w:r>
            <w:fldChar w:fldCharType="separate"/>
          </w:r>
          <w:r w:rsidR="00BA29FF">
            <w:t>Section</w:t>
          </w:r>
          <w:r>
            <w:fldChar w:fldCharType="end"/>
          </w:r>
          <w:r w:rsidR="00BA29FF">
            <w:t xml:space="preserve"> </w:t>
          </w:r>
          <w:r>
            <w:rPr>
              <w:noProof/>
            </w:rPr>
            <w:fldChar w:fldCharType="begin"/>
          </w:r>
          <w:r>
            <w:rPr>
              <w:noProof/>
            </w:rPr>
            <w:instrText xml:space="preserve"> STYLEREF CharSectNo \*charformat </w:instrText>
          </w:r>
          <w:r>
            <w:rPr>
              <w:noProof/>
            </w:rPr>
            <w:fldChar w:fldCharType="separate"/>
          </w:r>
          <w:r>
            <w:rPr>
              <w:noProof/>
            </w:rPr>
            <w:t>203</w:t>
          </w:r>
          <w:r>
            <w:rPr>
              <w:noProof/>
            </w:rPr>
            <w:fldChar w:fldCharType="end"/>
          </w:r>
        </w:p>
      </w:tc>
    </w:tr>
  </w:tbl>
  <w:p w:rsidR="00BA29FF" w:rsidRDefault="00BA29FF">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A29FF">
      <w:tc>
        <w:tcPr>
          <w:tcW w:w="900" w:type="pct"/>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Chapter 10</w:t>
          </w:r>
          <w:r>
            <w:rPr>
              <w:b/>
            </w:rPr>
            <w:fldChar w:fldCharType="end"/>
          </w:r>
        </w:p>
      </w:tc>
      <w:tc>
        <w:tcPr>
          <w:tcW w:w="4100" w:type="pct"/>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BA29FF">
      <w:tc>
        <w:tcPr>
          <w:tcW w:w="900" w:type="pct"/>
        </w:tcPr>
        <w:p w:rsidR="00BA29FF" w:rsidRDefault="00BA29FF">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BA29FF" w:rsidRDefault="00BA29FF">
          <w:pPr>
            <w:pStyle w:val="HeaderEven"/>
          </w:pPr>
          <w:r>
            <w:fldChar w:fldCharType="begin"/>
          </w:r>
          <w:r>
            <w:instrText xml:space="preserve"> STYLEREF CharPartText \*charformat </w:instrText>
          </w:r>
          <w:r>
            <w:fldChar w:fldCharType="end"/>
          </w:r>
        </w:p>
      </w:tc>
    </w:tr>
    <w:tr w:rsidR="00BA29FF">
      <w:tc>
        <w:tcPr>
          <w:tcW w:w="900" w:type="pct"/>
        </w:tcPr>
        <w:p w:rsidR="00BA29FF" w:rsidRDefault="00BA29FF">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BA29FF" w:rsidRDefault="00BA29FF">
          <w:pPr>
            <w:pStyle w:val="HeaderEven"/>
          </w:pPr>
          <w:r>
            <w:fldChar w:fldCharType="begin"/>
          </w:r>
          <w:r>
            <w:instrText xml:space="preserve"> STYLEREF CharDivText \*charformat </w:instrText>
          </w:r>
          <w:r>
            <w:fldChar w:fldCharType="end"/>
          </w:r>
        </w:p>
      </w:tc>
    </w:tr>
    <w:tr w:rsidR="00BA29FF">
      <w:trPr>
        <w:cantSplit/>
      </w:trPr>
      <w:tc>
        <w:tcPr>
          <w:tcW w:w="900" w:type="pct"/>
          <w:gridSpan w:val="2"/>
          <w:tcBorders>
            <w:bottom w:val="single" w:sz="4" w:space="0" w:color="auto"/>
          </w:tcBorders>
        </w:tcPr>
        <w:p w:rsidR="00BA29FF" w:rsidRDefault="00E072F5">
          <w:pPr>
            <w:pStyle w:val="HeaderEven6"/>
          </w:pPr>
          <w:r>
            <w:fldChar w:fldCharType="begin"/>
          </w:r>
          <w:r>
            <w:instrText xml:space="preserve"> DOCPROPERTY "Company"  \* MERGEFORMAT </w:instrText>
          </w:r>
          <w:r>
            <w:fldChar w:fldCharType="separate"/>
          </w:r>
          <w:r w:rsidR="00BA29FF">
            <w:t>Section</w:t>
          </w:r>
          <w:r>
            <w:fldChar w:fldCharType="end"/>
          </w:r>
          <w:r w:rsidR="00BA29FF">
            <w:t xml:space="preserve"> </w:t>
          </w:r>
          <w:r>
            <w:rPr>
              <w:noProof/>
            </w:rPr>
            <w:fldChar w:fldCharType="begin"/>
          </w:r>
          <w:r>
            <w:rPr>
              <w:noProof/>
            </w:rPr>
            <w:instrText xml:space="preserve"> STYLEREF CharSectNo \*charformat </w:instrText>
          </w:r>
          <w:r>
            <w:rPr>
              <w:noProof/>
            </w:rPr>
            <w:fldChar w:fldCharType="separate"/>
          </w:r>
          <w:r>
            <w:rPr>
              <w:noProof/>
            </w:rPr>
            <w:t>410</w:t>
          </w:r>
          <w:r>
            <w:rPr>
              <w:noProof/>
            </w:rPr>
            <w:fldChar w:fldCharType="end"/>
          </w:r>
        </w:p>
      </w:tc>
    </w:tr>
  </w:tbl>
  <w:p w:rsidR="00BA29FF" w:rsidRDefault="00BA29FF">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A29FF">
      <w:tc>
        <w:tcPr>
          <w:tcW w:w="4100" w:type="pct"/>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Chapter 10</w:t>
          </w:r>
          <w:r>
            <w:rPr>
              <w:b/>
            </w:rPr>
            <w:fldChar w:fldCharType="end"/>
          </w:r>
        </w:p>
      </w:tc>
    </w:tr>
    <w:tr w:rsidR="00BA29FF">
      <w:tc>
        <w:tcPr>
          <w:tcW w:w="4100" w:type="pct"/>
        </w:tcPr>
        <w:p w:rsidR="00BA29FF" w:rsidRDefault="00BA29FF">
          <w:pPr>
            <w:pStyle w:val="HeaderEven"/>
            <w:jc w:val="right"/>
          </w:pPr>
          <w:r>
            <w:fldChar w:fldCharType="begin"/>
          </w:r>
          <w:r>
            <w:instrText xml:space="preserve"> STYLEREF CharPartText \*charformat </w:instrText>
          </w:r>
          <w:r>
            <w:fldChar w:fldCharType="end"/>
          </w:r>
        </w:p>
      </w:tc>
      <w:tc>
        <w:tcPr>
          <w:tcW w:w="900" w:type="pct"/>
        </w:tcPr>
        <w:p w:rsidR="00BA29FF" w:rsidRDefault="00BA29FF">
          <w:pPr>
            <w:pStyle w:val="HeaderEven"/>
            <w:jc w:val="right"/>
            <w:rPr>
              <w:b/>
            </w:rPr>
          </w:pPr>
          <w:r>
            <w:rPr>
              <w:b/>
            </w:rPr>
            <w:fldChar w:fldCharType="begin"/>
          </w:r>
          <w:r>
            <w:rPr>
              <w:b/>
            </w:rPr>
            <w:instrText xml:space="preserve"> STYLEREF CharPartNo \*charformat </w:instrText>
          </w:r>
          <w:r>
            <w:rPr>
              <w:b/>
            </w:rPr>
            <w:fldChar w:fldCharType="end"/>
          </w:r>
        </w:p>
      </w:tc>
    </w:tr>
    <w:tr w:rsidR="00BA29FF">
      <w:tc>
        <w:tcPr>
          <w:tcW w:w="4100" w:type="pct"/>
        </w:tcPr>
        <w:p w:rsidR="00BA29FF" w:rsidRDefault="00BA29FF">
          <w:pPr>
            <w:pStyle w:val="HeaderEven"/>
            <w:jc w:val="right"/>
          </w:pPr>
          <w:r>
            <w:fldChar w:fldCharType="begin"/>
          </w:r>
          <w:r>
            <w:instrText xml:space="preserve"> STYLEREF CharDivText \*charformat </w:instrText>
          </w:r>
          <w:r>
            <w:fldChar w:fldCharType="end"/>
          </w:r>
        </w:p>
      </w:tc>
      <w:tc>
        <w:tcPr>
          <w:tcW w:w="900" w:type="pct"/>
        </w:tcPr>
        <w:p w:rsidR="00BA29FF" w:rsidRDefault="00BA29FF">
          <w:pPr>
            <w:pStyle w:val="HeaderEven"/>
            <w:jc w:val="right"/>
            <w:rPr>
              <w:b/>
            </w:rPr>
          </w:pPr>
          <w:r>
            <w:rPr>
              <w:b/>
            </w:rPr>
            <w:fldChar w:fldCharType="begin"/>
          </w:r>
          <w:r>
            <w:rPr>
              <w:b/>
            </w:rPr>
            <w:instrText xml:space="preserve"> STYLEREF CharDivNo \*charformat </w:instrText>
          </w:r>
          <w:r>
            <w:rPr>
              <w:b/>
            </w:rPr>
            <w:fldChar w:fldCharType="end"/>
          </w:r>
        </w:p>
      </w:tc>
    </w:tr>
    <w:tr w:rsidR="00BA29FF">
      <w:trPr>
        <w:cantSplit/>
      </w:trPr>
      <w:tc>
        <w:tcPr>
          <w:tcW w:w="900" w:type="pct"/>
          <w:gridSpan w:val="2"/>
          <w:tcBorders>
            <w:bottom w:val="single" w:sz="4" w:space="0" w:color="auto"/>
          </w:tcBorders>
        </w:tcPr>
        <w:p w:rsidR="00BA29FF" w:rsidRDefault="00E072F5">
          <w:pPr>
            <w:pStyle w:val="HeaderOdd6"/>
          </w:pPr>
          <w:r>
            <w:fldChar w:fldCharType="begin"/>
          </w:r>
          <w:r>
            <w:instrText xml:space="preserve"> DOCPROPERTY "Company"  \* MERGEFORMAT </w:instrText>
          </w:r>
          <w:r>
            <w:fldChar w:fldCharType="separate"/>
          </w:r>
          <w:r w:rsidR="00BA29FF">
            <w:t>Section</w:t>
          </w:r>
          <w:r>
            <w:fldChar w:fldCharType="end"/>
          </w:r>
          <w:r w:rsidR="00BA29FF">
            <w:t xml:space="preserve"> </w:t>
          </w:r>
          <w:r>
            <w:rPr>
              <w:noProof/>
            </w:rPr>
            <w:fldChar w:fldCharType="begin"/>
          </w:r>
          <w:r>
            <w:rPr>
              <w:noProof/>
            </w:rPr>
            <w:instrText xml:space="preserve"> STYLEREF CharSectNo \*charformat </w:instrText>
          </w:r>
          <w:r>
            <w:rPr>
              <w:noProof/>
            </w:rPr>
            <w:fldChar w:fldCharType="separate"/>
          </w:r>
          <w:r>
            <w:rPr>
              <w:noProof/>
            </w:rPr>
            <w:t>401</w:t>
          </w:r>
          <w:r>
            <w:rPr>
              <w:noProof/>
            </w:rPr>
            <w:fldChar w:fldCharType="end"/>
          </w:r>
        </w:p>
      </w:tc>
    </w:tr>
  </w:tbl>
  <w:p w:rsidR="00BA29FF" w:rsidRDefault="00BA29FF">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1</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1.3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CharDivNo \*charformat </w:instrText>
          </w:r>
          <w:r w:rsidR="00E072F5">
            <w:rPr>
              <w:b/>
            </w:rPr>
            <w:fldChar w:fldCharType="separate"/>
          </w:r>
          <w:r w:rsidR="00E072F5">
            <w:rPr>
              <w:b/>
              <w:noProof/>
            </w:rPr>
            <w:t>Division 1.3.7</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r>
    <w:tr w:rsidR="00BA29FF">
      <w:trPr>
        <w:cantSplit/>
        <w:jc w:val="center"/>
      </w:trPr>
      <w:tc>
        <w:tcPr>
          <w:tcW w:w="7296" w:type="dxa"/>
          <w:gridSpan w:val="2"/>
          <w:tcBorders>
            <w:bottom w:val="single" w:sz="4" w:space="0" w:color="auto"/>
          </w:tcBorders>
        </w:tcPr>
        <w:p w:rsidR="00BA29FF" w:rsidRDefault="00BA29FF">
          <w:pPr>
            <w:pStyle w:val="HeaderEven6"/>
          </w:pPr>
          <w:r>
            <w:t xml:space="preserve">Section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1.108</w:t>
          </w:r>
          <w:r w:rsidR="00E072F5">
            <w:rPr>
              <w:noProof/>
            </w:rPr>
            <w:fldChar w:fldCharType="end"/>
          </w:r>
        </w:p>
      </w:tc>
    </w:tr>
  </w:tbl>
  <w:p w:rsidR="00BA29FF" w:rsidRDefault="00BA29FF">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BA29FF">
      <w:trPr>
        <w:jc w:val="center"/>
      </w:trPr>
      <w:tc>
        <w:tcPr>
          <w:tcW w:w="6165"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1</w:t>
          </w:r>
          <w:r>
            <w:rPr>
              <w:b/>
            </w:rPr>
            <w:fldChar w:fldCharType="end"/>
          </w:r>
        </w:p>
      </w:tc>
    </w:tr>
    <w:tr w:rsidR="00BA29FF">
      <w:trPr>
        <w:jc w:val="center"/>
      </w:trPr>
      <w:tc>
        <w:tcPr>
          <w:tcW w:w="6165"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Exempt developments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1.3</w:t>
          </w:r>
          <w:r>
            <w:rPr>
              <w:b/>
            </w:rPr>
            <w:fldChar w:fldCharType="end"/>
          </w:r>
        </w:p>
      </w:tc>
    </w:tr>
    <w:tr w:rsidR="00BA29FF">
      <w:trPr>
        <w:jc w:val="center"/>
      </w:trPr>
      <w:tc>
        <w:tcPr>
          <w:tcW w:w="6165" w:type="dxa"/>
        </w:tcPr>
        <w:p w:rsidR="00BA29FF" w:rsidRDefault="00E072F5">
          <w:pPr>
            <w:pStyle w:val="HeaderEven"/>
            <w:jc w:val="right"/>
          </w:pPr>
          <w:r>
            <w:rPr>
              <w:noProof/>
            </w:rPr>
            <w:fldChar w:fldCharType="begin"/>
          </w:r>
          <w:r>
            <w:rPr>
              <w:noProof/>
            </w:rPr>
            <w:instrText xml:space="preserve"> STYLEREF CharDivText \*charformat </w:instrText>
          </w:r>
          <w:r>
            <w:rPr>
              <w:noProof/>
            </w:rPr>
            <w:fldChar w:fldCharType="separate"/>
          </w:r>
          <w:r>
            <w:rPr>
              <w:noProof/>
            </w:rPr>
            <w:t>Exempt developments—other exemptions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CharDivNo \*charformat </w:instrText>
          </w:r>
          <w:r w:rsidR="00E072F5">
            <w:rPr>
              <w:b/>
            </w:rPr>
            <w:fldChar w:fldCharType="separate"/>
          </w:r>
          <w:r w:rsidR="00E072F5">
            <w:rPr>
              <w:b/>
              <w:noProof/>
            </w:rPr>
            <w:t>Division 1.3.7</w:t>
          </w:r>
          <w:r>
            <w:rPr>
              <w:b/>
            </w:rPr>
            <w:fldChar w:fldCharType="end"/>
          </w:r>
        </w:p>
      </w:tc>
    </w:tr>
    <w:tr w:rsidR="00BA29FF">
      <w:trPr>
        <w:cantSplit/>
        <w:jc w:val="center"/>
      </w:trPr>
      <w:tc>
        <w:tcPr>
          <w:tcW w:w="7725" w:type="dxa"/>
          <w:gridSpan w:val="2"/>
          <w:tcBorders>
            <w:bottom w:val="single" w:sz="4" w:space="0" w:color="auto"/>
          </w:tcBorders>
        </w:tcPr>
        <w:p w:rsidR="00BA29FF" w:rsidRDefault="00BA29FF">
          <w:pPr>
            <w:pStyle w:val="HeaderOdd6"/>
          </w:pPr>
          <w:r>
            <w:t xml:space="preserve">Section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1.109</w:t>
          </w:r>
          <w:r w:rsidR="00E072F5">
            <w:rPr>
              <w:noProof/>
            </w:rPr>
            <w:fldChar w:fldCharType="end"/>
          </w:r>
        </w:p>
      </w:tc>
    </w:tr>
  </w:tbl>
  <w:p w:rsidR="00BA29FF" w:rsidRDefault="00BA29FF">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1</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1.5</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1</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1.5</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BA29FF">
      <w:tc>
        <w:tcPr>
          <w:tcW w:w="1560" w:type="dxa"/>
        </w:tcPr>
        <w:p w:rsidR="00BA29FF" w:rsidRDefault="00BA29FF">
          <w:pPr>
            <w:pStyle w:val="HeaderEven"/>
          </w:pPr>
          <w:r>
            <w:rPr>
              <w:b/>
            </w:rPr>
            <w:fldChar w:fldCharType="begin"/>
          </w:r>
          <w:r>
            <w:rPr>
              <w:b/>
            </w:rPr>
            <w:instrText xml:space="preserve"> STYLEREF CharChapNo \*charformat  </w:instrText>
          </w:r>
          <w:r>
            <w:rPr>
              <w:b/>
            </w:rPr>
            <w:fldChar w:fldCharType="separate"/>
          </w:r>
          <w:r w:rsidR="00E072F5">
            <w:rPr>
              <w:b/>
              <w:noProof/>
            </w:rPr>
            <w:t>Schedule 1</w:t>
          </w:r>
          <w:r>
            <w:rPr>
              <w:b/>
            </w:rPr>
            <w:fldChar w:fldCharType="end"/>
          </w:r>
        </w:p>
      </w:tc>
      <w:tc>
        <w:tcPr>
          <w:tcW w:w="9840"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BA29FF">
      <w:tc>
        <w:tcPr>
          <w:tcW w:w="1560" w:type="dxa"/>
        </w:tcPr>
        <w:p w:rsidR="00BA29FF" w:rsidRDefault="00BA29FF">
          <w:pPr>
            <w:pStyle w:val="HeaderEven"/>
          </w:pPr>
          <w:r>
            <w:rPr>
              <w:b/>
            </w:rPr>
            <w:fldChar w:fldCharType="begin"/>
          </w:r>
          <w:r>
            <w:rPr>
              <w:b/>
            </w:rPr>
            <w:instrText xml:space="preserve"> STYLEREF CharPartNo \*charformat </w:instrText>
          </w:r>
          <w:r>
            <w:rPr>
              <w:b/>
            </w:rPr>
            <w:fldChar w:fldCharType="separate"/>
          </w:r>
          <w:r w:rsidR="00E072F5">
            <w:rPr>
              <w:b/>
              <w:noProof/>
            </w:rPr>
            <w:t>Part 1.5</w:t>
          </w:r>
          <w:r>
            <w:rPr>
              <w:b/>
            </w:rPr>
            <w:fldChar w:fldCharType="end"/>
          </w:r>
        </w:p>
      </w:tc>
      <w:tc>
        <w:tcPr>
          <w:tcW w:w="9840"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BA29FF">
      <w:trPr>
        <w:cantSplit/>
      </w:trPr>
      <w:tc>
        <w:tcPr>
          <w:tcW w:w="11400"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BA29FF">
      <w:tc>
        <w:tcPr>
          <w:tcW w:w="9840" w:type="dxa"/>
        </w:tcPr>
        <w:p w:rsidR="00BA29FF" w:rsidRDefault="00E072F5">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BA29FF" w:rsidRDefault="00BA29FF">
          <w:pPr>
            <w:pStyle w:val="HeaderOdd"/>
            <w:rPr>
              <w:b/>
            </w:rPr>
          </w:pPr>
          <w:r>
            <w:rPr>
              <w:b/>
            </w:rPr>
            <w:fldChar w:fldCharType="begin"/>
          </w:r>
          <w:r>
            <w:rPr>
              <w:b/>
            </w:rPr>
            <w:instrText xml:space="preserve"> STYLEREF CharChapNo \*charformat  </w:instrText>
          </w:r>
          <w:r>
            <w:rPr>
              <w:b/>
            </w:rPr>
            <w:fldChar w:fldCharType="separate"/>
          </w:r>
          <w:r w:rsidR="00E072F5">
            <w:rPr>
              <w:b/>
              <w:noProof/>
            </w:rPr>
            <w:t>Schedule 1</w:t>
          </w:r>
          <w:r>
            <w:rPr>
              <w:b/>
            </w:rPr>
            <w:fldChar w:fldCharType="end"/>
          </w:r>
        </w:p>
      </w:tc>
    </w:tr>
    <w:tr w:rsidR="00BA29FF">
      <w:tc>
        <w:tcPr>
          <w:tcW w:w="9840" w:type="dxa"/>
        </w:tcPr>
        <w:p w:rsidR="00BA29FF" w:rsidRDefault="00E072F5">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BA29FF" w:rsidRDefault="00BA29FF">
          <w:pPr>
            <w:pStyle w:val="HeaderOdd"/>
          </w:pPr>
          <w:r>
            <w:rPr>
              <w:b/>
            </w:rPr>
            <w:fldChar w:fldCharType="begin"/>
          </w:r>
          <w:r>
            <w:rPr>
              <w:b/>
            </w:rPr>
            <w:instrText xml:space="preserve"> STYLEREF CharPartNo \*charformat </w:instrText>
          </w:r>
          <w:r>
            <w:rPr>
              <w:b/>
            </w:rPr>
            <w:fldChar w:fldCharType="separate"/>
          </w:r>
          <w:r w:rsidR="00E072F5">
            <w:rPr>
              <w:b/>
              <w:noProof/>
            </w:rPr>
            <w:t>Part 1.5</w:t>
          </w:r>
          <w:r>
            <w:rPr>
              <w:b/>
            </w:rPr>
            <w:fldChar w:fldCharType="end"/>
          </w:r>
        </w:p>
      </w:tc>
    </w:tr>
    <w:tr w:rsidR="00BA29FF">
      <w:trPr>
        <w:cantSplit/>
      </w:trPr>
      <w:tc>
        <w:tcPr>
          <w:tcW w:w="11400"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1A</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1A.2</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r>
            <w:t xml:space="preserve">Section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1A.11</w:t>
          </w:r>
          <w:r w:rsidR="00E072F5">
            <w:rPr>
              <w:noProof/>
            </w:rPr>
            <w:fldChar w:fldCharType="end"/>
          </w:r>
        </w:p>
      </w:tc>
    </w:tr>
  </w:tbl>
  <w:p w:rsidR="00BA29FF" w:rsidRDefault="00BA29FF">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1A</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permitted variations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1A.3</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r>
            <w:t xml:space="preserve">Section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1A.20</w:t>
          </w:r>
          <w:r w:rsidR="00E072F5">
            <w:rPr>
              <w:noProof/>
            </w:rPr>
            <w:fldChar w:fldCharType="end"/>
          </w:r>
        </w:p>
      </w:tc>
    </w:tr>
  </w:tbl>
  <w:p w:rsidR="00BA29FF" w:rsidRDefault="00BA29FF">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2</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A29FF" w:rsidRDefault="00BA29FF">
          <w:pPr>
            <w:pStyle w:val="HeaderEven"/>
          </w:pPr>
          <w:r>
            <w:fldChar w:fldCharType="begin"/>
          </w:r>
          <w:r>
            <w:instrText xml:space="preserve"> STYLEREF CharPartText \*charformat </w:instrText>
          </w:r>
          <w: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w:instrText>
          </w:r>
          <w:r>
            <w:rPr>
              <w:noProof/>
            </w:rPr>
            <w:instrText xml:space="preserve">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2</w:t>
          </w:r>
          <w:r>
            <w:rPr>
              <w:b/>
            </w:rPr>
            <w:fldChar w:fldCharType="end"/>
          </w:r>
        </w:p>
      </w:tc>
    </w:tr>
    <w:tr w:rsidR="00BA29FF">
      <w:trPr>
        <w:jc w:val="center"/>
      </w:trPr>
      <w:tc>
        <w:tcPr>
          <w:tcW w:w="5741" w:type="dxa"/>
        </w:tcPr>
        <w:p w:rsidR="00BA29FF" w:rsidRDefault="00BA29FF">
          <w:pPr>
            <w:pStyle w:val="HeaderEven"/>
            <w:jc w:val="right"/>
          </w:pPr>
          <w:r>
            <w:fldChar w:fldCharType="begin"/>
          </w:r>
          <w:r>
            <w:instrText xml:space="preserve"> STYLEREF CharPartText \*charformat </w:instrText>
          </w:r>
          <w: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Pr>
              <w:b/>
              <w:noProof/>
            </w:rPr>
            <w:t>Schedule 2</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sidR="00BA29FF">
            <w:rPr>
              <w:noProof/>
            </w:rPr>
            <w:t>Limited public notification of certain merit track development applications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A29FF" w:rsidRDefault="00BA29FF">
          <w:pPr>
            <w:pStyle w:val="HeaderEven"/>
          </w:pPr>
          <w:r>
            <w:fldChar w:fldCharType="begin"/>
          </w:r>
          <w:r>
            <w:instrText xml:space="preserve"> STYLEREF CharPartText \*charformat </w:instrText>
          </w:r>
          <w: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r>
            <w:t xml:space="preserve">Section </w:t>
          </w:r>
          <w:r w:rsidR="00E072F5">
            <w:rPr>
              <w:noProof/>
            </w:rPr>
            <w:fldChar w:fldCharType="begin"/>
          </w:r>
          <w:r w:rsidR="00E072F5">
            <w:rPr>
              <w:noProof/>
            </w:rPr>
            <w:instrText xml:space="preserve"> STYLEREF CharSectNo \*charformat </w:instrText>
          </w:r>
          <w:r w:rsidR="00E072F5">
            <w:rPr>
              <w:noProof/>
            </w:rPr>
            <w:fldChar w:fldCharType="separate"/>
          </w:r>
          <w:r>
            <w:rPr>
              <w:noProof/>
            </w:rPr>
            <w:t>1A.20</w:t>
          </w:r>
          <w:r w:rsidR="00E072F5">
            <w:rPr>
              <w:noProof/>
            </w:rPr>
            <w:fldChar w:fldCharType="end"/>
          </w:r>
        </w:p>
      </w:tc>
    </w:tr>
  </w:tbl>
  <w:p w:rsidR="00BA29FF" w:rsidRDefault="00BA29FF">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Definitions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3.1</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r>
            <w:t xml:space="preserve">Section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3.1</w:t>
          </w:r>
          <w:r w:rsidR="00E072F5">
            <w:rPr>
              <w:noProof/>
            </w:rPr>
            <w:fldChar w:fldCharType="end"/>
          </w:r>
        </w:p>
      </w:tc>
    </w:tr>
  </w:tbl>
  <w:p w:rsidR="00BA29FF" w:rsidRDefault="00BA29FF">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3.2</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AAT review</w:t>
          </w:r>
          <w:r>
            <w:rPr>
              <w:noProof/>
            </w:rP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3.2</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3.3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AAT review</w:t>
          </w:r>
          <w:r>
            <w:rPr>
              <w:noProof/>
            </w:rP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sidR="00BA29FF">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sidR="00BA29FF">
            <w:rPr>
              <w:noProof/>
            </w:rPr>
            <w:t>Merit track 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Pr>
              <w:b/>
              <w:noProof/>
            </w:rPr>
            <w:t>Part 3.2</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sidR="00BA29FF">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Pr>
              <w:b/>
              <w:noProof/>
            </w:rPr>
            <w:t>Part 3.3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sidR="00BA29FF">
            <w:rPr>
              <w:noProof/>
            </w:rPr>
            <w:t>Impact track 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BA29FF" w:rsidRDefault="00BA29FF">
          <w:pPr>
            <w:pStyle w:val="HeaderEven"/>
          </w:pPr>
          <w:r>
            <w:fldChar w:fldCharType="begin"/>
          </w:r>
          <w:r>
            <w:instrText xml:space="preserve"> STYLEREF CharDivText \*charformat </w:instrText>
          </w:r>
          <w:r>
            <w:fldChar w:fldCharType="end"/>
          </w:r>
        </w:p>
      </w:tc>
    </w:tr>
    <w:tr w:rsidR="00BA29FF">
      <w:trPr>
        <w:cantSplit/>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3.4</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CharDivText \*charformat </w:instrText>
          </w:r>
          <w:r>
            <w:rPr>
              <w:noProof/>
            </w:rPr>
            <w:fldChar w:fldCharType="separate"/>
          </w:r>
          <w:r>
            <w:rPr>
              <w:noProof/>
            </w:rPr>
            <w:t>City centre</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CharDivNo \*charformat </w:instrText>
          </w:r>
          <w:r>
            <w:rPr>
              <w:b/>
            </w:rPr>
            <w:fldChar w:fldCharType="separate"/>
          </w:r>
          <w:r w:rsidR="00E072F5">
            <w:rPr>
              <w:b/>
              <w:noProof/>
            </w:rPr>
            <w:t>Division 3.4.1</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3.4</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CharDivNo \*charformat </w:instrText>
          </w:r>
          <w:r>
            <w:rPr>
              <w:b/>
            </w:rPr>
            <w:fldChar w:fldCharType="separate"/>
          </w:r>
          <w:r w:rsidR="00E072F5">
            <w:rPr>
              <w:b/>
              <w:noProof/>
            </w:rPr>
            <w:t>Division 3.4.2</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BA29FF">
      <w:trPr>
        <w:cantSplit/>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sidR="00BA29FF">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sidR="00BA29FF">
            <w:rPr>
              <w:noProof/>
            </w:rPr>
            <w:t>City centre and town centres maps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CharDivText \*charformat </w:instrText>
          </w:r>
          <w:r>
            <w:rPr>
              <w:noProof/>
            </w:rPr>
            <w:fldChar w:fldCharType="separate"/>
          </w:r>
          <w:r w:rsidR="00BA29FF">
            <w:rPr>
              <w:noProof/>
            </w:rPr>
            <w:t>City centre</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3.4.1</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25"/>
      <w:gridCol w:w="5"/>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gridSpan w:val="2"/>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sidR="00BA29FF">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gridSpan w:val="2"/>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sidR="00BA29FF">
            <w:rPr>
              <w:noProof/>
            </w:rPr>
            <w:t>City centre and town centres maps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CharDivNo \*charformat </w:instrText>
          </w:r>
          <w:r>
            <w:rPr>
              <w:b/>
            </w:rPr>
            <w:fldChar w:fldCharType="separate"/>
          </w:r>
          <w:r>
            <w:rPr>
              <w:b/>
              <w:noProof/>
            </w:rPr>
            <w:t>Division 3.4.2</w:t>
          </w:r>
          <w:r>
            <w:rPr>
              <w:b/>
            </w:rPr>
            <w:fldChar w:fldCharType="end"/>
          </w:r>
        </w:p>
      </w:tc>
      <w:tc>
        <w:tcPr>
          <w:tcW w:w="5741" w:type="dxa"/>
          <w:gridSpan w:val="2"/>
        </w:tcPr>
        <w:p w:rsidR="00BA29FF" w:rsidRDefault="00E072F5">
          <w:pPr>
            <w:pStyle w:val="HeaderEven"/>
          </w:pPr>
          <w:r>
            <w:rPr>
              <w:noProof/>
            </w:rPr>
            <w:fldChar w:fldCharType="begin"/>
          </w:r>
          <w:r>
            <w:rPr>
              <w:noProof/>
            </w:rPr>
            <w:instrText xml:space="preserve"> STYLEREF CharDivText \*charformat </w:instrText>
          </w:r>
          <w:r>
            <w:rPr>
              <w:noProof/>
            </w:rPr>
            <w:fldChar w:fldCharType="separate"/>
          </w:r>
          <w:r w:rsidR="00BA29FF">
            <w:rPr>
              <w:noProof/>
            </w:rPr>
            <w:t>Belconnen town centre</w:t>
          </w:r>
          <w:r>
            <w:rPr>
              <w:noProof/>
            </w:rPr>
            <w:fldChar w:fldCharType="end"/>
          </w:r>
        </w:p>
      </w:tc>
    </w:tr>
    <w:tr w:rsidR="00BA29FF">
      <w:trPr>
        <w:gridAfter w:val="1"/>
        <w:cantSplit/>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3.4</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CharDivNo \*charformat </w:instrText>
          </w:r>
          <w:r>
            <w:rPr>
              <w:b/>
            </w:rPr>
            <w:fldChar w:fldCharType="separate"/>
          </w:r>
          <w:r w:rsidR="00E072F5">
            <w:rPr>
              <w:b/>
              <w:noProof/>
            </w:rPr>
            <w:t>Division 3.4.3</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3.4</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CharDivNo \*charformat </w:instrText>
          </w:r>
          <w:r>
            <w:rPr>
              <w:b/>
            </w:rPr>
            <w:fldChar w:fldCharType="separate"/>
          </w:r>
          <w:r w:rsidR="00E072F5">
            <w:rPr>
              <w:b/>
              <w:noProof/>
            </w:rPr>
            <w:t>Division 3.4.4</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BA29FF">
      <w:trPr>
        <w:cantSplit/>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sidR="00BA29FF">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sidR="00BA29FF">
            <w:rPr>
              <w:noProof/>
            </w:rPr>
            <w:t>City centre and town centres maps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CharDivText \*charformat </w:instrText>
          </w:r>
          <w:r>
            <w:rPr>
              <w:noProof/>
            </w:rPr>
            <w:fldChar w:fldCharType="separate"/>
          </w:r>
          <w:r w:rsidR="00BA29FF">
            <w:rPr>
              <w:noProof/>
            </w:rPr>
            <w:t>Gungahlin town centre</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CharDivNo \*charformat </w:instrText>
          </w:r>
          <w:r>
            <w:rPr>
              <w:b/>
            </w:rPr>
            <w:fldChar w:fldCharType="separate"/>
          </w:r>
          <w:r>
            <w:rPr>
              <w:b/>
              <w:noProof/>
            </w:rPr>
            <w:t>Division 3.4.3</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25"/>
      <w:gridCol w:w="5"/>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Pr>
              <w:b/>
              <w:noProof/>
            </w:rPr>
            <w:t>Schedule 3</w:t>
          </w:r>
          <w:r>
            <w:rPr>
              <w:b/>
            </w:rPr>
            <w:fldChar w:fldCharType="end"/>
          </w:r>
        </w:p>
      </w:tc>
      <w:tc>
        <w:tcPr>
          <w:tcW w:w="5741" w:type="dxa"/>
          <w:gridSpan w:val="2"/>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sidR="00BA29FF">
            <w:rPr>
              <w:noProof/>
            </w:rPr>
            <w:t>Matters exempt from third-party AAT review</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Pr>
              <w:b/>
              <w:noProof/>
            </w:rPr>
            <w:t>Part 3.4</w:t>
          </w:r>
          <w:r>
            <w:rPr>
              <w:b/>
            </w:rPr>
            <w:fldChar w:fldCharType="end"/>
          </w:r>
        </w:p>
      </w:tc>
      <w:tc>
        <w:tcPr>
          <w:tcW w:w="5741" w:type="dxa"/>
          <w:gridSpan w:val="2"/>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sidR="00BA29FF">
            <w:rPr>
              <w:noProof/>
            </w:rPr>
            <w:t>City centre and town centres maps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CharDivNo \*charformat </w:instrText>
          </w:r>
          <w:r>
            <w:rPr>
              <w:b/>
            </w:rPr>
            <w:fldChar w:fldCharType="separate"/>
          </w:r>
          <w:r>
            <w:rPr>
              <w:b/>
              <w:noProof/>
            </w:rPr>
            <w:t>Division 3.4.4</w:t>
          </w:r>
          <w:r>
            <w:rPr>
              <w:b/>
            </w:rPr>
            <w:fldChar w:fldCharType="end"/>
          </w:r>
        </w:p>
      </w:tc>
      <w:tc>
        <w:tcPr>
          <w:tcW w:w="5741" w:type="dxa"/>
          <w:gridSpan w:val="2"/>
        </w:tcPr>
        <w:p w:rsidR="00BA29FF" w:rsidRDefault="00E072F5">
          <w:pPr>
            <w:pStyle w:val="HeaderEven"/>
          </w:pPr>
          <w:r>
            <w:rPr>
              <w:noProof/>
            </w:rPr>
            <w:fldChar w:fldCharType="begin"/>
          </w:r>
          <w:r>
            <w:rPr>
              <w:noProof/>
            </w:rPr>
            <w:instrText xml:space="preserve"> STYLEREF CharDivText \*charformat </w:instrText>
          </w:r>
          <w:r>
            <w:rPr>
              <w:noProof/>
            </w:rPr>
            <w:fldChar w:fldCharType="separate"/>
          </w:r>
          <w:r w:rsidR="00BA29FF">
            <w:rPr>
              <w:noProof/>
            </w:rPr>
            <w:t>Tuggeranong town centre</w:t>
          </w:r>
          <w:r>
            <w:rPr>
              <w:noProof/>
            </w:rPr>
            <w:fldChar w:fldCharType="end"/>
          </w:r>
        </w:p>
      </w:tc>
    </w:tr>
    <w:tr w:rsidR="00BA29FF">
      <w:trPr>
        <w:gridAfter w:val="1"/>
        <w:cantSplit/>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3</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3.4</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CharDivNo \*charformat </w:instrText>
          </w:r>
          <w:r>
            <w:rPr>
              <w:b/>
            </w:rPr>
            <w:fldChar w:fldCharType="separate"/>
          </w:r>
          <w:r w:rsidR="00E072F5">
            <w:rPr>
              <w:b/>
              <w:noProof/>
            </w:rPr>
            <w:t>Division 3.4.5</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4</w:t>
          </w:r>
          <w:r>
            <w:rPr>
              <w:b/>
            </w:rPr>
            <w:fldChar w:fldCharType="end"/>
          </w:r>
        </w:p>
      </w:tc>
      <w:tc>
        <w:tcPr>
          <w:tcW w:w="5741" w:type="dxa"/>
        </w:tcPr>
        <w:p w:rsidR="00BA29FF" w:rsidRDefault="00E072F5">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Pr>
              <w:noProof/>
            </w:rPr>
            <w:t>Prescribed territory plan instruments</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separate"/>
          </w:r>
          <w:r w:rsidR="00E072F5">
            <w:rPr>
              <w:b/>
              <w:noProof/>
            </w:rPr>
            <w:t>Part 4.2</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p>
      </w:tc>
    </w:tr>
  </w:tbl>
  <w:p w:rsidR="00BA29FF" w:rsidRDefault="00BA29FF">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4</w:t>
          </w:r>
          <w:r>
            <w:rPr>
              <w:b/>
            </w:rPr>
            <w:fldChar w:fldCharType="end"/>
          </w:r>
        </w:p>
      </w:tc>
    </w:tr>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separate"/>
          </w:r>
          <w:r w:rsidR="00E072F5">
            <w:rPr>
              <w:b/>
              <w:noProof/>
            </w:rPr>
            <w:t>Part 4.3</w: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p>
      </w:tc>
    </w:tr>
  </w:tbl>
  <w:p w:rsidR="00BA29FF" w:rsidRDefault="00BA29FF">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A29FF">
      <w:trPr>
        <w:jc w:val="center"/>
      </w:trPr>
      <w:tc>
        <w:tcPr>
          <w:tcW w:w="1560" w:type="dxa"/>
        </w:tcPr>
        <w:p w:rsidR="00BA29FF" w:rsidRDefault="00BA29FF">
          <w:pPr>
            <w:pStyle w:val="HeaderEven"/>
            <w:rPr>
              <w:b/>
            </w:rPr>
          </w:pPr>
          <w:r>
            <w:rPr>
              <w:b/>
            </w:rPr>
            <w:fldChar w:fldCharType="begin"/>
          </w:r>
          <w:r>
            <w:rPr>
              <w:b/>
            </w:rPr>
            <w:instrText xml:space="preserve"> STYLEREF CharChapNo \*charformat </w:instrText>
          </w:r>
          <w:r>
            <w:rPr>
              <w:b/>
            </w:rPr>
            <w:fldChar w:fldCharType="separate"/>
          </w:r>
          <w:r w:rsidR="00E072F5">
            <w:rPr>
              <w:b/>
              <w:noProof/>
            </w:rPr>
            <w:t>Schedule 20</w:t>
          </w:r>
          <w:r>
            <w:rPr>
              <w:b/>
            </w:rPr>
            <w:fldChar w:fldCharType="end"/>
          </w:r>
        </w:p>
      </w:tc>
      <w:tc>
        <w:tcPr>
          <w:tcW w:w="5741" w:type="dxa"/>
        </w:tcPr>
        <w:p w:rsidR="00BA29FF" w:rsidRDefault="00E072F5">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BA29FF">
      <w:trPr>
        <w:jc w:val="center"/>
      </w:trPr>
      <w:tc>
        <w:tcPr>
          <w:tcW w:w="1560" w:type="dxa"/>
        </w:tcPr>
        <w:p w:rsidR="00BA29FF" w:rsidRDefault="00BA29F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A29FF" w:rsidRDefault="00BA29FF">
          <w:pPr>
            <w:pStyle w:val="HeaderEven"/>
          </w:pPr>
          <w:r>
            <w:fldChar w:fldCharType="begin"/>
          </w:r>
          <w:r>
            <w:instrText xml:space="preserve"> STYLEREF CharPartText \*charformat </w:instrText>
          </w:r>
          <w:r>
            <w:fldChar w:fldCharType="end"/>
          </w:r>
        </w:p>
      </w:tc>
    </w:tr>
    <w:tr w:rsidR="00BA29FF">
      <w:trPr>
        <w:jc w:val="center"/>
      </w:trPr>
      <w:tc>
        <w:tcPr>
          <w:tcW w:w="7296" w:type="dxa"/>
          <w:gridSpan w:val="2"/>
          <w:tcBorders>
            <w:bottom w:val="single" w:sz="4" w:space="0" w:color="auto"/>
          </w:tcBorders>
        </w:tcPr>
        <w:p w:rsidR="00BA29FF" w:rsidRDefault="00BA29FF">
          <w:pPr>
            <w:pStyle w:val="HeaderEven6"/>
          </w:pPr>
          <w:r>
            <w:t xml:space="preserve">Modification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20.8</w:t>
          </w:r>
          <w:r w:rsidR="00E072F5">
            <w:rPr>
              <w:noProof/>
            </w:rPr>
            <w:fldChar w:fldCharType="end"/>
          </w:r>
        </w:p>
      </w:tc>
    </w:tr>
  </w:tbl>
  <w:p w:rsidR="00BA29FF" w:rsidRDefault="00BA29FF">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A29FF">
      <w:trPr>
        <w:jc w:val="center"/>
      </w:trPr>
      <w:tc>
        <w:tcPr>
          <w:tcW w:w="5741" w:type="dxa"/>
        </w:tcPr>
        <w:p w:rsidR="00BA29FF" w:rsidRDefault="00E072F5">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BA29FF" w:rsidRDefault="00BA29FF">
          <w:pPr>
            <w:pStyle w:val="HeaderEven"/>
            <w:jc w:val="right"/>
            <w:rPr>
              <w:b/>
            </w:rPr>
          </w:pPr>
          <w:r>
            <w:rPr>
              <w:b/>
            </w:rPr>
            <w:fldChar w:fldCharType="begin"/>
          </w:r>
          <w:r>
            <w:rPr>
              <w:b/>
            </w:rPr>
            <w:instrText xml:space="preserve"> STYLEREF CharChapNo \*charformat </w:instrText>
          </w:r>
          <w:r>
            <w:rPr>
              <w:b/>
            </w:rPr>
            <w:fldChar w:fldCharType="separate"/>
          </w:r>
          <w:r w:rsidR="00E072F5">
            <w:rPr>
              <w:b/>
              <w:noProof/>
            </w:rPr>
            <w:t>Schedule 20</w:t>
          </w:r>
          <w:r>
            <w:rPr>
              <w:b/>
            </w:rPr>
            <w:fldChar w:fldCharType="end"/>
          </w:r>
        </w:p>
      </w:tc>
    </w:tr>
    <w:tr w:rsidR="00BA29FF">
      <w:trPr>
        <w:jc w:val="center"/>
      </w:trPr>
      <w:tc>
        <w:tcPr>
          <w:tcW w:w="5741" w:type="dxa"/>
        </w:tcPr>
        <w:p w:rsidR="00BA29FF" w:rsidRDefault="00BA29FF">
          <w:pPr>
            <w:pStyle w:val="HeaderEven"/>
            <w:jc w:val="right"/>
          </w:pPr>
          <w:r>
            <w:fldChar w:fldCharType="begin"/>
          </w:r>
          <w:r>
            <w:instrText xml:space="preserve"> STYLEREF CharPartText \*charformat </w:instrText>
          </w:r>
          <w:r>
            <w:fldChar w:fldCharType="end"/>
          </w:r>
        </w:p>
      </w:tc>
      <w:tc>
        <w:tcPr>
          <w:tcW w:w="1560" w:type="dxa"/>
        </w:tcPr>
        <w:p w:rsidR="00BA29FF" w:rsidRDefault="00BA29FF">
          <w:pPr>
            <w:pStyle w:val="HeaderEven"/>
            <w:jc w:val="right"/>
            <w:rPr>
              <w:b/>
            </w:rPr>
          </w:pPr>
          <w:r>
            <w:rPr>
              <w:b/>
            </w:rPr>
            <w:fldChar w:fldCharType="begin"/>
          </w:r>
          <w:r>
            <w:rPr>
              <w:b/>
            </w:rPr>
            <w:instrText xml:space="preserve"> STYLEREF CharPartNo \*charformat </w:instrText>
          </w:r>
          <w:r>
            <w:rPr>
              <w:b/>
            </w:rPr>
            <w:fldChar w:fldCharType="end"/>
          </w:r>
        </w:p>
      </w:tc>
    </w:tr>
    <w:tr w:rsidR="00BA29FF">
      <w:trPr>
        <w:jc w:val="center"/>
      </w:trPr>
      <w:tc>
        <w:tcPr>
          <w:tcW w:w="7296" w:type="dxa"/>
          <w:gridSpan w:val="2"/>
          <w:tcBorders>
            <w:bottom w:val="single" w:sz="4" w:space="0" w:color="auto"/>
          </w:tcBorders>
        </w:tcPr>
        <w:p w:rsidR="00BA29FF" w:rsidRDefault="00BA29FF">
          <w:pPr>
            <w:pStyle w:val="HeaderOdd6"/>
          </w:pPr>
          <w:r>
            <w:t xml:space="preserve">Modification </w:t>
          </w:r>
          <w:r w:rsidR="00E072F5">
            <w:rPr>
              <w:noProof/>
            </w:rPr>
            <w:fldChar w:fldCharType="begin"/>
          </w:r>
          <w:r w:rsidR="00E072F5">
            <w:rPr>
              <w:noProof/>
            </w:rPr>
            <w:instrText xml:space="preserve"> STYLEREF CharSectNo \*charformat </w:instrText>
          </w:r>
          <w:r w:rsidR="00E072F5">
            <w:rPr>
              <w:noProof/>
            </w:rPr>
            <w:fldChar w:fldCharType="separate"/>
          </w:r>
          <w:r w:rsidR="00E072F5">
            <w:rPr>
              <w:noProof/>
            </w:rPr>
            <w:t>20.6</w:t>
          </w:r>
          <w:r w:rsidR="00E072F5">
            <w:rPr>
              <w:noProof/>
            </w:rPr>
            <w:fldChar w:fldCharType="end"/>
          </w:r>
        </w:p>
      </w:tc>
    </w:tr>
  </w:tbl>
  <w:p w:rsidR="00BA29FF" w:rsidRDefault="00BA29FF">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A29FF">
      <w:trPr>
        <w:jc w:val="center"/>
      </w:trPr>
      <w:tc>
        <w:tcPr>
          <w:tcW w:w="1340" w:type="dxa"/>
        </w:tcPr>
        <w:p w:rsidR="00BA29FF" w:rsidRDefault="00BA29FF">
          <w:pPr>
            <w:pStyle w:val="HeaderEven"/>
          </w:pPr>
        </w:p>
      </w:tc>
      <w:tc>
        <w:tcPr>
          <w:tcW w:w="6583" w:type="dxa"/>
        </w:tcPr>
        <w:p w:rsidR="00BA29FF" w:rsidRDefault="00BA29FF">
          <w:pPr>
            <w:pStyle w:val="HeaderEven"/>
          </w:pPr>
        </w:p>
      </w:tc>
    </w:tr>
    <w:tr w:rsidR="00BA29FF">
      <w:trPr>
        <w:jc w:val="center"/>
      </w:trPr>
      <w:tc>
        <w:tcPr>
          <w:tcW w:w="7923" w:type="dxa"/>
          <w:gridSpan w:val="2"/>
          <w:tcBorders>
            <w:bottom w:val="single" w:sz="4" w:space="0" w:color="auto"/>
          </w:tcBorders>
        </w:tcPr>
        <w:p w:rsidR="00BA29FF" w:rsidRDefault="00BA29FF">
          <w:pPr>
            <w:pStyle w:val="HeaderEven6"/>
          </w:pPr>
          <w:r>
            <w:t>Dictionary</w:t>
          </w:r>
        </w:p>
      </w:tc>
    </w:tr>
  </w:tbl>
  <w:p w:rsidR="00BA29FF" w:rsidRDefault="00BA29FF">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A29FF">
      <w:trPr>
        <w:jc w:val="center"/>
      </w:trPr>
      <w:tc>
        <w:tcPr>
          <w:tcW w:w="6583" w:type="dxa"/>
        </w:tcPr>
        <w:p w:rsidR="00BA29FF" w:rsidRDefault="00BA29FF">
          <w:pPr>
            <w:pStyle w:val="HeaderOdd"/>
          </w:pPr>
        </w:p>
      </w:tc>
      <w:tc>
        <w:tcPr>
          <w:tcW w:w="1340" w:type="dxa"/>
        </w:tcPr>
        <w:p w:rsidR="00BA29FF" w:rsidRDefault="00BA29FF">
          <w:pPr>
            <w:pStyle w:val="HeaderOdd"/>
          </w:pPr>
        </w:p>
      </w:tc>
    </w:tr>
    <w:tr w:rsidR="00BA29FF">
      <w:trPr>
        <w:jc w:val="center"/>
      </w:trPr>
      <w:tc>
        <w:tcPr>
          <w:tcW w:w="7923" w:type="dxa"/>
          <w:gridSpan w:val="2"/>
          <w:tcBorders>
            <w:bottom w:val="single" w:sz="4" w:space="0" w:color="auto"/>
          </w:tcBorders>
        </w:tcPr>
        <w:p w:rsidR="00BA29FF" w:rsidRDefault="00BA29FF">
          <w:pPr>
            <w:pStyle w:val="HeaderOdd6"/>
          </w:pPr>
          <w:r>
            <w:t>Dictionary</w:t>
          </w:r>
        </w:p>
      </w:tc>
    </w:tr>
  </w:tbl>
  <w:p w:rsidR="00BA29FF" w:rsidRDefault="00BA29FF">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A29FF">
      <w:trPr>
        <w:jc w:val="center"/>
      </w:trPr>
      <w:tc>
        <w:tcPr>
          <w:tcW w:w="1234" w:type="dxa"/>
          <w:gridSpan w:val="2"/>
        </w:tcPr>
        <w:p w:rsidR="00BA29FF" w:rsidRDefault="00BA29FF">
          <w:pPr>
            <w:pStyle w:val="HeaderEven"/>
            <w:rPr>
              <w:b/>
            </w:rPr>
          </w:pPr>
          <w:r>
            <w:rPr>
              <w:b/>
            </w:rPr>
            <w:t>Endnotes</w:t>
          </w:r>
        </w:p>
      </w:tc>
      <w:tc>
        <w:tcPr>
          <w:tcW w:w="6062" w:type="dxa"/>
        </w:tcPr>
        <w:p w:rsidR="00BA29FF" w:rsidRDefault="00BA29FF">
          <w:pPr>
            <w:pStyle w:val="HeaderEven"/>
          </w:pPr>
        </w:p>
      </w:tc>
    </w:tr>
    <w:tr w:rsidR="00BA29FF">
      <w:trPr>
        <w:cantSplit/>
        <w:jc w:val="center"/>
      </w:trPr>
      <w:tc>
        <w:tcPr>
          <w:tcW w:w="7296" w:type="dxa"/>
          <w:gridSpan w:val="3"/>
        </w:tcPr>
        <w:p w:rsidR="00BA29FF" w:rsidRDefault="00BA29FF">
          <w:pPr>
            <w:pStyle w:val="HeaderEven"/>
          </w:pPr>
        </w:p>
      </w:tc>
    </w:tr>
    <w:tr w:rsidR="00BA29FF">
      <w:trPr>
        <w:cantSplit/>
        <w:jc w:val="center"/>
      </w:trPr>
      <w:tc>
        <w:tcPr>
          <w:tcW w:w="700" w:type="dxa"/>
          <w:tcBorders>
            <w:bottom w:val="single" w:sz="4" w:space="0" w:color="auto"/>
          </w:tcBorders>
        </w:tcPr>
        <w:p w:rsidR="00BA29FF" w:rsidRDefault="00E072F5">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BA29FF" w:rsidRDefault="00E072F5">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BA29FF" w:rsidRDefault="00BA29FF">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A29FF">
      <w:trPr>
        <w:jc w:val="center"/>
      </w:trPr>
      <w:tc>
        <w:tcPr>
          <w:tcW w:w="5741" w:type="dxa"/>
        </w:tcPr>
        <w:p w:rsidR="00BA29FF" w:rsidRDefault="00BA29FF">
          <w:pPr>
            <w:pStyle w:val="HeaderEven"/>
            <w:jc w:val="right"/>
          </w:pPr>
        </w:p>
      </w:tc>
      <w:tc>
        <w:tcPr>
          <w:tcW w:w="1560" w:type="dxa"/>
          <w:gridSpan w:val="2"/>
        </w:tcPr>
        <w:p w:rsidR="00BA29FF" w:rsidRDefault="00BA29FF">
          <w:pPr>
            <w:pStyle w:val="HeaderEven"/>
            <w:jc w:val="right"/>
            <w:rPr>
              <w:b/>
            </w:rPr>
          </w:pPr>
          <w:r>
            <w:rPr>
              <w:b/>
            </w:rPr>
            <w:t>Endnotes</w:t>
          </w:r>
        </w:p>
      </w:tc>
    </w:tr>
    <w:tr w:rsidR="00BA29FF">
      <w:trPr>
        <w:jc w:val="center"/>
      </w:trPr>
      <w:tc>
        <w:tcPr>
          <w:tcW w:w="7301" w:type="dxa"/>
          <w:gridSpan w:val="3"/>
        </w:tcPr>
        <w:p w:rsidR="00BA29FF" w:rsidRDefault="00BA29FF">
          <w:pPr>
            <w:pStyle w:val="HeaderEven"/>
            <w:jc w:val="right"/>
            <w:rPr>
              <w:b/>
            </w:rPr>
          </w:pPr>
        </w:p>
      </w:tc>
    </w:tr>
    <w:tr w:rsidR="00BA29FF">
      <w:trPr>
        <w:jc w:val="center"/>
      </w:trPr>
      <w:tc>
        <w:tcPr>
          <w:tcW w:w="6600" w:type="dxa"/>
          <w:gridSpan w:val="2"/>
          <w:tcBorders>
            <w:bottom w:val="single" w:sz="4" w:space="0" w:color="auto"/>
          </w:tcBorders>
        </w:tcPr>
        <w:p w:rsidR="00BA29FF" w:rsidRDefault="00E072F5">
          <w:pPr>
            <w:pStyle w:val="HeaderOdd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c>
        <w:tcPr>
          <w:tcW w:w="700" w:type="dxa"/>
          <w:tcBorders>
            <w:bottom w:val="single" w:sz="4" w:space="0" w:color="auto"/>
          </w:tcBorders>
        </w:tcPr>
        <w:p w:rsidR="00BA29FF" w:rsidRDefault="00E072F5">
          <w:pPr>
            <w:pStyle w:val="HeaderOdd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r>
  </w:tbl>
  <w:p w:rsidR="00BA29FF" w:rsidRDefault="00BA29FF">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29FF" w:rsidRDefault="00BA29F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6"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num>
  <w:num w:numId="2">
    <w:abstractNumId w:val="5"/>
  </w:num>
  <w:num w:numId="3">
    <w:abstractNumId w:val="2"/>
  </w:num>
  <w:num w:numId="4">
    <w:abstractNumId w:val="1"/>
  </w:num>
  <w:num w:numId="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3CD7"/>
    <w:rsid w:val="00BA29FF"/>
    <w:rsid w:val="00CA0237"/>
    <w:rsid w:val="00DE64BD"/>
    <w:rsid w:val="00E072F5"/>
    <w:rsid w:val="00E73CD7"/>
    <w:rsid w:val="00EB0346"/>
    <w:rsid w:val="00ED17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5D7E2B7B-A60A-46ED-A108-9B1C75B31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spacing w:before="80" w:after="60"/>
      <w:jc w:val="both"/>
    </w:pPr>
    <w:rPr>
      <w:sz w:val="24"/>
      <w:lang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Billname">
    <w:name w:val="Billname"/>
    <w:basedOn w:val="Normal"/>
    <w:pPr>
      <w:spacing w:before="1220" w:after="100"/>
    </w:pPr>
    <w:rPr>
      <w:rFonts w:ascii="Arial" w:hAnsi="Arial"/>
      <w:b/>
      <w:sz w:val="40"/>
    </w:rPr>
  </w:style>
  <w:style w:type="paragraph" w:customStyle="1" w:styleId="BillBasicHeading">
    <w:name w:val="BillBasicHeading"/>
    <w:basedOn w:val="BillBasic"/>
    <w:pPr>
      <w:keepNext/>
      <w:tabs>
        <w:tab w:val="left" w:pos="2600"/>
      </w:tabs>
      <w:jc w:val="left"/>
    </w:pPr>
    <w:rPr>
      <w:rFonts w:ascii="Arial" w:hAnsi="Arial"/>
      <w:b/>
    </w:rPr>
  </w:style>
  <w:style w:type="paragraph" w:customStyle="1" w:styleId="EnactingWordsRules">
    <w:name w:val="EnactingWordsRules"/>
    <w:basedOn w:val="EnactingWords"/>
    <w:pPr>
      <w:spacing w:before="240"/>
    </w:pPr>
  </w:style>
  <w:style w:type="paragraph" w:customStyle="1" w:styleId="EnactingWords">
    <w:name w:val="EnactingWords"/>
    <w:basedOn w:val="BillBasi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pPr>
      <w:tabs>
        <w:tab w:val="right" w:pos="900"/>
        <w:tab w:val="left" w:pos="1100"/>
      </w:tabs>
      <w:ind w:left="1100" w:hanging="1100"/>
      <w:outlineLvl w:val="5"/>
    </w:pPr>
  </w:style>
  <w:style w:type="paragraph" w:customStyle="1" w:styleId="Amainreturn">
    <w:name w:val="A main return"/>
    <w:basedOn w:val="BillBasic"/>
    <w:pPr>
      <w:ind w:left="1100"/>
    </w:pPr>
  </w:style>
  <w:style w:type="paragraph" w:customStyle="1" w:styleId="Apara">
    <w:name w:val="A para"/>
    <w:basedOn w:val="BillBasic"/>
    <w:pPr>
      <w:tabs>
        <w:tab w:val="right" w:pos="1400"/>
        <w:tab w:val="left" w:pos="1600"/>
      </w:tabs>
      <w:ind w:left="1600" w:hanging="1600"/>
      <w:outlineLvl w:val="6"/>
    </w:pPr>
  </w:style>
  <w:style w:type="paragraph" w:customStyle="1" w:styleId="Asubpara">
    <w:name w:val="A subpara"/>
    <w:basedOn w:val="BillBasic"/>
    <w:pPr>
      <w:tabs>
        <w:tab w:val="right" w:pos="1900"/>
        <w:tab w:val="left" w:pos="2100"/>
      </w:tabs>
      <w:ind w:left="2100" w:hanging="2100"/>
      <w:outlineLvl w:val="7"/>
    </w:pPr>
  </w:style>
  <w:style w:type="paragraph" w:customStyle="1" w:styleId="Asubsubpara">
    <w:name w:val="A subsubpara"/>
    <w:basedOn w:val="BillBasic"/>
    <w:pPr>
      <w:tabs>
        <w:tab w:val="right" w:pos="2400"/>
        <w:tab w:val="left" w:pos="2600"/>
      </w:tabs>
      <w:ind w:left="2600" w:hanging="2600"/>
      <w:outlineLvl w:val="8"/>
    </w:pPr>
  </w:style>
  <w:style w:type="paragraph" w:customStyle="1" w:styleId="aDef">
    <w:name w:val="aDef"/>
    <w:basedOn w:val="BillBasic"/>
    <w:pPr>
      <w:ind w:left="1100"/>
    </w:pPr>
  </w:style>
  <w:style w:type="paragraph" w:customStyle="1" w:styleId="aExamHead">
    <w:name w:val="aExam Head"/>
    <w:basedOn w:val="BillBasicHeading"/>
    <w:next w:val="aExam"/>
    <w:pPr>
      <w:tabs>
        <w:tab w:val="clear" w:pos="2600"/>
      </w:tabs>
      <w:ind w:left="1100"/>
    </w:pPr>
    <w:rPr>
      <w:sz w:val="18"/>
    </w:rPr>
  </w:style>
  <w:style w:type="paragraph" w:customStyle="1" w:styleId="aExam">
    <w:name w:val="aExam"/>
    <w:basedOn w:val="aNote"/>
    <w:pPr>
      <w:spacing w:before="0"/>
      <w:ind w:left="1100" w:firstLine="0"/>
    </w:pPr>
  </w:style>
  <w:style w:type="paragraph" w:customStyle="1" w:styleId="aNote">
    <w:name w:val="aNote"/>
    <w:basedOn w:val="BillBasic"/>
    <w:pPr>
      <w:ind w:left="1900" w:hanging="800"/>
    </w:pPr>
    <w:rPr>
      <w:sz w:val="20"/>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TOCheading">
    <w:name w:val="N-TOCheading"/>
    <w:basedOn w:val="BillBasicHeading"/>
    <w:next w:val="N-9pt"/>
    <w:pPr>
      <w:pBdr>
        <w:bottom w:val="single" w:sz="4" w:space="1" w:color="auto"/>
      </w:pBdr>
      <w:spacing w:before="800" w:after="20"/>
    </w:pPr>
    <w:rPr>
      <w:sz w:val="32"/>
    </w:rPr>
  </w:style>
  <w:style w:type="paragraph" w:customStyle="1" w:styleId="N-9pt">
    <w:name w:val="N-9pt"/>
    <w:basedOn w:val="BillBasic"/>
    <w:next w:val="BillBasic"/>
    <w:pPr>
      <w:keepNext/>
      <w:tabs>
        <w:tab w:val="right" w:pos="7707"/>
      </w:tabs>
      <w:spacing w:before="120" w:after="20"/>
    </w:pPr>
    <w:rPr>
      <w:rFonts w:ascii="Arial" w:hAnsi="Arial"/>
      <w:sz w:val="18"/>
    </w:rPr>
  </w:style>
  <w:style w:type="paragraph" w:customStyle="1" w:styleId="N-14pt">
    <w:name w:val="N-14pt"/>
    <w:basedOn w:val="BillBasic"/>
    <w:pPr>
      <w:spacing w:before="0"/>
    </w:pPr>
    <w:rPr>
      <w:b/>
      <w:sz w:val="28"/>
    </w:rPr>
  </w:style>
  <w:style w:type="paragraph" w:customStyle="1" w:styleId="N-16pt">
    <w:name w:val="N-16pt"/>
    <w:basedOn w:val="BillBasic"/>
    <w:pPr>
      <w:spacing w:before="800"/>
    </w:pPr>
    <w:rPr>
      <w:b/>
      <w:sz w:val="32"/>
    </w:rPr>
  </w:style>
  <w:style w:type="paragraph" w:customStyle="1" w:styleId="N-line3">
    <w:name w:val="N-line3"/>
    <w:basedOn w:val="BillBasic"/>
    <w:next w:val="BillBasic"/>
    <w:pPr>
      <w:pBdr>
        <w:bottom w:val="single" w:sz="12" w:space="1" w:color="auto"/>
      </w:pBdr>
      <w:spacing w:before="0" w:after="0"/>
    </w:pPr>
  </w:style>
  <w:style w:type="paragraph" w:customStyle="1" w:styleId="Comment">
    <w:name w:val="Comment"/>
    <w:basedOn w:val="BillBasic"/>
    <w:pPr>
      <w:tabs>
        <w:tab w:val="left" w:pos="1800"/>
      </w:tabs>
      <w:ind w:left="1300"/>
      <w:jc w:val="left"/>
    </w:pPr>
    <w:rPr>
      <w:b/>
      <w:sz w:val="18"/>
    </w:r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direction">
    <w:name w:val="direction"/>
    <w:basedOn w:val="BillBasic"/>
    <w:next w:val="Amainreturn"/>
    <w:pPr>
      <w:ind w:left="1100"/>
    </w:pPr>
    <w:rPr>
      <w:i/>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ref">
    <w:name w:val="ref"/>
    <w:basedOn w:val="BillBasic"/>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Schclauseheading">
    <w:name w:val="Sch clause heading"/>
    <w:basedOn w:val="BillBasic"/>
    <w:next w:val="SchAmain"/>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style>
  <w:style w:type="paragraph" w:customStyle="1" w:styleId="ShadedSchClause">
    <w:name w:val="Shaded Sch Clause"/>
    <w:basedOn w:val="Schclauseheading"/>
    <w:next w:val="direction"/>
    <w:pPr>
      <w:shd w:val="pct25" w:color="auto" w:fill="auto"/>
      <w:outlineLvl w:val="3"/>
    </w:pPr>
  </w:style>
  <w:style w:type="paragraph" w:customStyle="1" w:styleId="Dict-Heading">
    <w:name w:val="Dict-Heading"/>
    <w:basedOn w:val="BillBasicHeading"/>
    <w:next w:val="Normal"/>
    <w:pPr>
      <w:spacing w:before="320"/>
      <w:ind w:left="2600" w:hanging="2600"/>
      <w:jc w:val="both"/>
      <w:outlineLvl w:val="0"/>
    </w:pPr>
    <w:rPr>
      <w:sz w:val="34"/>
    </w:rPr>
  </w:style>
  <w:style w:type="paragraph" w:styleId="TOC7">
    <w:name w:val="toc 7"/>
    <w:basedOn w:val="TOC2"/>
    <w:next w:val="Normal"/>
    <w:autoRedefine/>
    <w:semiHidden/>
    <w:pPr>
      <w:keepNext w:val="0"/>
      <w:spacing w:before="120"/>
    </w:pPr>
    <w:rPr>
      <w:sz w:val="20"/>
    </w:rPr>
  </w:style>
  <w:style w:type="paragraph" w:styleId="TOC2">
    <w:name w:val="toc 2"/>
    <w:basedOn w:val="Normal"/>
    <w:next w:val="Normal"/>
    <w:autoRedefine/>
    <w:semiHidden/>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IH4SubDiv">
    <w:name w:val="I H4 SubDiv"/>
    <w:basedOn w:val="BillBasicHeading"/>
    <w:next w:val="Normal"/>
    <w:pPr>
      <w:spacing w:before="180"/>
      <w:ind w:left="2600" w:hanging="2600"/>
      <w:jc w:val="both"/>
    </w:pPr>
    <w:rPr>
      <w:sz w:val="26"/>
    </w:rPr>
  </w:style>
  <w:style w:type="character" w:styleId="LineNumber">
    <w:name w:val="line number"/>
    <w:basedOn w:val="DefaultParagraphFont"/>
    <w:semiHidden/>
    <w:rPr>
      <w:rFonts w:ascii="Arial" w:hAnsi="Arial"/>
      <w:sz w:val="16"/>
    </w:r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semiHidden/>
    <w:pPr>
      <w:ind w:left="4252"/>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
    <w:pPr>
      <w:ind w:left="2840" w:hanging="1240"/>
    </w:pPr>
    <w:rPr>
      <w:sz w:val="20"/>
    </w:rPr>
  </w:style>
  <w:style w:type="paragraph" w:customStyle="1" w:styleId="aExamNum">
    <w:name w:val="aExamNum"/>
    <w:basedOn w:val="aExam"/>
    <w:pPr>
      <w:ind w:left="1500" w:hanging="400"/>
    </w:pPr>
  </w:style>
  <w:style w:type="paragraph" w:customStyle="1" w:styleId="LongTitle">
    <w:name w:val="LongTitle"/>
    <w:basedOn w:val="BillBasic"/>
    <w:pPr>
      <w:spacing w:before="24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pPr>
      <w:tabs>
        <w:tab w:val="left" w:pos="700"/>
        <w:tab w:val="right" w:pos="6160"/>
      </w:tabs>
      <w:ind w:left="700" w:hanging="700"/>
    </w:pPr>
    <w:rPr>
      <w:sz w:val="20"/>
    </w:rPr>
  </w:style>
  <w:style w:type="paragraph" w:customStyle="1" w:styleId="BillBasicItalics">
    <w:name w:val="BillBasicItalics"/>
    <w:basedOn w:val="BillBasic"/>
    <w:rPr>
      <w:i/>
    </w:rPr>
  </w:style>
  <w:style w:type="paragraph" w:customStyle="1" w:styleId="00SigningPage">
    <w:name w:val="00SigningPage"/>
    <w:basedOn w:val="Normal"/>
  </w:style>
  <w:style w:type="paragraph" w:customStyle="1" w:styleId="Aparareturn">
    <w:name w:val="A para return"/>
    <w:basedOn w:val="BillBasic"/>
    <w:pPr>
      <w:ind w:left="1600"/>
    </w:pPr>
  </w:style>
  <w:style w:type="paragraph" w:customStyle="1" w:styleId="Asubparareturn">
    <w:name w:val="A subpara return"/>
    <w:basedOn w:val="BillBasic"/>
    <w:pPr>
      <w:ind w:left="2100"/>
    </w:pPr>
  </w:style>
  <w:style w:type="paragraph" w:customStyle="1" w:styleId="CommentNum">
    <w:name w:val="CommentNum"/>
    <w:basedOn w:val="Comment"/>
    <w:pPr>
      <w:ind w:left="1800" w:hanging="1800"/>
    </w:pPr>
  </w:style>
  <w:style w:type="paragraph" w:styleId="TOC8">
    <w:name w:val="toc 8"/>
    <w:basedOn w:val="TOC3"/>
    <w:next w:val="Normal"/>
    <w:autoRedefine/>
    <w:semiHidden/>
    <w:pPr>
      <w:keepNext w:val="0"/>
    </w:pPr>
  </w:style>
  <w:style w:type="paragraph" w:customStyle="1" w:styleId="Judges">
    <w:name w:val="Judges"/>
    <w:basedOn w:val="Minister"/>
    <w:pPr>
      <w:spacing w:before="180" w:after="40"/>
    </w:pPr>
  </w:style>
  <w:style w:type="paragraph" w:customStyle="1" w:styleId="BillFor">
    <w:name w:val="BillFor"/>
    <w:basedOn w:val="BillBasicHeading"/>
    <w:pPr>
      <w:keepNext w:val="0"/>
      <w:spacing w:before="320"/>
      <w:jc w:val="both"/>
    </w:pPr>
    <w:rPr>
      <w:sz w:val="28"/>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500" w:hanging="400"/>
    </w:pPr>
  </w:style>
  <w:style w:type="paragraph" w:customStyle="1" w:styleId="Aparabullet">
    <w:name w:val="A para bullet"/>
    <w:basedOn w:val="BillBasic"/>
    <w:pPr>
      <w:spacing w:before="0" w:after="40"/>
      <w:ind w:left="2000" w:hanging="400"/>
    </w:pPr>
  </w:style>
  <w:style w:type="paragraph" w:customStyle="1" w:styleId="Asubparabullet">
    <w:name w:val="A subpara bullet"/>
    <w:basedOn w:val="BillBasic"/>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style>
  <w:style w:type="paragraph" w:customStyle="1" w:styleId="Idefsubpara">
    <w:name w:val="I def subpara"/>
    <w:basedOn w:val="Isubpara"/>
  </w:style>
  <w:style w:type="paragraph" w:customStyle="1" w:styleId="Notified">
    <w:name w:val="Notified"/>
    <w:basedOn w:val="BillBasic"/>
    <w:pPr>
      <w:spacing w:before="360"/>
      <w:jc w:val="right"/>
    </w:pPr>
    <w:rPr>
      <w:i/>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jc w:val="both"/>
    </w:pPr>
    <w:rPr>
      <w:sz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pPr>
      <w:tabs>
        <w:tab w:val="left" w:pos="2700"/>
      </w:tabs>
      <w:spacing w:before="0" w:after="40"/>
      <w:ind w:left="3100" w:hanging="700"/>
    </w:pPr>
  </w:style>
  <w:style w:type="paragraph" w:customStyle="1" w:styleId="aNotepar">
    <w:name w:val="aNotepar"/>
    <w:basedOn w:val="BillBasic"/>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MinisterWord">
    <w:name w:val="MinisterWord"/>
    <w:basedOn w:val="Normal"/>
    <w:pPr>
      <w:jc w:val="right"/>
    </w:pPr>
  </w:style>
  <w:style w:type="paragraph" w:customStyle="1" w:styleId="aExamPara">
    <w:name w:val="aExamPara"/>
    <w:basedOn w:val="aExam"/>
    <w:pPr>
      <w:tabs>
        <w:tab w:val="right" w:pos="1720"/>
        <w:tab w:val="left" w:pos="2000"/>
        <w:tab w:val="left" w:pos="2300"/>
      </w:tabs>
      <w:ind w:left="2400" w:hanging="1300"/>
    </w:pPr>
  </w:style>
  <w:style w:type="paragraph" w:customStyle="1" w:styleId="aExamNumText">
    <w:name w:val="aExamNumText"/>
    <w:basedOn w:val="aExam"/>
    <w:pPr>
      <w:ind w:left="1500"/>
    </w:pPr>
  </w:style>
  <w:style w:type="paragraph" w:customStyle="1" w:styleId="aExamBullet">
    <w:name w:val="aExamBullet"/>
    <w:basedOn w:val="aExam"/>
    <w:pPr>
      <w:tabs>
        <w:tab w:val="left" w:pos="1500"/>
        <w:tab w:val="left" w:pos="2300"/>
      </w:tabs>
      <w:spacing w:before="40"/>
      <w:ind w:left="1900" w:hanging="800"/>
    </w:pPr>
  </w:style>
  <w:style w:type="paragraph" w:customStyle="1" w:styleId="aNotePara">
    <w:name w:val="aNotePara"/>
    <w:basedOn w:val="aNote"/>
    <w:pPr>
      <w:tabs>
        <w:tab w:val="right" w:pos="2140"/>
        <w:tab w:val="left" w:pos="2400"/>
      </w:tabs>
      <w:spacing w:before="0" w:after="40"/>
      <w:ind w:left="2400" w:hanging="1300"/>
    </w:pPr>
  </w:style>
  <w:style w:type="paragraph" w:customStyle="1" w:styleId="aExplanHeading">
    <w:name w:val="aExplanHeading"/>
    <w:basedOn w:val="BillBasicHeading"/>
    <w:next w:val="Normal"/>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pPr>
      <w:tabs>
        <w:tab w:val="clear" w:pos="2140"/>
        <w:tab w:val="clear" w:pos="2400"/>
        <w:tab w:val="right" w:pos="2644"/>
      </w:tabs>
      <w:ind w:left="3320" w:hanging="1720"/>
    </w:pPr>
  </w:style>
  <w:style w:type="character" w:customStyle="1" w:styleId="charBold">
    <w:name w:val="charBold"/>
    <w:basedOn w:val="DefaultParagraphFont"/>
    <w:rPr>
      <w:b/>
    </w:rPr>
  </w:style>
  <w:style w:type="character" w:customStyle="1" w:styleId="charBoldItals">
    <w:name w:val="charBoldItals"/>
    <w:basedOn w:val="DefaultParagraphFont"/>
    <w:rPr>
      <w:b/>
      <w:i/>
    </w:rPr>
  </w:style>
  <w:style w:type="character" w:customStyle="1" w:styleId="charItals">
    <w:name w:val="charItals"/>
    <w:basedOn w:val="DefaultParagraphFont"/>
    <w:rPr>
      <w:i/>
    </w:rPr>
  </w:style>
  <w:style w:type="character" w:customStyle="1" w:styleId="charUnderline">
    <w:name w:val="charUnderline"/>
    <w:basedOn w:val="DefaultParagraphFont"/>
    <w:rPr>
      <w:u w:val="single"/>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TableColHd">
    <w:name w:val="TableColHd"/>
    <w:basedOn w:val="Normal"/>
    <w:pPr>
      <w:keepNext/>
      <w:spacing w:after="60"/>
    </w:pPr>
    <w:rPr>
      <w:rFonts w:ascii="Arial" w:hAnsi="Arial"/>
      <w:b/>
      <w:sz w:val="18"/>
    </w:rPr>
  </w:style>
  <w:style w:type="paragraph" w:customStyle="1" w:styleId="PenaltyPara">
    <w:name w:val="PenaltyPara"/>
    <w:basedOn w:val="Normal"/>
    <w:pPr>
      <w:tabs>
        <w:tab w:val="right" w:pos="1360"/>
      </w:tabs>
      <w:spacing w:after="40"/>
      <w:ind w:left="1600" w:hanging="1600"/>
      <w:jc w:val="both"/>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TableText">
    <w:name w:val="TableText"/>
    <w:basedOn w:val="Normal"/>
    <w:pPr>
      <w:spacing w:before="60" w:after="60"/>
    </w:pPr>
  </w:style>
  <w:style w:type="paragraph" w:customStyle="1" w:styleId="IshadedH5Sec">
    <w:name w:val="I shaded H5 Sec"/>
    <w:basedOn w:val="AH5Sec"/>
    <w:pPr>
      <w:shd w:val="pct25" w:color="auto" w:fill="auto"/>
      <w:outlineLvl w:val="9"/>
    </w:pPr>
  </w:style>
  <w:style w:type="paragraph" w:customStyle="1" w:styleId="IshadedSchClause">
    <w:name w:val="I shaded Sch Clause"/>
    <w:basedOn w:val="IshadedH5Sec"/>
  </w:style>
  <w:style w:type="paragraph" w:customStyle="1" w:styleId="Penalty">
    <w:name w:val="Penalty"/>
    <w:basedOn w:val="Amainreturn"/>
  </w:style>
  <w:style w:type="paragraph" w:customStyle="1" w:styleId="aNoteText">
    <w:name w:val="aNoteText"/>
    <w:basedOn w:val="aNote"/>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ExamINumss">
    <w:name w:val="aExamINumss"/>
    <w:basedOn w:val="aExamss"/>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pPr>
      <w:ind w:left="1500"/>
    </w:pPr>
  </w:style>
  <w:style w:type="paragraph" w:customStyle="1" w:styleId="aExamNumTextpar">
    <w:name w:val="aExamNumTextpar"/>
    <w:basedOn w:val="aExampar"/>
    <w:pPr>
      <w:ind w:left="2000"/>
    </w:pPr>
  </w:style>
  <w:style w:type="paragraph" w:customStyle="1" w:styleId="aExamBulletss">
    <w:name w:val="aExamBulletss"/>
    <w:basedOn w:val="aExamss"/>
    <w:pPr>
      <w:ind w:left="1500" w:hanging="400"/>
    </w:pPr>
  </w:style>
  <w:style w:type="paragraph" w:customStyle="1" w:styleId="aExamBulletpar">
    <w:name w:val="aExamBulletpar"/>
    <w:basedOn w:val="aExampar"/>
    <w:pPr>
      <w:ind w:left="2000" w:hanging="40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NoteParapar">
    <w:name w:val="aNoteParapar"/>
    <w:basedOn w:val="aNotepar"/>
    <w:pPr>
      <w:tabs>
        <w:tab w:val="right" w:pos="2640"/>
      </w:tabs>
      <w:spacing w:before="0"/>
      <w:ind w:left="2920" w:hanging="1320"/>
    </w:pPr>
  </w:style>
  <w:style w:type="paragraph" w:customStyle="1" w:styleId="aNotesubpar">
    <w:name w:val="aNotesubpar"/>
    <w:basedOn w:val="BillBasic"/>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pPr>
      <w:spacing w:after="60"/>
      <w:ind w:left="2300" w:hanging="400"/>
      <w:jc w:val="both"/>
    </w:pPr>
    <w:rPr>
      <w:sz w:val="20"/>
    </w:rPr>
  </w:style>
  <w:style w:type="paragraph" w:customStyle="1" w:styleId="aNoteBulletpar">
    <w:name w:val="aNoteBulletpar"/>
    <w:basedOn w:val="aNotepar"/>
    <w:pPr>
      <w:spacing w:before="0"/>
      <w:ind w:left="2800" w:hanging="400"/>
    </w:pPr>
  </w:style>
  <w:style w:type="paragraph" w:customStyle="1" w:styleId="aExplanBullet">
    <w:name w:val="aExplanBullet"/>
    <w:basedOn w:val="Normal"/>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style>
  <w:style w:type="paragraph" w:customStyle="1" w:styleId="SchAsubpara">
    <w:name w:val="Sch A subpara"/>
    <w:basedOn w:val="Asubpara"/>
  </w:style>
  <w:style w:type="paragraph" w:customStyle="1" w:styleId="SchAsubsubpara">
    <w:name w:val="Sch A subsubpara"/>
    <w:basedOn w:val="Asubsubpara"/>
  </w:style>
  <w:style w:type="paragraph" w:customStyle="1" w:styleId="TOCOL1">
    <w:name w:val="TOCOL 1"/>
    <w:basedOn w:val="TOC1"/>
  </w:style>
  <w:style w:type="paragraph" w:customStyle="1" w:styleId="TOCOL2">
    <w:name w:val="TOCOL 2"/>
    <w:basedOn w:val="TOC2"/>
    <w:pPr>
      <w:keepNext w:val="0"/>
    </w:pPr>
  </w:style>
  <w:style w:type="paragraph" w:customStyle="1" w:styleId="TOCOL3">
    <w:name w:val="TOCOL 3"/>
    <w:basedOn w:val="TOC3"/>
    <w:pPr>
      <w:keepNext w:val="0"/>
      <w:spacing w:before="80"/>
    </w:pPr>
  </w:style>
  <w:style w:type="paragraph" w:customStyle="1" w:styleId="TOCOL4">
    <w:name w:val="TOCOL 4"/>
    <w:basedOn w:val="TOC4"/>
    <w:pPr>
      <w:keepNext w:val="0"/>
    </w:pPr>
  </w:style>
  <w:style w:type="paragraph" w:customStyle="1" w:styleId="TOCOL5">
    <w:name w:val="TOCOL 5"/>
    <w:basedOn w:val="TOC5"/>
    <w:pPr>
      <w:tabs>
        <w:tab w:val="left" w:pos="400"/>
      </w:tabs>
    </w:pPr>
  </w:style>
  <w:style w:type="paragraph" w:customStyle="1" w:styleId="TOCOL6">
    <w:name w:val="TOCOL 6"/>
    <w:basedOn w:val="TOC6"/>
    <w:pPr>
      <w:keepNext w:val="0"/>
    </w:pPr>
  </w:style>
  <w:style w:type="paragraph" w:customStyle="1" w:styleId="TOCOL7">
    <w:name w:val="TOCOL 7"/>
    <w:basedOn w:val="TOC7"/>
  </w:style>
  <w:style w:type="paragraph" w:customStyle="1" w:styleId="TOCOL8">
    <w:name w:val="TOCOL 8"/>
    <w:basedOn w:val="TOC8"/>
    <w:pPr>
      <w:spacing w:before="80"/>
    </w:pPr>
  </w:style>
  <w:style w:type="paragraph" w:customStyle="1" w:styleId="TOCOL9">
    <w:name w:val="TOCOL 9"/>
    <w:basedOn w:val="TOC9"/>
    <w:pPr>
      <w:ind w:right="0"/>
    </w:pPr>
  </w:style>
  <w:style w:type="paragraph" w:styleId="TOC9">
    <w:name w:val="toc 9"/>
    <w:basedOn w:val="Normal"/>
    <w:next w:val="Normal"/>
    <w:autoRedefine/>
    <w:semiHidden/>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style>
  <w:style w:type="character" w:customStyle="1" w:styleId="charPage">
    <w:name w:val="charPage"/>
    <w:basedOn w:val="DefaultParagraphFont"/>
  </w:style>
  <w:style w:type="character" w:styleId="PageNumber">
    <w:name w:val="page number"/>
    <w:basedOn w:val="DefaultParagraphFont"/>
    <w:semiHidden/>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semiHidden/>
    <w:pPr>
      <w:overflowPunct w:val="0"/>
      <w:autoSpaceDE w:val="0"/>
      <w:autoSpaceDN w:val="0"/>
      <w:adjustRightInd w:val="0"/>
      <w:textAlignment w:val="baseline"/>
    </w:pPr>
    <w:rPr>
      <w:szCs w:val="24"/>
    </w:rPr>
  </w:style>
  <w:style w:type="paragraph" w:styleId="BodyTextIndent2">
    <w:name w:val="Body Text Indent 2"/>
    <w:basedOn w:val="Normal"/>
    <w:semiHidden/>
    <w:pPr>
      <w:ind w:left="884"/>
    </w:pPr>
    <w:rPr>
      <w:rFonts w:ascii="Arial" w:hAnsi="Arial" w:cs="Arial"/>
      <w:sz w:val="20"/>
    </w:rPr>
  </w:style>
  <w:style w:type="paragraph" w:styleId="BodyText">
    <w:name w:val="Body Text"/>
    <w:basedOn w:val="Normal"/>
    <w:semiHidden/>
    <w:rPr>
      <w:rFonts w:ascii="Arial" w:hAnsi="Arial" w:cs="Arial"/>
      <w:sz w:val="20"/>
    </w:rPr>
  </w:style>
  <w:style w:type="paragraph" w:styleId="BodyTextIndent3">
    <w:name w:val="Body Text Indent 3"/>
    <w:basedOn w:val="Normal"/>
    <w:semiHidden/>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semiHidden/>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styleId="BodyText2">
    <w:name w:val="Body Text 2"/>
    <w:basedOn w:val="Normal"/>
    <w:semiHidden/>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pPr>
      <w:spacing w:before="280"/>
      <w:jc w:val="center"/>
    </w:pPr>
    <w:rPr>
      <w:rFonts w:ascii="Arial" w:hAnsi="Arial"/>
      <w:sz w:val="14"/>
    </w:rPr>
  </w:style>
  <w:style w:type="paragraph" w:customStyle="1" w:styleId="FooterInfoCentre">
    <w:name w:val="FooterInfoCentre"/>
    <w:basedOn w:val="FooterInfo"/>
    <w:pPr>
      <w:jc w:val="center"/>
    </w:pPr>
  </w:style>
  <w:style w:type="paragraph" w:customStyle="1" w:styleId="00Spine">
    <w:name w:val="00Spine"/>
    <w:basedOn w:val="Normal"/>
  </w:style>
  <w:style w:type="paragraph" w:customStyle="1" w:styleId="05Endnote0">
    <w:name w:val="05Endnote"/>
    <w:basedOn w:val="Normal"/>
  </w:style>
  <w:style w:type="paragraph" w:customStyle="1" w:styleId="06Copyright">
    <w:name w:val="06Copyright"/>
    <w:basedOn w:val="Normal"/>
  </w:style>
  <w:style w:type="paragraph" w:customStyle="1" w:styleId="RepubNo">
    <w:name w:val="RepubNo"/>
    <w:basedOn w:val="BillBasicHeading"/>
    <w:pPr>
      <w:keepNext w:val="0"/>
      <w:spacing w:before="600"/>
      <w:jc w:val="both"/>
    </w:pPr>
    <w:rPr>
      <w:sz w:val="26"/>
    </w:rPr>
  </w:style>
  <w:style w:type="paragraph" w:customStyle="1" w:styleId="EffectiveDate">
    <w:name w:val="EffectiveDate"/>
    <w:basedOn w:val="Normal"/>
    <w:pPr>
      <w:spacing w:before="40" w:after="200"/>
    </w:pPr>
    <w:rPr>
      <w:rFonts w:ascii="Arial" w:hAnsi="Arial"/>
      <w:b/>
      <w:sz w:val="26"/>
    </w:rPr>
  </w:style>
  <w:style w:type="paragraph" w:customStyle="1" w:styleId="CoverInForce">
    <w:name w:val="CoverInForce"/>
    <w:basedOn w:val="BillBasicHeading"/>
    <w:pPr>
      <w:keepNext w:val="0"/>
      <w:spacing w:before="200"/>
    </w:pPr>
    <w:rPr>
      <w:rFonts w:ascii="Arial (W1)" w:hAnsi="Arial (W1)"/>
      <w:b w:val="0"/>
    </w:rPr>
  </w:style>
  <w:style w:type="paragraph" w:customStyle="1" w:styleId="CoverHeading">
    <w:name w:val="CoverHeading"/>
    <w:basedOn w:val="Normal"/>
    <w:pPr>
      <w:spacing w:after="60"/>
    </w:pPr>
    <w:rPr>
      <w:rFonts w:ascii="Arial" w:hAnsi="Arial"/>
      <w:b/>
    </w:rPr>
  </w:style>
  <w:style w:type="paragraph" w:customStyle="1" w:styleId="CoverSubHdg">
    <w:name w:val="CoverSubHdg"/>
    <w:basedOn w:val="CoverHeading"/>
    <w:pPr>
      <w:spacing w:before="60"/>
    </w:pPr>
    <w:rPr>
      <w:sz w:val="20"/>
    </w:rPr>
  </w:style>
  <w:style w:type="paragraph" w:customStyle="1" w:styleId="CoverActName">
    <w:name w:val="CoverActName"/>
    <w:basedOn w:val="BillBasicHeading"/>
    <w:pPr>
      <w:keepNext w:val="0"/>
      <w:spacing w:before="200"/>
    </w:pPr>
  </w:style>
  <w:style w:type="paragraph" w:customStyle="1" w:styleId="CoverText">
    <w:name w:val="CoverText"/>
    <w:basedOn w:val="Normal"/>
    <w:pPr>
      <w:spacing w:before="40" w:after="40"/>
      <w:jc w:val="both"/>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AH2PartSymb">
    <w:name w:val="A H2 Part Symb"/>
    <w:basedOn w:val="AH2Part"/>
    <w:next w:val="AH3Div"/>
    <w:pPr>
      <w:tabs>
        <w:tab w:val="clear" w:pos="2600"/>
        <w:tab w:val="left" w:pos="0"/>
      </w:tabs>
      <w:ind w:left="2480" w:hanging="2960"/>
    </w:p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AH5SecSymb">
    <w:name w:val="A H5 Sec Symb"/>
    <w:basedOn w:val="AH5Sec"/>
    <w:next w:val="Amain"/>
    <w:pPr>
      <w:tabs>
        <w:tab w:val="clear" w:pos="1100"/>
        <w:tab w:val="left" w:pos="0"/>
      </w:tabs>
      <w:ind w:hanging="1580"/>
    </w:p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AsubparaSymb">
    <w:name w:val="A subpara Symb"/>
    <w:basedOn w:val="Asubpara"/>
    <w:pPr>
      <w:tabs>
        <w:tab w:val="left" w:pos="0"/>
      </w:tabs>
      <w:ind w:left="1620"/>
    </w:pPr>
  </w:style>
  <w:style w:type="paragraph" w:customStyle="1" w:styleId="Actdetails">
    <w:name w:val="Act details"/>
    <w:basedOn w:val="Normal"/>
    <w:pPr>
      <w:spacing w:before="20"/>
      <w:ind w:left="1400"/>
    </w:pPr>
    <w:rPr>
      <w:rFonts w:ascii="Arial" w:hAnsi="Arial"/>
      <w:sz w:val="20"/>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Asamby">
    <w:name w:val="As am by"/>
    <w:basedOn w:val="Normal"/>
    <w:next w:val="Normal"/>
    <w:pPr>
      <w:spacing w:before="240"/>
      <w:ind w:left="1100"/>
    </w:pPr>
    <w:rPr>
      <w:rFonts w:ascii="Arial" w:hAnsi="Arial"/>
      <w:sz w:val="20"/>
    </w:rPr>
  </w:style>
  <w:style w:type="character" w:customStyle="1" w:styleId="charSymb">
    <w:name w:val="charSymb"/>
    <w:basedOn w:val="DefaultParagraphFont"/>
    <w:rPr>
      <w:rFonts w:ascii="Arial" w:hAnsi="Arial"/>
      <w:sz w:val="24"/>
      <w:bdr w:val="single" w:sz="4" w:space="0" w:color="auto"/>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Dict-HeadingSymb">
    <w:name w:val="Dict-Heading Symb"/>
    <w:basedOn w:val="Dict-Heading"/>
    <w:pPr>
      <w:tabs>
        <w:tab w:val="left" w:pos="0"/>
      </w:tabs>
      <w:ind w:left="2480" w:hanging="2960"/>
    </w:pPr>
  </w:style>
  <w:style w:type="paragraph" w:customStyle="1" w:styleId="EarlierRepubEntries">
    <w:name w:val="EarlierRepubEntries"/>
    <w:basedOn w:val="Normal"/>
    <w:pPr>
      <w:spacing w:before="60" w:after="60"/>
    </w:pPr>
    <w:rPr>
      <w:rFonts w:ascii="Arial" w:hAnsi="Arial"/>
      <w:sz w:val="18"/>
    </w:rPr>
  </w:style>
  <w:style w:type="paragraph" w:customStyle="1" w:styleId="EarlierRepubHdg">
    <w:name w:val="EarlierRepubHdg"/>
    <w:basedOn w:val="Normal"/>
    <w:pPr>
      <w:keepNext/>
      <w:spacing w:before="120" w:after="120"/>
    </w:pPr>
    <w:rPr>
      <w:rFonts w:ascii="Arial" w:hAnsi="Arial"/>
      <w:b/>
      <w:sz w:val="20"/>
    </w:rPr>
  </w:style>
  <w:style w:type="paragraph" w:customStyle="1" w:styleId="Endnote20">
    <w:name w:val="Endnote2"/>
    <w:basedOn w:val="Normal"/>
    <w:pPr>
      <w:keepNext/>
      <w:tabs>
        <w:tab w:val="left" w:pos="1100"/>
      </w:tabs>
      <w:spacing w:before="320" w:after="60"/>
    </w:pPr>
    <w:rPr>
      <w:rFonts w:ascii="Arial" w:hAnsi="Arial"/>
      <w:b/>
    </w:r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pPr>
      <w:spacing w:after="40"/>
      <w:ind w:left="1100"/>
      <w:jc w:val="both"/>
    </w:pPr>
    <w:rPr>
      <w:sz w:val="20"/>
    </w:rPr>
  </w:style>
  <w:style w:type="paragraph" w:customStyle="1" w:styleId="EndNoteParas">
    <w:name w:val="EndNoteParas"/>
    <w:basedOn w:val="EndNoteTextEPS"/>
    <w:pPr>
      <w:tabs>
        <w:tab w:val="right" w:pos="1432"/>
      </w:tabs>
      <w:spacing w:after="0"/>
      <w:ind w:left="1840" w:hanging="1840"/>
    </w:pPr>
  </w:style>
  <w:style w:type="paragraph" w:customStyle="1" w:styleId="EndnotesAbbrev">
    <w:name w:val="EndnotesAbbrev"/>
    <w:basedOn w:val="Normal"/>
    <w:pPr>
      <w:spacing w:before="20"/>
    </w:pPr>
    <w:rPr>
      <w:rFonts w:ascii="Arial" w:hAnsi="Arial"/>
      <w:color w:val="000000"/>
      <w:sz w:val="16"/>
    </w:rPr>
  </w:style>
  <w:style w:type="paragraph" w:customStyle="1" w:styleId="EPSCoverTop">
    <w:name w:val="EPSCoverTop"/>
    <w:basedOn w:val="Normal"/>
    <w:pPr>
      <w:jc w:val="right"/>
    </w:pPr>
    <w:rPr>
      <w:rFonts w:ascii="Arial" w:hAnsi="Arial"/>
      <w:sz w:val="20"/>
    </w:rPr>
  </w:style>
  <w:style w:type="paragraph" w:customStyle="1" w:styleId="LegHistNote">
    <w:name w:val="LegHistNote"/>
    <w:basedOn w:val="Actdetails"/>
    <w:pPr>
      <w:spacing w:before="60"/>
      <w:ind w:left="2700" w:right="-60" w:hanging="1300"/>
    </w:pPr>
    <w:rPr>
      <w:sz w:val="18"/>
    </w:rPr>
  </w:style>
  <w:style w:type="paragraph" w:customStyle="1" w:styleId="LongTitleSymb">
    <w:name w:val="LongTitleSymb"/>
    <w:basedOn w:val="LongTitle"/>
    <w:pPr>
      <w:ind w:hanging="480"/>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pPr>
      <w:tabs>
        <w:tab w:val="left" w:pos="2600"/>
      </w:tabs>
      <w:ind w:left="26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mainreturn">
    <w:name w:val="Mod main return"/>
    <w:basedOn w:val="Amainreturn"/>
    <w:pPr>
      <w:ind w:left="1800"/>
    </w:pPr>
  </w:style>
  <w:style w:type="paragraph" w:customStyle="1" w:styleId="ModNote">
    <w:name w:val="Mod Note"/>
    <w:basedOn w:val="aNote"/>
    <w:pPr>
      <w:tabs>
        <w:tab w:val="left" w:pos="2600"/>
      </w:tabs>
      <w:ind w:left="2600"/>
    </w:pPr>
  </w:style>
  <w:style w:type="paragraph" w:customStyle="1" w:styleId="Modpara">
    <w:name w:val="Mod para"/>
    <w:basedOn w:val="BillBasic"/>
    <w:pPr>
      <w:tabs>
        <w:tab w:val="right" w:pos="2100"/>
        <w:tab w:val="left" w:pos="2300"/>
      </w:tabs>
      <w:ind w:left="2700" w:hanging="1600"/>
      <w:outlineLvl w:val="6"/>
    </w:pPr>
  </w:style>
  <w:style w:type="paragraph" w:customStyle="1" w:styleId="Modparareturn">
    <w:name w:val="Mod para return"/>
    <w:basedOn w:val="Aparareturn"/>
    <w:pPr>
      <w:ind w:left="2300"/>
    </w:pPr>
  </w:style>
  <w:style w:type="paragraph" w:customStyle="1" w:styleId="Modref">
    <w:name w:val="Mod ref"/>
    <w:basedOn w:val="ref"/>
    <w:pPr>
      <w:ind w:left="1100"/>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parareturn">
    <w:name w:val="Mod subpara return"/>
    <w:basedOn w:val="Asubparareturn"/>
    <w:pPr>
      <w:ind w:left="30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NewReg">
    <w:name w:val="New Reg"/>
    <w:basedOn w:val="NewAct"/>
    <w:next w:val="Actdetails"/>
  </w:style>
  <w:style w:type="paragraph" w:customStyle="1" w:styleId="RenumProvEntries">
    <w:name w:val="RenumProvEntries"/>
    <w:basedOn w:val="Normal"/>
    <w:pPr>
      <w:spacing w:before="60"/>
    </w:pPr>
    <w:rPr>
      <w:rFonts w:ascii="Arial" w:hAnsi="Arial"/>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ProvSubsectEntries">
    <w:name w:val="RenumProvSubsectEntries"/>
    <w:basedOn w:val="RenumProvEntries"/>
    <w:pPr>
      <w:ind w:left="252"/>
    </w:pPr>
  </w:style>
  <w:style w:type="paragraph" w:customStyle="1" w:styleId="RenumTableHdg">
    <w:name w:val="RenumTableHdg"/>
    <w:basedOn w:val="Normal"/>
    <w:pPr>
      <w:spacing w:before="120"/>
    </w:pPr>
    <w:rPr>
      <w:rFonts w:ascii="Arial" w:hAnsi="Arial"/>
      <w:b/>
      <w:sz w:val="20"/>
    </w:rPr>
  </w:style>
  <w:style w:type="paragraph" w:customStyle="1" w:styleId="SchclauseheadingSymb">
    <w:name w:val="Sch clause heading Symb"/>
    <w:basedOn w:val="Schclauseheading"/>
    <w:pPr>
      <w:tabs>
        <w:tab w:val="left" w:pos="0"/>
      </w:tabs>
      <w:ind w:left="980" w:hanging="1460"/>
    </w:pPr>
  </w:style>
  <w:style w:type="paragraph" w:customStyle="1" w:styleId="SchSubClause">
    <w:name w:val="Sch SubClause"/>
    <w:basedOn w:val="Schclauseheading"/>
    <w:rPr>
      <w:b w:val="0"/>
    </w:rPr>
  </w:style>
  <w:style w:type="paragraph" w:customStyle="1" w:styleId="Sched-FormSymb">
    <w:name w:val="Sched-Form Symb"/>
    <w:basedOn w:val="Sched-Form"/>
    <w:pPr>
      <w:tabs>
        <w:tab w:val="left" w:pos="0"/>
      </w:tabs>
      <w:ind w:left="2480" w:hanging="2960"/>
    </w:pPr>
  </w:style>
  <w:style w:type="paragraph" w:customStyle="1" w:styleId="Sched-Form-18Space">
    <w:name w:val="Sched-Form-18Space"/>
    <w:basedOn w:val="Normal"/>
    <w:pPr>
      <w:spacing w:before="360" w:after="60"/>
    </w:pPr>
    <w:rPr>
      <w:sz w:val="22"/>
    </w:r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styleId="Subtitle">
    <w:name w:val="Subtitle"/>
    <w:basedOn w:val="Normal"/>
    <w:qFormat/>
    <w:pPr>
      <w:spacing w:after="60"/>
      <w:jc w:val="center"/>
      <w:outlineLvl w:val="1"/>
    </w:pPr>
    <w:rPr>
      <w:rFonts w:ascii="Arial" w:hAnsi="Arial"/>
    </w:rPr>
  </w:style>
  <w:style w:type="paragraph" w:customStyle="1" w:styleId="TLegAsAmBy">
    <w:name w:val="TLegAsAmBy"/>
    <w:basedOn w:val="TLegEntries"/>
    <w:pPr>
      <w:ind w:firstLine="0"/>
    </w:pPr>
    <w:rPr>
      <w:b/>
    </w:rPr>
  </w:style>
  <w:style w:type="paragraph" w:customStyle="1" w:styleId="EndNoteTextPub">
    <w:name w:val="EndNoteTextPub"/>
    <w:basedOn w:val="Normal"/>
    <w:pPr>
      <w:spacing w:after="40"/>
      <w:ind w:left="1100"/>
      <w:jc w:val="both"/>
    </w:pPr>
    <w:rPr>
      <w:sz w:val="20"/>
    </w:rPr>
  </w:style>
  <w:style w:type="paragraph" w:customStyle="1" w:styleId="TOC10">
    <w:name w:val="TOC 10"/>
    <w:basedOn w:val="TOC5"/>
    <w:rPr>
      <w:szCs w:val="24"/>
    </w:rPr>
  </w:style>
  <w:style w:type="character" w:customStyle="1" w:styleId="charNotBold">
    <w:name w:val="charNotBold"/>
    <w:basedOn w:val="DefaultParagraphFont"/>
    <w:rPr>
      <w:rFonts w:ascii="Arial" w:hAnsi="Arial"/>
      <w:sz w:val="20"/>
    </w:rPr>
  </w:style>
  <w:style w:type="paragraph" w:customStyle="1" w:styleId="Billname1">
    <w:name w:val="Billname1"/>
    <w:basedOn w:val="Normal"/>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226</Pages>
  <Words>43423</Words>
  <Characters>213711</Characters>
  <Application>Microsoft Office Word</Application>
  <DocSecurity>0</DocSecurity>
  <Lines>6263</Lines>
  <Paragraphs>3548</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254545</CharactersWithSpaces>
  <SharedDoc>false</SharedDoc>
  <HLinks>
    <vt:vector size="4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3860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23683</vt:i4>
      </vt:variant>
      <vt:variant>
        <vt:i4>1027</vt:i4>
      </vt:variant>
      <vt:variant>
        <vt:i4>1</vt:i4>
      </vt:variant>
      <vt:variant>
        <vt:lpwstr>G:\pco\1 Office Administration\Information Technology\ACTCrest\Black&amp;White\ACT Crest high res small.tif</vt:lpwstr>
      </vt:variant>
      <vt:variant>
        <vt:lpwstr/>
      </vt:variant>
      <vt:variant>
        <vt:i4>4259930</vt:i4>
      </vt:variant>
      <vt:variant>
        <vt:i4>224718</vt:i4>
      </vt:variant>
      <vt:variant>
        <vt:i4>1028</vt:i4>
      </vt:variant>
      <vt:variant>
        <vt:i4>1</vt:i4>
      </vt:variant>
      <vt:variant>
        <vt:lpwstr>Exempt from 3rd party appeal City</vt:lpwstr>
      </vt:variant>
      <vt:variant>
        <vt:lpwstr/>
      </vt:variant>
      <vt:variant>
        <vt:i4>2883637</vt:i4>
      </vt:variant>
      <vt:variant>
        <vt:i4>224763</vt:i4>
      </vt:variant>
      <vt:variant>
        <vt:i4>1029</vt:i4>
      </vt:variant>
      <vt:variant>
        <vt:i4>1</vt:i4>
      </vt:variant>
      <vt:variant>
        <vt:lpwstr>Exempt from 3rd party appeal BelcTC</vt:lpwstr>
      </vt:variant>
      <vt:variant>
        <vt:lpwstr/>
      </vt:variant>
      <vt:variant>
        <vt:i4>2818081</vt:i4>
      </vt:variant>
      <vt:variant>
        <vt:i4>224846</vt:i4>
      </vt:variant>
      <vt:variant>
        <vt:i4>1030</vt:i4>
      </vt:variant>
      <vt:variant>
        <vt:i4>1</vt:i4>
      </vt:variant>
      <vt:variant>
        <vt:lpwstr>Exempt from 3rd party appeal GungTC</vt:lpwstr>
      </vt:variant>
      <vt:variant>
        <vt:lpwstr/>
      </vt:variant>
      <vt:variant>
        <vt:i4>3211297</vt:i4>
      </vt:variant>
      <vt:variant>
        <vt:i4>224938</vt:i4>
      </vt:variant>
      <vt:variant>
        <vt:i4>1031</vt:i4>
      </vt:variant>
      <vt:variant>
        <vt:i4>1</vt:i4>
      </vt:variant>
      <vt:variant>
        <vt:lpwstr>Exempt from 3rd party appeal TuggTC</vt:lpwstr>
      </vt:variant>
      <vt:variant>
        <vt:lpwstr/>
      </vt:variant>
      <vt:variant>
        <vt:i4>4718669</vt:i4>
      </vt:variant>
      <vt:variant>
        <vt:i4>225018</vt:i4>
      </vt:variant>
      <vt:variant>
        <vt:i4>1032</vt:i4>
      </vt:variant>
      <vt:variant>
        <vt:i4>1</vt:i4>
      </vt:variant>
      <vt:variant>
        <vt:lpwstr>Exempt from 3rd party appeal WodenTC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2008-08-19T04:59:00Z</cp:lastPrinted>
  <dcterms:created xsi:type="dcterms:W3CDTF">2019-01-04T01:34:00Z</dcterms:created>
  <dcterms:modified xsi:type="dcterms:W3CDTF">2019-01-04T01:34:00Z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-15/09/08</vt:lpwstr>
  </property>
  <property fmtid="{D5CDD505-2E9C-101B-9397-08002B2CF9AE}" pid="5" name="RepubDt">
    <vt:lpwstr>26/08/08</vt:lpwstr>
  </property>
  <property fmtid="{D5CDD505-2E9C-101B-9397-08002B2CF9AE}" pid="6" name="StartDt">
    <vt:lpwstr>26/08/08</vt:lpwstr>
  </property>
</Properties>
</file>