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BCF2" w14:textId="77777777" w:rsidR="00166C1C" w:rsidRDefault="00166C1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18890E2" wp14:editId="2F2AFC5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C6196" w14:textId="77777777" w:rsidR="00166C1C" w:rsidRDefault="00166C1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D268A1C" w14:textId="6AD7052D" w:rsidR="00B84A29" w:rsidRPr="003C3B59" w:rsidRDefault="0008498E" w:rsidP="00F70A72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EA731A">
        <w:t>Medicines, Poisons and Therapeutic Goods Amendment Regulation 2021 (No 2)</w:t>
      </w:r>
      <w:r>
        <w:fldChar w:fldCharType="end"/>
      </w:r>
    </w:p>
    <w:p w14:paraId="0A8D27A5" w14:textId="3BC0E913" w:rsidR="00B84A29" w:rsidRPr="003C3B59" w:rsidRDefault="00B84A29">
      <w:pPr>
        <w:pStyle w:val="ActNo"/>
      </w:pPr>
      <w:r w:rsidRPr="003C3B59">
        <w:t xml:space="preserve">Subordinate Law </w:t>
      </w:r>
      <w:r w:rsidR="0008498E">
        <w:fldChar w:fldCharType="begin"/>
      </w:r>
      <w:r w:rsidR="0008498E">
        <w:instrText xml:space="preserve"> DOCPROPERTY "Category"  \* MERGEFORMAT </w:instrText>
      </w:r>
      <w:r w:rsidR="0008498E">
        <w:fldChar w:fldCharType="separate"/>
      </w:r>
      <w:r w:rsidR="00EA731A">
        <w:t>SL2021-28</w:t>
      </w:r>
      <w:r w:rsidR="0008498E">
        <w:fldChar w:fldCharType="end"/>
      </w:r>
    </w:p>
    <w:p w14:paraId="6436A5C1" w14:textId="77777777" w:rsidR="00B84A29" w:rsidRPr="003C3B59" w:rsidRDefault="00B84A29">
      <w:pPr>
        <w:pStyle w:val="N-line3"/>
      </w:pPr>
    </w:p>
    <w:p w14:paraId="1F81BB86" w14:textId="72BA4E13" w:rsidR="00B84A29" w:rsidRPr="003C3B59" w:rsidRDefault="00B84A29">
      <w:pPr>
        <w:pStyle w:val="EnactingWords"/>
      </w:pPr>
      <w:r w:rsidRPr="003C3B59">
        <w:t xml:space="preserve">The Australian Capital Territory Executive makes the following regulation under the </w:t>
      </w:r>
      <w:hyperlink r:id="rId9" w:tooltip="A2008-26" w:history="1">
        <w:r w:rsidR="00B0065C" w:rsidRPr="003C3B59">
          <w:rPr>
            <w:rStyle w:val="charCitHyperlinkItal"/>
          </w:rPr>
          <w:t>Medicines, Poisons and Therapeutic Goods Act 2008</w:t>
        </w:r>
      </w:hyperlink>
      <w:r w:rsidRPr="003C3B59">
        <w:t>.</w:t>
      </w:r>
    </w:p>
    <w:p w14:paraId="4F03D86C" w14:textId="324E1F20" w:rsidR="00B84A29" w:rsidRPr="003C3B59" w:rsidRDefault="00B84A29">
      <w:pPr>
        <w:pStyle w:val="DateLine"/>
      </w:pPr>
      <w:r w:rsidRPr="003C3B59">
        <w:t xml:space="preserve">Dated </w:t>
      </w:r>
      <w:r w:rsidR="00166C1C">
        <w:t>27 October 2021</w:t>
      </w:r>
      <w:r w:rsidRPr="003C3B59">
        <w:t>.</w:t>
      </w:r>
    </w:p>
    <w:p w14:paraId="619291C8" w14:textId="795B299F" w:rsidR="00B84A29" w:rsidRPr="003C3B59" w:rsidRDefault="00166C1C">
      <w:pPr>
        <w:pStyle w:val="Minister"/>
      </w:pPr>
      <w:r>
        <w:t>Andrew Barr</w:t>
      </w:r>
    </w:p>
    <w:p w14:paraId="4EEF8ABC" w14:textId="77777777" w:rsidR="00B84A29" w:rsidRPr="003C3B59" w:rsidRDefault="00B84A29">
      <w:pPr>
        <w:pStyle w:val="MinisterWord"/>
      </w:pPr>
      <w:r w:rsidRPr="003C3B59">
        <w:t>Chief Minister</w:t>
      </w:r>
    </w:p>
    <w:p w14:paraId="56AA2969" w14:textId="3958B5BE" w:rsidR="00B84A29" w:rsidRPr="003C3B59" w:rsidRDefault="00166C1C">
      <w:pPr>
        <w:pStyle w:val="Minister"/>
      </w:pPr>
      <w:r>
        <w:t>Rachel Stephen-Smith</w:t>
      </w:r>
    </w:p>
    <w:p w14:paraId="59037630" w14:textId="77777777" w:rsidR="00B84A29" w:rsidRPr="003C3B59" w:rsidRDefault="00B84A29">
      <w:pPr>
        <w:pStyle w:val="MinisterWord"/>
      </w:pPr>
      <w:r w:rsidRPr="003C3B59">
        <w:t>Minister</w:t>
      </w:r>
    </w:p>
    <w:p w14:paraId="74D9EF7E" w14:textId="77777777" w:rsidR="00B84A29" w:rsidRPr="003C3B59" w:rsidRDefault="00B84A29">
      <w:pPr>
        <w:pStyle w:val="N-line3"/>
      </w:pPr>
    </w:p>
    <w:p w14:paraId="21B13F99" w14:textId="77777777" w:rsidR="003C3B59" w:rsidRDefault="003C3B59">
      <w:pPr>
        <w:pStyle w:val="00SigningPage"/>
        <w:sectPr w:rsidR="003C3B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0B9EC3E9" w14:textId="77777777" w:rsidR="00166C1C" w:rsidRDefault="00166C1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06CEC8D" wp14:editId="4DBBCB9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E7BB6" w14:textId="77777777" w:rsidR="00166C1C" w:rsidRDefault="00166C1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C88CC1" w14:textId="13ADB1DA" w:rsidR="00B84A29" w:rsidRPr="003C3B59" w:rsidRDefault="00166C1C" w:rsidP="00F70A72">
      <w:pPr>
        <w:pStyle w:val="Billname"/>
      </w:pPr>
      <w:bookmarkStart w:id="0" w:name="Citation"/>
      <w:r>
        <w:t>Medicines, Poisons and Therapeutic Goods Amendment Regulation 2021 (No 2)</w:t>
      </w:r>
      <w:bookmarkEnd w:id="0"/>
    </w:p>
    <w:p w14:paraId="5BCCA373" w14:textId="3885D81A" w:rsidR="00B84A29" w:rsidRPr="003C3B59" w:rsidRDefault="00B84A29">
      <w:pPr>
        <w:pStyle w:val="ActNo"/>
      </w:pPr>
      <w:r w:rsidRPr="003C3B59">
        <w:t xml:space="preserve">Subordinate Law </w:t>
      </w:r>
      <w:r w:rsidR="0008498E">
        <w:fldChar w:fldCharType="begin"/>
      </w:r>
      <w:r w:rsidR="0008498E">
        <w:instrText xml:space="preserve"> DOCPROPERTY "Category"  \* MERGEFORMAT </w:instrText>
      </w:r>
      <w:r w:rsidR="0008498E">
        <w:fldChar w:fldCharType="separate"/>
      </w:r>
      <w:r w:rsidR="00EA731A">
        <w:t>SL2021-28</w:t>
      </w:r>
      <w:r w:rsidR="0008498E">
        <w:fldChar w:fldCharType="end"/>
      </w:r>
    </w:p>
    <w:p w14:paraId="54A75CBA" w14:textId="77777777" w:rsidR="00B84A29" w:rsidRPr="003C3B59" w:rsidRDefault="00B84A29">
      <w:pPr>
        <w:pStyle w:val="madeunder"/>
      </w:pPr>
      <w:r w:rsidRPr="003C3B59">
        <w:t>made under the</w:t>
      </w:r>
    </w:p>
    <w:bookmarkStart w:id="1" w:name="ActName"/>
    <w:p w14:paraId="339D1F44" w14:textId="01C025FB" w:rsidR="00B84A29" w:rsidRPr="003C3B59" w:rsidRDefault="00B0065C">
      <w:pPr>
        <w:pStyle w:val="AuthLaw"/>
      </w:pPr>
      <w:r w:rsidRPr="003C3B59">
        <w:rPr>
          <w:rStyle w:val="charCitHyperlinkAbbrev"/>
        </w:rPr>
        <w:fldChar w:fldCharType="begin"/>
      </w:r>
      <w:r w:rsidRPr="003C3B59">
        <w:rPr>
          <w:rStyle w:val="charCitHyperlinkAbbrev"/>
        </w:rPr>
        <w:instrText>HYPERLINK "http://www.legislation.act.gov.au/a/2008-26" \o "A2008-26"</w:instrText>
      </w:r>
      <w:r w:rsidRPr="003C3B59">
        <w:rPr>
          <w:rStyle w:val="charCitHyperlinkAbbrev"/>
        </w:rPr>
        <w:fldChar w:fldCharType="separate"/>
      </w:r>
      <w:r w:rsidRPr="003C3B59">
        <w:rPr>
          <w:rStyle w:val="charCitHyperlinkAbbrev"/>
        </w:rPr>
        <w:t>Medicines, Poisons and Therapeutic Goods Act 2008</w:t>
      </w:r>
      <w:r w:rsidRPr="003C3B59">
        <w:rPr>
          <w:rStyle w:val="charCitHyperlinkAbbrev"/>
        </w:rPr>
        <w:fldChar w:fldCharType="end"/>
      </w:r>
      <w:bookmarkEnd w:id="1"/>
    </w:p>
    <w:p w14:paraId="2DC5496C" w14:textId="77777777" w:rsidR="00B84A29" w:rsidRPr="003C3B59" w:rsidRDefault="00B84A29">
      <w:pPr>
        <w:pStyle w:val="Placeholder"/>
      </w:pPr>
      <w:r w:rsidRPr="003C3B59">
        <w:rPr>
          <w:rStyle w:val="CharChapNo"/>
        </w:rPr>
        <w:t xml:space="preserve">  </w:t>
      </w:r>
      <w:r w:rsidRPr="003C3B59">
        <w:rPr>
          <w:rStyle w:val="CharChapText"/>
        </w:rPr>
        <w:t xml:space="preserve">  </w:t>
      </w:r>
    </w:p>
    <w:p w14:paraId="049E8649" w14:textId="77777777" w:rsidR="00B84A29" w:rsidRPr="003C3B59" w:rsidRDefault="00B84A29">
      <w:pPr>
        <w:pStyle w:val="Placeholder"/>
      </w:pPr>
      <w:r w:rsidRPr="003C3B59">
        <w:rPr>
          <w:rStyle w:val="CharPartNo"/>
        </w:rPr>
        <w:t xml:space="preserve">  </w:t>
      </w:r>
      <w:r w:rsidRPr="003C3B59">
        <w:rPr>
          <w:rStyle w:val="CharPartText"/>
        </w:rPr>
        <w:t xml:space="preserve">  </w:t>
      </w:r>
    </w:p>
    <w:p w14:paraId="50924E06" w14:textId="77777777" w:rsidR="00B84A29" w:rsidRPr="003C3B59" w:rsidRDefault="00B84A29">
      <w:pPr>
        <w:pStyle w:val="Placeholder"/>
      </w:pPr>
      <w:r w:rsidRPr="003C3B59">
        <w:rPr>
          <w:rStyle w:val="CharDivNo"/>
        </w:rPr>
        <w:t xml:space="preserve">  </w:t>
      </w:r>
      <w:r w:rsidRPr="003C3B59">
        <w:rPr>
          <w:rStyle w:val="CharDivText"/>
        </w:rPr>
        <w:t xml:space="preserve">  </w:t>
      </w:r>
    </w:p>
    <w:p w14:paraId="17C81C2A" w14:textId="77777777" w:rsidR="00B84A29" w:rsidRPr="003C3B59" w:rsidRDefault="00B84A29">
      <w:pPr>
        <w:pStyle w:val="Placeholder"/>
      </w:pPr>
      <w:r w:rsidRPr="003C3B59">
        <w:rPr>
          <w:rStyle w:val="charContents"/>
          <w:sz w:val="16"/>
        </w:rPr>
        <w:t xml:space="preserve">  </w:t>
      </w:r>
      <w:r w:rsidRPr="003C3B59">
        <w:rPr>
          <w:rStyle w:val="charPage"/>
        </w:rPr>
        <w:t xml:space="preserve">  </w:t>
      </w:r>
    </w:p>
    <w:p w14:paraId="3EC5CA72" w14:textId="15F44B71" w:rsidR="00F70A72" w:rsidRPr="003C3B59" w:rsidRDefault="00F70A72">
      <w:pPr>
        <w:pStyle w:val="N-TOCheading"/>
      </w:pPr>
      <w:r w:rsidRPr="003C3B59">
        <w:rPr>
          <w:rStyle w:val="charContents"/>
        </w:rPr>
        <w:t>Contents</w:t>
      </w:r>
    </w:p>
    <w:p w14:paraId="44F44FFB" w14:textId="77777777" w:rsidR="00F70A72" w:rsidRPr="003C3B59" w:rsidRDefault="00F70A72">
      <w:pPr>
        <w:pStyle w:val="N-9pt"/>
      </w:pPr>
      <w:r w:rsidRPr="003C3B59">
        <w:tab/>
      </w:r>
      <w:r w:rsidRPr="003C3B59">
        <w:rPr>
          <w:rStyle w:val="charPage"/>
        </w:rPr>
        <w:t>Page</w:t>
      </w:r>
    </w:p>
    <w:p w14:paraId="09A13964" w14:textId="003C98EC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4332401" w:history="1">
        <w:r w:rsidRPr="006E07B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Name of regulation</w:t>
        </w:r>
        <w:r>
          <w:tab/>
        </w:r>
        <w:r>
          <w:fldChar w:fldCharType="begin"/>
        </w:r>
        <w:r>
          <w:instrText xml:space="preserve"> PAGEREF _Toc84332401 \h </w:instrText>
        </w:r>
        <w:r>
          <w:fldChar w:fldCharType="separate"/>
        </w:r>
        <w:r w:rsidR="00EA731A">
          <w:t>1</w:t>
        </w:r>
        <w:r>
          <w:fldChar w:fldCharType="end"/>
        </w:r>
      </w:hyperlink>
    </w:p>
    <w:p w14:paraId="09236542" w14:textId="4BDB1C32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02" w:history="1">
        <w:r w:rsidRPr="006E07B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Commencement</w:t>
        </w:r>
        <w:r>
          <w:tab/>
        </w:r>
        <w:r>
          <w:fldChar w:fldCharType="begin"/>
        </w:r>
        <w:r>
          <w:instrText xml:space="preserve"> PAGEREF _Toc84332402 \h </w:instrText>
        </w:r>
        <w:r>
          <w:fldChar w:fldCharType="separate"/>
        </w:r>
        <w:r w:rsidR="00EA731A">
          <w:t>1</w:t>
        </w:r>
        <w:r>
          <w:fldChar w:fldCharType="end"/>
        </w:r>
      </w:hyperlink>
    </w:p>
    <w:p w14:paraId="2DF043BC" w14:textId="1CAAC028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03" w:history="1">
        <w:r w:rsidRPr="006E07B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Legislation amended</w:t>
        </w:r>
        <w:r>
          <w:tab/>
        </w:r>
        <w:r>
          <w:fldChar w:fldCharType="begin"/>
        </w:r>
        <w:r>
          <w:instrText xml:space="preserve"> PAGEREF _Toc84332403 \h </w:instrText>
        </w:r>
        <w:r>
          <w:fldChar w:fldCharType="separate"/>
        </w:r>
        <w:r w:rsidR="00EA731A">
          <w:t>1</w:t>
        </w:r>
        <w:r>
          <w:fldChar w:fldCharType="end"/>
        </w:r>
      </w:hyperlink>
    </w:p>
    <w:p w14:paraId="756343F5" w14:textId="2CBC14E7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04" w:history="1">
        <w:r w:rsidRPr="006E07BC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31 (2) and note</w:t>
        </w:r>
        <w:r>
          <w:tab/>
        </w:r>
        <w:r>
          <w:fldChar w:fldCharType="begin"/>
        </w:r>
        <w:r>
          <w:instrText xml:space="preserve"> PAGEREF _Toc84332404 \h </w:instrText>
        </w:r>
        <w:r>
          <w:fldChar w:fldCharType="separate"/>
        </w:r>
        <w:r w:rsidR="00EA731A">
          <w:t>1</w:t>
        </w:r>
        <w:r>
          <w:fldChar w:fldCharType="end"/>
        </w:r>
      </w:hyperlink>
    </w:p>
    <w:p w14:paraId="7C3304D6" w14:textId="73FD0166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05" w:history="1">
        <w:r w:rsidRPr="006E07B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 xml:space="preserve">Section 41 (4), definition of </w:t>
        </w:r>
        <w:r w:rsidRPr="006E07BC">
          <w:rPr>
            <w:i/>
          </w:rPr>
          <w:t>relevant approval particulars</w:t>
        </w:r>
        <w:r>
          <w:tab/>
        </w:r>
        <w:r>
          <w:fldChar w:fldCharType="begin"/>
        </w:r>
        <w:r>
          <w:instrText xml:space="preserve"> PAGEREF _Toc84332405 \h </w:instrText>
        </w:r>
        <w:r>
          <w:fldChar w:fldCharType="separate"/>
        </w:r>
        <w:r w:rsidR="00EA731A">
          <w:t>2</w:t>
        </w:r>
        <w:r>
          <w:fldChar w:fldCharType="end"/>
        </w:r>
      </w:hyperlink>
    </w:p>
    <w:p w14:paraId="4C4D893E" w14:textId="0E1FD77A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4332406" w:history="1">
        <w:r w:rsidRPr="006E07B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 xml:space="preserve">Section 121 (3), definition of </w:t>
        </w:r>
        <w:r w:rsidRPr="006E07BC">
          <w:rPr>
            <w:i/>
          </w:rPr>
          <w:t>authorised prescriber</w:t>
        </w:r>
        <w:r w:rsidRPr="006E07BC">
          <w:t xml:space="preserve"> and examples</w:t>
        </w:r>
        <w:r>
          <w:tab/>
        </w:r>
        <w:r>
          <w:fldChar w:fldCharType="begin"/>
        </w:r>
        <w:r>
          <w:instrText xml:space="preserve"> PAGEREF _Toc84332406 \h </w:instrText>
        </w:r>
        <w:r>
          <w:fldChar w:fldCharType="separate"/>
        </w:r>
        <w:r w:rsidR="00EA731A">
          <w:t>2</w:t>
        </w:r>
        <w:r>
          <w:fldChar w:fldCharType="end"/>
        </w:r>
      </w:hyperlink>
    </w:p>
    <w:p w14:paraId="5596E0F8" w14:textId="7C812D44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07" w:history="1">
        <w:r w:rsidRPr="006E07B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124 (1)</w:t>
        </w:r>
        <w:r>
          <w:tab/>
        </w:r>
        <w:r>
          <w:fldChar w:fldCharType="begin"/>
        </w:r>
        <w:r>
          <w:instrText xml:space="preserve"> PAGEREF _Toc84332407 \h </w:instrText>
        </w:r>
        <w:r>
          <w:fldChar w:fldCharType="separate"/>
        </w:r>
        <w:r w:rsidR="00EA731A">
          <w:t>2</w:t>
        </w:r>
        <w:r>
          <w:fldChar w:fldCharType="end"/>
        </w:r>
      </w:hyperlink>
    </w:p>
    <w:p w14:paraId="184174F2" w14:textId="3FC38DD2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08" w:history="1">
        <w:r w:rsidRPr="006E07B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124 (3)</w:t>
        </w:r>
        <w:r>
          <w:tab/>
        </w:r>
        <w:r>
          <w:fldChar w:fldCharType="begin"/>
        </w:r>
        <w:r>
          <w:instrText xml:space="preserve"> PAGEREF _Toc84332408 \h </w:instrText>
        </w:r>
        <w:r>
          <w:fldChar w:fldCharType="separate"/>
        </w:r>
        <w:r w:rsidR="00EA731A">
          <w:t>3</w:t>
        </w:r>
        <w:r>
          <w:fldChar w:fldCharType="end"/>
        </w:r>
      </w:hyperlink>
    </w:p>
    <w:p w14:paraId="22301C24" w14:textId="7287006B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09" w:history="1">
        <w:r w:rsidRPr="006E07B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 xml:space="preserve">Section 124 (4), new definition of </w:t>
        </w:r>
        <w:r w:rsidRPr="006E07BC">
          <w:rPr>
            <w:i/>
          </w:rPr>
          <w:t>national residential medication chart</w:t>
        </w:r>
        <w:r>
          <w:tab/>
        </w:r>
        <w:r>
          <w:fldChar w:fldCharType="begin"/>
        </w:r>
        <w:r>
          <w:instrText xml:space="preserve"> PAGEREF _Toc84332409 \h </w:instrText>
        </w:r>
        <w:r>
          <w:fldChar w:fldCharType="separate"/>
        </w:r>
        <w:r w:rsidR="00EA731A">
          <w:t>3</w:t>
        </w:r>
        <w:r>
          <w:fldChar w:fldCharType="end"/>
        </w:r>
      </w:hyperlink>
    </w:p>
    <w:p w14:paraId="2AB45BB5" w14:textId="31AE7ECE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0" w:history="1">
        <w:r w:rsidRPr="006E07B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 xml:space="preserve">Section 430 (4), definition of </w:t>
        </w:r>
        <w:r w:rsidRPr="006E07BC">
          <w:rPr>
            <w:i/>
          </w:rPr>
          <w:t>authorised activity</w:t>
        </w:r>
        <w:r w:rsidRPr="006E07BC">
          <w:t>, new paragraph (d)</w:t>
        </w:r>
        <w:r>
          <w:tab/>
        </w:r>
        <w:r>
          <w:fldChar w:fldCharType="begin"/>
        </w:r>
        <w:r>
          <w:instrText xml:space="preserve"> PAGEREF _Toc84332410 \h </w:instrText>
        </w:r>
        <w:r>
          <w:fldChar w:fldCharType="separate"/>
        </w:r>
        <w:r w:rsidR="00EA731A">
          <w:t>3</w:t>
        </w:r>
        <w:r>
          <w:fldChar w:fldCharType="end"/>
        </w:r>
      </w:hyperlink>
    </w:p>
    <w:p w14:paraId="642F054B" w14:textId="6E9F9675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1" w:history="1">
        <w:r w:rsidRPr="006E07B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Sections 555 and 556</w:t>
        </w:r>
        <w:r>
          <w:tab/>
        </w:r>
        <w:r>
          <w:fldChar w:fldCharType="begin"/>
        </w:r>
        <w:r>
          <w:instrText xml:space="preserve"> PAGEREF _Toc84332411 \h </w:instrText>
        </w:r>
        <w:r>
          <w:fldChar w:fldCharType="separate"/>
        </w:r>
        <w:r w:rsidR="00EA731A">
          <w:t>3</w:t>
        </w:r>
        <w:r>
          <w:fldChar w:fldCharType="end"/>
        </w:r>
      </w:hyperlink>
    </w:p>
    <w:p w14:paraId="7AEB0694" w14:textId="3CA1D2C0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2" w:history="1">
        <w:r w:rsidRPr="006E07BC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561 (1) (c) (i), except note</w:t>
        </w:r>
        <w:r>
          <w:tab/>
        </w:r>
        <w:r>
          <w:fldChar w:fldCharType="begin"/>
        </w:r>
        <w:r>
          <w:instrText xml:space="preserve"> PAGEREF _Toc84332412 \h </w:instrText>
        </w:r>
        <w:r>
          <w:fldChar w:fldCharType="separate"/>
        </w:r>
        <w:r w:rsidR="00EA731A">
          <w:t>5</w:t>
        </w:r>
        <w:r>
          <w:fldChar w:fldCharType="end"/>
        </w:r>
      </w:hyperlink>
    </w:p>
    <w:p w14:paraId="25685108" w14:textId="6B3BCDB9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3" w:history="1">
        <w:r w:rsidRPr="006E07BC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635 (1)</w:t>
        </w:r>
        <w:r>
          <w:tab/>
        </w:r>
        <w:r>
          <w:fldChar w:fldCharType="begin"/>
        </w:r>
        <w:r>
          <w:instrText xml:space="preserve"> PAGEREF _Toc84332413 \h </w:instrText>
        </w:r>
        <w:r>
          <w:fldChar w:fldCharType="separate"/>
        </w:r>
        <w:r w:rsidR="00EA731A">
          <w:t>5</w:t>
        </w:r>
        <w:r>
          <w:fldChar w:fldCharType="end"/>
        </w:r>
      </w:hyperlink>
    </w:p>
    <w:p w14:paraId="2DF95DB9" w14:textId="40A508AF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4" w:history="1">
        <w:r w:rsidRPr="006E07BC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635 (1), note 2</w:t>
        </w:r>
        <w:r>
          <w:tab/>
        </w:r>
        <w:r>
          <w:fldChar w:fldCharType="begin"/>
        </w:r>
        <w:r>
          <w:instrText xml:space="preserve"> PAGEREF _Toc84332414 \h </w:instrText>
        </w:r>
        <w:r>
          <w:fldChar w:fldCharType="separate"/>
        </w:r>
        <w:r w:rsidR="00EA731A">
          <w:t>5</w:t>
        </w:r>
        <w:r>
          <w:fldChar w:fldCharType="end"/>
        </w:r>
      </w:hyperlink>
    </w:p>
    <w:p w14:paraId="528D566D" w14:textId="77ED7C15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5" w:history="1">
        <w:r w:rsidRPr="006E07BC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Sections 637 and 644</w:t>
        </w:r>
        <w:r>
          <w:tab/>
        </w:r>
        <w:r>
          <w:fldChar w:fldCharType="begin"/>
        </w:r>
        <w:r>
          <w:instrText xml:space="preserve"> PAGEREF _Toc84332415 \h </w:instrText>
        </w:r>
        <w:r>
          <w:fldChar w:fldCharType="separate"/>
        </w:r>
        <w:r w:rsidR="00EA731A">
          <w:t>5</w:t>
        </w:r>
        <w:r>
          <w:fldChar w:fldCharType="end"/>
        </w:r>
      </w:hyperlink>
    </w:p>
    <w:p w14:paraId="133973BC" w14:textId="51DF13ED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6" w:history="1">
        <w:r w:rsidRPr="006E07BC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 xml:space="preserve">Section 695 (3), definition of </w:t>
        </w:r>
        <w:r w:rsidRPr="006E07BC">
          <w:rPr>
            <w:i/>
          </w:rPr>
          <w:t>authorised activity</w:t>
        </w:r>
        <w:r w:rsidRPr="006E07BC">
          <w:t>, new paragraph (d)</w:t>
        </w:r>
        <w:r>
          <w:tab/>
        </w:r>
        <w:r>
          <w:fldChar w:fldCharType="begin"/>
        </w:r>
        <w:r>
          <w:instrText xml:space="preserve"> PAGEREF _Toc84332416 \h </w:instrText>
        </w:r>
        <w:r>
          <w:fldChar w:fldCharType="separate"/>
        </w:r>
        <w:r w:rsidR="00EA731A">
          <w:t>5</w:t>
        </w:r>
        <w:r>
          <w:fldChar w:fldCharType="end"/>
        </w:r>
      </w:hyperlink>
    </w:p>
    <w:p w14:paraId="1E19A880" w14:textId="23D7658E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7" w:history="1">
        <w:r w:rsidRPr="006E07BC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863 (d)</w:t>
        </w:r>
        <w:r>
          <w:tab/>
        </w:r>
        <w:r>
          <w:fldChar w:fldCharType="begin"/>
        </w:r>
        <w:r>
          <w:instrText xml:space="preserve"> PAGEREF _Toc84332417 \h </w:instrText>
        </w:r>
        <w:r>
          <w:fldChar w:fldCharType="separate"/>
        </w:r>
        <w:r w:rsidR="00EA731A">
          <w:t>6</w:t>
        </w:r>
        <w:r>
          <w:fldChar w:fldCharType="end"/>
        </w:r>
      </w:hyperlink>
    </w:p>
    <w:p w14:paraId="5961E8A0" w14:textId="2A9E0919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8" w:history="1">
        <w:r w:rsidRPr="006E07BC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New section 863 (g) to (k)</w:t>
        </w:r>
        <w:r>
          <w:tab/>
        </w:r>
        <w:r>
          <w:fldChar w:fldCharType="begin"/>
        </w:r>
        <w:r>
          <w:instrText xml:space="preserve"> PAGEREF _Toc84332418 \h </w:instrText>
        </w:r>
        <w:r>
          <w:fldChar w:fldCharType="separate"/>
        </w:r>
        <w:r w:rsidR="00EA731A">
          <w:t>6</w:t>
        </w:r>
        <w:r>
          <w:fldChar w:fldCharType="end"/>
        </w:r>
      </w:hyperlink>
    </w:p>
    <w:p w14:paraId="1C262FD3" w14:textId="2EB1E452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19" w:history="1">
        <w:r w:rsidRPr="006E07BC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Section 863, new note</w:t>
        </w:r>
        <w:r>
          <w:tab/>
        </w:r>
        <w:r>
          <w:fldChar w:fldCharType="begin"/>
        </w:r>
        <w:r>
          <w:instrText xml:space="preserve"> PAGEREF _Toc84332419 \h </w:instrText>
        </w:r>
        <w:r>
          <w:fldChar w:fldCharType="separate"/>
        </w:r>
        <w:r w:rsidR="00EA731A">
          <w:t>6</w:t>
        </w:r>
        <w:r>
          <w:fldChar w:fldCharType="end"/>
        </w:r>
      </w:hyperlink>
    </w:p>
    <w:p w14:paraId="00056223" w14:textId="2A4D9C16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20" w:history="1">
        <w:r w:rsidRPr="006E07BC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Schedule 1, part 1.11, item 1, column 3, paragraph (a) (ii)</w:t>
        </w:r>
        <w:r>
          <w:tab/>
        </w:r>
        <w:r>
          <w:fldChar w:fldCharType="begin"/>
        </w:r>
        <w:r>
          <w:instrText xml:space="preserve"> PAGEREF _Toc84332420 \h </w:instrText>
        </w:r>
        <w:r>
          <w:fldChar w:fldCharType="separate"/>
        </w:r>
        <w:r w:rsidR="00EA731A">
          <w:t>7</w:t>
        </w:r>
        <w:r>
          <w:fldChar w:fldCharType="end"/>
        </w:r>
      </w:hyperlink>
    </w:p>
    <w:p w14:paraId="699279D5" w14:textId="19E650A0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21" w:history="1">
        <w:r w:rsidRPr="006E07BC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 xml:space="preserve">Schedule 3, section 3.1, new definition of </w:t>
        </w:r>
        <w:r w:rsidRPr="006E07BC">
          <w:rPr>
            <w:i/>
          </w:rPr>
          <w:t>approved indication</w:t>
        </w:r>
        <w:r>
          <w:tab/>
        </w:r>
        <w:r>
          <w:fldChar w:fldCharType="begin"/>
        </w:r>
        <w:r>
          <w:instrText xml:space="preserve"> PAGEREF _Toc84332421 \h </w:instrText>
        </w:r>
        <w:r>
          <w:fldChar w:fldCharType="separate"/>
        </w:r>
        <w:r w:rsidR="00EA731A">
          <w:t>7</w:t>
        </w:r>
        <w:r>
          <w:fldChar w:fldCharType="end"/>
        </w:r>
      </w:hyperlink>
    </w:p>
    <w:p w14:paraId="3358C529" w14:textId="09882BD9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22" w:history="1">
        <w:r w:rsidRPr="006E07BC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Schedule 3, part 3.2, item 5, column 2</w:t>
        </w:r>
        <w:r>
          <w:tab/>
        </w:r>
        <w:r>
          <w:fldChar w:fldCharType="begin"/>
        </w:r>
        <w:r>
          <w:instrText xml:space="preserve"> PAGEREF _Toc84332422 \h </w:instrText>
        </w:r>
        <w:r>
          <w:fldChar w:fldCharType="separate"/>
        </w:r>
        <w:r w:rsidR="00EA731A">
          <w:t>7</w:t>
        </w:r>
        <w:r>
          <w:fldChar w:fldCharType="end"/>
        </w:r>
      </w:hyperlink>
    </w:p>
    <w:p w14:paraId="6F9082FE" w14:textId="48038B19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23" w:history="1">
        <w:r w:rsidRPr="006E07BC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Schedule 3, part 3.2, item 6, column 2</w:t>
        </w:r>
        <w:r>
          <w:tab/>
        </w:r>
        <w:r>
          <w:fldChar w:fldCharType="begin"/>
        </w:r>
        <w:r>
          <w:instrText xml:space="preserve"> PAGEREF _Toc84332423 \h </w:instrText>
        </w:r>
        <w:r>
          <w:fldChar w:fldCharType="separate"/>
        </w:r>
        <w:r w:rsidR="00EA731A">
          <w:t>7</w:t>
        </w:r>
        <w:r>
          <w:fldChar w:fldCharType="end"/>
        </w:r>
      </w:hyperlink>
    </w:p>
    <w:p w14:paraId="15FE46F5" w14:textId="36C6FB10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24" w:history="1">
        <w:r w:rsidRPr="006E07BC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Schedule 3, part 3.2, new items 7 to 9</w:t>
        </w:r>
        <w:r>
          <w:tab/>
        </w:r>
        <w:r>
          <w:fldChar w:fldCharType="begin"/>
        </w:r>
        <w:r>
          <w:instrText xml:space="preserve"> PAGEREF _Toc84332424 \h </w:instrText>
        </w:r>
        <w:r>
          <w:fldChar w:fldCharType="separate"/>
        </w:r>
        <w:r w:rsidR="00EA731A">
          <w:t>8</w:t>
        </w:r>
        <w:r>
          <w:fldChar w:fldCharType="end"/>
        </w:r>
      </w:hyperlink>
    </w:p>
    <w:p w14:paraId="56F4E212" w14:textId="611DAD65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25" w:history="1">
        <w:r w:rsidRPr="006E07BC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>Schedule 3, part 3.2, new note</w:t>
        </w:r>
        <w:r>
          <w:tab/>
        </w:r>
        <w:r>
          <w:fldChar w:fldCharType="begin"/>
        </w:r>
        <w:r>
          <w:instrText xml:space="preserve"> PAGEREF _Toc84332425 \h </w:instrText>
        </w:r>
        <w:r>
          <w:fldChar w:fldCharType="separate"/>
        </w:r>
        <w:r w:rsidR="00EA731A">
          <w:t>8</w:t>
        </w:r>
        <w:r>
          <w:fldChar w:fldCharType="end"/>
        </w:r>
      </w:hyperlink>
    </w:p>
    <w:p w14:paraId="0B91A7CE" w14:textId="482DD5A5" w:rsidR="002167C1" w:rsidRDefault="002167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32426" w:history="1">
        <w:r w:rsidRPr="006E07BC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E07BC">
          <w:t xml:space="preserve">Dictionary, definition of </w:t>
        </w:r>
        <w:r w:rsidRPr="006E07BC">
          <w:rPr>
            <w:i/>
          </w:rPr>
          <w:t>national residential medication chart prescription</w:t>
        </w:r>
        <w:r>
          <w:tab/>
        </w:r>
        <w:r>
          <w:fldChar w:fldCharType="begin"/>
        </w:r>
        <w:r>
          <w:instrText xml:space="preserve"> PAGEREF _Toc84332426 \h </w:instrText>
        </w:r>
        <w:r>
          <w:fldChar w:fldCharType="separate"/>
        </w:r>
        <w:r w:rsidR="00EA731A">
          <w:t>9</w:t>
        </w:r>
        <w:r>
          <w:fldChar w:fldCharType="end"/>
        </w:r>
      </w:hyperlink>
    </w:p>
    <w:p w14:paraId="6BAD1E7B" w14:textId="6DDF4673" w:rsidR="00F70A72" w:rsidRPr="003C3B59" w:rsidRDefault="002167C1">
      <w:pPr>
        <w:pStyle w:val="BillBasic"/>
      </w:pPr>
      <w:r>
        <w:fldChar w:fldCharType="end"/>
      </w:r>
    </w:p>
    <w:p w14:paraId="6A50C2E5" w14:textId="77777777" w:rsidR="003C3B59" w:rsidRDefault="003C3B59">
      <w:pPr>
        <w:pStyle w:val="01Contents"/>
        <w:sectPr w:rsidR="003C3B59" w:rsidSect="00890ACB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D31DBDB" w14:textId="48709281" w:rsidR="00B84A29" w:rsidRPr="003C3B59" w:rsidRDefault="003C3B59" w:rsidP="003C3B59">
      <w:pPr>
        <w:pStyle w:val="AH5Sec"/>
        <w:shd w:val="pct25" w:color="auto" w:fill="auto"/>
      </w:pPr>
      <w:bookmarkStart w:id="2" w:name="_Toc84332401"/>
      <w:r w:rsidRPr="003C3B59">
        <w:rPr>
          <w:rStyle w:val="CharSectNo"/>
        </w:rPr>
        <w:lastRenderedPageBreak/>
        <w:t>1</w:t>
      </w:r>
      <w:r w:rsidRPr="003C3B59">
        <w:tab/>
      </w:r>
      <w:r w:rsidR="00B84A29" w:rsidRPr="003C3B59">
        <w:t>Name of regulation</w:t>
      </w:r>
      <w:bookmarkEnd w:id="2"/>
    </w:p>
    <w:p w14:paraId="6CCC1B9A" w14:textId="51279DC7" w:rsidR="00B84A29" w:rsidRPr="003C3B59" w:rsidRDefault="00B84A29">
      <w:pPr>
        <w:pStyle w:val="Amainreturn"/>
      </w:pPr>
      <w:r w:rsidRPr="003C3B59">
        <w:t xml:space="preserve">This regulation is the </w:t>
      </w:r>
      <w:r w:rsidRPr="003C3B59">
        <w:rPr>
          <w:i/>
        </w:rPr>
        <w:fldChar w:fldCharType="begin"/>
      </w:r>
      <w:r w:rsidRPr="003C3B59">
        <w:rPr>
          <w:i/>
        </w:rPr>
        <w:instrText xml:space="preserve"> REF citation \*charformat </w:instrText>
      </w:r>
      <w:r w:rsidRPr="003C3B59">
        <w:rPr>
          <w:i/>
        </w:rPr>
        <w:fldChar w:fldCharType="separate"/>
      </w:r>
      <w:r w:rsidR="00EA731A" w:rsidRPr="00EA731A">
        <w:rPr>
          <w:i/>
        </w:rPr>
        <w:t>Medicines, Poisons and Therapeutic Goods Amendment Regulation 2021 (No 2)</w:t>
      </w:r>
      <w:r w:rsidRPr="003C3B59">
        <w:rPr>
          <w:i/>
        </w:rPr>
        <w:fldChar w:fldCharType="end"/>
      </w:r>
      <w:r w:rsidRPr="003C3B59">
        <w:rPr>
          <w:iCs/>
        </w:rPr>
        <w:t>.</w:t>
      </w:r>
    </w:p>
    <w:p w14:paraId="6D4BC1E1" w14:textId="6B08B765" w:rsidR="00B84A29" w:rsidRPr="003C3B59" w:rsidRDefault="003C3B59" w:rsidP="003C3B59">
      <w:pPr>
        <w:pStyle w:val="AH5Sec"/>
        <w:shd w:val="pct25" w:color="auto" w:fill="auto"/>
      </w:pPr>
      <w:bookmarkStart w:id="3" w:name="_Toc84332402"/>
      <w:r w:rsidRPr="003C3B59">
        <w:rPr>
          <w:rStyle w:val="CharSectNo"/>
        </w:rPr>
        <w:t>2</w:t>
      </w:r>
      <w:r w:rsidRPr="003C3B59">
        <w:tab/>
      </w:r>
      <w:r w:rsidR="00B84A29" w:rsidRPr="003C3B59">
        <w:t>Commencement</w:t>
      </w:r>
      <w:bookmarkEnd w:id="3"/>
    </w:p>
    <w:p w14:paraId="0E59B3FA" w14:textId="77777777" w:rsidR="00B84A29" w:rsidRPr="003C3B59" w:rsidRDefault="00B84A29" w:rsidP="003C3B59">
      <w:pPr>
        <w:pStyle w:val="Amainreturn"/>
        <w:keepNext/>
      </w:pPr>
      <w:r w:rsidRPr="003C3B59">
        <w:t>This regulation commences on the day after its notification day.</w:t>
      </w:r>
    </w:p>
    <w:p w14:paraId="225A2C34" w14:textId="77DCB4FB" w:rsidR="00B84A29" w:rsidRPr="003C3B59" w:rsidRDefault="00B84A29">
      <w:pPr>
        <w:pStyle w:val="aNote"/>
      </w:pPr>
      <w:r w:rsidRPr="003C3B59">
        <w:rPr>
          <w:rStyle w:val="charItals"/>
        </w:rPr>
        <w:t>Note</w:t>
      </w:r>
      <w:r w:rsidRPr="003C3B59">
        <w:rPr>
          <w:rStyle w:val="charItals"/>
        </w:rPr>
        <w:tab/>
      </w:r>
      <w:r w:rsidRPr="003C3B59">
        <w:t xml:space="preserve">The naming and commencement provisions automatically commence on the notification day (see </w:t>
      </w:r>
      <w:hyperlink r:id="rId21" w:tooltip="A2001-14" w:history="1">
        <w:r w:rsidR="008C024F" w:rsidRPr="003C3B59">
          <w:rPr>
            <w:rStyle w:val="charCitHyperlinkAbbrev"/>
          </w:rPr>
          <w:t>Legislation Act</w:t>
        </w:r>
      </w:hyperlink>
      <w:r w:rsidRPr="003C3B59">
        <w:t>, s 75 (1)).</w:t>
      </w:r>
    </w:p>
    <w:p w14:paraId="7963F69C" w14:textId="29F304B7" w:rsidR="00B84A29" w:rsidRPr="003C3B59" w:rsidRDefault="003C3B59" w:rsidP="003C3B59">
      <w:pPr>
        <w:pStyle w:val="AH5Sec"/>
        <w:shd w:val="pct25" w:color="auto" w:fill="auto"/>
      </w:pPr>
      <w:bookmarkStart w:id="4" w:name="_Toc84332403"/>
      <w:r w:rsidRPr="003C3B59">
        <w:rPr>
          <w:rStyle w:val="CharSectNo"/>
        </w:rPr>
        <w:t>3</w:t>
      </w:r>
      <w:r w:rsidRPr="003C3B59">
        <w:tab/>
      </w:r>
      <w:r w:rsidR="00B84A29" w:rsidRPr="003C3B59">
        <w:t>Legislation amended</w:t>
      </w:r>
      <w:bookmarkEnd w:id="4"/>
    </w:p>
    <w:p w14:paraId="0AF8AF84" w14:textId="6917EB48" w:rsidR="00B84A29" w:rsidRPr="003C3B59" w:rsidRDefault="00B84A29">
      <w:pPr>
        <w:pStyle w:val="Amainreturn"/>
      </w:pPr>
      <w:r w:rsidRPr="003C3B59">
        <w:t xml:space="preserve">This regulation amends the </w:t>
      </w:r>
      <w:hyperlink r:id="rId22" w:tooltip="SL2008-42" w:history="1">
        <w:r w:rsidR="00B0065C" w:rsidRPr="003C3B59">
          <w:rPr>
            <w:rStyle w:val="charCitHyperlinkItal"/>
          </w:rPr>
          <w:t>Medicines, Poisons and Therapeutic Goods Regulation 2008</w:t>
        </w:r>
      </w:hyperlink>
      <w:r w:rsidRPr="003C3B59">
        <w:t>.</w:t>
      </w:r>
    </w:p>
    <w:p w14:paraId="41B04912" w14:textId="61A249B8" w:rsidR="00F72C7F" w:rsidRPr="003C3B59" w:rsidRDefault="003C3B59" w:rsidP="003C3B59">
      <w:pPr>
        <w:pStyle w:val="AH5Sec"/>
        <w:shd w:val="pct25" w:color="auto" w:fill="auto"/>
      </w:pPr>
      <w:bookmarkStart w:id="5" w:name="_Toc84332404"/>
      <w:r w:rsidRPr="003C3B59">
        <w:rPr>
          <w:rStyle w:val="CharSectNo"/>
        </w:rPr>
        <w:t>4</w:t>
      </w:r>
      <w:r w:rsidRPr="003C3B59">
        <w:tab/>
      </w:r>
      <w:r w:rsidR="00F72C7F" w:rsidRPr="003C3B59">
        <w:t>Section 31 (2)</w:t>
      </w:r>
      <w:r w:rsidR="00763790" w:rsidRPr="003C3B59">
        <w:t xml:space="preserve"> and note</w:t>
      </w:r>
      <w:bookmarkEnd w:id="5"/>
    </w:p>
    <w:p w14:paraId="22F00E9C" w14:textId="59B61D02" w:rsidR="00F72C7F" w:rsidRPr="003C3B59" w:rsidRDefault="00883A65" w:rsidP="00F72C7F">
      <w:pPr>
        <w:pStyle w:val="direction"/>
      </w:pPr>
      <w:r w:rsidRPr="003C3B59">
        <w:t>substitute</w:t>
      </w:r>
    </w:p>
    <w:p w14:paraId="3A83B928" w14:textId="1FEAB496" w:rsidR="00883A65" w:rsidRPr="003C3B59" w:rsidRDefault="00883A65" w:rsidP="00883A65">
      <w:pPr>
        <w:pStyle w:val="IMain"/>
      </w:pPr>
      <w:r w:rsidRPr="003C3B59">
        <w:tab/>
        <w:t>(2)</w:t>
      </w:r>
      <w:r w:rsidRPr="003C3B59">
        <w:tab/>
        <w:t>In this section:</w:t>
      </w:r>
    </w:p>
    <w:p w14:paraId="65747A01" w14:textId="55AA0AC9" w:rsidR="00883A65" w:rsidRPr="003C3B59" w:rsidRDefault="00883A65" w:rsidP="003C3B59">
      <w:pPr>
        <w:pStyle w:val="aDef"/>
        <w:keepNext/>
        <w:rPr>
          <w:lang w:eastAsia="en-AU"/>
        </w:rPr>
      </w:pPr>
      <w:r w:rsidRPr="003C3B59">
        <w:rPr>
          <w:rStyle w:val="charBoldItals"/>
        </w:rPr>
        <w:t>national residential medication chart</w:t>
      </w:r>
      <w:r w:rsidRPr="003C3B59">
        <w:rPr>
          <w:lang w:eastAsia="en-AU"/>
        </w:rPr>
        <w:t xml:space="preserve"> means a medication chart within the meaning of the </w:t>
      </w:r>
      <w:hyperlink r:id="rId23" w:tooltip="National Health (Pharmaceutical Benefits) Regulations 2017" w:history="1">
        <w:r w:rsidR="00B0065C" w:rsidRPr="003C3B59">
          <w:rPr>
            <w:rStyle w:val="charCitHyperlinkItal"/>
          </w:rPr>
          <w:t>National Health (Pharmaceutical Benefits) Regulations 2017</w:t>
        </w:r>
      </w:hyperlink>
      <w:r w:rsidRPr="003C3B59">
        <w:rPr>
          <w:lang w:eastAsia="en-AU"/>
        </w:rPr>
        <w:t xml:space="preserve"> (Cwlth), section</w:t>
      </w:r>
      <w:r w:rsidR="00763790" w:rsidRPr="003C3B59">
        <w:rPr>
          <w:lang w:eastAsia="en-AU"/>
        </w:rPr>
        <w:t> </w:t>
      </w:r>
      <w:r w:rsidRPr="003C3B59">
        <w:rPr>
          <w:lang w:eastAsia="en-AU"/>
        </w:rPr>
        <w:t>41</w:t>
      </w:r>
      <w:r w:rsidR="00763790" w:rsidRPr="003C3B59">
        <w:rPr>
          <w:lang w:eastAsia="en-AU"/>
        </w:rPr>
        <w:t> </w:t>
      </w:r>
      <w:r w:rsidR="00624DE9" w:rsidRPr="003C3B59">
        <w:rPr>
          <w:lang w:eastAsia="en-AU"/>
        </w:rPr>
        <w:t>(</w:t>
      </w:r>
      <w:r w:rsidR="009E76D9" w:rsidRPr="003C3B59">
        <w:rPr>
          <w:lang w:eastAsia="en-AU"/>
        </w:rPr>
        <w:t>4</w:t>
      </w:r>
      <w:r w:rsidR="00624DE9" w:rsidRPr="003C3B59">
        <w:rPr>
          <w:lang w:eastAsia="en-AU"/>
        </w:rPr>
        <w:t>)</w:t>
      </w:r>
      <w:r w:rsidRPr="003C3B59">
        <w:rPr>
          <w:lang w:eastAsia="en-AU"/>
        </w:rPr>
        <w:t>, as in force from time to time.</w:t>
      </w:r>
    </w:p>
    <w:p w14:paraId="5817CC0A" w14:textId="20632EB8" w:rsidR="00883A65" w:rsidRPr="003C3B59" w:rsidRDefault="00883A65" w:rsidP="00883A65">
      <w:pPr>
        <w:pStyle w:val="aNote"/>
        <w:rPr>
          <w:lang w:eastAsia="en-AU"/>
        </w:rPr>
      </w:pPr>
      <w:r w:rsidRPr="003C3B59">
        <w:rPr>
          <w:lang w:eastAsia="en-AU"/>
        </w:rPr>
        <w:t>Note</w:t>
      </w:r>
      <w:r w:rsidRPr="003C3B59">
        <w:rPr>
          <w:lang w:eastAsia="en-AU"/>
        </w:rPr>
        <w:tab/>
        <w:t xml:space="preserve">The </w:t>
      </w:r>
      <w:hyperlink r:id="rId24" w:tooltip="National Health (Pharmaceutical Benefits) Regulations 2017" w:history="1">
        <w:r w:rsidR="00B0065C" w:rsidRPr="003C3B59">
          <w:rPr>
            <w:rStyle w:val="charCitHyperlinkItal"/>
          </w:rPr>
          <w:t>National Health (Pharmaceutical Benefits) Regulations 2017</w:t>
        </w:r>
      </w:hyperlink>
      <w:r w:rsidR="00624DE9" w:rsidRPr="003C3B59">
        <w:rPr>
          <w:lang w:eastAsia="en-AU"/>
        </w:rPr>
        <w:t xml:space="preserve"> </w:t>
      </w:r>
      <w:r w:rsidRPr="003C3B59">
        <w:rPr>
          <w:lang w:eastAsia="en-AU"/>
        </w:rPr>
        <w:t xml:space="preserve">(Cwlth) does not need to be notified under the </w:t>
      </w:r>
      <w:hyperlink r:id="rId25" w:tooltip="A2001-14" w:history="1">
        <w:r w:rsidR="00B0065C" w:rsidRPr="003C3B59">
          <w:rPr>
            <w:rStyle w:val="charCitHyperlinkAbbrev"/>
          </w:rPr>
          <w:t>Legislation Act</w:t>
        </w:r>
      </w:hyperlink>
      <w:r w:rsidRPr="003C3B59">
        <w:rPr>
          <w:lang w:eastAsia="en-AU"/>
        </w:rPr>
        <w:t xml:space="preserve"> because s</w:t>
      </w:r>
      <w:r w:rsidR="00AA23D0" w:rsidRPr="003C3B59">
        <w:rPr>
          <w:lang w:eastAsia="en-AU"/>
        </w:rPr>
        <w:t> </w:t>
      </w:r>
      <w:r w:rsidRPr="003C3B59">
        <w:rPr>
          <w:lang w:eastAsia="en-AU"/>
        </w:rPr>
        <w:t>47 (6) does not apply (see s 863)</w:t>
      </w:r>
      <w:r w:rsidR="00624DE9" w:rsidRPr="003C3B59">
        <w:rPr>
          <w:lang w:eastAsia="en-AU"/>
        </w:rPr>
        <w:t>.</w:t>
      </w:r>
    </w:p>
    <w:p w14:paraId="06A01A53" w14:textId="32D2F232" w:rsidR="00D05ED6" w:rsidRPr="003C3B59" w:rsidRDefault="003C3B59" w:rsidP="003C3B59">
      <w:pPr>
        <w:pStyle w:val="AH5Sec"/>
        <w:shd w:val="pct25" w:color="auto" w:fill="auto"/>
      </w:pPr>
      <w:bookmarkStart w:id="6" w:name="_Toc84332405"/>
      <w:r w:rsidRPr="003C3B59">
        <w:rPr>
          <w:rStyle w:val="CharSectNo"/>
        </w:rPr>
        <w:lastRenderedPageBreak/>
        <w:t>5</w:t>
      </w:r>
      <w:r w:rsidRPr="003C3B59">
        <w:tab/>
      </w:r>
      <w:r w:rsidR="00D05ED6" w:rsidRPr="003C3B59">
        <w:t xml:space="preserve">Section 41 (4), definition of </w:t>
      </w:r>
      <w:r w:rsidR="00D05ED6" w:rsidRPr="003C3B59">
        <w:rPr>
          <w:rStyle w:val="charItals"/>
        </w:rPr>
        <w:t>relevant approval particulars</w:t>
      </w:r>
      <w:bookmarkEnd w:id="6"/>
    </w:p>
    <w:p w14:paraId="471E9F85" w14:textId="734939A9" w:rsidR="00D05ED6" w:rsidRPr="003C3B59" w:rsidRDefault="00D05ED6" w:rsidP="00D05ED6">
      <w:pPr>
        <w:pStyle w:val="direction"/>
      </w:pPr>
      <w:r w:rsidRPr="003C3B59">
        <w:t>omit</w:t>
      </w:r>
    </w:p>
    <w:p w14:paraId="24BE4425" w14:textId="4B5263FE" w:rsidR="00B62C50" w:rsidRPr="003C3B59" w:rsidRDefault="003C3B59" w:rsidP="003C3B59">
      <w:pPr>
        <w:pStyle w:val="AH5Sec"/>
        <w:shd w:val="pct25" w:color="auto" w:fill="auto"/>
        <w:rPr>
          <w:rStyle w:val="charItals"/>
        </w:rPr>
      </w:pPr>
      <w:bookmarkStart w:id="7" w:name="_Toc84332406"/>
      <w:r w:rsidRPr="003C3B59">
        <w:rPr>
          <w:rStyle w:val="CharSectNo"/>
        </w:rPr>
        <w:t>6</w:t>
      </w:r>
      <w:r w:rsidRPr="003C3B59">
        <w:rPr>
          <w:rStyle w:val="charItals"/>
          <w:i w:val="0"/>
        </w:rPr>
        <w:tab/>
      </w:r>
      <w:r w:rsidR="00B62C50" w:rsidRPr="003C3B59">
        <w:t xml:space="preserve">Section 121 (3), definition of </w:t>
      </w:r>
      <w:r w:rsidR="00B62C50" w:rsidRPr="003C3B59">
        <w:rPr>
          <w:rStyle w:val="charItals"/>
        </w:rPr>
        <w:t>authorised prescriber</w:t>
      </w:r>
      <w:r w:rsidR="00800330" w:rsidRPr="003C3B59">
        <w:t xml:space="preserve"> and example</w:t>
      </w:r>
      <w:r w:rsidR="00BC220D" w:rsidRPr="003C3B59">
        <w:t>s</w:t>
      </w:r>
      <w:bookmarkEnd w:id="7"/>
    </w:p>
    <w:p w14:paraId="56C18C71" w14:textId="66A43A22" w:rsidR="00B62C50" w:rsidRPr="003C3B59" w:rsidRDefault="00EF7DD8" w:rsidP="00B62C50">
      <w:pPr>
        <w:pStyle w:val="direction"/>
      </w:pPr>
      <w:r w:rsidRPr="003C3B59">
        <w:t>substitute</w:t>
      </w:r>
    </w:p>
    <w:p w14:paraId="05A4C3D1" w14:textId="7F1464E2" w:rsidR="00EF7DD8" w:rsidRPr="003C3B59" w:rsidRDefault="00EF7DD8" w:rsidP="003C3B59">
      <w:pPr>
        <w:pStyle w:val="aDef"/>
      </w:pPr>
      <w:r w:rsidRPr="003C3B59">
        <w:rPr>
          <w:rStyle w:val="charBoldItals"/>
        </w:rPr>
        <w:t>authorised prescriber</w:t>
      </w:r>
      <w:r w:rsidRPr="003C3B59">
        <w:t xml:space="preserve"> means—</w:t>
      </w:r>
    </w:p>
    <w:p w14:paraId="3B2F7CDA" w14:textId="0F0F204B" w:rsidR="008C1AAB" w:rsidRPr="003C3B59" w:rsidRDefault="001E4779" w:rsidP="004E0481">
      <w:pPr>
        <w:pStyle w:val="Idefpara"/>
      </w:pPr>
      <w:r w:rsidRPr="003C3B59">
        <w:tab/>
        <w:t>(a)</w:t>
      </w:r>
      <w:r w:rsidRPr="003C3B59">
        <w:tab/>
      </w:r>
      <w:r w:rsidR="008C1AAB" w:rsidRPr="003C3B59">
        <w:t>for a prescription prescribing buprenorphine or methadone for treatment of opioid dependency—a prescriber approved under division 13.1.</w:t>
      </w:r>
      <w:r w:rsidR="004E0481" w:rsidRPr="003C3B59">
        <w:t>3</w:t>
      </w:r>
      <w:r w:rsidR="008C1AAB" w:rsidRPr="003C3B59">
        <w:t xml:space="preserve"> to prescribe the medicine for the treatment of opioid dependency; or</w:t>
      </w:r>
    </w:p>
    <w:p w14:paraId="4715B8D9" w14:textId="26F58DB7" w:rsidR="008C1AAB" w:rsidRPr="003C3B59" w:rsidRDefault="001E4779" w:rsidP="001E4779">
      <w:pPr>
        <w:pStyle w:val="Idefpara"/>
      </w:pPr>
      <w:r w:rsidRPr="003C3B59">
        <w:tab/>
        <w:t>(b)</w:t>
      </w:r>
      <w:r w:rsidRPr="003C3B59">
        <w:tab/>
      </w:r>
      <w:r w:rsidR="008C1AAB" w:rsidRPr="003C3B59">
        <w:t>for any other prescription—a prescriber.</w:t>
      </w:r>
    </w:p>
    <w:p w14:paraId="27612CB5" w14:textId="40E69324" w:rsidR="008C1AAB" w:rsidRPr="003C3B59" w:rsidRDefault="008C1AAB" w:rsidP="008C1AAB">
      <w:pPr>
        <w:pStyle w:val="aExamHdgss"/>
      </w:pPr>
      <w:r w:rsidRPr="003C3B59">
        <w:t>Example—paragraph (a)</w:t>
      </w:r>
    </w:p>
    <w:p w14:paraId="55FCE75B" w14:textId="3CBAA1D7" w:rsidR="008C1AAB" w:rsidRPr="003C3B59" w:rsidRDefault="008C1AAB" w:rsidP="008C1AAB">
      <w:pPr>
        <w:pStyle w:val="aExamINumss"/>
        <w:ind w:left="1100" w:firstLine="0"/>
      </w:pPr>
      <w:r w:rsidRPr="003C3B59">
        <w:t>A doctor employed by a</w:t>
      </w:r>
      <w:r w:rsidR="004E0481" w:rsidRPr="003C3B59">
        <w:t xml:space="preserve">n alcohol and drug service prescribing buprenorphine or methadone to treat the opioid dependency </w:t>
      </w:r>
      <w:r w:rsidR="00786808" w:rsidRPr="003C3B59">
        <w:t>for a patient</w:t>
      </w:r>
      <w:r w:rsidR="004E0481" w:rsidRPr="003C3B59">
        <w:t>.</w:t>
      </w:r>
    </w:p>
    <w:p w14:paraId="62447276" w14:textId="77777777" w:rsidR="008C1AAB" w:rsidRPr="003C3B59" w:rsidRDefault="008C1AAB" w:rsidP="008C1AAB">
      <w:pPr>
        <w:pStyle w:val="aExamHdgss"/>
      </w:pPr>
      <w:r w:rsidRPr="003C3B59">
        <w:t>Example—paragraph (b)</w:t>
      </w:r>
    </w:p>
    <w:p w14:paraId="76E801FD" w14:textId="6DFA0B0E" w:rsidR="008C1AAB" w:rsidRPr="003C3B59" w:rsidRDefault="008C1AAB" w:rsidP="008C1AAB">
      <w:pPr>
        <w:pStyle w:val="aExamINumss"/>
        <w:ind w:left="1100" w:firstLine="0"/>
      </w:pPr>
      <w:r w:rsidRPr="003C3B59">
        <w:t xml:space="preserve">A doctor practising as a general practitioner prescribing buprenorphine or methadone to treat chronic pain </w:t>
      </w:r>
      <w:r w:rsidR="00786808" w:rsidRPr="003C3B59">
        <w:t>for a patient</w:t>
      </w:r>
      <w:r w:rsidRPr="003C3B59">
        <w:t>.</w:t>
      </w:r>
    </w:p>
    <w:p w14:paraId="45FC013C" w14:textId="164E0CEB" w:rsidR="00F3438D" w:rsidRPr="003C3B59" w:rsidRDefault="003C3B59" w:rsidP="003C3B59">
      <w:pPr>
        <w:pStyle w:val="AH5Sec"/>
        <w:shd w:val="pct25" w:color="auto" w:fill="auto"/>
      </w:pPr>
      <w:bookmarkStart w:id="8" w:name="_Toc84332407"/>
      <w:r w:rsidRPr="003C3B59">
        <w:rPr>
          <w:rStyle w:val="CharSectNo"/>
        </w:rPr>
        <w:t>7</w:t>
      </w:r>
      <w:r w:rsidRPr="003C3B59">
        <w:tab/>
      </w:r>
      <w:r w:rsidR="00F3438D" w:rsidRPr="003C3B59">
        <w:t>Section 124 (1)</w:t>
      </w:r>
      <w:bookmarkEnd w:id="8"/>
    </w:p>
    <w:p w14:paraId="6FC8475E" w14:textId="1FAC67DD" w:rsidR="00F3438D" w:rsidRPr="003C3B59" w:rsidRDefault="00AA23D0" w:rsidP="00F3438D">
      <w:pPr>
        <w:pStyle w:val="direction"/>
      </w:pPr>
      <w:r w:rsidRPr="003C3B59">
        <w:t>substitute</w:t>
      </w:r>
    </w:p>
    <w:p w14:paraId="7166C28D" w14:textId="43731E23" w:rsidR="00F3438D" w:rsidRPr="003C3B59" w:rsidRDefault="00F3438D" w:rsidP="007A7A1B">
      <w:pPr>
        <w:pStyle w:val="IMain"/>
        <w:keepNext/>
      </w:pPr>
      <w:r w:rsidRPr="003C3B59">
        <w:tab/>
        <w:t>(1)</w:t>
      </w:r>
      <w:r w:rsidRPr="003C3B59">
        <w:tab/>
        <w:t>This section does not apply to—</w:t>
      </w:r>
    </w:p>
    <w:p w14:paraId="78D61E9F" w14:textId="30358D35" w:rsidR="00F3438D" w:rsidRPr="003C3B59" w:rsidRDefault="00F3438D" w:rsidP="00F3438D">
      <w:pPr>
        <w:pStyle w:val="Ipara"/>
      </w:pPr>
      <w:r w:rsidRPr="003C3B59">
        <w:tab/>
        <w:t>(a)</w:t>
      </w:r>
      <w:r w:rsidRPr="003C3B59">
        <w:tab/>
      </w:r>
      <w:r w:rsidR="00AA23D0" w:rsidRPr="003C3B59">
        <w:t>a prescription written in the medical records of an in-patient at a hospital</w:t>
      </w:r>
      <w:r w:rsidRPr="003C3B59">
        <w:t>; or</w:t>
      </w:r>
    </w:p>
    <w:p w14:paraId="66E89EF6" w14:textId="180417BF" w:rsidR="00F3438D" w:rsidRPr="003C3B59" w:rsidRDefault="00F3438D" w:rsidP="00FE088D">
      <w:pPr>
        <w:pStyle w:val="Ipara"/>
      </w:pPr>
      <w:r w:rsidRPr="003C3B59">
        <w:tab/>
        <w:t>(b)</w:t>
      </w:r>
      <w:r w:rsidRPr="003C3B59">
        <w:tab/>
      </w:r>
      <w:r w:rsidR="00AA23D0" w:rsidRPr="003C3B59">
        <w:t xml:space="preserve">an electronic prescription, within the meaning of the </w:t>
      </w:r>
      <w:hyperlink r:id="rId26" w:tooltip="National Health (Pharmaceutical Benefits) Regulations 2017" w:history="1">
        <w:r w:rsidR="00DC38F2" w:rsidRPr="003C3B59">
          <w:rPr>
            <w:rStyle w:val="charCitHyperlinkItal"/>
          </w:rPr>
          <w:t>National Health (Pharmaceutical Benefits) Regulations 2017</w:t>
        </w:r>
      </w:hyperlink>
      <w:r w:rsidR="00AA23D0" w:rsidRPr="003C3B59">
        <w:t xml:space="preserve"> (Cwlth)</w:t>
      </w:r>
      <w:r w:rsidR="00AA2B1D" w:rsidRPr="003C3B59">
        <w:t>,</w:t>
      </w:r>
      <w:r w:rsidR="00AA23D0" w:rsidRPr="003C3B59">
        <w:t xml:space="preserve"> section 5</w:t>
      </w:r>
      <w:r w:rsidR="00FE088D" w:rsidRPr="003C3B59">
        <w:t>.</w:t>
      </w:r>
    </w:p>
    <w:p w14:paraId="40E54C05" w14:textId="32C6F913" w:rsidR="0040492B" w:rsidRPr="003C3B59" w:rsidRDefault="003C3B59" w:rsidP="003C3B59">
      <w:pPr>
        <w:pStyle w:val="AH5Sec"/>
        <w:shd w:val="pct25" w:color="auto" w:fill="auto"/>
      </w:pPr>
      <w:bookmarkStart w:id="9" w:name="_Toc84332408"/>
      <w:r w:rsidRPr="003C3B59">
        <w:rPr>
          <w:rStyle w:val="CharSectNo"/>
        </w:rPr>
        <w:lastRenderedPageBreak/>
        <w:t>8</w:t>
      </w:r>
      <w:r w:rsidRPr="003C3B59">
        <w:tab/>
      </w:r>
      <w:r w:rsidR="0040492B" w:rsidRPr="003C3B59">
        <w:t>Section 124 (3)</w:t>
      </w:r>
      <w:bookmarkEnd w:id="9"/>
    </w:p>
    <w:p w14:paraId="0939C063" w14:textId="07965E59" w:rsidR="0040492B" w:rsidRPr="003C3B59" w:rsidRDefault="0040492B" w:rsidP="0040492B">
      <w:pPr>
        <w:pStyle w:val="direction"/>
      </w:pPr>
      <w:r w:rsidRPr="003C3B59">
        <w:t>after</w:t>
      </w:r>
    </w:p>
    <w:p w14:paraId="2EAE41A4" w14:textId="62D9456D" w:rsidR="0040492B" w:rsidRPr="003C3B59" w:rsidRDefault="0040492B" w:rsidP="0040492B">
      <w:pPr>
        <w:pStyle w:val="Amainreturn"/>
      </w:pPr>
      <w:r w:rsidRPr="003C3B59">
        <w:t>dispensed electronic prescription</w:t>
      </w:r>
    </w:p>
    <w:p w14:paraId="37A22087" w14:textId="44496082" w:rsidR="0040492B" w:rsidRPr="003C3B59" w:rsidRDefault="0040492B" w:rsidP="0040492B">
      <w:pPr>
        <w:pStyle w:val="direction"/>
      </w:pPr>
      <w:r w:rsidRPr="003C3B59">
        <w:t>insert</w:t>
      </w:r>
    </w:p>
    <w:p w14:paraId="4E082302" w14:textId="7C00C526" w:rsidR="0040492B" w:rsidRPr="003C3B59" w:rsidRDefault="0040492B" w:rsidP="0040492B">
      <w:pPr>
        <w:pStyle w:val="Amainreturn"/>
      </w:pPr>
      <w:r w:rsidRPr="003C3B59">
        <w:t>(other than a</w:t>
      </w:r>
      <w:r w:rsidR="00893277" w:rsidRPr="003C3B59">
        <w:t>n electronic</w:t>
      </w:r>
      <w:r w:rsidRPr="003C3B59">
        <w:t xml:space="preserve"> prescription mentioned in subsection</w:t>
      </w:r>
      <w:r w:rsidR="00893277" w:rsidRPr="003C3B59">
        <w:t> </w:t>
      </w:r>
      <w:r w:rsidRPr="003C3B59">
        <w:t>(1)</w:t>
      </w:r>
      <w:r w:rsidR="00893277" w:rsidRPr="003C3B59">
        <w:t> </w:t>
      </w:r>
      <w:r w:rsidRPr="003C3B59">
        <w:t>(b))</w:t>
      </w:r>
    </w:p>
    <w:p w14:paraId="229EAA7E" w14:textId="160757FB" w:rsidR="001B76A6" w:rsidRPr="003C3B59" w:rsidRDefault="003C3B59" w:rsidP="003C3B59">
      <w:pPr>
        <w:pStyle w:val="AH5Sec"/>
        <w:shd w:val="pct25" w:color="auto" w:fill="auto"/>
      </w:pPr>
      <w:bookmarkStart w:id="10" w:name="_Toc84332409"/>
      <w:r w:rsidRPr="003C3B59">
        <w:rPr>
          <w:rStyle w:val="CharSectNo"/>
        </w:rPr>
        <w:t>9</w:t>
      </w:r>
      <w:r w:rsidRPr="003C3B59">
        <w:tab/>
      </w:r>
      <w:r w:rsidR="001B76A6" w:rsidRPr="003C3B59">
        <w:t>Section 124 (4),</w:t>
      </w:r>
      <w:r w:rsidR="00AA2B1D" w:rsidRPr="003C3B59">
        <w:t xml:space="preserve"> new</w:t>
      </w:r>
      <w:r w:rsidR="001B76A6" w:rsidRPr="003C3B59">
        <w:t xml:space="preserve"> definition of </w:t>
      </w:r>
      <w:r w:rsidR="00764323" w:rsidRPr="003C3B59">
        <w:rPr>
          <w:rStyle w:val="charItals"/>
        </w:rPr>
        <w:t>national residential medication chart</w:t>
      </w:r>
      <w:bookmarkEnd w:id="10"/>
    </w:p>
    <w:p w14:paraId="3BFF657C" w14:textId="18B0EC91" w:rsidR="001B76A6" w:rsidRPr="003C3B59" w:rsidRDefault="001B76A6" w:rsidP="001B76A6">
      <w:pPr>
        <w:pStyle w:val="direction"/>
      </w:pPr>
      <w:r w:rsidRPr="003C3B59">
        <w:t>insert</w:t>
      </w:r>
    </w:p>
    <w:p w14:paraId="5670365D" w14:textId="0F6C7A6D" w:rsidR="001B76A6" w:rsidRPr="003C3B59" w:rsidRDefault="001B76A6" w:rsidP="003C3B59">
      <w:pPr>
        <w:pStyle w:val="aDef"/>
      </w:pPr>
      <w:r w:rsidRPr="003C3B59">
        <w:rPr>
          <w:rStyle w:val="charBoldItals"/>
        </w:rPr>
        <w:t>national residential medication chart</w:t>
      </w:r>
      <w:r w:rsidRPr="003C3B59">
        <w:t>—see section 31 (2).</w:t>
      </w:r>
    </w:p>
    <w:p w14:paraId="0560B2D6" w14:textId="3590FB59" w:rsidR="00EF5B7E" w:rsidRPr="003C3B59" w:rsidRDefault="003C3B59" w:rsidP="003C3B59">
      <w:pPr>
        <w:pStyle w:val="AH5Sec"/>
        <w:shd w:val="pct25" w:color="auto" w:fill="auto"/>
      </w:pPr>
      <w:bookmarkStart w:id="11" w:name="_Toc84332410"/>
      <w:r w:rsidRPr="003C3B59">
        <w:rPr>
          <w:rStyle w:val="CharSectNo"/>
        </w:rPr>
        <w:t>10</w:t>
      </w:r>
      <w:r w:rsidRPr="003C3B59">
        <w:tab/>
      </w:r>
      <w:r w:rsidR="00EF5B7E" w:rsidRPr="003C3B59">
        <w:t xml:space="preserve">Section 430 (4), definition of </w:t>
      </w:r>
      <w:r w:rsidR="00EF5B7E" w:rsidRPr="003C3B59">
        <w:rPr>
          <w:rStyle w:val="charItals"/>
        </w:rPr>
        <w:t>authorised activity</w:t>
      </w:r>
      <w:r w:rsidR="00EF5B7E" w:rsidRPr="003C3B59">
        <w:t xml:space="preserve">, </w:t>
      </w:r>
      <w:r w:rsidR="00CF71E9" w:rsidRPr="003C3B59">
        <w:t xml:space="preserve">new </w:t>
      </w:r>
      <w:r w:rsidR="00EF5B7E" w:rsidRPr="003C3B59">
        <w:t>paragraph (</w:t>
      </w:r>
      <w:r w:rsidR="00CF71E9" w:rsidRPr="003C3B59">
        <w:t>d</w:t>
      </w:r>
      <w:r w:rsidR="00EF5B7E" w:rsidRPr="003C3B59">
        <w:t>)</w:t>
      </w:r>
      <w:bookmarkEnd w:id="11"/>
    </w:p>
    <w:p w14:paraId="073FBFF6" w14:textId="77777777" w:rsidR="00EF5B7E" w:rsidRPr="003C3B59" w:rsidRDefault="00EF5B7E" w:rsidP="00EF5B7E">
      <w:pPr>
        <w:pStyle w:val="direction"/>
      </w:pPr>
      <w:r w:rsidRPr="003C3B59">
        <w:t>insert</w:t>
      </w:r>
    </w:p>
    <w:p w14:paraId="33B3F172" w14:textId="2BD46A23" w:rsidR="00EF5B7E" w:rsidRPr="003C3B59" w:rsidRDefault="00CF71E9" w:rsidP="007403B6">
      <w:pPr>
        <w:pStyle w:val="Ipara"/>
      </w:pPr>
      <w:r w:rsidRPr="003C3B59">
        <w:tab/>
        <w:t>(d)</w:t>
      </w:r>
      <w:r w:rsidRPr="003C3B59">
        <w:tab/>
        <w:t>if the relevant medicine is integral to genuine medical or scientific research at the institution—reasonable use of the medicine to carry out the research</w:t>
      </w:r>
      <w:r w:rsidR="00FD6976" w:rsidRPr="003C3B59">
        <w:t>.</w:t>
      </w:r>
    </w:p>
    <w:p w14:paraId="626F3A7E" w14:textId="53C4878C" w:rsidR="00E13269" w:rsidRPr="003C3B59" w:rsidRDefault="003C3B59" w:rsidP="003C3B59">
      <w:pPr>
        <w:pStyle w:val="AH5Sec"/>
        <w:shd w:val="pct25" w:color="auto" w:fill="auto"/>
        <w:rPr>
          <w:color w:val="000000"/>
        </w:rPr>
      </w:pPr>
      <w:bookmarkStart w:id="12" w:name="_Toc84332411"/>
      <w:r w:rsidRPr="003C3B59">
        <w:rPr>
          <w:rStyle w:val="CharSectNo"/>
        </w:rPr>
        <w:t>11</w:t>
      </w:r>
      <w:r w:rsidRPr="003C3B59">
        <w:rPr>
          <w:color w:val="000000"/>
        </w:rPr>
        <w:tab/>
      </w:r>
      <w:r w:rsidR="00E13269" w:rsidRPr="003C3B59">
        <w:rPr>
          <w:color w:val="000000"/>
        </w:rPr>
        <w:t>Section</w:t>
      </w:r>
      <w:r w:rsidR="002C4D50" w:rsidRPr="003C3B59">
        <w:rPr>
          <w:color w:val="000000"/>
        </w:rPr>
        <w:t>s</w:t>
      </w:r>
      <w:r w:rsidR="00E13269" w:rsidRPr="003C3B59">
        <w:rPr>
          <w:color w:val="000000"/>
        </w:rPr>
        <w:t xml:space="preserve"> 555</w:t>
      </w:r>
      <w:r w:rsidR="002C4D50" w:rsidRPr="003C3B59">
        <w:rPr>
          <w:color w:val="000000"/>
        </w:rPr>
        <w:t xml:space="preserve"> and 556</w:t>
      </w:r>
      <w:bookmarkEnd w:id="12"/>
    </w:p>
    <w:p w14:paraId="6023DDCC" w14:textId="77777777" w:rsidR="00E13269" w:rsidRPr="003C3B59" w:rsidRDefault="00E13269" w:rsidP="00E13269">
      <w:pPr>
        <w:pStyle w:val="direction"/>
        <w:rPr>
          <w:color w:val="000000"/>
        </w:rPr>
      </w:pPr>
      <w:r w:rsidRPr="003C3B59">
        <w:rPr>
          <w:color w:val="000000"/>
        </w:rPr>
        <w:t>substitute</w:t>
      </w:r>
    </w:p>
    <w:p w14:paraId="5B00B5C5" w14:textId="22EC7DB8" w:rsidR="00E13269" w:rsidRPr="003C3B59" w:rsidRDefault="00E13269" w:rsidP="007403B6">
      <w:pPr>
        <w:pStyle w:val="IH5Sec"/>
      </w:pPr>
      <w:r w:rsidRPr="003C3B59">
        <w:t>555</w:t>
      </w:r>
      <w:r w:rsidRPr="003C3B59">
        <w:tab/>
        <w:t xml:space="preserve">Standing approval to prescribe controlled medicines </w:t>
      </w:r>
      <w:r w:rsidR="00CE3A8C" w:rsidRPr="003C3B59">
        <w:t>for hospital in-patient or patient discharge</w:t>
      </w:r>
    </w:p>
    <w:p w14:paraId="57EEDC59" w14:textId="022EA705" w:rsidR="00E13269" w:rsidRPr="003C3B59" w:rsidRDefault="00E13269" w:rsidP="007403B6">
      <w:pPr>
        <w:pStyle w:val="Amainreturn"/>
      </w:pPr>
      <w:r w:rsidRPr="003C3B59">
        <w:t>A designated prescriber is approved to prescribe a controlled medicine for a patient of the prescriber</w:t>
      </w:r>
      <w:r w:rsidR="0054686D" w:rsidRPr="003C3B59">
        <w:t xml:space="preserve"> if</w:t>
      </w:r>
      <w:r w:rsidRPr="003C3B59">
        <w:t>—</w:t>
      </w:r>
    </w:p>
    <w:p w14:paraId="36274C9E" w14:textId="35602A00" w:rsidR="00E13269" w:rsidRPr="003C3B59" w:rsidRDefault="00E13269" w:rsidP="00E13269">
      <w:pPr>
        <w:pStyle w:val="Ipara"/>
      </w:pPr>
      <w:r w:rsidRPr="003C3B59">
        <w:tab/>
        <w:t>(a)</w:t>
      </w:r>
      <w:r w:rsidRPr="003C3B59">
        <w:tab/>
        <w:t>the patient is an in-patient at a hospital; or</w:t>
      </w:r>
    </w:p>
    <w:p w14:paraId="0B3F51FA" w14:textId="77777777" w:rsidR="002B7CE1" w:rsidRPr="003C3B59" w:rsidRDefault="002B7CE1" w:rsidP="002B7CE1">
      <w:pPr>
        <w:pStyle w:val="Ipara"/>
      </w:pPr>
      <w:r w:rsidRPr="003C3B59">
        <w:tab/>
        <w:t>(b)</w:t>
      </w:r>
      <w:r w:rsidRPr="003C3B59">
        <w:tab/>
        <w:t>the prescription is issued—</w:t>
      </w:r>
    </w:p>
    <w:p w14:paraId="3B2C31DD" w14:textId="7ECACDC5" w:rsidR="002B7CE1" w:rsidRPr="003C3B59" w:rsidRDefault="002B7CE1" w:rsidP="002B7CE1">
      <w:pPr>
        <w:pStyle w:val="Isubpara"/>
      </w:pPr>
      <w:r w:rsidRPr="003C3B59">
        <w:tab/>
        <w:t>(i)</w:t>
      </w:r>
      <w:r w:rsidRPr="003C3B59">
        <w:tab/>
        <w:t>as part of the patient’s discharge from a hospital; and</w:t>
      </w:r>
    </w:p>
    <w:p w14:paraId="4544F0AF" w14:textId="2DD5FE22" w:rsidR="002B7CE1" w:rsidRPr="003C3B59" w:rsidRDefault="002B7CE1" w:rsidP="003C3B59">
      <w:pPr>
        <w:pStyle w:val="Isubpara"/>
        <w:keepNext/>
      </w:pPr>
      <w:r w:rsidRPr="003C3B59">
        <w:lastRenderedPageBreak/>
        <w:tab/>
        <w:t>(ii)</w:t>
      </w:r>
      <w:r w:rsidRPr="003C3B59">
        <w:tab/>
        <w:t xml:space="preserve">for </w:t>
      </w:r>
      <w:r w:rsidR="00DB4958" w:rsidRPr="003C3B59">
        <w:t xml:space="preserve">the patient’s use of the </w:t>
      </w:r>
      <w:r w:rsidRPr="003C3B59">
        <w:t>controlled medicine for a period of not more than 7 days.</w:t>
      </w:r>
    </w:p>
    <w:p w14:paraId="4C4D9377" w14:textId="64032C5C" w:rsidR="00E13269" w:rsidRPr="003C3B59" w:rsidRDefault="00E13269" w:rsidP="00E13269">
      <w:pPr>
        <w:pStyle w:val="aNote"/>
        <w:rPr>
          <w:iCs/>
          <w:color w:val="000000"/>
        </w:rPr>
      </w:pPr>
      <w:r w:rsidRPr="003C3B59">
        <w:rPr>
          <w:rStyle w:val="charItals"/>
        </w:rPr>
        <w:t>Note</w:t>
      </w:r>
      <w:r w:rsidRPr="003C3B59">
        <w:rPr>
          <w:rStyle w:val="charItals"/>
        </w:rPr>
        <w:tab/>
      </w:r>
      <w:r w:rsidRPr="003C3B59">
        <w:rPr>
          <w:iCs/>
          <w:color w:val="000000"/>
        </w:rPr>
        <w:t xml:space="preserve">A hospice is a hospital (see </w:t>
      </w:r>
      <w:r w:rsidRPr="003C3B59">
        <w:rPr>
          <w:rStyle w:val="charItals"/>
        </w:rPr>
        <w:t>Macquarie Dictionary</w:t>
      </w:r>
      <w:r w:rsidRPr="003C3B59">
        <w:rPr>
          <w:iCs/>
          <w:color w:val="000000"/>
        </w:rPr>
        <w:t>, 8th ed, def </w:t>
      </w:r>
      <w:r w:rsidRPr="003C3B59">
        <w:rPr>
          <w:rStyle w:val="charBoldItals"/>
        </w:rPr>
        <w:t>hospice</w:t>
      </w:r>
      <w:r w:rsidRPr="003C3B59">
        <w:rPr>
          <w:iCs/>
          <w:color w:val="000000"/>
        </w:rPr>
        <w:t>).</w:t>
      </w:r>
    </w:p>
    <w:p w14:paraId="7D880629" w14:textId="07694249" w:rsidR="00401163" w:rsidRPr="003C3B59" w:rsidRDefault="00401163" w:rsidP="00401163">
      <w:pPr>
        <w:pStyle w:val="IH5Sec"/>
      </w:pPr>
      <w:r w:rsidRPr="003C3B59">
        <w:t>556</w:t>
      </w:r>
      <w:r w:rsidRPr="003C3B59">
        <w:tab/>
        <w:t>Standing approval to prescribe controlled medicines for short-term treatment</w:t>
      </w:r>
    </w:p>
    <w:p w14:paraId="6C209BAC" w14:textId="4F6745E2" w:rsidR="00401163" w:rsidRPr="003C3B59" w:rsidRDefault="008F5225" w:rsidP="008F5225">
      <w:pPr>
        <w:pStyle w:val="IMain"/>
      </w:pPr>
      <w:r w:rsidRPr="003C3B59">
        <w:tab/>
        <w:t>(1)</w:t>
      </w:r>
      <w:r w:rsidRPr="003C3B59">
        <w:tab/>
      </w:r>
      <w:r w:rsidR="00401163" w:rsidRPr="003C3B59">
        <w:t xml:space="preserve">A designated prescriber is approved to prescribe </w:t>
      </w:r>
      <w:r w:rsidR="009052FD" w:rsidRPr="003C3B59">
        <w:t>a</w:t>
      </w:r>
      <w:r w:rsidR="00401163" w:rsidRPr="003C3B59">
        <w:t xml:space="preserve"> controlled medicine</w:t>
      </w:r>
      <w:r w:rsidR="006E2FEC" w:rsidRPr="003C3B59">
        <w:t xml:space="preserve"> </w:t>
      </w:r>
      <w:r w:rsidR="0045379A" w:rsidRPr="003C3B59">
        <w:t xml:space="preserve">for a patient of the prescriber </w:t>
      </w:r>
      <w:r w:rsidR="009052FD" w:rsidRPr="003C3B59">
        <w:t>during</w:t>
      </w:r>
      <w:r w:rsidR="006E2FEC" w:rsidRPr="003C3B59">
        <w:t xml:space="preserve"> a </w:t>
      </w:r>
      <w:r w:rsidR="00497BEA" w:rsidRPr="003C3B59">
        <w:t>short</w:t>
      </w:r>
      <w:r w:rsidR="00497BEA" w:rsidRPr="003C3B59">
        <w:noBreakHyphen/>
        <w:t xml:space="preserve">term </w:t>
      </w:r>
      <w:r w:rsidR="006E2FEC" w:rsidRPr="003C3B59">
        <w:t>treatment period</w:t>
      </w:r>
      <w:r w:rsidR="00401163" w:rsidRPr="003C3B59">
        <w:t xml:space="preserve"> if—</w:t>
      </w:r>
    </w:p>
    <w:p w14:paraId="3A7E0DD4" w14:textId="68485CD9" w:rsidR="00401163" w:rsidRPr="003C3B59" w:rsidRDefault="00401163" w:rsidP="00401163">
      <w:pPr>
        <w:pStyle w:val="Ipara"/>
      </w:pPr>
      <w:r w:rsidRPr="003C3B59">
        <w:tab/>
        <w:t>(</w:t>
      </w:r>
      <w:r w:rsidR="0061694F" w:rsidRPr="003C3B59">
        <w:t>a</w:t>
      </w:r>
      <w:r w:rsidRPr="003C3B59">
        <w:t>)</w:t>
      </w:r>
      <w:r w:rsidRPr="003C3B59">
        <w:tab/>
        <w:t>the prescriber believes on reasonable grounds that the patient—</w:t>
      </w:r>
    </w:p>
    <w:p w14:paraId="75875561" w14:textId="3F6B3C76" w:rsidR="00401163" w:rsidRPr="003C3B59" w:rsidRDefault="00401163" w:rsidP="00401163">
      <w:pPr>
        <w:pStyle w:val="Isubpara"/>
      </w:pPr>
      <w:r w:rsidRPr="003C3B59">
        <w:tab/>
        <w:t>(i)</w:t>
      </w:r>
      <w:r w:rsidRPr="003C3B59">
        <w:tab/>
        <w:t xml:space="preserve">is not a drug-dependant person in relation to </w:t>
      </w:r>
      <w:r w:rsidR="009052FD" w:rsidRPr="003C3B59">
        <w:t>a</w:t>
      </w:r>
      <w:r w:rsidRPr="003C3B59">
        <w:t xml:space="preserve"> controlled medicine or prohibited substance; and</w:t>
      </w:r>
    </w:p>
    <w:p w14:paraId="5D7BAA51" w14:textId="5119E6AA" w:rsidR="00401163" w:rsidRPr="003C3B59" w:rsidRDefault="00401163" w:rsidP="00401163">
      <w:pPr>
        <w:pStyle w:val="Isubpara"/>
      </w:pPr>
      <w:r w:rsidRPr="003C3B59">
        <w:tab/>
        <w:t>(ii)</w:t>
      </w:r>
      <w:r w:rsidRPr="003C3B59">
        <w:tab/>
      </w:r>
      <w:r w:rsidR="002B2937" w:rsidRPr="003C3B59">
        <w:t xml:space="preserve">has not been prescribed the same controlled medicine by another prescriber </w:t>
      </w:r>
      <w:r w:rsidR="0061694F" w:rsidRPr="003C3B59">
        <w:t>in the</w:t>
      </w:r>
      <w:r w:rsidR="000B6B18" w:rsidRPr="003C3B59">
        <w:t xml:space="preserve"> </w:t>
      </w:r>
      <w:r w:rsidR="0061694F" w:rsidRPr="003C3B59">
        <w:t>2</w:t>
      </w:r>
      <w:r w:rsidR="00CB7D25" w:rsidRPr="003C3B59">
        <w:t>-month period</w:t>
      </w:r>
      <w:r w:rsidR="00DA16D4" w:rsidRPr="003C3B59">
        <w:t xml:space="preserve"> immediately</w:t>
      </w:r>
      <w:r w:rsidR="009052FD" w:rsidRPr="003C3B59">
        <w:t xml:space="preserve"> before</w:t>
      </w:r>
      <w:r w:rsidR="00CB7D25" w:rsidRPr="003C3B59">
        <w:t xml:space="preserve"> </w:t>
      </w:r>
      <w:r w:rsidR="009052FD" w:rsidRPr="003C3B59">
        <w:t xml:space="preserve">the </w:t>
      </w:r>
      <w:r w:rsidR="002C4D50" w:rsidRPr="003C3B59">
        <w:t>day the prescriber prescribes the controlled medicine</w:t>
      </w:r>
      <w:r w:rsidR="009052FD" w:rsidRPr="003C3B59">
        <w:t>; and</w:t>
      </w:r>
    </w:p>
    <w:p w14:paraId="30FF27C5" w14:textId="1CEEBC5F" w:rsidR="00AA1711" w:rsidRPr="003C3B59" w:rsidRDefault="00AA1711" w:rsidP="00AA1711">
      <w:pPr>
        <w:pStyle w:val="Ipara"/>
      </w:pPr>
      <w:r w:rsidRPr="003C3B59">
        <w:tab/>
        <w:t>(</w:t>
      </w:r>
      <w:r w:rsidR="00102605" w:rsidRPr="003C3B59">
        <w:t>b</w:t>
      </w:r>
      <w:r w:rsidRPr="003C3B59">
        <w:t>)</w:t>
      </w:r>
      <w:r w:rsidRPr="003C3B59">
        <w:tab/>
        <w:t>the prescriber has not prescribed the same controlled medicine to the patient in the 2-month period</w:t>
      </w:r>
      <w:r w:rsidR="00CB7D25" w:rsidRPr="003C3B59">
        <w:t xml:space="preserve"> immediately</w:t>
      </w:r>
      <w:r w:rsidRPr="003C3B59">
        <w:t xml:space="preserve"> before the </w:t>
      </w:r>
      <w:r w:rsidR="00497BEA" w:rsidRPr="003C3B59">
        <w:t xml:space="preserve">short-term </w:t>
      </w:r>
      <w:r w:rsidR="006E2FEC" w:rsidRPr="003C3B59">
        <w:t>treatment period</w:t>
      </w:r>
      <w:r w:rsidRPr="003C3B59">
        <w:t>; and</w:t>
      </w:r>
    </w:p>
    <w:p w14:paraId="00B45B91" w14:textId="02C2F2F3" w:rsidR="0061694F" w:rsidRPr="003C3B59" w:rsidRDefault="0061694F" w:rsidP="003C3B59">
      <w:pPr>
        <w:pStyle w:val="Ipara"/>
        <w:keepNext/>
      </w:pPr>
      <w:r w:rsidRPr="003C3B59">
        <w:tab/>
        <w:t>(</w:t>
      </w:r>
      <w:r w:rsidR="00102605" w:rsidRPr="003C3B59">
        <w:t>c</w:t>
      </w:r>
      <w:r w:rsidRPr="003C3B59">
        <w:t>)</w:t>
      </w:r>
      <w:r w:rsidRPr="003C3B59">
        <w:tab/>
        <w:t>the prescriber</w:t>
      </w:r>
      <w:r w:rsidR="009052FD" w:rsidRPr="003C3B59">
        <w:t xml:space="preserve"> </w:t>
      </w:r>
      <w:r w:rsidRPr="003C3B59">
        <w:t>prescribe</w:t>
      </w:r>
      <w:r w:rsidR="00C05C40" w:rsidRPr="003C3B59">
        <w:t>s</w:t>
      </w:r>
      <w:r w:rsidRPr="003C3B59">
        <w:t xml:space="preserve"> </w:t>
      </w:r>
      <w:r w:rsidR="00292434" w:rsidRPr="003C3B59">
        <w:t xml:space="preserve">the </w:t>
      </w:r>
      <w:r w:rsidR="00CB7D25" w:rsidRPr="003C3B59">
        <w:t xml:space="preserve">controlled </w:t>
      </w:r>
      <w:r w:rsidR="00292434" w:rsidRPr="003C3B59">
        <w:t xml:space="preserve">medicine for the patient’s use </w:t>
      </w:r>
      <w:r w:rsidR="008F5225" w:rsidRPr="003C3B59">
        <w:t>during the</w:t>
      </w:r>
      <w:r w:rsidR="00497BEA" w:rsidRPr="003C3B59">
        <w:t xml:space="preserve"> short-term</w:t>
      </w:r>
      <w:r w:rsidR="008F5225" w:rsidRPr="003C3B59">
        <w:t xml:space="preserve"> treatment period</w:t>
      </w:r>
      <w:r w:rsidR="00497BEA" w:rsidRPr="003C3B59">
        <w:t xml:space="preserve"> only</w:t>
      </w:r>
      <w:r w:rsidR="00292434" w:rsidRPr="003C3B59">
        <w:t>.</w:t>
      </w:r>
    </w:p>
    <w:p w14:paraId="3A93F727" w14:textId="3C18718C" w:rsidR="00401163" w:rsidRPr="003C3B59" w:rsidRDefault="00401163" w:rsidP="00401163">
      <w:pPr>
        <w:pStyle w:val="aNote"/>
      </w:pPr>
      <w:r w:rsidRPr="003C3B59">
        <w:rPr>
          <w:rStyle w:val="charItals"/>
        </w:rPr>
        <w:t>Note</w:t>
      </w:r>
      <w:r w:rsidRPr="003C3B59">
        <w:tab/>
        <w:t xml:space="preserve">For prescribing </w:t>
      </w:r>
      <w:r w:rsidR="00940719" w:rsidRPr="003C3B59">
        <w:t>contro</w:t>
      </w:r>
      <w:r w:rsidR="00C05C40" w:rsidRPr="003C3B59">
        <w:t xml:space="preserve">lled </w:t>
      </w:r>
      <w:r w:rsidRPr="003C3B59">
        <w:t xml:space="preserve">medicines for more than </w:t>
      </w:r>
      <w:r w:rsidR="00497BEA" w:rsidRPr="003C3B59">
        <w:t>a short</w:t>
      </w:r>
      <w:r w:rsidR="00497BEA" w:rsidRPr="003C3B59">
        <w:noBreakHyphen/>
        <w:t>term treatment period</w:t>
      </w:r>
      <w:r w:rsidRPr="003C3B59">
        <w:t>, see division 13.1.3.</w:t>
      </w:r>
    </w:p>
    <w:p w14:paraId="57251640" w14:textId="4661BB1A" w:rsidR="008F5225" w:rsidRPr="003C3B59" w:rsidRDefault="008F5225" w:rsidP="008F5225">
      <w:pPr>
        <w:pStyle w:val="IMain"/>
      </w:pPr>
      <w:r w:rsidRPr="003C3B59">
        <w:tab/>
        <w:t>(2)</w:t>
      </w:r>
      <w:r w:rsidRPr="003C3B59">
        <w:tab/>
        <w:t>In this section:</w:t>
      </w:r>
    </w:p>
    <w:p w14:paraId="2E539E07" w14:textId="67C4DDEE" w:rsidR="008F5225" w:rsidRPr="003C3B59" w:rsidRDefault="00497BEA" w:rsidP="003C3B59">
      <w:pPr>
        <w:pStyle w:val="aDef"/>
      </w:pPr>
      <w:r w:rsidRPr="003C3B59">
        <w:rPr>
          <w:rStyle w:val="charBoldItals"/>
        </w:rPr>
        <w:t xml:space="preserve">short-term </w:t>
      </w:r>
      <w:r w:rsidR="008F5225" w:rsidRPr="003C3B59">
        <w:rPr>
          <w:rStyle w:val="charBoldItals"/>
        </w:rPr>
        <w:t>treatment period</w:t>
      </w:r>
      <w:r w:rsidR="0065014E" w:rsidRPr="003C3B59">
        <w:t>, for a patient</w:t>
      </w:r>
      <w:r w:rsidR="00D94945" w:rsidRPr="003C3B59">
        <w:t xml:space="preserve"> </w:t>
      </w:r>
      <w:r w:rsidR="009C55BE" w:rsidRPr="003C3B59">
        <w:t>to be</w:t>
      </w:r>
      <w:r w:rsidR="00D94945" w:rsidRPr="003C3B59">
        <w:t xml:space="preserve"> prescribed a controlled medicine</w:t>
      </w:r>
      <w:r w:rsidR="0065014E" w:rsidRPr="003C3B59">
        <w:t>,</w:t>
      </w:r>
      <w:r w:rsidR="008F5225" w:rsidRPr="003C3B59">
        <w:t xml:space="preserve"> means a consecutive 2</w:t>
      </w:r>
      <w:r w:rsidRPr="003C3B59">
        <w:noBreakHyphen/>
      </w:r>
      <w:r w:rsidR="008F5225" w:rsidRPr="003C3B59">
        <w:t xml:space="preserve">month period </w:t>
      </w:r>
      <w:r w:rsidR="0065014E" w:rsidRPr="003C3B59">
        <w:t>beginning on the day the prescriber</w:t>
      </w:r>
      <w:r w:rsidRPr="003C3B59">
        <w:t xml:space="preserve"> first</w:t>
      </w:r>
      <w:r w:rsidR="0065014E" w:rsidRPr="003C3B59">
        <w:t xml:space="preserve"> prescribes the controlled medicin</w:t>
      </w:r>
      <w:r w:rsidR="0087129A" w:rsidRPr="003C3B59">
        <w:t>e</w:t>
      </w:r>
      <w:r w:rsidRPr="003C3B59">
        <w:t xml:space="preserve"> for the period</w:t>
      </w:r>
      <w:r w:rsidR="0065014E" w:rsidRPr="003C3B59">
        <w:t>.</w:t>
      </w:r>
    </w:p>
    <w:p w14:paraId="4E1357B0" w14:textId="5C235D70" w:rsidR="00F72B67" w:rsidRPr="003C3B59" w:rsidRDefault="003C3B59" w:rsidP="003C3B59">
      <w:pPr>
        <w:pStyle w:val="AH5Sec"/>
        <w:shd w:val="pct25" w:color="auto" w:fill="auto"/>
        <w:rPr>
          <w:color w:val="000000"/>
        </w:rPr>
      </w:pPr>
      <w:bookmarkStart w:id="13" w:name="_Toc84332412"/>
      <w:r w:rsidRPr="003C3B59">
        <w:rPr>
          <w:rStyle w:val="CharSectNo"/>
        </w:rPr>
        <w:lastRenderedPageBreak/>
        <w:t>12</w:t>
      </w:r>
      <w:r w:rsidRPr="003C3B59">
        <w:rPr>
          <w:color w:val="000000"/>
        </w:rPr>
        <w:tab/>
      </w:r>
      <w:r w:rsidR="00A4251B" w:rsidRPr="003C3B59">
        <w:rPr>
          <w:color w:val="000000"/>
        </w:rPr>
        <w:t>S</w:t>
      </w:r>
      <w:r w:rsidR="00F72B67" w:rsidRPr="003C3B59">
        <w:rPr>
          <w:color w:val="000000"/>
        </w:rPr>
        <w:t>ection 561 (1) (c) (i)</w:t>
      </w:r>
      <w:r w:rsidR="00A518CA" w:rsidRPr="003C3B59">
        <w:rPr>
          <w:color w:val="000000"/>
        </w:rPr>
        <w:t>, except note</w:t>
      </w:r>
      <w:bookmarkEnd w:id="13"/>
    </w:p>
    <w:p w14:paraId="707B7AFB" w14:textId="6B9F5E18" w:rsidR="00F72B67" w:rsidRPr="003C3B59" w:rsidRDefault="00A518CA" w:rsidP="00F72B67">
      <w:pPr>
        <w:pStyle w:val="direction"/>
        <w:rPr>
          <w:color w:val="000000"/>
        </w:rPr>
      </w:pPr>
      <w:r w:rsidRPr="003C3B59">
        <w:rPr>
          <w:color w:val="000000"/>
        </w:rPr>
        <w:t>substitute</w:t>
      </w:r>
    </w:p>
    <w:p w14:paraId="0817A3BD" w14:textId="51475AE5" w:rsidR="00F72B67" w:rsidRPr="003C3B59" w:rsidRDefault="009F578B" w:rsidP="009F578B">
      <w:pPr>
        <w:pStyle w:val="Isubpara"/>
      </w:pPr>
      <w:r w:rsidRPr="003C3B59">
        <w:tab/>
        <w:t>(i)</w:t>
      </w:r>
      <w:r w:rsidRPr="003C3B59">
        <w:tab/>
      </w:r>
      <w:r w:rsidR="00A518CA" w:rsidRPr="003C3B59">
        <w:t>the form, strength and the daily dose for a specified period of time; or</w:t>
      </w:r>
    </w:p>
    <w:p w14:paraId="4DBD772A" w14:textId="56C1994F" w:rsidR="000C7DD1" w:rsidRPr="003C3B59" w:rsidRDefault="003C3B59" w:rsidP="003C3B59">
      <w:pPr>
        <w:pStyle w:val="AH5Sec"/>
        <w:shd w:val="pct25" w:color="auto" w:fill="auto"/>
      </w:pPr>
      <w:bookmarkStart w:id="14" w:name="_Toc84332413"/>
      <w:r w:rsidRPr="003C3B59">
        <w:rPr>
          <w:rStyle w:val="CharSectNo"/>
        </w:rPr>
        <w:t>13</w:t>
      </w:r>
      <w:r w:rsidRPr="003C3B59">
        <w:tab/>
      </w:r>
      <w:r w:rsidR="000C7DD1" w:rsidRPr="003C3B59">
        <w:t>Section 635 (1)</w:t>
      </w:r>
      <w:bookmarkEnd w:id="14"/>
    </w:p>
    <w:p w14:paraId="7891730D" w14:textId="77777777" w:rsidR="000C7DD1" w:rsidRPr="003C3B59" w:rsidRDefault="000C7DD1" w:rsidP="000C7DD1">
      <w:pPr>
        <w:pStyle w:val="direction"/>
      </w:pPr>
      <w:r w:rsidRPr="003C3B59">
        <w:t>omit</w:t>
      </w:r>
    </w:p>
    <w:p w14:paraId="7EF7B008" w14:textId="77777777" w:rsidR="000C7DD1" w:rsidRPr="003C3B59" w:rsidRDefault="000C7DD1" w:rsidP="000C7DD1">
      <w:pPr>
        <w:pStyle w:val="Amainreturn"/>
      </w:pPr>
      <w:r w:rsidRPr="003C3B59">
        <w:t>Minister</w:t>
      </w:r>
    </w:p>
    <w:p w14:paraId="7F291BE9" w14:textId="77777777" w:rsidR="000C7DD1" w:rsidRPr="003C3B59" w:rsidRDefault="000C7DD1" w:rsidP="002A283C">
      <w:pPr>
        <w:pStyle w:val="direction"/>
      </w:pPr>
      <w:r w:rsidRPr="003C3B59">
        <w:t>substitute</w:t>
      </w:r>
    </w:p>
    <w:p w14:paraId="6720C755" w14:textId="77777777" w:rsidR="000C7DD1" w:rsidRPr="003C3B59" w:rsidRDefault="000C7DD1" w:rsidP="000C7DD1">
      <w:pPr>
        <w:pStyle w:val="Amainreturn"/>
      </w:pPr>
      <w:r w:rsidRPr="003C3B59">
        <w:t>director-general</w:t>
      </w:r>
    </w:p>
    <w:p w14:paraId="67280171" w14:textId="27DCA563" w:rsidR="000C7DD1" w:rsidRPr="003C3B59" w:rsidRDefault="003C3B59" w:rsidP="003C3B59">
      <w:pPr>
        <w:pStyle w:val="AH5Sec"/>
        <w:shd w:val="pct25" w:color="auto" w:fill="auto"/>
      </w:pPr>
      <w:bookmarkStart w:id="15" w:name="_Toc84332414"/>
      <w:r w:rsidRPr="003C3B59">
        <w:rPr>
          <w:rStyle w:val="CharSectNo"/>
        </w:rPr>
        <w:t>14</w:t>
      </w:r>
      <w:r w:rsidRPr="003C3B59">
        <w:tab/>
      </w:r>
      <w:r w:rsidR="000C7DD1" w:rsidRPr="003C3B59">
        <w:t>Section 635 (1), note 2</w:t>
      </w:r>
      <w:bookmarkEnd w:id="15"/>
    </w:p>
    <w:p w14:paraId="04CC3361" w14:textId="77777777" w:rsidR="000C7DD1" w:rsidRPr="003C3B59" w:rsidRDefault="000C7DD1" w:rsidP="000C7DD1">
      <w:pPr>
        <w:pStyle w:val="direction"/>
      </w:pPr>
      <w:r w:rsidRPr="003C3B59">
        <w:t>omit</w:t>
      </w:r>
    </w:p>
    <w:p w14:paraId="28DBD639" w14:textId="2C1B2163" w:rsidR="000C7DD1" w:rsidRPr="003C3B59" w:rsidRDefault="003C3B59" w:rsidP="003C3B59">
      <w:pPr>
        <w:pStyle w:val="AH5Sec"/>
        <w:shd w:val="pct25" w:color="auto" w:fill="auto"/>
      </w:pPr>
      <w:bookmarkStart w:id="16" w:name="_Toc84332415"/>
      <w:r w:rsidRPr="003C3B59">
        <w:rPr>
          <w:rStyle w:val="CharSectNo"/>
        </w:rPr>
        <w:t>15</w:t>
      </w:r>
      <w:r w:rsidRPr="003C3B59">
        <w:tab/>
      </w:r>
      <w:r w:rsidR="000C7DD1" w:rsidRPr="003C3B59">
        <w:t>Sections 637 and 644</w:t>
      </w:r>
      <w:bookmarkEnd w:id="16"/>
    </w:p>
    <w:p w14:paraId="14B61536" w14:textId="77777777" w:rsidR="000C7DD1" w:rsidRPr="003C3B59" w:rsidRDefault="000C7DD1" w:rsidP="000C7DD1">
      <w:pPr>
        <w:pStyle w:val="direction"/>
      </w:pPr>
      <w:r w:rsidRPr="003C3B59">
        <w:t>omit</w:t>
      </w:r>
    </w:p>
    <w:p w14:paraId="28587D8E" w14:textId="77777777" w:rsidR="000C7DD1" w:rsidRPr="003C3B59" w:rsidRDefault="000C7DD1" w:rsidP="000C7DD1">
      <w:pPr>
        <w:pStyle w:val="Amainreturn"/>
      </w:pPr>
      <w:r w:rsidRPr="003C3B59">
        <w:t>Minister</w:t>
      </w:r>
    </w:p>
    <w:p w14:paraId="65D56841" w14:textId="77777777" w:rsidR="000C7DD1" w:rsidRPr="003C3B59" w:rsidRDefault="000C7DD1" w:rsidP="002A283C">
      <w:pPr>
        <w:pStyle w:val="direction"/>
      </w:pPr>
      <w:r w:rsidRPr="003C3B59">
        <w:t>substitute</w:t>
      </w:r>
    </w:p>
    <w:p w14:paraId="470D843E" w14:textId="25FF6DA2" w:rsidR="000C7DD1" w:rsidRPr="003C3B59" w:rsidRDefault="000C7DD1" w:rsidP="000C7DD1">
      <w:pPr>
        <w:pStyle w:val="Amainreturn"/>
      </w:pPr>
      <w:r w:rsidRPr="003C3B59">
        <w:t>director-general</w:t>
      </w:r>
    </w:p>
    <w:p w14:paraId="29E07D89" w14:textId="4C1DBE52" w:rsidR="00730049" w:rsidRPr="003C3B59" w:rsidRDefault="003C3B59" w:rsidP="003C3B59">
      <w:pPr>
        <w:pStyle w:val="AH5Sec"/>
        <w:shd w:val="pct25" w:color="auto" w:fill="auto"/>
      </w:pPr>
      <w:bookmarkStart w:id="17" w:name="_Toc84332416"/>
      <w:r w:rsidRPr="003C3B59">
        <w:rPr>
          <w:rStyle w:val="CharSectNo"/>
        </w:rPr>
        <w:t>16</w:t>
      </w:r>
      <w:r w:rsidRPr="003C3B59">
        <w:tab/>
      </w:r>
      <w:r w:rsidR="00730049" w:rsidRPr="003C3B59">
        <w:t xml:space="preserve">Section 695 (3), definition of </w:t>
      </w:r>
      <w:r w:rsidR="00730049" w:rsidRPr="003C3B59">
        <w:rPr>
          <w:rStyle w:val="charItals"/>
        </w:rPr>
        <w:t>authorised activity</w:t>
      </w:r>
      <w:r w:rsidR="00730049" w:rsidRPr="003C3B59">
        <w:t xml:space="preserve">, </w:t>
      </w:r>
      <w:r w:rsidR="00FD6976" w:rsidRPr="003C3B59">
        <w:t xml:space="preserve">new </w:t>
      </w:r>
      <w:r w:rsidR="00730049" w:rsidRPr="003C3B59">
        <w:t>paragraph (</w:t>
      </w:r>
      <w:r w:rsidR="00FD6976" w:rsidRPr="003C3B59">
        <w:t>d</w:t>
      </w:r>
      <w:r w:rsidR="00730049" w:rsidRPr="003C3B59">
        <w:t>)</w:t>
      </w:r>
      <w:bookmarkEnd w:id="17"/>
    </w:p>
    <w:p w14:paraId="72518234" w14:textId="77777777" w:rsidR="00FD6976" w:rsidRPr="003C3B59" w:rsidRDefault="00FD6976" w:rsidP="00FD6976">
      <w:pPr>
        <w:pStyle w:val="direction"/>
      </w:pPr>
      <w:r w:rsidRPr="003C3B59">
        <w:t>insert</w:t>
      </w:r>
    </w:p>
    <w:p w14:paraId="3BFCFE33" w14:textId="044413CC" w:rsidR="00FD6976" w:rsidRPr="003C3B59" w:rsidRDefault="00FD6976" w:rsidP="007403B6">
      <w:pPr>
        <w:pStyle w:val="Ipara"/>
      </w:pPr>
      <w:r w:rsidRPr="003C3B59">
        <w:tab/>
        <w:t>(d)</w:t>
      </w:r>
      <w:r w:rsidRPr="003C3B59">
        <w:tab/>
        <w:t xml:space="preserve">if the </w:t>
      </w:r>
      <w:r w:rsidR="007C5678" w:rsidRPr="003C3B59">
        <w:t xml:space="preserve">poison </w:t>
      </w:r>
      <w:r w:rsidRPr="003C3B59">
        <w:t xml:space="preserve">is integral to genuine medical or scientific research at the institution—reasonable use of the </w:t>
      </w:r>
      <w:r w:rsidR="007C5678" w:rsidRPr="003C3B59">
        <w:t>poison</w:t>
      </w:r>
      <w:r w:rsidRPr="003C3B59">
        <w:t xml:space="preserve"> to carry out the research.</w:t>
      </w:r>
    </w:p>
    <w:p w14:paraId="28058C1D" w14:textId="1859E7C9" w:rsidR="002C6F89" w:rsidRPr="003C3B59" w:rsidRDefault="003C3B59" w:rsidP="003C3B59">
      <w:pPr>
        <w:pStyle w:val="AH5Sec"/>
        <w:shd w:val="pct25" w:color="auto" w:fill="auto"/>
      </w:pPr>
      <w:bookmarkStart w:id="18" w:name="_Toc84332417"/>
      <w:r w:rsidRPr="003C3B59">
        <w:rPr>
          <w:rStyle w:val="CharSectNo"/>
        </w:rPr>
        <w:lastRenderedPageBreak/>
        <w:t>17</w:t>
      </w:r>
      <w:r w:rsidRPr="003C3B59">
        <w:tab/>
      </w:r>
      <w:r w:rsidR="002C6F89" w:rsidRPr="003C3B59">
        <w:t>Section 863 (d)</w:t>
      </w:r>
      <w:bookmarkEnd w:id="18"/>
    </w:p>
    <w:p w14:paraId="77DD04A1" w14:textId="0E1AAC61" w:rsidR="002C6F89" w:rsidRPr="003C3B59" w:rsidRDefault="002C6F89" w:rsidP="002C6F89">
      <w:pPr>
        <w:pStyle w:val="direction"/>
      </w:pPr>
      <w:r w:rsidRPr="003C3B59">
        <w:t>substitute</w:t>
      </w:r>
    </w:p>
    <w:p w14:paraId="3053AE00" w14:textId="700FB820" w:rsidR="002C6F89" w:rsidRPr="003C3B59" w:rsidRDefault="00C45663" w:rsidP="00C45663">
      <w:pPr>
        <w:pStyle w:val="Ipara"/>
        <w:rPr>
          <w:lang w:eastAsia="en-AU"/>
        </w:rPr>
      </w:pPr>
      <w:r w:rsidRPr="003C3B59">
        <w:tab/>
        <w:t>(d)</w:t>
      </w:r>
      <w:r w:rsidRPr="003C3B59">
        <w:tab/>
        <w:t xml:space="preserve">the </w:t>
      </w:r>
      <w:hyperlink r:id="rId27" w:tooltip="National Health (Pharmaceutical Benefits) Regulations 2017" w:history="1">
        <w:r w:rsidR="00DC38F2" w:rsidRPr="003C3B59">
          <w:rPr>
            <w:rStyle w:val="charCitHyperlinkItal"/>
          </w:rPr>
          <w:t>National Health (Pharmaceutical Benefits) Regulations 2017</w:t>
        </w:r>
      </w:hyperlink>
      <w:r w:rsidRPr="003C3B59">
        <w:rPr>
          <w:lang w:eastAsia="en-AU"/>
        </w:rPr>
        <w:t xml:space="preserve"> (Cwlth);</w:t>
      </w:r>
    </w:p>
    <w:p w14:paraId="4DF0E74E" w14:textId="4F4154AA" w:rsidR="001774BF" w:rsidRPr="003C3B59" w:rsidRDefault="003C3B59" w:rsidP="003C3B59">
      <w:pPr>
        <w:pStyle w:val="AH5Sec"/>
        <w:shd w:val="pct25" w:color="auto" w:fill="auto"/>
      </w:pPr>
      <w:bookmarkStart w:id="19" w:name="_Toc84332418"/>
      <w:r w:rsidRPr="003C3B59">
        <w:rPr>
          <w:rStyle w:val="CharSectNo"/>
        </w:rPr>
        <w:t>18</w:t>
      </w:r>
      <w:r w:rsidRPr="003C3B59">
        <w:tab/>
      </w:r>
      <w:r w:rsidR="001774BF" w:rsidRPr="003C3B59">
        <w:t>New section 863 (g) to (</w:t>
      </w:r>
      <w:r w:rsidR="00A4251B" w:rsidRPr="003C3B59">
        <w:t>k</w:t>
      </w:r>
      <w:r w:rsidR="001774BF" w:rsidRPr="003C3B59">
        <w:t>)</w:t>
      </w:r>
      <w:bookmarkEnd w:id="19"/>
    </w:p>
    <w:p w14:paraId="2DE688BC" w14:textId="3AA94801" w:rsidR="001774BF" w:rsidRPr="003C3B59" w:rsidRDefault="00825B4A" w:rsidP="001774BF">
      <w:pPr>
        <w:pStyle w:val="direction"/>
      </w:pPr>
      <w:r w:rsidRPr="003C3B59">
        <w:t>insert</w:t>
      </w:r>
    </w:p>
    <w:p w14:paraId="6707A4AB" w14:textId="06AA4E86" w:rsidR="001774BF" w:rsidRPr="003C3B59" w:rsidRDefault="001774BF" w:rsidP="001774BF">
      <w:pPr>
        <w:pStyle w:val="Ipara"/>
      </w:pPr>
      <w:r w:rsidRPr="003C3B59">
        <w:rPr>
          <w:lang w:eastAsia="en-AU"/>
        </w:rPr>
        <w:tab/>
        <w:t>(g)</w:t>
      </w:r>
      <w:r w:rsidRPr="003C3B59">
        <w:rPr>
          <w:lang w:eastAsia="en-AU"/>
        </w:rPr>
        <w:tab/>
      </w:r>
      <w:r w:rsidRPr="003C3B59">
        <w:t>Australian Immunisation Handbook;</w:t>
      </w:r>
    </w:p>
    <w:p w14:paraId="1347149E" w14:textId="5CF4035F" w:rsidR="001774BF" w:rsidRPr="003C3B59" w:rsidRDefault="001774BF" w:rsidP="001774BF">
      <w:pPr>
        <w:pStyle w:val="Ipara"/>
      </w:pPr>
      <w:r w:rsidRPr="003C3B59">
        <w:tab/>
        <w:t>(</w:t>
      </w:r>
      <w:r w:rsidR="006A03BD" w:rsidRPr="003C3B59">
        <w:t>h</w:t>
      </w:r>
      <w:r w:rsidRPr="003C3B59">
        <w:t>)</w:t>
      </w:r>
      <w:r w:rsidRPr="003C3B59">
        <w:tab/>
        <w:t>Australian Technical Advisory Group on Immunisation (ATAGI) Clinical guidance on use of COVID-19 vaccine in Australia;</w:t>
      </w:r>
    </w:p>
    <w:p w14:paraId="7112B4D1" w14:textId="28D9ACED" w:rsidR="001774BF" w:rsidRPr="003C3B59" w:rsidRDefault="001774BF" w:rsidP="001774BF">
      <w:pPr>
        <w:pStyle w:val="Ipara"/>
      </w:pPr>
      <w:r w:rsidRPr="003C3B59">
        <w:tab/>
        <w:t>(</w:t>
      </w:r>
      <w:r w:rsidR="006A03BD" w:rsidRPr="003C3B59">
        <w:t>i</w:t>
      </w:r>
      <w:r w:rsidRPr="003C3B59">
        <w:t>)</w:t>
      </w:r>
      <w:r w:rsidRPr="003C3B59">
        <w:tab/>
        <w:t xml:space="preserve">National </w:t>
      </w:r>
      <w:r w:rsidR="00F417CF" w:rsidRPr="003C3B59">
        <w:t>g</w:t>
      </w:r>
      <w:r w:rsidRPr="003C3B59">
        <w:t xml:space="preserve">uidelines for </w:t>
      </w:r>
      <w:r w:rsidR="00F417CF" w:rsidRPr="003C3B59">
        <w:t>m</w:t>
      </w:r>
      <w:r w:rsidRPr="003C3B59">
        <w:t>edication-</w:t>
      </w:r>
      <w:r w:rsidR="00F417CF" w:rsidRPr="003C3B59">
        <w:t>a</w:t>
      </w:r>
      <w:r w:rsidRPr="003C3B59">
        <w:t xml:space="preserve">ssisted </w:t>
      </w:r>
      <w:r w:rsidR="00F417CF" w:rsidRPr="003C3B59">
        <w:t>t</w:t>
      </w:r>
      <w:r w:rsidRPr="003C3B59">
        <w:t xml:space="preserve">reatment of </w:t>
      </w:r>
      <w:r w:rsidR="00F417CF" w:rsidRPr="003C3B59">
        <w:t>o</w:t>
      </w:r>
      <w:r w:rsidRPr="003C3B59">
        <w:t xml:space="preserve">pioid </w:t>
      </w:r>
      <w:r w:rsidR="00F417CF" w:rsidRPr="003C3B59">
        <w:t>d</w:t>
      </w:r>
      <w:r w:rsidRPr="003C3B59">
        <w:t>ependence;</w:t>
      </w:r>
    </w:p>
    <w:p w14:paraId="0FD7BA2F" w14:textId="4BD1808D" w:rsidR="001774BF" w:rsidRPr="003C3B59" w:rsidRDefault="001774BF" w:rsidP="001774BF">
      <w:pPr>
        <w:pStyle w:val="Ipara"/>
      </w:pPr>
      <w:r w:rsidRPr="003C3B59">
        <w:tab/>
        <w:t>(</w:t>
      </w:r>
      <w:r w:rsidR="006A03BD" w:rsidRPr="003C3B59">
        <w:t>j</w:t>
      </w:r>
      <w:r w:rsidRPr="003C3B59">
        <w:t>)</w:t>
      </w:r>
      <w:r w:rsidRPr="003C3B59">
        <w:tab/>
        <w:t>National Immunisation Education Framework for Health Professionals;</w:t>
      </w:r>
    </w:p>
    <w:p w14:paraId="6B744AE7" w14:textId="4BABEEA7" w:rsidR="001774BF" w:rsidRPr="003C3B59" w:rsidRDefault="001774BF" w:rsidP="001774BF">
      <w:pPr>
        <w:pStyle w:val="Ipara"/>
      </w:pPr>
      <w:r w:rsidRPr="003C3B59">
        <w:tab/>
        <w:t>(</w:t>
      </w:r>
      <w:r w:rsidR="006A03BD" w:rsidRPr="003C3B59">
        <w:t>k</w:t>
      </w:r>
      <w:r w:rsidRPr="003C3B59">
        <w:t>)</w:t>
      </w:r>
      <w:r w:rsidRPr="003C3B59">
        <w:tab/>
        <w:t xml:space="preserve">National Vaccine </w:t>
      </w:r>
      <w:r w:rsidR="00F417CF" w:rsidRPr="003C3B59">
        <w:t>S</w:t>
      </w:r>
      <w:r w:rsidRPr="003C3B59">
        <w:t xml:space="preserve">torage </w:t>
      </w:r>
      <w:r w:rsidR="00F417CF" w:rsidRPr="003C3B59">
        <w:t>G</w:t>
      </w:r>
      <w:r w:rsidRPr="003C3B59">
        <w:t>uidelines: Strive for 5</w:t>
      </w:r>
      <w:r w:rsidR="006A03BD" w:rsidRPr="003C3B59">
        <w:t>.</w:t>
      </w:r>
    </w:p>
    <w:p w14:paraId="3C37FBF6" w14:textId="7E9FB074" w:rsidR="00DD3D5E" w:rsidRPr="003C3B59" w:rsidRDefault="003C3B59" w:rsidP="003C3B59">
      <w:pPr>
        <w:pStyle w:val="AH5Sec"/>
        <w:shd w:val="pct25" w:color="auto" w:fill="auto"/>
      </w:pPr>
      <w:bookmarkStart w:id="20" w:name="_Toc84332419"/>
      <w:r w:rsidRPr="003C3B59">
        <w:rPr>
          <w:rStyle w:val="CharSectNo"/>
        </w:rPr>
        <w:t>19</w:t>
      </w:r>
      <w:r w:rsidRPr="003C3B59">
        <w:tab/>
      </w:r>
      <w:r w:rsidR="00DD3D5E" w:rsidRPr="003C3B59">
        <w:t xml:space="preserve">Section 863, new </w:t>
      </w:r>
      <w:r w:rsidR="00D156CA" w:rsidRPr="003C3B59">
        <w:t>note</w:t>
      </w:r>
      <w:bookmarkEnd w:id="20"/>
    </w:p>
    <w:p w14:paraId="4AC9F258" w14:textId="4AE593CA" w:rsidR="00DD3D5E" w:rsidRPr="003C3B59" w:rsidRDefault="00DD3D5E" w:rsidP="00DD3D5E">
      <w:pPr>
        <w:pStyle w:val="direction"/>
      </w:pPr>
      <w:r w:rsidRPr="003C3B59">
        <w:t>insert</w:t>
      </w:r>
    </w:p>
    <w:p w14:paraId="303C3BAC" w14:textId="2617973E" w:rsidR="00D156CA" w:rsidRPr="003C3B59" w:rsidRDefault="00DD3D5E" w:rsidP="00DD3D5E">
      <w:pPr>
        <w:pStyle w:val="aNote"/>
      </w:pPr>
      <w:r w:rsidRPr="003C3B59">
        <w:rPr>
          <w:rStyle w:val="charItals"/>
        </w:rPr>
        <w:t xml:space="preserve">Note </w:t>
      </w:r>
      <w:r w:rsidR="00D156CA" w:rsidRPr="003C3B59">
        <w:rPr>
          <w:rStyle w:val="charItals"/>
        </w:rPr>
        <w:t>2A</w:t>
      </w:r>
      <w:r w:rsidRPr="003C3B59">
        <w:rPr>
          <w:rStyle w:val="charItals"/>
        </w:rPr>
        <w:tab/>
      </w:r>
      <w:r w:rsidRPr="003C3B59">
        <w:t>The</w:t>
      </w:r>
      <w:r w:rsidR="00D156CA" w:rsidRPr="003C3B59">
        <w:t xml:space="preserve"> following are accessible at </w:t>
      </w:r>
      <w:hyperlink r:id="rId28" w:history="1">
        <w:r w:rsidR="00B0065C" w:rsidRPr="003C3B59">
          <w:rPr>
            <w:rStyle w:val="charCitHyperlinkAbbrev"/>
          </w:rPr>
          <w:t>www.health.gov.au</w:t>
        </w:r>
      </w:hyperlink>
      <w:r w:rsidR="00D73208" w:rsidRPr="003C3B59">
        <w:t>:</w:t>
      </w:r>
    </w:p>
    <w:p w14:paraId="646395A8" w14:textId="249B8DE8" w:rsidR="00DD3D5E" w:rsidRPr="003C3B59" w:rsidRDefault="003C3B59" w:rsidP="003C3B59">
      <w:pPr>
        <w:pStyle w:val="aNoteBulletss"/>
        <w:tabs>
          <w:tab w:val="left" w:pos="2300"/>
        </w:tabs>
      </w:pPr>
      <w:r w:rsidRPr="003C3B59">
        <w:rPr>
          <w:rFonts w:ascii="Symbol" w:hAnsi="Symbol"/>
        </w:rPr>
        <w:t></w:t>
      </w:r>
      <w:r w:rsidRPr="003C3B59">
        <w:rPr>
          <w:rFonts w:ascii="Symbol" w:hAnsi="Symbol"/>
        </w:rPr>
        <w:tab/>
      </w:r>
      <w:r w:rsidR="00D156CA" w:rsidRPr="003C3B59">
        <w:t xml:space="preserve">The </w:t>
      </w:r>
      <w:r w:rsidR="00DD3D5E" w:rsidRPr="003C3B59">
        <w:t xml:space="preserve">Australian </w:t>
      </w:r>
      <w:r w:rsidR="00F417CF" w:rsidRPr="003C3B59">
        <w:t>I</w:t>
      </w:r>
      <w:r w:rsidR="00DD3D5E" w:rsidRPr="003C3B59">
        <w:t xml:space="preserve">mmunisation </w:t>
      </w:r>
      <w:r w:rsidR="00F417CF" w:rsidRPr="003C3B59">
        <w:t>H</w:t>
      </w:r>
      <w:r w:rsidR="00DD3D5E" w:rsidRPr="003C3B59">
        <w:t>andbook</w:t>
      </w:r>
    </w:p>
    <w:p w14:paraId="7AC9B5EB" w14:textId="3547F555" w:rsidR="00DD3D5E" w:rsidRPr="003C3B59" w:rsidRDefault="003C3B59" w:rsidP="003C3B59">
      <w:pPr>
        <w:pStyle w:val="aNoteBulletss"/>
        <w:tabs>
          <w:tab w:val="left" w:pos="2300"/>
        </w:tabs>
      </w:pPr>
      <w:r w:rsidRPr="003C3B59">
        <w:rPr>
          <w:rFonts w:ascii="Symbol" w:hAnsi="Symbol"/>
        </w:rPr>
        <w:t></w:t>
      </w:r>
      <w:r w:rsidRPr="003C3B59">
        <w:rPr>
          <w:rFonts w:ascii="Symbol" w:hAnsi="Symbol"/>
        </w:rPr>
        <w:tab/>
      </w:r>
      <w:r w:rsidR="00DD3D5E" w:rsidRPr="003C3B59">
        <w:t>The clinical guidance on use of COVID-19 vaccine</w:t>
      </w:r>
    </w:p>
    <w:p w14:paraId="574A119A" w14:textId="1F70610D" w:rsidR="00687DE0" w:rsidRPr="003C3B59" w:rsidRDefault="003C3B59" w:rsidP="003C3B59">
      <w:pPr>
        <w:pStyle w:val="aNoteBulletss"/>
        <w:tabs>
          <w:tab w:val="left" w:pos="2300"/>
        </w:tabs>
      </w:pPr>
      <w:r w:rsidRPr="003C3B59">
        <w:rPr>
          <w:rFonts w:ascii="Symbol" w:hAnsi="Symbol"/>
        </w:rPr>
        <w:t></w:t>
      </w:r>
      <w:r w:rsidRPr="003C3B59">
        <w:rPr>
          <w:rFonts w:ascii="Symbol" w:hAnsi="Symbol"/>
        </w:rPr>
        <w:tab/>
      </w:r>
      <w:r w:rsidR="00687DE0" w:rsidRPr="003C3B59">
        <w:t xml:space="preserve">The National </w:t>
      </w:r>
      <w:r w:rsidR="00F417CF" w:rsidRPr="003C3B59">
        <w:t>g</w:t>
      </w:r>
      <w:r w:rsidR="00687DE0" w:rsidRPr="003C3B59">
        <w:t xml:space="preserve">uidelines for </w:t>
      </w:r>
      <w:r w:rsidR="00F417CF" w:rsidRPr="003C3B59">
        <w:t>m</w:t>
      </w:r>
      <w:r w:rsidR="00687DE0" w:rsidRPr="003C3B59">
        <w:t>edication-</w:t>
      </w:r>
      <w:r w:rsidR="00F417CF" w:rsidRPr="003C3B59">
        <w:t>a</w:t>
      </w:r>
      <w:r w:rsidR="00687DE0" w:rsidRPr="003C3B59">
        <w:t xml:space="preserve">ssisted </w:t>
      </w:r>
      <w:r w:rsidR="00F417CF" w:rsidRPr="003C3B59">
        <w:t>t</w:t>
      </w:r>
      <w:r w:rsidR="00687DE0" w:rsidRPr="003C3B59">
        <w:t xml:space="preserve">reatment of </w:t>
      </w:r>
      <w:r w:rsidR="00F417CF" w:rsidRPr="003C3B59">
        <w:t>o</w:t>
      </w:r>
      <w:r w:rsidR="00687DE0" w:rsidRPr="003C3B59">
        <w:t xml:space="preserve">pioid </w:t>
      </w:r>
      <w:r w:rsidR="00F417CF" w:rsidRPr="003C3B59">
        <w:t>d</w:t>
      </w:r>
      <w:r w:rsidR="00687DE0" w:rsidRPr="003C3B59">
        <w:t>ependence</w:t>
      </w:r>
    </w:p>
    <w:p w14:paraId="4EC11391" w14:textId="5A0F7E62" w:rsidR="00DD3D5E" w:rsidRPr="003C3B59" w:rsidRDefault="003C3B59" w:rsidP="003C3B59">
      <w:pPr>
        <w:pStyle w:val="aNoteBulletss"/>
        <w:tabs>
          <w:tab w:val="left" w:pos="2300"/>
        </w:tabs>
      </w:pPr>
      <w:r w:rsidRPr="003C3B59">
        <w:rPr>
          <w:rFonts w:ascii="Symbol" w:hAnsi="Symbol"/>
        </w:rPr>
        <w:t></w:t>
      </w:r>
      <w:r w:rsidRPr="003C3B59">
        <w:rPr>
          <w:rFonts w:ascii="Symbol" w:hAnsi="Symbol"/>
        </w:rPr>
        <w:tab/>
      </w:r>
      <w:r w:rsidR="00687DE0" w:rsidRPr="003C3B59">
        <w:t>The National Immunisation Education Framework for Health Professionals</w:t>
      </w:r>
    </w:p>
    <w:p w14:paraId="473211A7" w14:textId="051A3929" w:rsidR="00DD3D5E" w:rsidRPr="003C3B59" w:rsidRDefault="003C3B59" w:rsidP="003C3B59">
      <w:pPr>
        <w:pStyle w:val="aNoteBulletss"/>
        <w:tabs>
          <w:tab w:val="left" w:pos="2300"/>
        </w:tabs>
      </w:pPr>
      <w:r w:rsidRPr="003C3B59">
        <w:rPr>
          <w:rFonts w:ascii="Symbol" w:hAnsi="Symbol"/>
        </w:rPr>
        <w:t></w:t>
      </w:r>
      <w:r w:rsidRPr="003C3B59">
        <w:rPr>
          <w:rFonts w:ascii="Symbol" w:hAnsi="Symbol"/>
        </w:rPr>
        <w:tab/>
      </w:r>
      <w:r w:rsidR="00DD3D5E" w:rsidRPr="003C3B59">
        <w:t xml:space="preserve">The </w:t>
      </w:r>
      <w:r w:rsidR="00687DE0" w:rsidRPr="003C3B59">
        <w:t xml:space="preserve">National Vaccine </w:t>
      </w:r>
      <w:r w:rsidR="00F417CF" w:rsidRPr="003C3B59">
        <w:t>S</w:t>
      </w:r>
      <w:r w:rsidR="00687DE0" w:rsidRPr="003C3B59">
        <w:t xml:space="preserve">torage </w:t>
      </w:r>
      <w:r w:rsidR="00F417CF" w:rsidRPr="003C3B59">
        <w:t>G</w:t>
      </w:r>
      <w:r w:rsidR="00687DE0" w:rsidRPr="003C3B59">
        <w:t>uidelines</w:t>
      </w:r>
      <w:r w:rsidR="00F417CF" w:rsidRPr="003C3B59">
        <w:t>: Strive for 5</w:t>
      </w:r>
      <w:r w:rsidR="00D156CA" w:rsidRPr="003C3B59">
        <w:t>.</w:t>
      </w:r>
    </w:p>
    <w:p w14:paraId="35EB12AA" w14:textId="135D8093" w:rsidR="000C7DD1" w:rsidRPr="003C3B59" w:rsidRDefault="003C3B59" w:rsidP="003C3B59">
      <w:pPr>
        <w:pStyle w:val="AH5Sec"/>
        <w:shd w:val="pct25" w:color="auto" w:fill="auto"/>
      </w:pPr>
      <w:bookmarkStart w:id="21" w:name="_Toc84332420"/>
      <w:r w:rsidRPr="003C3B59">
        <w:rPr>
          <w:rStyle w:val="CharSectNo"/>
        </w:rPr>
        <w:lastRenderedPageBreak/>
        <w:t>20</w:t>
      </w:r>
      <w:r w:rsidRPr="003C3B59">
        <w:tab/>
      </w:r>
      <w:r w:rsidR="000C7DD1" w:rsidRPr="003C3B59">
        <w:t>Schedule 1, part 1.11, item 1, column 3, paragraph (a) (ii)</w:t>
      </w:r>
      <w:bookmarkEnd w:id="21"/>
    </w:p>
    <w:p w14:paraId="1637D2A9" w14:textId="77777777" w:rsidR="000C7DD1" w:rsidRPr="003C3B59" w:rsidRDefault="000C7DD1" w:rsidP="000C7DD1">
      <w:pPr>
        <w:pStyle w:val="direction"/>
      </w:pPr>
      <w:r w:rsidRPr="003C3B59">
        <w:t>substitute</w:t>
      </w:r>
    </w:p>
    <w:p w14:paraId="76995B22" w14:textId="79CB3315" w:rsidR="000C7DD1" w:rsidRPr="003C3B59" w:rsidRDefault="000C7DD1" w:rsidP="00D73208">
      <w:pPr>
        <w:pStyle w:val="TableText10"/>
        <w:tabs>
          <w:tab w:val="right" w:pos="1701"/>
          <w:tab w:val="left" w:pos="1985"/>
        </w:tabs>
        <w:ind w:left="1985" w:hanging="851"/>
      </w:pPr>
      <w:r w:rsidRPr="003C3B59">
        <w:tab/>
        <w:t>(ii)</w:t>
      </w:r>
      <w:r w:rsidRPr="003C3B59">
        <w:tab/>
        <w:t>not more than 30 ampoules, each of 1mL or less, of morphine sulphate, at a concentration of 30mg or less of morphine sulphate per mL;</w:t>
      </w:r>
    </w:p>
    <w:p w14:paraId="744A1AF7" w14:textId="52BB45A8" w:rsidR="000C7DD1" w:rsidRPr="003C3B59" w:rsidRDefault="000C7DD1" w:rsidP="00D73208">
      <w:pPr>
        <w:pStyle w:val="TableText10"/>
        <w:tabs>
          <w:tab w:val="right" w:pos="1701"/>
          <w:tab w:val="left" w:pos="1985"/>
        </w:tabs>
        <w:ind w:left="1985" w:hanging="851"/>
      </w:pPr>
      <w:r w:rsidRPr="003C3B59">
        <w:tab/>
        <w:t>(iii)</w:t>
      </w:r>
      <w:r w:rsidRPr="003C3B59">
        <w:tab/>
        <w:t>not more than 5 ampoules, each of 1mL or less, of hydromorphone, at a concentration of 2mg or less of hydromorphone per mL;</w:t>
      </w:r>
    </w:p>
    <w:p w14:paraId="46836423" w14:textId="4090F03F" w:rsidR="008C28A0" w:rsidRPr="003C3B59" w:rsidRDefault="003C3B59" w:rsidP="003C3B59">
      <w:pPr>
        <w:pStyle w:val="AH5Sec"/>
        <w:shd w:val="pct25" w:color="auto" w:fill="auto"/>
      </w:pPr>
      <w:bookmarkStart w:id="22" w:name="_Toc84332421"/>
      <w:r w:rsidRPr="003C3B59">
        <w:rPr>
          <w:rStyle w:val="CharSectNo"/>
        </w:rPr>
        <w:t>21</w:t>
      </w:r>
      <w:r w:rsidRPr="003C3B59">
        <w:tab/>
      </w:r>
      <w:r w:rsidR="008C28A0" w:rsidRPr="003C3B59">
        <w:t>Schedule 3, section 3.1</w:t>
      </w:r>
      <w:r w:rsidR="00741257" w:rsidRPr="003C3B59">
        <w:t>,</w:t>
      </w:r>
      <w:r w:rsidR="008C28A0" w:rsidRPr="003C3B59">
        <w:t xml:space="preserve"> new definition of </w:t>
      </w:r>
      <w:r w:rsidR="008C28A0" w:rsidRPr="003C3B59">
        <w:rPr>
          <w:rStyle w:val="charItals"/>
        </w:rPr>
        <w:t>approved indication</w:t>
      </w:r>
      <w:bookmarkEnd w:id="22"/>
    </w:p>
    <w:p w14:paraId="39A55C85" w14:textId="075C964B" w:rsidR="008C28A0" w:rsidRPr="003C3B59" w:rsidRDefault="008C28A0" w:rsidP="008C28A0">
      <w:pPr>
        <w:pStyle w:val="direction"/>
      </w:pPr>
      <w:r w:rsidRPr="003C3B59">
        <w:t>insert</w:t>
      </w:r>
    </w:p>
    <w:p w14:paraId="05FE7B8A" w14:textId="03AC7E4F" w:rsidR="008C28A0" w:rsidRPr="003C3B59" w:rsidRDefault="008C28A0" w:rsidP="003C3B59">
      <w:pPr>
        <w:pStyle w:val="aDef"/>
        <w:keepNext/>
      </w:pPr>
      <w:r w:rsidRPr="003C3B59">
        <w:rPr>
          <w:rStyle w:val="charBoldItals"/>
        </w:rPr>
        <w:t>approved indication</w:t>
      </w:r>
      <w:r w:rsidRPr="003C3B59">
        <w:t xml:space="preserve"> means </w:t>
      </w:r>
      <w:r w:rsidR="00B960E4" w:rsidRPr="003C3B59">
        <w:t>an indication that is accepted by the Secretary of the Australian Government Department of Health in relation to the medicine in the Australian Register of Therapeutic Goods.</w:t>
      </w:r>
    </w:p>
    <w:p w14:paraId="0B765460" w14:textId="7211E37D" w:rsidR="00B960E4" w:rsidRPr="003C3B59" w:rsidRDefault="00B960E4" w:rsidP="00B960E4">
      <w:pPr>
        <w:pStyle w:val="aNote"/>
        <w:rPr>
          <w:shd w:val="clear" w:color="auto" w:fill="FFFFFF"/>
        </w:rPr>
      </w:pPr>
      <w:r w:rsidRPr="003C3B59">
        <w:rPr>
          <w:rStyle w:val="charItals"/>
        </w:rPr>
        <w:t>Note</w:t>
      </w:r>
      <w:r w:rsidRPr="003C3B59">
        <w:rPr>
          <w:shd w:val="clear" w:color="auto" w:fill="FFFFFF"/>
        </w:rPr>
        <w:tab/>
        <w:t xml:space="preserve">Approved indications are shown in the public summary of the Australian Register of Therapeutic Goods on the Therapeutic Goods Administration website at </w:t>
      </w:r>
      <w:hyperlink r:id="rId29" w:history="1">
        <w:r w:rsidR="00B0065C" w:rsidRPr="003C3B59">
          <w:rPr>
            <w:rStyle w:val="charCitHyperlinkAbbrev"/>
          </w:rPr>
          <w:t>www.tga.gov.au</w:t>
        </w:r>
      </w:hyperlink>
      <w:r w:rsidRPr="003C3B59">
        <w:rPr>
          <w:shd w:val="clear" w:color="auto" w:fill="FFFFFF"/>
        </w:rPr>
        <w:t>.</w:t>
      </w:r>
    </w:p>
    <w:p w14:paraId="44D31B16" w14:textId="5C804982" w:rsidR="00017670" w:rsidRPr="003C3B59" w:rsidRDefault="003C3B59" w:rsidP="003C3B59">
      <w:pPr>
        <w:pStyle w:val="AH5Sec"/>
        <w:shd w:val="pct25" w:color="auto" w:fill="auto"/>
      </w:pPr>
      <w:bookmarkStart w:id="23" w:name="_Toc84332422"/>
      <w:r w:rsidRPr="003C3B59">
        <w:rPr>
          <w:rStyle w:val="CharSectNo"/>
        </w:rPr>
        <w:t>22</w:t>
      </w:r>
      <w:r w:rsidRPr="003C3B59">
        <w:tab/>
      </w:r>
      <w:r w:rsidR="00017670" w:rsidRPr="003C3B59">
        <w:t xml:space="preserve">Schedule 3, </w:t>
      </w:r>
      <w:r w:rsidR="006F14A5" w:rsidRPr="003C3B59">
        <w:t>part</w:t>
      </w:r>
      <w:r w:rsidR="00017670" w:rsidRPr="003C3B59">
        <w:t xml:space="preserve"> 3.2, item 5, column 2</w:t>
      </w:r>
      <w:bookmarkEnd w:id="23"/>
    </w:p>
    <w:p w14:paraId="1F135E85" w14:textId="451DDE45" w:rsidR="00017670" w:rsidRPr="003C3B59" w:rsidRDefault="00017670" w:rsidP="00017670">
      <w:pPr>
        <w:pStyle w:val="direction"/>
      </w:pPr>
      <w:r w:rsidRPr="003C3B59">
        <w:t>after</w:t>
      </w:r>
    </w:p>
    <w:p w14:paraId="25E4E19F" w14:textId="24F79572" w:rsidR="00017670" w:rsidRPr="003C3B59" w:rsidRDefault="00017670" w:rsidP="00670EB8">
      <w:pPr>
        <w:spacing w:before="140"/>
        <w:ind w:left="1134"/>
        <w:rPr>
          <w:sz w:val="20"/>
        </w:rPr>
      </w:pPr>
      <w:r w:rsidRPr="003C3B59">
        <w:rPr>
          <w:sz w:val="20"/>
        </w:rPr>
        <w:t>specialist area of</w:t>
      </w:r>
    </w:p>
    <w:p w14:paraId="71C2FC2C" w14:textId="492CFE58" w:rsidR="00017670" w:rsidRPr="003C3B59" w:rsidRDefault="00017670" w:rsidP="00017670">
      <w:pPr>
        <w:pStyle w:val="direction"/>
      </w:pPr>
      <w:r w:rsidRPr="003C3B59">
        <w:t>insert</w:t>
      </w:r>
    </w:p>
    <w:p w14:paraId="5E265E31" w14:textId="2B632BB4" w:rsidR="00017670" w:rsidRPr="003C3B59" w:rsidRDefault="00017670" w:rsidP="00670EB8">
      <w:pPr>
        <w:spacing w:before="140"/>
        <w:ind w:left="1134"/>
        <w:rPr>
          <w:sz w:val="20"/>
        </w:rPr>
      </w:pPr>
      <w:r w:rsidRPr="003C3B59">
        <w:rPr>
          <w:sz w:val="20"/>
        </w:rPr>
        <w:t>dentistry,</w:t>
      </w:r>
    </w:p>
    <w:p w14:paraId="3A22158C" w14:textId="0285A7BA" w:rsidR="008A2A96" w:rsidRPr="003C3B59" w:rsidRDefault="003C3B59" w:rsidP="003C3B59">
      <w:pPr>
        <w:pStyle w:val="AH5Sec"/>
        <w:shd w:val="pct25" w:color="auto" w:fill="auto"/>
      </w:pPr>
      <w:bookmarkStart w:id="24" w:name="_Toc84332423"/>
      <w:r w:rsidRPr="003C3B59">
        <w:rPr>
          <w:rStyle w:val="CharSectNo"/>
        </w:rPr>
        <w:t>23</w:t>
      </w:r>
      <w:r w:rsidRPr="003C3B59">
        <w:tab/>
      </w:r>
      <w:r w:rsidR="008A2A96" w:rsidRPr="003C3B59">
        <w:t>Schedule 3, part 3.2, item 6, column 2</w:t>
      </w:r>
      <w:bookmarkEnd w:id="24"/>
    </w:p>
    <w:p w14:paraId="48A16849" w14:textId="7EE21DE3" w:rsidR="008A2A96" w:rsidRPr="003C3B59" w:rsidRDefault="008A2A96" w:rsidP="008A2A96">
      <w:pPr>
        <w:pStyle w:val="direction"/>
      </w:pPr>
      <w:r w:rsidRPr="003C3B59">
        <w:t>omit</w:t>
      </w:r>
    </w:p>
    <w:p w14:paraId="732A9CD9" w14:textId="6125B4C0" w:rsidR="008A2A96" w:rsidRPr="003C3B59" w:rsidRDefault="008A2A96" w:rsidP="00670EB8">
      <w:pPr>
        <w:spacing w:before="140"/>
        <w:ind w:left="1134"/>
        <w:rPr>
          <w:sz w:val="20"/>
        </w:rPr>
      </w:pPr>
      <w:r w:rsidRPr="003C3B59">
        <w:rPr>
          <w:sz w:val="20"/>
        </w:rPr>
        <w:t>designated</w:t>
      </w:r>
    </w:p>
    <w:p w14:paraId="0632B46A" w14:textId="06E7B7DF" w:rsidR="00AC5D54" w:rsidRPr="003C3B59" w:rsidRDefault="003C3B59" w:rsidP="003C3B59">
      <w:pPr>
        <w:pStyle w:val="AH5Sec"/>
        <w:shd w:val="pct25" w:color="auto" w:fill="auto"/>
      </w:pPr>
      <w:bookmarkStart w:id="25" w:name="_Toc84332424"/>
      <w:r w:rsidRPr="003C3B59">
        <w:rPr>
          <w:rStyle w:val="CharSectNo"/>
        </w:rPr>
        <w:lastRenderedPageBreak/>
        <w:t>24</w:t>
      </w:r>
      <w:r w:rsidRPr="003C3B59">
        <w:tab/>
      </w:r>
      <w:r w:rsidR="00AC5D54" w:rsidRPr="003C3B59">
        <w:t xml:space="preserve">Schedule 3, </w:t>
      </w:r>
      <w:r w:rsidR="006F14A5" w:rsidRPr="003C3B59">
        <w:t>part</w:t>
      </w:r>
      <w:r w:rsidR="00AC5D54" w:rsidRPr="003C3B59">
        <w:t xml:space="preserve"> 3.2, new items 7 </w:t>
      </w:r>
      <w:r w:rsidR="002365C9" w:rsidRPr="003C3B59">
        <w:t>to</w:t>
      </w:r>
      <w:r w:rsidR="00AC5D54" w:rsidRPr="003C3B59">
        <w:t xml:space="preserve"> </w:t>
      </w:r>
      <w:r w:rsidR="002365C9" w:rsidRPr="003C3B59">
        <w:t>9</w:t>
      </w:r>
      <w:bookmarkEnd w:id="25"/>
    </w:p>
    <w:p w14:paraId="3444DA31" w14:textId="59E02CDE" w:rsidR="00AC5D54" w:rsidRPr="003C3B59" w:rsidRDefault="00AC5D54" w:rsidP="00AC5D54">
      <w:pPr>
        <w:pStyle w:val="direction"/>
      </w:pPr>
      <w:r w:rsidRPr="003C3B59">
        <w:t>insert</w:t>
      </w:r>
    </w:p>
    <w:tbl>
      <w:tblPr>
        <w:tblW w:w="7901" w:type="dxa"/>
        <w:tblInd w:w="-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6"/>
        <w:gridCol w:w="1767"/>
        <w:gridCol w:w="2566"/>
        <w:gridCol w:w="2542"/>
      </w:tblGrid>
      <w:tr w:rsidR="00AC5D54" w:rsidRPr="003C3B59" w14:paraId="44DA44CD" w14:textId="77777777" w:rsidTr="00F70A72">
        <w:trPr>
          <w:cantSplit/>
        </w:trPr>
        <w:tc>
          <w:tcPr>
            <w:tcW w:w="1026" w:type="dxa"/>
          </w:tcPr>
          <w:p w14:paraId="5D858320" w14:textId="2A6953F5" w:rsidR="00AC5D54" w:rsidRPr="003C3B59" w:rsidRDefault="00AC5D54" w:rsidP="00670EB8">
            <w:pPr>
              <w:pStyle w:val="TableText10"/>
            </w:pPr>
            <w:r w:rsidRPr="003C3B59">
              <w:t>7</w:t>
            </w:r>
          </w:p>
        </w:tc>
        <w:tc>
          <w:tcPr>
            <w:tcW w:w="1767" w:type="dxa"/>
          </w:tcPr>
          <w:p w14:paraId="6604495A" w14:textId="3F71691A" w:rsidR="00AC5D54" w:rsidRPr="003C3B59" w:rsidRDefault="00AC5D54" w:rsidP="00670EB8">
            <w:pPr>
              <w:pStyle w:val="TableText10"/>
            </w:pPr>
            <w:r w:rsidRPr="003C3B59">
              <w:t xml:space="preserve">specialist practising in specialist area of dermatology, </w:t>
            </w:r>
            <w:r w:rsidR="008F7DB7" w:rsidRPr="003C3B59">
              <w:t>gastroenterology and hepatology, infectious diseases, paediatric gastroenterology and hepatology, paediatric infectious diseases</w:t>
            </w:r>
          </w:p>
        </w:tc>
        <w:tc>
          <w:tcPr>
            <w:tcW w:w="2566" w:type="dxa"/>
          </w:tcPr>
          <w:p w14:paraId="4D7EDCA8" w14:textId="3A25835D" w:rsidR="00AC5D54" w:rsidRPr="003C3B59" w:rsidRDefault="00AC5D54" w:rsidP="00670EB8">
            <w:pPr>
              <w:pStyle w:val="TableText10"/>
            </w:pPr>
            <w:r w:rsidRPr="003C3B59">
              <w:t>ivermectin</w:t>
            </w:r>
          </w:p>
        </w:tc>
        <w:tc>
          <w:tcPr>
            <w:tcW w:w="2542" w:type="dxa"/>
          </w:tcPr>
          <w:p w14:paraId="16E40681" w14:textId="59DBD80B" w:rsidR="00AC5D54" w:rsidRPr="003C3B59" w:rsidRDefault="00AC5D54" w:rsidP="00670EB8">
            <w:pPr>
              <w:pStyle w:val="TableText10"/>
            </w:pPr>
            <w:r w:rsidRPr="003C3B59">
              <w:t>for initial treatment</w:t>
            </w:r>
            <w:r w:rsidR="00514623" w:rsidRPr="003C3B59">
              <w:t xml:space="preserve"> for an indication that is not an approved indication</w:t>
            </w:r>
          </w:p>
        </w:tc>
      </w:tr>
      <w:tr w:rsidR="00B7177E" w:rsidRPr="003C3B59" w14:paraId="4190DFB3" w14:textId="77777777" w:rsidTr="00F70A72">
        <w:trPr>
          <w:cantSplit/>
        </w:trPr>
        <w:tc>
          <w:tcPr>
            <w:tcW w:w="1026" w:type="dxa"/>
          </w:tcPr>
          <w:p w14:paraId="1CC83575" w14:textId="77777777" w:rsidR="00B7177E" w:rsidRPr="003C3B59" w:rsidRDefault="00B7177E" w:rsidP="00670EB8">
            <w:pPr>
              <w:pStyle w:val="TableText10"/>
            </w:pPr>
            <w:r w:rsidRPr="003C3B59">
              <w:t>8</w:t>
            </w:r>
          </w:p>
        </w:tc>
        <w:tc>
          <w:tcPr>
            <w:tcW w:w="1767" w:type="dxa"/>
          </w:tcPr>
          <w:p w14:paraId="47B78EAA" w14:textId="77777777" w:rsidR="00B7177E" w:rsidRPr="003C3B59" w:rsidRDefault="00B7177E" w:rsidP="00670EB8">
            <w:pPr>
              <w:pStyle w:val="TableText10"/>
            </w:pPr>
            <w:r w:rsidRPr="003C3B59">
              <w:t>prescriber</w:t>
            </w:r>
          </w:p>
        </w:tc>
        <w:tc>
          <w:tcPr>
            <w:tcW w:w="2566" w:type="dxa"/>
          </w:tcPr>
          <w:p w14:paraId="67E8DC55" w14:textId="77777777" w:rsidR="00B7177E" w:rsidRPr="003C3B59" w:rsidRDefault="00B7177E" w:rsidP="00670EB8">
            <w:pPr>
              <w:pStyle w:val="TableText10"/>
            </w:pPr>
            <w:r w:rsidRPr="003C3B59">
              <w:t>ivermectin</w:t>
            </w:r>
          </w:p>
        </w:tc>
        <w:tc>
          <w:tcPr>
            <w:tcW w:w="2542" w:type="dxa"/>
          </w:tcPr>
          <w:p w14:paraId="6B599B24" w14:textId="2303965A" w:rsidR="00B7177E" w:rsidRPr="003C3B59" w:rsidRDefault="00B7177E" w:rsidP="00F70A72">
            <w:pPr>
              <w:spacing w:before="80" w:after="60"/>
              <w:ind w:left="418" w:hanging="418"/>
              <w:rPr>
                <w:sz w:val="20"/>
              </w:rPr>
            </w:pPr>
            <w:r w:rsidRPr="003C3B59">
              <w:rPr>
                <w:sz w:val="20"/>
              </w:rPr>
              <w:t>(a)</w:t>
            </w:r>
            <w:r w:rsidRPr="003C3B59">
              <w:rPr>
                <w:sz w:val="20"/>
              </w:rPr>
              <w:tab/>
            </w:r>
            <w:r w:rsidR="008C28A0" w:rsidRPr="003C3B59">
              <w:rPr>
                <w:sz w:val="20"/>
              </w:rPr>
              <w:t xml:space="preserve">for initial and continued treatment </w:t>
            </w:r>
            <w:r w:rsidR="00BC4C41" w:rsidRPr="003C3B59">
              <w:rPr>
                <w:sz w:val="20"/>
              </w:rPr>
              <w:t>for an indication that is an</w:t>
            </w:r>
            <w:r w:rsidR="008C28A0" w:rsidRPr="003C3B59">
              <w:rPr>
                <w:sz w:val="20"/>
              </w:rPr>
              <w:t xml:space="preserve"> approved </w:t>
            </w:r>
            <w:r w:rsidR="00CD2709" w:rsidRPr="003C3B59">
              <w:rPr>
                <w:sz w:val="20"/>
              </w:rPr>
              <w:t>indication; or</w:t>
            </w:r>
          </w:p>
          <w:p w14:paraId="67A1B45A" w14:textId="77777777" w:rsidR="00B7177E" w:rsidRPr="003C3B59" w:rsidRDefault="00B7177E" w:rsidP="00F70A72">
            <w:pPr>
              <w:spacing w:before="80" w:after="60"/>
              <w:ind w:left="418" w:hanging="418"/>
              <w:rPr>
                <w:sz w:val="20"/>
              </w:rPr>
            </w:pPr>
            <w:r w:rsidRPr="003C3B59">
              <w:rPr>
                <w:sz w:val="20"/>
              </w:rPr>
              <w:t>(b)</w:t>
            </w:r>
            <w:r w:rsidRPr="003C3B59">
              <w:rPr>
                <w:sz w:val="20"/>
              </w:rPr>
              <w:tab/>
              <w:t>for continuation of treatment initiated by a specialist under item 7</w:t>
            </w:r>
          </w:p>
        </w:tc>
      </w:tr>
      <w:tr w:rsidR="00B7177E" w:rsidRPr="003C3B59" w14:paraId="0B20FB8F" w14:textId="77777777" w:rsidTr="00F70A72">
        <w:trPr>
          <w:cantSplit/>
        </w:trPr>
        <w:tc>
          <w:tcPr>
            <w:tcW w:w="1026" w:type="dxa"/>
          </w:tcPr>
          <w:p w14:paraId="048E4052" w14:textId="177AF32D" w:rsidR="00B7177E" w:rsidRPr="003C3B59" w:rsidRDefault="00B7177E" w:rsidP="00670EB8">
            <w:pPr>
              <w:pStyle w:val="TableText10"/>
            </w:pPr>
            <w:r w:rsidRPr="003C3B59">
              <w:t>9</w:t>
            </w:r>
          </w:p>
        </w:tc>
        <w:tc>
          <w:tcPr>
            <w:tcW w:w="1767" w:type="dxa"/>
          </w:tcPr>
          <w:p w14:paraId="60464714" w14:textId="62CFBBAB" w:rsidR="00B7177E" w:rsidRPr="003C3B59" w:rsidRDefault="00B7177E" w:rsidP="00670EB8">
            <w:pPr>
              <w:pStyle w:val="TableText10"/>
            </w:pPr>
            <w:r w:rsidRPr="003C3B59">
              <w:t>prescriber</w:t>
            </w:r>
          </w:p>
        </w:tc>
        <w:tc>
          <w:tcPr>
            <w:tcW w:w="2566" w:type="dxa"/>
          </w:tcPr>
          <w:p w14:paraId="0321BA70" w14:textId="565F8369" w:rsidR="00B7177E" w:rsidRPr="003C3B59" w:rsidRDefault="00B7177E" w:rsidP="00670EB8">
            <w:pPr>
              <w:pStyle w:val="TableText10"/>
            </w:pPr>
            <w:r w:rsidRPr="003C3B59">
              <w:t>nicotine for human use</w:t>
            </w:r>
          </w:p>
        </w:tc>
        <w:tc>
          <w:tcPr>
            <w:tcW w:w="2542" w:type="dxa"/>
          </w:tcPr>
          <w:p w14:paraId="7682987D" w14:textId="4C528BBE" w:rsidR="00B7177E" w:rsidRPr="003C3B59" w:rsidRDefault="00B7177E" w:rsidP="00670EB8">
            <w:pPr>
              <w:pStyle w:val="TableText10"/>
            </w:pPr>
          </w:p>
        </w:tc>
      </w:tr>
    </w:tbl>
    <w:p w14:paraId="42D37589" w14:textId="2545EED2" w:rsidR="00741257" w:rsidRPr="003C3B59" w:rsidRDefault="003C3B59" w:rsidP="003C3B59">
      <w:pPr>
        <w:pStyle w:val="AH5Sec"/>
        <w:shd w:val="pct25" w:color="auto" w:fill="auto"/>
      </w:pPr>
      <w:bookmarkStart w:id="26" w:name="_Toc84332425"/>
      <w:r w:rsidRPr="003C3B59">
        <w:rPr>
          <w:rStyle w:val="CharSectNo"/>
        </w:rPr>
        <w:t>25</w:t>
      </w:r>
      <w:r w:rsidRPr="003C3B59">
        <w:tab/>
      </w:r>
      <w:r w:rsidR="00741257" w:rsidRPr="003C3B59">
        <w:t>Schedule 3, part 3.2, new note</w:t>
      </w:r>
      <w:bookmarkEnd w:id="26"/>
    </w:p>
    <w:p w14:paraId="4E859BD0" w14:textId="0F532F4B" w:rsidR="00741257" w:rsidRPr="003C3B59" w:rsidRDefault="00741257" w:rsidP="00741257">
      <w:pPr>
        <w:pStyle w:val="direction"/>
      </w:pPr>
      <w:r w:rsidRPr="003C3B59">
        <w:t>insert</w:t>
      </w:r>
    </w:p>
    <w:p w14:paraId="201CA8E0" w14:textId="33511491" w:rsidR="00C4181E" w:rsidRPr="003C3B59" w:rsidRDefault="00C4181E" w:rsidP="00C4181E">
      <w:pPr>
        <w:pStyle w:val="aNote"/>
        <w:rPr>
          <w:iCs/>
        </w:rPr>
      </w:pPr>
      <w:r w:rsidRPr="003C3B59">
        <w:rPr>
          <w:rStyle w:val="charItals"/>
        </w:rPr>
        <w:t>Note</w:t>
      </w:r>
      <w:r w:rsidR="00741257" w:rsidRPr="003C3B59">
        <w:rPr>
          <w:rStyle w:val="charItals"/>
        </w:rPr>
        <w:t xml:space="preserve"> 2</w:t>
      </w:r>
      <w:r w:rsidRPr="003C3B59">
        <w:rPr>
          <w:rStyle w:val="charItals"/>
        </w:rPr>
        <w:tab/>
      </w:r>
      <w:r w:rsidRPr="003C3B59">
        <w:rPr>
          <w:iCs/>
        </w:rPr>
        <w:t xml:space="preserve">The </w:t>
      </w:r>
      <w:hyperlink r:id="rId30" w:tooltip="Poisons Standard Amendment (Hydroxychloroquine and Salbutamol) Instrument 2020" w:history="1">
        <w:r w:rsidR="00DC38F2" w:rsidRPr="003C3B59">
          <w:rPr>
            <w:rStyle w:val="charCitHyperlinkItal"/>
          </w:rPr>
          <w:t>Poisons Standard Amendment (Hydroxychloroquine and Salbutamol) Instrument 2020</w:t>
        </w:r>
      </w:hyperlink>
      <w:r w:rsidRPr="003C3B59">
        <w:rPr>
          <w:iCs/>
        </w:rPr>
        <w:t xml:space="preserve"> (Cwlth) (F2020L00291) commenced on 24</w:t>
      </w:r>
      <w:r w:rsidR="00F46367" w:rsidRPr="003C3B59">
        <w:rPr>
          <w:iCs/>
        </w:rPr>
        <w:t> </w:t>
      </w:r>
      <w:r w:rsidRPr="003C3B59">
        <w:rPr>
          <w:iCs/>
        </w:rPr>
        <w:t>March 2020.</w:t>
      </w:r>
    </w:p>
    <w:p w14:paraId="3C504C11" w14:textId="0BA71E66" w:rsidR="00C45663" w:rsidRPr="003C3B59" w:rsidRDefault="003C3B59" w:rsidP="003C3B59">
      <w:pPr>
        <w:pStyle w:val="AH5Sec"/>
        <w:shd w:val="pct25" w:color="auto" w:fill="auto"/>
      </w:pPr>
      <w:bookmarkStart w:id="27" w:name="_Toc84332426"/>
      <w:r w:rsidRPr="003C3B59">
        <w:rPr>
          <w:rStyle w:val="CharSectNo"/>
        </w:rPr>
        <w:lastRenderedPageBreak/>
        <w:t>26</w:t>
      </w:r>
      <w:r w:rsidRPr="003C3B59">
        <w:tab/>
      </w:r>
      <w:r w:rsidR="00C45663" w:rsidRPr="003C3B59">
        <w:t xml:space="preserve">Dictionary, definition of </w:t>
      </w:r>
      <w:r w:rsidR="00C45663" w:rsidRPr="003C3B59">
        <w:rPr>
          <w:rStyle w:val="charItals"/>
        </w:rPr>
        <w:t>national residential medication chart prescription</w:t>
      </w:r>
      <w:bookmarkEnd w:id="27"/>
    </w:p>
    <w:p w14:paraId="6F82F74C" w14:textId="77777777" w:rsidR="00C45663" w:rsidRPr="003C3B59" w:rsidRDefault="00C45663" w:rsidP="00C45663">
      <w:pPr>
        <w:pStyle w:val="direction"/>
      </w:pPr>
      <w:r w:rsidRPr="003C3B59">
        <w:t>substitute</w:t>
      </w:r>
    </w:p>
    <w:p w14:paraId="17D4EFBA" w14:textId="488ED6B7" w:rsidR="00C45663" w:rsidRPr="003C3B59" w:rsidRDefault="00C45663" w:rsidP="002167C1">
      <w:pPr>
        <w:pStyle w:val="aDef"/>
        <w:keepNext/>
        <w:keepLines/>
        <w:rPr>
          <w:lang w:eastAsia="en-AU"/>
        </w:rPr>
      </w:pPr>
      <w:r w:rsidRPr="003C3B59">
        <w:rPr>
          <w:rStyle w:val="charBoldItals"/>
        </w:rPr>
        <w:t>national residential medication chart prescription</w:t>
      </w:r>
      <w:r w:rsidRPr="003C3B59">
        <w:rPr>
          <w:lang w:eastAsia="en-AU"/>
        </w:rPr>
        <w:t xml:space="preserve"> means a medication chart</w:t>
      </w:r>
      <w:r w:rsidR="004A47CD" w:rsidRPr="003C3B59">
        <w:rPr>
          <w:lang w:eastAsia="en-AU"/>
        </w:rPr>
        <w:t xml:space="preserve"> prescription</w:t>
      </w:r>
      <w:r w:rsidRPr="003C3B59">
        <w:rPr>
          <w:lang w:eastAsia="en-AU"/>
        </w:rPr>
        <w:t xml:space="preserve"> within the meaning of the </w:t>
      </w:r>
      <w:hyperlink r:id="rId31" w:tooltip="National Health (Pharmaceutical Benefits) Regulations 2017" w:history="1">
        <w:r w:rsidR="00DC38F2" w:rsidRPr="003C3B59">
          <w:rPr>
            <w:rStyle w:val="charCitHyperlinkItal"/>
          </w:rPr>
          <w:t>National Health (Pharmaceutical Benefits) Regulations 2017</w:t>
        </w:r>
      </w:hyperlink>
      <w:r w:rsidRPr="003C3B59">
        <w:rPr>
          <w:lang w:eastAsia="en-AU"/>
        </w:rPr>
        <w:t xml:space="preserve"> (Cwlth), section 41 (</w:t>
      </w:r>
      <w:r w:rsidR="00825B4A" w:rsidRPr="003C3B59">
        <w:rPr>
          <w:lang w:eastAsia="en-AU"/>
        </w:rPr>
        <w:t>4</w:t>
      </w:r>
      <w:r w:rsidRPr="003C3B59">
        <w:rPr>
          <w:lang w:eastAsia="en-AU"/>
        </w:rPr>
        <w:t>), as in force from time to time.</w:t>
      </w:r>
    </w:p>
    <w:p w14:paraId="5EFD788D" w14:textId="0BB81324" w:rsidR="00C45663" w:rsidRPr="003C3B59" w:rsidRDefault="00C45663" w:rsidP="00C45663">
      <w:pPr>
        <w:pStyle w:val="aNote"/>
        <w:rPr>
          <w:lang w:eastAsia="en-AU"/>
        </w:rPr>
      </w:pPr>
      <w:r w:rsidRPr="003C3B59">
        <w:rPr>
          <w:lang w:eastAsia="en-AU"/>
        </w:rPr>
        <w:t>Note</w:t>
      </w:r>
      <w:r w:rsidRPr="003C3B59">
        <w:rPr>
          <w:lang w:eastAsia="en-AU"/>
        </w:rPr>
        <w:tab/>
        <w:t xml:space="preserve">The </w:t>
      </w:r>
      <w:hyperlink r:id="rId32" w:tooltip="National Health (Pharmaceutical Benefits) Regulations 2017" w:history="1">
        <w:r w:rsidR="00DC38F2" w:rsidRPr="003C3B59">
          <w:rPr>
            <w:rStyle w:val="charCitHyperlinkItal"/>
          </w:rPr>
          <w:t>National Health (Pharmaceutical Benefits) Regulations 2017</w:t>
        </w:r>
      </w:hyperlink>
      <w:r w:rsidRPr="003C3B59">
        <w:rPr>
          <w:lang w:eastAsia="en-AU"/>
        </w:rPr>
        <w:t xml:space="preserve"> (Cwlth) does not need to be notified under the </w:t>
      </w:r>
      <w:hyperlink r:id="rId33" w:tooltip="A2001-14" w:history="1">
        <w:r w:rsidR="00B0065C" w:rsidRPr="003C3B59">
          <w:rPr>
            <w:rStyle w:val="charCitHyperlinkAbbrev"/>
          </w:rPr>
          <w:t>Legislation Act</w:t>
        </w:r>
      </w:hyperlink>
      <w:r w:rsidRPr="003C3B59">
        <w:rPr>
          <w:lang w:eastAsia="en-AU"/>
        </w:rPr>
        <w:t xml:space="preserve"> because s</w:t>
      </w:r>
      <w:r w:rsidR="00741257" w:rsidRPr="003C3B59">
        <w:rPr>
          <w:lang w:eastAsia="en-AU"/>
        </w:rPr>
        <w:t> </w:t>
      </w:r>
      <w:r w:rsidRPr="003C3B59">
        <w:rPr>
          <w:lang w:eastAsia="en-AU"/>
        </w:rPr>
        <w:t>47</w:t>
      </w:r>
      <w:r w:rsidR="00741257" w:rsidRPr="003C3B59">
        <w:rPr>
          <w:lang w:eastAsia="en-AU"/>
        </w:rPr>
        <w:t> </w:t>
      </w:r>
      <w:r w:rsidRPr="003C3B59">
        <w:rPr>
          <w:lang w:eastAsia="en-AU"/>
        </w:rPr>
        <w:t>(6) does not apply (see s 863).</w:t>
      </w:r>
    </w:p>
    <w:p w14:paraId="73A0E9DE" w14:textId="77777777" w:rsidR="003C3B59" w:rsidRDefault="003C3B59">
      <w:pPr>
        <w:pStyle w:val="02Text"/>
        <w:sectPr w:rsidR="003C3B59" w:rsidSect="003C3B59">
          <w:headerReference w:type="even" r:id="rId34"/>
          <w:headerReference w:type="default" r:id="rId35"/>
          <w:footerReference w:type="even" r:id="rId36"/>
          <w:footerReference w:type="default" r:id="rId37"/>
          <w:footerReference w:type="first" r:id="rId3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03A6FD6" w14:textId="77777777" w:rsidR="00B84A29" w:rsidRPr="003C3B59" w:rsidRDefault="00B84A29">
      <w:pPr>
        <w:pStyle w:val="EndNoteHeading"/>
      </w:pPr>
      <w:r w:rsidRPr="003C3B59">
        <w:lastRenderedPageBreak/>
        <w:t>Endnotes</w:t>
      </w:r>
    </w:p>
    <w:p w14:paraId="5CE12002" w14:textId="77777777" w:rsidR="00B84A29" w:rsidRPr="003C3B59" w:rsidRDefault="00B84A29">
      <w:pPr>
        <w:pStyle w:val="EndNoteSubHeading"/>
      </w:pPr>
      <w:r w:rsidRPr="003C3B59">
        <w:t>1</w:t>
      </w:r>
      <w:r w:rsidRPr="003C3B59">
        <w:tab/>
        <w:t>Notification</w:t>
      </w:r>
    </w:p>
    <w:p w14:paraId="4395E091" w14:textId="2FC31150" w:rsidR="00B84A29" w:rsidRPr="003C3B59" w:rsidRDefault="00B84A29">
      <w:pPr>
        <w:pStyle w:val="EndNoteText"/>
      </w:pPr>
      <w:r w:rsidRPr="003C3B59">
        <w:tab/>
        <w:t xml:space="preserve">Notified under the </w:t>
      </w:r>
      <w:hyperlink r:id="rId39" w:tooltip="A2001-14" w:history="1">
        <w:r w:rsidR="008C024F" w:rsidRPr="003C3B59">
          <w:rPr>
            <w:rStyle w:val="charCitHyperlinkAbbrev"/>
          </w:rPr>
          <w:t>Legislation Act</w:t>
        </w:r>
      </w:hyperlink>
      <w:r w:rsidRPr="003C3B59">
        <w:t xml:space="preserve"> on</w:t>
      </w:r>
      <w:r w:rsidR="00166C1C">
        <w:t xml:space="preserve"> 4 November 2021</w:t>
      </w:r>
      <w:r w:rsidRPr="003C3B59">
        <w:t>.</w:t>
      </w:r>
    </w:p>
    <w:p w14:paraId="67D4FBDB" w14:textId="77777777" w:rsidR="00B84A29" w:rsidRPr="003C3B59" w:rsidRDefault="00B84A29">
      <w:pPr>
        <w:pStyle w:val="EndNoteSubHeading"/>
      </w:pPr>
      <w:r w:rsidRPr="003C3B59">
        <w:t>2</w:t>
      </w:r>
      <w:r w:rsidRPr="003C3B59">
        <w:tab/>
        <w:t>Republications of amended laws</w:t>
      </w:r>
    </w:p>
    <w:p w14:paraId="70CEF0F3" w14:textId="697BFD9B" w:rsidR="00B84A29" w:rsidRPr="003C3B59" w:rsidRDefault="00B84A29">
      <w:pPr>
        <w:pStyle w:val="EndNoteText"/>
      </w:pPr>
      <w:r w:rsidRPr="003C3B59">
        <w:tab/>
        <w:t xml:space="preserve">For the latest republication of amended laws, see </w:t>
      </w:r>
      <w:hyperlink r:id="rId40" w:history="1">
        <w:r w:rsidR="008C024F" w:rsidRPr="003C3B59">
          <w:rPr>
            <w:rStyle w:val="charCitHyperlinkAbbrev"/>
          </w:rPr>
          <w:t>www.legislation.act.gov.au</w:t>
        </w:r>
      </w:hyperlink>
      <w:r w:rsidRPr="003C3B59">
        <w:t>.</w:t>
      </w:r>
    </w:p>
    <w:p w14:paraId="4DFE85CD" w14:textId="77777777" w:rsidR="00B84A29" w:rsidRPr="003C3B59" w:rsidRDefault="00B84A29">
      <w:pPr>
        <w:pStyle w:val="N-line2"/>
      </w:pPr>
    </w:p>
    <w:p w14:paraId="17E6225F" w14:textId="77777777" w:rsidR="003C3B59" w:rsidRDefault="003C3B59">
      <w:pPr>
        <w:pStyle w:val="05EndNote"/>
        <w:sectPr w:rsidR="003C3B59" w:rsidSect="002167C1">
          <w:headerReference w:type="even" r:id="rId41"/>
          <w:headerReference w:type="default" r:id="rId42"/>
          <w:footerReference w:type="even" r:id="rId43"/>
          <w:footerReference w:type="default" r:id="rId4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FA65C7F" w14:textId="77777777" w:rsidR="00B84A29" w:rsidRPr="003C3B59" w:rsidRDefault="00B84A29" w:rsidP="00F70A72"/>
    <w:p w14:paraId="3C3749EE" w14:textId="123E4FFC" w:rsidR="00D56B7C" w:rsidRDefault="00D56B7C" w:rsidP="00B84A29"/>
    <w:p w14:paraId="7B8F2DC4" w14:textId="31A95159" w:rsidR="003C3B59" w:rsidRDefault="003C3B59" w:rsidP="003C3B59"/>
    <w:p w14:paraId="47A29215" w14:textId="42CB05CC" w:rsidR="003C3B59" w:rsidRDefault="003C3B59" w:rsidP="003C3B59"/>
    <w:p w14:paraId="01AA389B" w14:textId="09C4D39B" w:rsidR="003C3B59" w:rsidRDefault="003C3B59" w:rsidP="003C3B59"/>
    <w:p w14:paraId="5EF6959C" w14:textId="63D16C09" w:rsidR="003C3B59" w:rsidRDefault="003C3B59" w:rsidP="003C3B59">
      <w:pPr>
        <w:suppressLineNumbers/>
      </w:pPr>
    </w:p>
    <w:p w14:paraId="742A7C5E" w14:textId="2D69FF61" w:rsidR="003C3B59" w:rsidRDefault="003C3B59" w:rsidP="003C3B59">
      <w:pPr>
        <w:suppressLineNumbers/>
      </w:pPr>
    </w:p>
    <w:p w14:paraId="5676EC13" w14:textId="6EEA8843" w:rsidR="003C3B59" w:rsidRDefault="003C3B59" w:rsidP="003C3B59">
      <w:pPr>
        <w:suppressLineNumbers/>
      </w:pPr>
    </w:p>
    <w:p w14:paraId="04226DDF" w14:textId="37DDB71D" w:rsidR="003C3B59" w:rsidRDefault="003C3B59" w:rsidP="003C3B59">
      <w:pPr>
        <w:suppressLineNumbers/>
      </w:pPr>
    </w:p>
    <w:p w14:paraId="3E42F8D5" w14:textId="2A50D08F" w:rsidR="003C3B59" w:rsidRDefault="003C3B59" w:rsidP="003C3B59">
      <w:pPr>
        <w:suppressLineNumbers/>
      </w:pPr>
    </w:p>
    <w:p w14:paraId="795DB4DE" w14:textId="1AF0AE53" w:rsidR="003C3B59" w:rsidRDefault="003C3B59" w:rsidP="003C3B59">
      <w:pPr>
        <w:suppressLineNumbers/>
      </w:pPr>
    </w:p>
    <w:p w14:paraId="1E5C5B6E" w14:textId="582C440E" w:rsidR="003C3B59" w:rsidRDefault="003C3B59" w:rsidP="003C3B59">
      <w:pPr>
        <w:suppressLineNumbers/>
      </w:pPr>
    </w:p>
    <w:p w14:paraId="353BB6A9" w14:textId="4EDB489C" w:rsidR="003C3B59" w:rsidRDefault="003C3B59" w:rsidP="003C3B59">
      <w:pPr>
        <w:suppressLineNumbers/>
      </w:pPr>
    </w:p>
    <w:p w14:paraId="4D7D72FF" w14:textId="60B170CF" w:rsidR="003C3B59" w:rsidRDefault="003C3B59" w:rsidP="003C3B59">
      <w:pPr>
        <w:suppressLineNumbers/>
      </w:pPr>
    </w:p>
    <w:p w14:paraId="12419CAE" w14:textId="7A246CC4" w:rsidR="003C3B59" w:rsidRDefault="003C3B59" w:rsidP="003C3B59">
      <w:pPr>
        <w:suppressLineNumbers/>
      </w:pPr>
    </w:p>
    <w:p w14:paraId="626D85D3" w14:textId="1EB3DBC7" w:rsidR="003C3B59" w:rsidRDefault="003C3B59" w:rsidP="003C3B59">
      <w:pPr>
        <w:suppressLineNumbers/>
      </w:pPr>
    </w:p>
    <w:p w14:paraId="750318E3" w14:textId="12DEB421" w:rsidR="003C3B59" w:rsidRDefault="003C3B59" w:rsidP="003C3B59">
      <w:pPr>
        <w:suppressLineNumbers/>
      </w:pPr>
    </w:p>
    <w:p w14:paraId="04B10C9D" w14:textId="173DA679" w:rsidR="003C3B59" w:rsidRDefault="003C3B59" w:rsidP="003C3B59">
      <w:pPr>
        <w:suppressLineNumbers/>
      </w:pPr>
    </w:p>
    <w:p w14:paraId="332835B7" w14:textId="28A18B71" w:rsidR="003C3B59" w:rsidRDefault="003C3B59" w:rsidP="003C3B59">
      <w:pPr>
        <w:suppressLineNumbers/>
      </w:pPr>
    </w:p>
    <w:p w14:paraId="586F3F59" w14:textId="3EDE163E" w:rsidR="003C3B59" w:rsidRDefault="003C3B59" w:rsidP="003C3B59">
      <w:pPr>
        <w:suppressLineNumbers/>
      </w:pPr>
    </w:p>
    <w:p w14:paraId="69082B5A" w14:textId="79740BEF" w:rsidR="003C3B59" w:rsidRDefault="003C3B59" w:rsidP="003C3B59">
      <w:pPr>
        <w:suppressLineNumbers/>
      </w:pPr>
    </w:p>
    <w:p w14:paraId="73FAD3C5" w14:textId="789B27D2" w:rsidR="003C3B59" w:rsidRDefault="003C3B59" w:rsidP="003C3B59">
      <w:pPr>
        <w:suppressLineNumbers/>
      </w:pPr>
    </w:p>
    <w:p w14:paraId="73539BD9" w14:textId="698EB7B6" w:rsidR="003C3B59" w:rsidRDefault="003C3B59" w:rsidP="003C3B59">
      <w:pPr>
        <w:suppressLineNumbers/>
      </w:pPr>
    </w:p>
    <w:p w14:paraId="232A9FE7" w14:textId="35453224" w:rsidR="003C3B59" w:rsidRDefault="003C3B59" w:rsidP="003C3B59">
      <w:pPr>
        <w:suppressLineNumbers/>
      </w:pPr>
    </w:p>
    <w:p w14:paraId="677C95A5" w14:textId="465DC475" w:rsidR="003C3B59" w:rsidRDefault="003C3B5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3C3B59" w:rsidSect="003C3B59">
      <w:headerReference w:type="even" r:id="rId4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80E2" w14:textId="77777777" w:rsidR="00890ACB" w:rsidRDefault="00890ACB">
      <w:r>
        <w:separator/>
      </w:r>
    </w:p>
  </w:endnote>
  <w:endnote w:type="continuationSeparator" w:id="0">
    <w:p w14:paraId="59EC263B" w14:textId="77777777" w:rsidR="00890ACB" w:rsidRDefault="008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72B" w14:textId="15A5074A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90B5" w14:textId="77777777" w:rsidR="00890ACB" w:rsidRDefault="00890AC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90ACB" w14:paraId="418470DB" w14:textId="77777777">
      <w:trPr>
        <w:jc w:val="center"/>
      </w:trPr>
      <w:tc>
        <w:tcPr>
          <w:tcW w:w="1240" w:type="dxa"/>
        </w:tcPr>
        <w:p w14:paraId="56346670" w14:textId="77777777" w:rsidR="00890ACB" w:rsidRDefault="00890AC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34ACC1A" w14:textId="34DE2E06" w:rsidR="00890ACB" w:rsidRDefault="000849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D75DA">
            <w:t>Medicines, Poisons and Therapeutic Goods Amendment Regulation 2021 (No 2)</w:t>
          </w:r>
          <w:r>
            <w:fldChar w:fldCharType="end"/>
          </w:r>
        </w:p>
        <w:p w14:paraId="5784CD1F" w14:textId="0F244F1E" w:rsidR="00890ACB" w:rsidRDefault="000849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D75D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D75D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D75D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CBE09A3" w14:textId="1744ED0A" w:rsidR="00890ACB" w:rsidRDefault="0008498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D75DA">
            <w:t>SL2021-28</w:t>
          </w:r>
          <w:r>
            <w:fldChar w:fldCharType="end"/>
          </w:r>
          <w:r w:rsidR="00890AC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D75DA">
            <w:t xml:space="preserve">  </w:t>
          </w:r>
          <w:r>
            <w:fldChar w:fldCharType="end"/>
          </w:r>
        </w:p>
      </w:tc>
    </w:tr>
  </w:tbl>
  <w:p w14:paraId="10EA55B5" w14:textId="39333A63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2E46" w14:textId="77777777" w:rsidR="00890ACB" w:rsidRDefault="00890AC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90ACB" w14:paraId="4FBC905C" w14:textId="77777777">
      <w:trPr>
        <w:jc w:val="center"/>
      </w:trPr>
      <w:tc>
        <w:tcPr>
          <w:tcW w:w="1553" w:type="dxa"/>
        </w:tcPr>
        <w:p w14:paraId="6492E52E" w14:textId="140C8366" w:rsidR="00890ACB" w:rsidRDefault="0008498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D75DA">
            <w:t>SL2021-28</w:t>
          </w:r>
          <w:r>
            <w:fldChar w:fldCharType="end"/>
          </w:r>
          <w:r w:rsidR="00890AC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D75DA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26F06ED" w14:textId="62D5222D" w:rsidR="00890ACB" w:rsidRDefault="000849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D75DA">
            <w:t>Medicines, Poisons and Therapeutic Goods Amendment Regulation 2021 (No 2)</w:t>
          </w:r>
          <w:r>
            <w:fldChar w:fldCharType="end"/>
          </w:r>
        </w:p>
        <w:p w14:paraId="28699D8C" w14:textId="4989D913" w:rsidR="00890ACB" w:rsidRDefault="000849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</w:instrText>
          </w:r>
          <w:r>
            <w:instrText xml:space="preserve">ormat </w:instrText>
          </w:r>
          <w:r>
            <w:fldChar w:fldCharType="separate"/>
          </w:r>
          <w:r w:rsidR="00BD75D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D75D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D75D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6CDC99D" w14:textId="77777777" w:rsidR="00890ACB" w:rsidRDefault="00890AC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FFAEADF" w14:textId="6F01F57A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C9C5" w14:textId="5500AACB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AF09" w14:textId="17FD824D" w:rsidR="00890ACB" w:rsidRDefault="00890AC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D75DA">
      <w:rPr>
        <w:rFonts w:ascii="Arial" w:hAnsi="Arial"/>
        <w:sz w:val="12"/>
      </w:rPr>
      <w:t>J2021-1058</w:t>
    </w:r>
    <w:r>
      <w:rPr>
        <w:rFonts w:ascii="Arial" w:hAnsi="Arial"/>
        <w:sz w:val="12"/>
      </w:rPr>
      <w:fldChar w:fldCharType="end"/>
    </w:r>
  </w:p>
  <w:p w14:paraId="152CE009" w14:textId="7D377E99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AE61" w14:textId="77777777" w:rsidR="00890ACB" w:rsidRDefault="00890AC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90ACB" w:rsidRPr="00CB3D59" w14:paraId="24B4F846" w14:textId="77777777">
      <w:tc>
        <w:tcPr>
          <w:tcW w:w="845" w:type="pct"/>
        </w:tcPr>
        <w:p w14:paraId="6DD46766" w14:textId="77777777" w:rsidR="00890ACB" w:rsidRPr="0097645D" w:rsidRDefault="00890ACB" w:rsidP="00890ACB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88F9BAF" w14:textId="09091670" w:rsidR="00890ACB" w:rsidRPr="00783A18" w:rsidRDefault="0008498E" w:rsidP="00890AC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D75DA">
            <w:t>Medicines, Poisons and Therapeutic Goods Amendment Regulation 2021 (No 2)</w:t>
          </w:r>
          <w:r>
            <w:fldChar w:fldCharType="end"/>
          </w:r>
        </w:p>
        <w:p w14:paraId="08544425" w14:textId="7382743E" w:rsidR="00890ACB" w:rsidRPr="00783A18" w:rsidRDefault="00890ACB" w:rsidP="00890AC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3C7026E" w14:textId="04B23AE8" w:rsidR="00890ACB" w:rsidRPr="00743346" w:rsidRDefault="00890ACB" w:rsidP="00890AC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>SL2021-28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DA565C1" w14:textId="6BC450CB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52F0" w14:textId="77777777" w:rsidR="00890ACB" w:rsidRDefault="00890AC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90ACB" w:rsidRPr="00CB3D59" w14:paraId="3891CFFC" w14:textId="77777777">
      <w:tc>
        <w:tcPr>
          <w:tcW w:w="1060" w:type="pct"/>
        </w:tcPr>
        <w:p w14:paraId="68598632" w14:textId="1B0C22A8" w:rsidR="00890ACB" w:rsidRPr="00743346" w:rsidRDefault="00890ACB" w:rsidP="00890ACB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>SL2021-28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D7E112B" w14:textId="41DAAF54" w:rsidR="00890ACB" w:rsidRPr="00783A18" w:rsidRDefault="0008498E" w:rsidP="00890AC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D75DA">
            <w:t>Medicines, Poisons and Therapeutic Goods Amendment Regulation 2021 (No 2)</w:t>
          </w:r>
          <w:r>
            <w:fldChar w:fldCharType="end"/>
          </w:r>
        </w:p>
        <w:p w14:paraId="786572C3" w14:textId="17AFEE8D" w:rsidR="00890ACB" w:rsidRPr="00783A18" w:rsidRDefault="00890ACB" w:rsidP="00890AC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6F0A25E" w14:textId="77777777" w:rsidR="00890ACB" w:rsidRPr="0097645D" w:rsidRDefault="00890ACB" w:rsidP="00890AC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CE4B63C" w14:textId="08D19817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E5C4" w14:textId="77777777" w:rsidR="00890ACB" w:rsidRDefault="00890ACB">
    <w:pPr>
      <w:rPr>
        <w:sz w:val="16"/>
      </w:rPr>
    </w:pPr>
  </w:p>
  <w:p w14:paraId="00024EC6" w14:textId="149CEBB5" w:rsidR="00890ACB" w:rsidRDefault="00890AC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D75DA">
      <w:rPr>
        <w:rFonts w:ascii="Arial" w:hAnsi="Arial"/>
        <w:sz w:val="12"/>
      </w:rPr>
      <w:t>J2021-1058</w:t>
    </w:r>
    <w:r>
      <w:rPr>
        <w:rFonts w:ascii="Arial" w:hAnsi="Arial"/>
        <w:sz w:val="12"/>
      </w:rPr>
      <w:fldChar w:fldCharType="end"/>
    </w:r>
  </w:p>
  <w:p w14:paraId="7394A8BD" w14:textId="771557AE" w:rsidR="00890ACB" w:rsidRPr="0008498E" w:rsidRDefault="0008498E" w:rsidP="0008498E">
    <w:pPr>
      <w:pStyle w:val="Status"/>
      <w:tabs>
        <w:tab w:val="center" w:pos="3853"/>
        <w:tab w:val="left" w:pos="4575"/>
      </w:tabs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105" w14:textId="77777777" w:rsidR="00890ACB" w:rsidRDefault="00890AC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90ACB" w:rsidRPr="00CB3D59" w14:paraId="5998C31C" w14:textId="77777777">
      <w:tc>
        <w:tcPr>
          <w:tcW w:w="847" w:type="pct"/>
        </w:tcPr>
        <w:p w14:paraId="3A21AA7C" w14:textId="77777777" w:rsidR="00890ACB" w:rsidRPr="006D109C" w:rsidRDefault="00890ACB" w:rsidP="00890AC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961D55" w14:textId="340332E6" w:rsidR="00890ACB" w:rsidRPr="006D109C" w:rsidRDefault="00890ACB" w:rsidP="00890AC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D75DA" w:rsidRPr="00BD75DA">
            <w:rPr>
              <w:rFonts w:cs="Arial"/>
              <w:szCs w:val="18"/>
            </w:rPr>
            <w:t xml:space="preserve">Medicines, Poisons and </w:t>
          </w:r>
          <w:r w:rsidR="00BD75DA">
            <w:t>Therapeutic Goods Amendment Regulation 2021 (No 2)</w:t>
          </w:r>
          <w:r>
            <w:rPr>
              <w:rFonts w:cs="Arial"/>
              <w:szCs w:val="18"/>
            </w:rPr>
            <w:fldChar w:fldCharType="end"/>
          </w:r>
        </w:p>
        <w:p w14:paraId="71F007E3" w14:textId="1F4B4DAE" w:rsidR="00890ACB" w:rsidRPr="00783A18" w:rsidRDefault="00890ACB" w:rsidP="00890AC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6B90A5" w14:textId="3E19526D" w:rsidR="00890ACB" w:rsidRPr="006D109C" w:rsidRDefault="00890ACB" w:rsidP="00890AC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>SL2021-28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81F9B7" w14:textId="23578124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561B" w14:textId="77777777" w:rsidR="00890ACB" w:rsidRDefault="00890AC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90ACB" w:rsidRPr="00CB3D59" w14:paraId="31B3655A" w14:textId="77777777">
      <w:tc>
        <w:tcPr>
          <w:tcW w:w="1061" w:type="pct"/>
        </w:tcPr>
        <w:p w14:paraId="1CDCF019" w14:textId="064D58A1" w:rsidR="00890ACB" w:rsidRPr="006D109C" w:rsidRDefault="00890ACB" w:rsidP="00890AC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>SL2021-28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2F3C1F3" w14:textId="391020CA" w:rsidR="00890ACB" w:rsidRPr="006D109C" w:rsidRDefault="00890ACB" w:rsidP="00890AC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D75DA" w:rsidRPr="00BD75DA">
            <w:rPr>
              <w:rFonts w:cs="Arial"/>
              <w:szCs w:val="18"/>
            </w:rPr>
            <w:t xml:space="preserve">Medicines, Poisons and </w:t>
          </w:r>
          <w:r w:rsidR="00BD75DA">
            <w:t>Therapeutic Goods Amendment Regulation 2021 (No 2)</w:t>
          </w:r>
          <w:r>
            <w:rPr>
              <w:rFonts w:cs="Arial"/>
              <w:szCs w:val="18"/>
            </w:rPr>
            <w:fldChar w:fldCharType="end"/>
          </w:r>
        </w:p>
        <w:p w14:paraId="3C64836F" w14:textId="57E228B2" w:rsidR="00890ACB" w:rsidRPr="00783A18" w:rsidRDefault="00890ACB" w:rsidP="00890AC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75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7131256" w14:textId="77777777" w:rsidR="00890ACB" w:rsidRPr="006D109C" w:rsidRDefault="00890ACB" w:rsidP="00890AC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440E21" w14:textId="655C5C8D" w:rsidR="00890ACB" w:rsidRPr="0008498E" w:rsidRDefault="0008498E" w:rsidP="0008498E">
    <w:pPr>
      <w:pStyle w:val="Status"/>
      <w:rPr>
        <w:rFonts w:cs="Arial"/>
      </w:rPr>
    </w:pPr>
    <w:r w:rsidRPr="0008498E">
      <w:rPr>
        <w:rFonts w:cs="Arial"/>
      </w:rPr>
      <w:fldChar w:fldCharType="begin"/>
    </w:r>
    <w:r w:rsidRPr="0008498E">
      <w:rPr>
        <w:rFonts w:cs="Arial"/>
      </w:rPr>
      <w:instrText xml:space="preserve"> DOCPROPERTY "Status" </w:instrText>
    </w:r>
    <w:r w:rsidRPr="0008498E">
      <w:rPr>
        <w:rFonts w:cs="Arial"/>
      </w:rPr>
      <w:fldChar w:fldCharType="separate"/>
    </w:r>
    <w:r w:rsidR="00BD75DA" w:rsidRPr="0008498E">
      <w:rPr>
        <w:rFonts w:cs="Arial"/>
      </w:rPr>
      <w:t xml:space="preserve"> </w:t>
    </w:r>
    <w:r w:rsidRPr="0008498E">
      <w:rPr>
        <w:rFonts w:cs="Arial"/>
      </w:rPr>
      <w:fldChar w:fldCharType="end"/>
    </w:r>
    <w:r w:rsidRPr="0008498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02D2" w14:textId="77777777" w:rsidR="00890ACB" w:rsidRDefault="00890ACB">
    <w:pPr>
      <w:rPr>
        <w:sz w:val="16"/>
      </w:rPr>
    </w:pPr>
  </w:p>
  <w:p w14:paraId="338AFB1F" w14:textId="41E66875" w:rsidR="00890ACB" w:rsidRDefault="00890AC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D75DA">
      <w:rPr>
        <w:rFonts w:ascii="Arial" w:hAnsi="Arial"/>
        <w:sz w:val="12"/>
      </w:rPr>
      <w:t>J2021-1058</w:t>
    </w:r>
    <w:r>
      <w:rPr>
        <w:rFonts w:ascii="Arial" w:hAnsi="Arial"/>
        <w:sz w:val="12"/>
      </w:rPr>
      <w:fldChar w:fldCharType="end"/>
    </w:r>
  </w:p>
  <w:p w14:paraId="75D09D04" w14:textId="69819694" w:rsidR="00890ACB" w:rsidRDefault="0008498E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BD75DA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2B40" w14:textId="77777777" w:rsidR="00890ACB" w:rsidRDefault="00890ACB">
      <w:r>
        <w:separator/>
      </w:r>
    </w:p>
  </w:footnote>
  <w:footnote w:type="continuationSeparator" w:id="0">
    <w:p w14:paraId="158C6D3C" w14:textId="77777777" w:rsidR="00890ACB" w:rsidRDefault="0089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7477" w14:textId="77777777" w:rsidR="00166C1C" w:rsidRDefault="00166C1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90ACB" w:rsidRPr="00E06D02" w14:paraId="4A7D51F7" w14:textId="77777777" w:rsidTr="00567644">
      <w:trPr>
        <w:jc w:val="center"/>
      </w:trPr>
      <w:tc>
        <w:tcPr>
          <w:tcW w:w="1068" w:type="pct"/>
        </w:tcPr>
        <w:p w14:paraId="623DFCF6" w14:textId="77777777" w:rsidR="00890ACB" w:rsidRPr="00567644" w:rsidRDefault="00890A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F1E5A5B" w14:textId="77777777" w:rsidR="00890ACB" w:rsidRPr="00567644" w:rsidRDefault="00890A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90ACB" w:rsidRPr="00E06D02" w14:paraId="7C9DDEE0" w14:textId="77777777" w:rsidTr="00567644">
      <w:trPr>
        <w:jc w:val="center"/>
      </w:trPr>
      <w:tc>
        <w:tcPr>
          <w:tcW w:w="1068" w:type="pct"/>
        </w:tcPr>
        <w:p w14:paraId="44BE42C7" w14:textId="77777777" w:rsidR="00890ACB" w:rsidRPr="00567644" w:rsidRDefault="00890A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214A229" w14:textId="77777777" w:rsidR="00890ACB" w:rsidRPr="00567644" w:rsidRDefault="00890AC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90ACB" w:rsidRPr="00E06D02" w14:paraId="69986F8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F7C2B5D" w14:textId="77777777" w:rsidR="00890ACB" w:rsidRPr="00567644" w:rsidRDefault="00890AC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7FB07E7" w14:textId="77777777" w:rsidR="00890ACB" w:rsidRDefault="00890ACB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17A2" w14:textId="77777777" w:rsidR="00166C1C" w:rsidRDefault="00166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73AA" w14:textId="77777777" w:rsidR="00166C1C" w:rsidRDefault="00166C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90ACB" w:rsidRPr="00CB3D59" w14:paraId="7D2B31EC" w14:textId="77777777">
      <w:tc>
        <w:tcPr>
          <w:tcW w:w="900" w:type="pct"/>
        </w:tcPr>
        <w:p w14:paraId="3751CA32" w14:textId="77777777" w:rsidR="00890ACB" w:rsidRPr="00783A18" w:rsidRDefault="00890AC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7C6B56E" w14:textId="77777777" w:rsidR="00890ACB" w:rsidRPr="00783A18" w:rsidRDefault="00890AC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90ACB" w:rsidRPr="00CB3D59" w14:paraId="6003894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271953" w14:textId="69024FEE" w:rsidR="00890ACB" w:rsidRPr="0097645D" w:rsidRDefault="0008498E" w:rsidP="00890ACB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2B53F16" w14:textId="47CF5282" w:rsidR="00890ACB" w:rsidRDefault="00890ACB">
    <w:pPr>
      <w:pStyle w:val="N-9pt"/>
    </w:pPr>
    <w:r>
      <w:tab/>
    </w:r>
    <w:r w:rsidR="0008498E">
      <w:fldChar w:fldCharType="begin"/>
    </w:r>
    <w:r w:rsidR="0008498E">
      <w:instrText xml:space="preserve"> STYLEREF charPage \* MERGEFORMAT </w:instrText>
    </w:r>
    <w:r w:rsidR="0008498E">
      <w:fldChar w:fldCharType="separate"/>
    </w:r>
    <w:r w:rsidR="0008498E">
      <w:rPr>
        <w:noProof/>
      </w:rPr>
      <w:t>Page</w:t>
    </w:r>
    <w:r w:rsidR="0008498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90ACB" w:rsidRPr="00CB3D59" w14:paraId="5440250D" w14:textId="77777777">
      <w:tc>
        <w:tcPr>
          <w:tcW w:w="4100" w:type="pct"/>
        </w:tcPr>
        <w:p w14:paraId="3E35A2D1" w14:textId="77777777" w:rsidR="00890ACB" w:rsidRPr="00783A18" w:rsidRDefault="00890ACB" w:rsidP="00890AC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AB3F163" w14:textId="77777777" w:rsidR="00890ACB" w:rsidRPr="00783A18" w:rsidRDefault="00890ACB" w:rsidP="00890AC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90ACB" w:rsidRPr="00CB3D59" w14:paraId="3FA9414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BDA4581" w14:textId="68EADCFB" w:rsidR="00890ACB" w:rsidRPr="0097645D" w:rsidRDefault="00890ACB" w:rsidP="00890ACB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B3A0B58" w14:textId="660A4A61" w:rsidR="00890ACB" w:rsidRDefault="00890AC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90ACB" w:rsidRPr="00CB3D59" w14:paraId="5E9410AF" w14:textId="77777777" w:rsidTr="00890ACB">
      <w:tc>
        <w:tcPr>
          <w:tcW w:w="1701" w:type="dxa"/>
        </w:tcPr>
        <w:p w14:paraId="7F38DC6F" w14:textId="23294E77" w:rsidR="00890ACB" w:rsidRPr="006D109C" w:rsidRDefault="00890AC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36D9904" w14:textId="4C565630" w:rsidR="00890ACB" w:rsidRPr="006D109C" w:rsidRDefault="00890AC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90ACB" w:rsidRPr="00CB3D59" w14:paraId="20C013DA" w14:textId="77777777" w:rsidTr="00890ACB">
      <w:tc>
        <w:tcPr>
          <w:tcW w:w="1701" w:type="dxa"/>
        </w:tcPr>
        <w:p w14:paraId="7150E86E" w14:textId="44799840" w:rsidR="00890ACB" w:rsidRPr="006D109C" w:rsidRDefault="00890AC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7F1C284" w14:textId="368E35F6" w:rsidR="00890ACB" w:rsidRPr="006D109C" w:rsidRDefault="00890AC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890ACB" w:rsidRPr="00CB3D59" w14:paraId="6B7C65D9" w14:textId="77777777" w:rsidTr="00890AC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C65A21" w14:textId="398A2CC6" w:rsidR="00890ACB" w:rsidRPr="006D109C" w:rsidRDefault="00890ACB" w:rsidP="00890ACB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498E">
            <w:rPr>
              <w:rFonts w:cs="Arial"/>
              <w:noProof/>
              <w:szCs w:val="18"/>
            </w:rPr>
            <w:t>24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5C2913" w14:textId="77777777" w:rsidR="00890ACB" w:rsidRDefault="00890AC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90ACB" w:rsidRPr="00CB3D59" w14:paraId="2CE1209E" w14:textId="77777777" w:rsidTr="00890ACB">
      <w:tc>
        <w:tcPr>
          <w:tcW w:w="6320" w:type="dxa"/>
        </w:tcPr>
        <w:p w14:paraId="3846CF99" w14:textId="47EA655E" w:rsidR="00890ACB" w:rsidRPr="006D109C" w:rsidRDefault="00890AC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F96F27B" w14:textId="4FAE7700" w:rsidR="00890ACB" w:rsidRPr="006D109C" w:rsidRDefault="00890AC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890ACB" w:rsidRPr="00CB3D59" w14:paraId="7E3F07C1" w14:textId="77777777" w:rsidTr="00890ACB">
      <w:tc>
        <w:tcPr>
          <w:tcW w:w="6320" w:type="dxa"/>
        </w:tcPr>
        <w:p w14:paraId="53AD0F42" w14:textId="7C859D8D" w:rsidR="00890ACB" w:rsidRPr="006D109C" w:rsidRDefault="00890AC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12F4A38" w14:textId="14C46324" w:rsidR="00890ACB" w:rsidRPr="006D109C" w:rsidRDefault="00890AC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890ACB" w:rsidRPr="00CB3D59" w14:paraId="108DAC6C" w14:textId="77777777" w:rsidTr="00890AC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31966E8" w14:textId="48A1AB5A" w:rsidR="00890ACB" w:rsidRPr="006D109C" w:rsidRDefault="00890ACB" w:rsidP="00890ACB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D75D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498E">
            <w:rPr>
              <w:rFonts w:cs="Arial"/>
              <w:noProof/>
              <w:szCs w:val="18"/>
            </w:rPr>
            <w:t>26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1C726B" w14:textId="77777777" w:rsidR="00890ACB" w:rsidRDefault="00890AC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90ACB" w14:paraId="2A9944E3" w14:textId="77777777">
      <w:trPr>
        <w:jc w:val="center"/>
      </w:trPr>
      <w:tc>
        <w:tcPr>
          <w:tcW w:w="1234" w:type="dxa"/>
        </w:tcPr>
        <w:p w14:paraId="72C1439E" w14:textId="77777777" w:rsidR="00890ACB" w:rsidRDefault="00890ACB">
          <w:pPr>
            <w:pStyle w:val="HeaderEven"/>
          </w:pPr>
        </w:p>
      </w:tc>
      <w:tc>
        <w:tcPr>
          <w:tcW w:w="6062" w:type="dxa"/>
        </w:tcPr>
        <w:p w14:paraId="7B4BEB92" w14:textId="77777777" w:rsidR="00890ACB" w:rsidRDefault="00890ACB">
          <w:pPr>
            <w:pStyle w:val="HeaderEven"/>
          </w:pPr>
        </w:p>
      </w:tc>
    </w:tr>
    <w:tr w:rsidR="00890ACB" w14:paraId="7B37C345" w14:textId="77777777">
      <w:trPr>
        <w:jc w:val="center"/>
      </w:trPr>
      <w:tc>
        <w:tcPr>
          <w:tcW w:w="1234" w:type="dxa"/>
        </w:tcPr>
        <w:p w14:paraId="54F49440" w14:textId="77777777" w:rsidR="00890ACB" w:rsidRDefault="00890ACB">
          <w:pPr>
            <w:pStyle w:val="HeaderEven"/>
          </w:pPr>
        </w:p>
      </w:tc>
      <w:tc>
        <w:tcPr>
          <w:tcW w:w="6062" w:type="dxa"/>
        </w:tcPr>
        <w:p w14:paraId="45E848A5" w14:textId="77777777" w:rsidR="00890ACB" w:rsidRDefault="00890ACB">
          <w:pPr>
            <w:pStyle w:val="HeaderEven"/>
          </w:pPr>
        </w:p>
      </w:tc>
    </w:tr>
    <w:tr w:rsidR="00890ACB" w14:paraId="4FF3021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4B2C66" w14:textId="77777777" w:rsidR="00890ACB" w:rsidRDefault="00890ACB">
          <w:pPr>
            <w:pStyle w:val="HeaderEven6"/>
          </w:pPr>
        </w:p>
      </w:tc>
    </w:tr>
  </w:tbl>
  <w:p w14:paraId="38A53A86" w14:textId="77777777" w:rsidR="00890ACB" w:rsidRDefault="00890AC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90ACB" w14:paraId="77615EEF" w14:textId="77777777">
      <w:trPr>
        <w:jc w:val="center"/>
      </w:trPr>
      <w:tc>
        <w:tcPr>
          <w:tcW w:w="6062" w:type="dxa"/>
        </w:tcPr>
        <w:p w14:paraId="16567037" w14:textId="77777777" w:rsidR="00890ACB" w:rsidRDefault="00890ACB">
          <w:pPr>
            <w:pStyle w:val="HeaderOdd"/>
          </w:pPr>
        </w:p>
      </w:tc>
      <w:tc>
        <w:tcPr>
          <w:tcW w:w="1234" w:type="dxa"/>
        </w:tcPr>
        <w:p w14:paraId="0D1B9CF7" w14:textId="77777777" w:rsidR="00890ACB" w:rsidRDefault="00890ACB">
          <w:pPr>
            <w:pStyle w:val="HeaderOdd"/>
          </w:pPr>
        </w:p>
      </w:tc>
    </w:tr>
    <w:tr w:rsidR="00890ACB" w14:paraId="45499806" w14:textId="77777777">
      <w:trPr>
        <w:jc w:val="center"/>
      </w:trPr>
      <w:tc>
        <w:tcPr>
          <w:tcW w:w="6062" w:type="dxa"/>
        </w:tcPr>
        <w:p w14:paraId="6D83E14B" w14:textId="77777777" w:rsidR="00890ACB" w:rsidRDefault="00890ACB">
          <w:pPr>
            <w:pStyle w:val="HeaderOdd"/>
          </w:pPr>
        </w:p>
      </w:tc>
      <w:tc>
        <w:tcPr>
          <w:tcW w:w="1234" w:type="dxa"/>
        </w:tcPr>
        <w:p w14:paraId="7766FECB" w14:textId="77777777" w:rsidR="00890ACB" w:rsidRDefault="00890ACB">
          <w:pPr>
            <w:pStyle w:val="HeaderOdd"/>
          </w:pPr>
        </w:p>
      </w:tc>
    </w:tr>
    <w:tr w:rsidR="00890ACB" w14:paraId="1D366D5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359F5C6" w14:textId="77777777" w:rsidR="00890ACB" w:rsidRDefault="00890ACB">
          <w:pPr>
            <w:pStyle w:val="HeaderOdd6"/>
          </w:pPr>
        </w:p>
      </w:tc>
    </w:tr>
  </w:tbl>
  <w:p w14:paraId="4C0E9114" w14:textId="77777777" w:rsidR="00890ACB" w:rsidRDefault="00890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FCC56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29"/>
    <w:rsid w:val="00000C1F"/>
    <w:rsid w:val="000038FA"/>
    <w:rsid w:val="000043A6"/>
    <w:rsid w:val="00004573"/>
    <w:rsid w:val="00005825"/>
    <w:rsid w:val="00010513"/>
    <w:rsid w:val="0001347E"/>
    <w:rsid w:val="00017670"/>
    <w:rsid w:val="0002034F"/>
    <w:rsid w:val="000215AA"/>
    <w:rsid w:val="0002517D"/>
    <w:rsid w:val="00025988"/>
    <w:rsid w:val="000309AB"/>
    <w:rsid w:val="0003249F"/>
    <w:rsid w:val="00035B66"/>
    <w:rsid w:val="00036A2C"/>
    <w:rsid w:val="00037D73"/>
    <w:rsid w:val="000417E5"/>
    <w:rsid w:val="000420DE"/>
    <w:rsid w:val="00042396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841"/>
    <w:rsid w:val="000812D4"/>
    <w:rsid w:val="00081D6E"/>
    <w:rsid w:val="0008211A"/>
    <w:rsid w:val="00083C32"/>
    <w:rsid w:val="0008498E"/>
    <w:rsid w:val="00084E1A"/>
    <w:rsid w:val="000906B4"/>
    <w:rsid w:val="00091575"/>
    <w:rsid w:val="000949A6"/>
    <w:rsid w:val="00095165"/>
    <w:rsid w:val="0009641C"/>
    <w:rsid w:val="00096811"/>
    <w:rsid w:val="000978C2"/>
    <w:rsid w:val="00097A8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6B18"/>
    <w:rsid w:val="000B729E"/>
    <w:rsid w:val="000C54A0"/>
    <w:rsid w:val="000C687C"/>
    <w:rsid w:val="000C7832"/>
    <w:rsid w:val="000C7850"/>
    <w:rsid w:val="000C7DD1"/>
    <w:rsid w:val="000D54F2"/>
    <w:rsid w:val="000E29CA"/>
    <w:rsid w:val="000E4414"/>
    <w:rsid w:val="000E4E8A"/>
    <w:rsid w:val="000E5145"/>
    <w:rsid w:val="000E576D"/>
    <w:rsid w:val="000F1FEC"/>
    <w:rsid w:val="000F2735"/>
    <w:rsid w:val="000F329E"/>
    <w:rsid w:val="001002C3"/>
    <w:rsid w:val="00101528"/>
    <w:rsid w:val="00101C8A"/>
    <w:rsid w:val="00102605"/>
    <w:rsid w:val="001033CB"/>
    <w:rsid w:val="001047CB"/>
    <w:rsid w:val="001053AD"/>
    <w:rsid w:val="001058DF"/>
    <w:rsid w:val="00107F85"/>
    <w:rsid w:val="00117181"/>
    <w:rsid w:val="00126287"/>
    <w:rsid w:val="0013046D"/>
    <w:rsid w:val="00130556"/>
    <w:rsid w:val="001315A1"/>
    <w:rsid w:val="0013284F"/>
    <w:rsid w:val="00132957"/>
    <w:rsid w:val="001343A6"/>
    <w:rsid w:val="0013531D"/>
    <w:rsid w:val="00136FBE"/>
    <w:rsid w:val="00142987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1C99"/>
    <w:rsid w:val="001631EF"/>
    <w:rsid w:val="00164204"/>
    <w:rsid w:val="00166C1C"/>
    <w:rsid w:val="0017182C"/>
    <w:rsid w:val="00172D13"/>
    <w:rsid w:val="001741FF"/>
    <w:rsid w:val="00175FD1"/>
    <w:rsid w:val="00176AE6"/>
    <w:rsid w:val="001774BF"/>
    <w:rsid w:val="00180311"/>
    <w:rsid w:val="001815FB"/>
    <w:rsid w:val="00181D8C"/>
    <w:rsid w:val="001842C7"/>
    <w:rsid w:val="0019297A"/>
    <w:rsid w:val="00192D1E"/>
    <w:rsid w:val="00193D6B"/>
    <w:rsid w:val="00195101"/>
    <w:rsid w:val="001A2AA8"/>
    <w:rsid w:val="001A351C"/>
    <w:rsid w:val="001A39AF"/>
    <w:rsid w:val="001A3B6D"/>
    <w:rsid w:val="001A52E0"/>
    <w:rsid w:val="001B1114"/>
    <w:rsid w:val="001B1AD4"/>
    <w:rsid w:val="001B218A"/>
    <w:rsid w:val="001B3B53"/>
    <w:rsid w:val="001B449A"/>
    <w:rsid w:val="001B5B6D"/>
    <w:rsid w:val="001B6311"/>
    <w:rsid w:val="001B6BC0"/>
    <w:rsid w:val="001B76A6"/>
    <w:rsid w:val="001C0589"/>
    <w:rsid w:val="001C1644"/>
    <w:rsid w:val="001C29CC"/>
    <w:rsid w:val="001C4A67"/>
    <w:rsid w:val="001C547E"/>
    <w:rsid w:val="001D09C2"/>
    <w:rsid w:val="001D15FB"/>
    <w:rsid w:val="001D1702"/>
    <w:rsid w:val="001D1F85"/>
    <w:rsid w:val="001D38AF"/>
    <w:rsid w:val="001D53F0"/>
    <w:rsid w:val="001D56B4"/>
    <w:rsid w:val="001D6A6F"/>
    <w:rsid w:val="001D6BA2"/>
    <w:rsid w:val="001D73DF"/>
    <w:rsid w:val="001E0780"/>
    <w:rsid w:val="001E0BBC"/>
    <w:rsid w:val="001E1A01"/>
    <w:rsid w:val="001E41E3"/>
    <w:rsid w:val="001E4694"/>
    <w:rsid w:val="001E4779"/>
    <w:rsid w:val="001E5D92"/>
    <w:rsid w:val="001E79DB"/>
    <w:rsid w:val="001F0908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67C1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5C9"/>
    <w:rsid w:val="002406AE"/>
    <w:rsid w:val="002409EB"/>
    <w:rsid w:val="00246F34"/>
    <w:rsid w:val="002502C9"/>
    <w:rsid w:val="00256093"/>
    <w:rsid w:val="00256E0F"/>
    <w:rsid w:val="00260019"/>
    <w:rsid w:val="0026001C"/>
    <w:rsid w:val="002612B5"/>
    <w:rsid w:val="00261B92"/>
    <w:rsid w:val="00263163"/>
    <w:rsid w:val="002636BE"/>
    <w:rsid w:val="002644DC"/>
    <w:rsid w:val="00267BE3"/>
    <w:rsid w:val="002702D4"/>
    <w:rsid w:val="002702DB"/>
    <w:rsid w:val="00272968"/>
    <w:rsid w:val="00273B6D"/>
    <w:rsid w:val="00275CE9"/>
    <w:rsid w:val="00280BF8"/>
    <w:rsid w:val="00282B0F"/>
    <w:rsid w:val="00285ED4"/>
    <w:rsid w:val="00287065"/>
    <w:rsid w:val="00290D70"/>
    <w:rsid w:val="00292434"/>
    <w:rsid w:val="00294199"/>
    <w:rsid w:val="0029692F"/>
    <w:rsid w:val="002A283C"/>
    <w:rsid w:val="002A6F4D"/>
    <w:rsid w:val="002A756E"/>
    <w:rsid w:val="002B2682"/>
    <w:rsid w:val="002B2937"/>
    <w:rsid w:val="002B58FC"/>
    <w:rsid w:val="002B7CE1"/>
    <w:rsid w:val="002C28F8"/>
    <w:rsid w:val="002C4D50"/>
    <w:rsid w:val="002C5DB3"/>
    <w:rsid w:val="002C6F89"/>
    <w:rsid w:val="002C7985"/>
    <w:rsid w:val="002D09CB"/>
    <w:rsid w:val="002D26EA"/>
    <w:rsid w:val="002D2A42"/>
    <w:rsid w:val="002D2FE5"/>
    <w:rsid w:val="002D410F"/>
    <w:rsid w:val="002D7A1B"/>
    <w:rsid w:val="002E012E"/>
    <w:rsid w:val="002E01EA"/>
    <w:rsid w:val="002E144D"/>
    <w:rsid w:val="002E1E41"/>
    <w:rsid w:val="002E3328"/>
    <w:rsid w:val="002E65AF"/>
    <w:rsid w:val="002E6E0C"/>
    <w:rsid w:val="002F2736"/>
    <w:rsid w:val="002F43A0"/>
    <w:rsid w:val="002F696A"/>
    <w:rsid w:val="003003EC"/>
    <w:rsid w:val="003026E9"/>
    <w:rsid w:val="0030311A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314B"/>
    <w:rsid w:val="00327546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19B7"/>
    <w:rsid w:val="003622DD"/>
    <w:rsid w:val="003646D5"/>
    <w:rsid w:val="003659ED"/>
    <w:rsid w:val="003700C0"/>
    <w:rsid w:val="00370AE8"/>
    <w:rsid w:val="00372EF0"/>
    <w:rsid w:val="00375B2E"/>
    <w:rsid w:val="003777A6"/>
    <w:rsid w:val="00377D1F"/>
    <w:rsid w:val="00381D64"/>
    <w:rsid w:val="00385097"/>
    <w:rsid w:val="0038626C"/>
    <w:rsid w:val="00391C6F"/>
    <w:rsid w:val="0039435E"/>
    <w:rsid w:val="003950EC"/>
    <w:rsid w:val="00396646"/>
    <w:rsid w:val="00396B0E"/>
    <w:rsid w:val="00397DCB"/>
    <w:rsid w:val="003A0664"/>
    <w:rsid w:val="003A160E"/>
    <w:rsid w:val="003A44BB"/>
    <w:rsid w:val="003A6B54"/>
    <w:rsid w:val="003A779F"/>
    <w:rsid w:val="003A7A6C"/>
    <w:rsid w:val="003A7E84"/>
    <w:rsid w:val="003B01DB"/>
    <w:rsid w:val="003B0F80"/>
    <w:rsid w:val="003B2C7A"/>
    <w:rsid w:val="003B31A1"/>
    <w:rsid w:val="003C0702"/>
    <w:rsid w:val="003C0A3A"/>
    <w:rsid w:val="003C3B59"/>
    <w:rsid w:val="003C48C0"/>
    <w:rsid w:val="003C50A2"/>
    <w:rsid w:val="003C6DE9"/>
    <w:rsid w:val="003C6EDF"/>
    <w:rsid w:val="003C7B9C"/>
    <w:rsid w:val="003D0740"/>
    <w:rsid w:val="003D30ED"/>
    <w:rsid w:val="003D4AAE"/>
    <w:rsid w:val="003D4C75"/>
    <w:rsid w:val="003D7254"/>
    <w:rsid w:val="003E0653"/>
    <w:rsid w:val="003E2E39"/>
    <w:rsid w:val="003E4A56"/>
    <w:rsid w:val="003E6B00"/>
    <w:rsid w:val="003E6B7D"/>
    <w:rsid w:val="003E7FDB"/>
    <w:rsid w:val="003F06EE"/>
    <w:rsid w:val="003F3B87"/>
    <w:rsid w:val="003F4912"/>
    <w:rsid w:val="003F5904"/>
    <w:rsid w:val="003F7A0F"/>
    <w:rsid w:val="003F7DB2"/>
    <w:rsid w:val="004005F0"/>
    <w:rsid w:val="00401163"/>
    <w:rsid w:val="0040136F"/>
    <w:rsid w:val="004033B4"/>
    <w:rsid w:val="00403645"/>
    <w:rsid w:val="0040492B"/>
    <w:rsid w:val="00404FE0"/>
    <w:rsid w:val="00406219"/>
    <w:rsid w:val="00410C20"/>
    <w:rsid w:val="004110BA"/>
    <w:rsid w:val="00416A4F"/>
    <w:rsid w:val="00423AC4"/>
    <w:rsid w:val="0042592F"/>
    <w:rsid w:val="0042799E"/>
    <w:rsid w:val="00433064"/>
    <w:rsid w:val="00433878"/>
    <w:rsid w:val="00435893"/>
    <w:rsid w:val="004358D2"/>
    <w:rsid w:val="0044067A"/>
    <w:rsid w:val="00440811"/>
    <w:rsid w:val="00442F56"/>
    <w:rsid w:val="00443ADD"/>
    <w:rsid w:val="00443BC2"/>
    <w:rsid w:val="00444785"/>
    <w:rsid w:val="00447B1D"/>
    <w:rsid w:val="00447C31"/>
    <w:rsid w:val="004510ED"/>
    <w:rsid w:val="004536AA"/>
    <w:rsid w:val="0045379A"/>
    <w:rsid w:val="0045398D"/>
    <w:rsid w:val="00455046"/>
    <w:rsid w:val="00456074"/>
    <w:rsid w:val="0045705A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0BD"/>
    <w:rsid w:val="00486FE2"/>
    <w:rsid w:val="004875BE"/>
    <w:rsid w:val="00487D5F"/>
    <w:rsid w:val="00490D57"/>
    <w:rsid w:val="00491236"/>
    <w:rsid w:val="00491606"/>
    <w:rsid w:val="00491D7C"/>
    <w:rsid w:val="00493ED5"/>
    <w:rsid w:val="00494267"/>
    <w:rsid w:val="0049570D"/>
    <w:rsid w:val="00497BEA"/>
    <w:rsid w:val="00497D33"/>
    <w:rsid w:val="004A1E58"/>
    <w:rsid w:val="004A2333"/>
    <w:rsid w:val="004A2FDC"/>
    <w:rsid w:val="004A32C4"/>
    <w:rsid w:val="004A3D43"/>
    <w:rsid w:val="004A47CD"/>
    <w:rsid w:val="004A47FC"/>
    <w:rsid w:val="004A49BA"/>
    <w:rsid w:val="004B0E9D"/>
    <w:rsid w:val="004B336C"/>
    <w:rsid w:val="004B5B98"/>
    <w:rsid w:val="004C2A16"/>
    <w:rsid w:val="004C724A"/>
    <w:rsid w:val="004D16B8"/>
    <w:rsid w:val="004D4557"/>
    <w:rsid w:val="004D455E"/>
    <w:rsid w:val="004D53B8"/>
    <w:rsid w:val="004D637A"/>
    <w:rsid w:val="004E0481"/>
    <w:rsid w:val="004E2567"/>
    <w:rsid w:val="004E2568"/>
    <w:rsid w:val="004E2F5B"/>
    <w:rsid w:val="004E3429"/>
    <w:rsid w:val="004E3576"/>
    <w:rsid w:val="004E5256"/>
    <w:rsid w:val="004E5B1C"/>
    <w:rsid w:val="004F1050"/>
    <w:rsid w:val="004F25B3"/>
    <w:rsid w:val="004F6688"/>
    <w:rsid w:val="00501495"/>
    <w:rsid w:val="00503AE3"/>
    <w:rsid w:val="00504D69"/>
    <w:rsid w:val="005055B0"/>
    <w:rsid w:val="0050662E"/>
    <w:rsid w:val="00507612"/>
    <w:rsid w:val="005078E0"/>
    <w:rsid w:val="00512972"/>
    <w:rsid w:val="00514623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59DC"/>
    <w:rsid w:val="0054686D"/>
    <w:rsid w:val="00546AB5"/>
    <w:rsid w:val="005474CA"/>
    <w:rsid w:val="00547C35"/>
    <w:rsid w:val="00551F94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548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06C6"/>
    <w:rsid w:val="0059278C"/>
    <w:rsid w:val="00594D54"/>
    <w:rsid w:val="00596BB3"/>
    <w:rsid w:val="005A4EE0"/>
    <w:rsid w:val="005A5916"/>
    <w:rsid w:val="005B5D77"/>
    <w:rsid w:val="005B6C66"/>
    <w:rsid w:val="005C20D3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52B0"/>
    <w:rsid w:val="005E077A"/>
    <w:rsid w:val="005E0ECD"/>
    <w:rsid w:val="005E14CB"/>
    <w:rsid w:val="005E2797"/>
    <w:rsid w:val="005E3659"/>
    <w:rsid w:val="005E5186"/>
    <w:rsid w:val="005E749D"/>
    <w:rsid w:val="005F1F01"/>
    <w:rsid w:val="005F4A56"/>
    <w:rsid w:val="005F56A8"/>
    <w:rsid w:val="005F58E5"/>
    <w:rsid w:val="00600B7B"/>
    <w:rsid w:val="006065D7"/>
    <w:rsid w:val="006065EF"/>
    <w:rsid w:val="006070E7"/>
    <w:rsid w:val="00610E78"/>
    <w:rsid w:val="00612BA6"/>
    <w:rsid w:val="00614787"/>
    <w:rsid w:val="0061694F"/>
    <w:rsid w:val="00616C21"/>
    <w:rsid w:val="00617D79"/>
    <w:rsid w:val="00620613"/>
    <w:rsid w:val="00622136"/>
    <w:rsid w:val="006236B5"/>
    <w:rsid w:val="00624DE9"/>
    <w:rsid w:val="006253B7"/>
    <w:rsid w:val="006320A3"/>
    <w:rsid w:val="00632853"/>
    <w:rsid w:val="006338A5"/>
    <w:rsid w:val="00641C9A"/>
    <w:rsid w:val="00641CC6"/>
    <w:rsid w:val="006430DD"/>
    <w:rsid w:val="00643E75"/>
    <w:rsid w:val="00643F71"/>
    <w:rsid w:val="00646AED"/>
    <w:rsid w:val="00646CA9"/>
    <w:rsid w:val="006473C1"/>
    <w:rsid w:val="0065014E"/>
    <w:rsid w:val="00651669"/>
    <w:rsid w:val="00651FCE"/>
    <w:rsid w:val="006522E1"/>
    <w:rsid w:val="00654C2B"/>
    <w:rsid w:val="006559F8"/>
    <w:rsid w:val="006564B9"/>
    <w:rsid w:val="00656C84"/>
    <w:rsid w:val="006570FC"/>
    <w:rsid w:val="0066067A"/>
    <w:rsid w:val="00660E96"/>
    <w:rsid w:val="006613D5"/>
    <w:rsid w:val="00667638"/>
    <w:rsid w:val="00670EB8"/>
    <w:rsid w:val="00671280"/>
    <w:rsid w:val="00671AC6"/>
    <w:rsid w:val="00673674"/>
    <w:rsid w:val="00675632"/>
    <w:rsid w:val="00675E77"/>
    <w:rsid w:val="00680547"/>
    <w:rsid w:val="00680887"/>
    <w:rsid w:val="00680A95"/>
    <w:rsid w:val="0068447C"/>
    <w:rsid w:val="00685233"/>
    <w:rsid w:val="006855FC"/>
    <w:rsid w:val="00687A2B"/>
    <w:rsid w:val="00687DE0"/>
    <w:rsid w:val="00691727"/>
    <w:rsid w:val="00693C2C"/>
    <w:rsid w:val="00694725"/>
    <w:rsid w:val="00694F8A"/>
    <w:rsid w:val="006A03BD"/>
    <w:rsid w:val="006A19D0"/>
    <w:rsid w:val="006A53B3"/>
    <w:rsid w:val="006B10FE"/>
    <w:rsid w:val="006B2374"/>
    <w:rsid w:val="006B7290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2FEC"/>
    <w:rsid w:val="006F14A5"/>
    <w:rsid w:val="006F2595"/>
    <w:rsid w:val="006F3428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049"/>
    <w:rsid w:val="00730107"/>
    <w:rsid w:val="00730EBF"/>
    <w:rsid w:val="007319BE"/>
    <w:rsid w:val="007327A5"/>
    <w:rsid w:val="0073456C"/>
    <w:rsid w:val="00734DC1"/>
    <w:rsid w:val="00737580"/>
    <w:rsid w:val="007403B6"/>
    <w:rsid w:val="0074064C"/>
    <w:rsid w:val="00741257"/>
    <w:rsid w:val="007421C8"/>
    <w:rsid w:val="00743753"/>
    <w:rsid w:val="00743755"/>
    <w:rsid w:val="007437FB"/>
    <w:rsid w:val="007449BF"/>
    <w:rsid w:val="0074503E"/>
    <w:rsid w:val="00747C76"/>
    <w:rsid w:val="00750265"/>
    <w:rsid w:val="00752B74"/>
    <w:rsid w:val="0075321B"/>
    <w:rsid w:val="00753ABC"/>
    <w:rsid w:val="00754933"/>
    <w:rsid w:val="00756CF6"/>
    <w:rsid w:val="00757268"/>
    <w:rsid w:val="0075734B"/>
    <w:rsid w:val="00761C8E"/>
    <w:rsid w:val="00762E3C"/>
    <w:rsid w:val="00763210"/>
    <w:rsid w:val="00763790"/>
    <w:rsid w:val="00763EBC"/>
    <w:rsid w:val="00764323"/>
    <w:rsid w:val="00764AB0"/>
    <w:rsid w:val="0076666F"/>
    <w:rsid w:val="00766D30"/>
    <w:rsid w:val="00767656"/>
    <w:rsid w:val="00770EB6"/>
    <w:rsid w:val="0077185E"/>
    <w:rsid w:val="00773063"/>
    <w:rsid w:val="00776635"/>
    <w:rsid w:val="00776724"/>
    <w:rsid w:val="007807B1"/>
    <w:rsid w:val="0078210C"/>
    <w:rsid w:val="00784BA5"/>
    <w:rsid w:val="0078654C"/>
    <w:rsid w:val="00786808"/>
    <w:rsid w:val="00792C4D"/>
    <w:rsid w:val="00793841"/>
    <w:rsid w:val="00793FEA"/>
    <w:rsid w:val="00794CA5"/>
    <w:rsid w:val="007979AF"/>
    <w:rsid w:val="007A07E7"/>
    <w:rsid w:val="007A3011"/>
    <w:rsid w:val="007A6970"/>
    <w:rsid w:val="007A70B1"/>
    <w:rsid w:val="007A7A1B"/>
    <w:rsid w:val="007B0D31"/>
    <w:rsid w:val="007B1D57"/>
    <w:rsid w:val="007B32F0"/>
    <w:rsid w:val="007B3910"/>
    <w:rsid w:val="007B7D81"/>
    <w:rsid w:val="007C29F6"/>
    <w:rsid w:val="007C3BD1"/>
    <w:rsid w:val="007C401E"/>
    <w:rsid w:val="007C5678"/>
    <w:rsid w:val="007C6963"/>
    <w:rsid w:val="007D2426"/>
    <w:rsid w:val="007D3EA1"/>
    <w:rsid w:val="007D6277"/>
    <w:rsid w:val="007D78B4"/>
    <w:rsid w:val="007E01B7"/>
    <w:rsid w:val="007E10D3"/>
    <w:rsid w:val="007E4E1B"/>
    <w:rsid w:val="007E54BB"/>
    <w:rsid w:val="007E6376"/>
    <w:rsid w:val="007F0432"/>
    <w:rsid w:val="007F0503"/>
    <w:rsid w:val="007F0D05"/>
    <w:rsid w:val="007F228D"/>
    <w:rsid w:val="007F30A9"/>
    <w:rsid w:val="007F3E33"/>
    <w:rsid w:val="007F7011"/>
    <w:rsid w:val="00800330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B4A"/>
    <w:rsid w:val="0082608C"/>
    <w:rsid w:val="00826769"/>
    <w:rsid w:val="008267A3"/>
    <w:rsid w:val="00827747"/>
    <w:rsid w:val="0083086E"/>
    <w:rsid w:val="0083262F"/>
    <w:rsid w:val="00832E37"/>
    <w:rsid w:val="00833D0D"/>
    <w:rsid w:val="00834DA5"/>
    <w:rsid w:val="00836CBE"/>
    <w:rsid w:val="00837C3E"/>
    <w:rsid w:val="00837DCE"/>
    <w:rsid w:val="00843CDB"/>
    <w:rsid w:val="00850545"/>
    <w:rsid w:val="00857BA9"/>
    <w:rsid w:val="008628C6"/>
    <w:rsid w:val="00862DF4"/>
    <w:rsid w:val="008630BC"/>
    <w:rsid w:val="00865893"/>
    <w:rsid w:val="00866E4A"/>
    <w:rsid w:val="00866F6F"/>
    <w:rsid w:val="00867846"/>
    <w:rsid w:val="0087063D"/>
    <w:rsid w:val="0087129A"/>
    <w:rsid w:val="008718D0"/>
    <w:rsid w:val="008719B7"/>
    <w:rsid w:val="00875E43"/>
    <w:rsid w:val="00875F55"/>
    <w:rsid w:val="008803D6"/>
    <w:rsid w:val="00883A65"/>
    <w:rsid w:val="00883D8E"/>
    <w:rsid w:val="0088436F"/>
    <w:rsid w:val="00884870"/>
    <w:rsid w:val="00884D43"/>
    <w:rsid w:val="008866FB"/>
    <w:rsid w:val="00890ACB"/>
    <w:rsid w:val="00893277"/>
    <w:rsid w:val="00894ACF"/>
    <w:rsid w:val="0089523E"/>
    <w:rsid w:val="008955D1"/>
    <w:rsid w:val="00896657"/>
    <w:rsid w:val="008A012C"/>
    <w:rsid w:val="008A2A96"/>
    <w:rsid w:val="008A3E95"/>
    <w:rsid w:val="008A4C1E"/>
    <w:rsid w:val="008A6FBC"/>
    <w:rsid w:val="008B4518"/>
    <w:rsid w:val="008B6788"/>
    <w:rsid w:val="008B779C"/>
    <w:rsid w:val="008B7D6F"/>
    <w:rsid w:val="008C024F"/>
    <w:rsid w:val="008C1AAB"/>
    <w:rsid w:val="008C1E20"/>
    <w:rsid w:val="008C1F06"/>
    <w:rsid w:val="008C28A0"/>
    <w:rsid w:val="008C72B4"/>
    <w:rsid w:val="008D1CBF"/>
    <w:rsid w:val="008D6275"/>
    <w:rsid w:val="008E0FF0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BEE"/>
    <w:rsid w:val="008F3CA6"/>
    <w:rsid w:val="008F5225"/>
    <w:rsid w:val="008F740F"/>
    <w:rsid w:val="008F7DB7"/>
    <w:rsid w:val="009005E6"/>
    <w:rsid w:val="00900ACF"/>
    <w:rsid w:val="009016CF"/>
    <w:rsid w:val="009025E3"/>
    <w:rsid w:val="0090415D"/>
    <w:rsid w:val="009052FD"/>
    <w:rsid w:val="00910688"/>
    <w:rsid w:val="009111A9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077"/>
    <w:rsid w:val="00927090"/>
    <w:rsid w:val="00930553"/>
    <w:rsid w:val="00930ACD"/>
    <w:rsid w:val="00932ADC"/>
    <w:rsid w:val="00934806"/>
    <w:rsid w:val="00940719"/>
    <w:rsid w:val="009453C3"/>
    <w:rsid w:val="00951B14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2C26"/>
    <w:rsid w:val="00976895"/>
    <w:rsid w:val="00977CF9"/>
    <w:rsid w:val="00981C9E"/>
    <w:rsid w:val="00982536"/>
    <w:rsid w:val="00984748"/>
    <w:rsid w:val="00987D2C"/>
    <w:rsid w:val="009926E2"/>
    <w:rsid w:val="00993D24"/>
    <w:rsid w:val="00994DF7"/>
    <w:rsid w:val="009966FF"/>
    <w:rsid w:val="00997034"/>
    <w:rsid w:val="009971A9"/>
    <w:rsid w:val="009974DE"/>
    <w:rsid w:val="009A0A05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55BE"/>
    <w:rsid w:val="009C634A"/>
    <w:rsid w:val="009C6FA2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500"/>
    <w:rsid w:val="009E76D9"/>
    <w:rsid w:val="009F4EDF"/>
    <w:rsid w:val="009F55FD"/>
    <w:rsid w:val="009F578B"/>
    <w:rsid w:val="009F5B59"/>
    <w:rsid w:val="009F615F"/>
    <w:rsid w:val="009F7F80"/>
    <w:rsid w:val="00A04A82"/>
    <w:rsid w:val="00A04BA3"/>
    <w:rsid w:val="00A05C7B"/>
    <w:rsid w:val="00A05FB5"/>
    <w:rsid w:val="00A0780F"/>
    <w:rsid w:val="00A11572"/>
    <w:rsid w:val="00A11A8D"/>
    <w:rsid w:val="00A13653"/>
    <w:rsid w:val="00A15D01"/>
    <w:rsid w:val="00A22C01"/>
    <w:rsid w:val="00A24FAC"/>
    <w:rsid w:val="00A2668A"/>
    <w:rsid w:val="00A27C2E"/>
    <w:rsid w:val="00A33B4D"/>
    <w:rsid w:val="00A34047"/>
    <w:rsid w:val="00A34D76"/>
    <w:rsid w:val="00A363E6"/>
    <w:rsid w:val="00A36991"/>
    <w:rsid w:val="00A40F41"/>
    <w:rsid w:val="00A4114C"/>
    <w:rsid w:val="00A4251B"/>
    <w:rsid w:val="00A4319D"/>
    <w:rsid w:val="00A43619"/>
    <w:rsid w:val="00A43BFF"/>
    <w:rsid w:val="00A464E4"/>
    <w:rsid w:val="00A476AE"/>
    <w:rsid w:val="00A5089E"/>
    <w:rsid w:val="00A5140C"/>
    <w:rsid w:val="00A518CA"/>
    <w:rsid w:val="00A52521"/>
    <w:rsid w:val="00A5319F"/>
    <w:rsid w:val="00A53D3B"/>
    <w:rsid w:val="00A55454"/>
    <w:rsid w:val="00A612A9"/>
    <w:rsid w:val="00A62896"/>
    <w:rsid w:val="00A63795"/>
    <w:rsid w:val="00A63852"/>
    <w:rsid w:val="00A63DC2"/>
    <w:rsid w:val="00A64826"/>
    <w:rsid w:val="00A64E41"/>
    <w:rsid w:val="00A673BC"/>
    <w:rsid w:val="00A72452"/>
    <w:rsid w:val="00A7248B"/>
    <w:rsid w:val="00A729A0"/>
    <w:rsid w:val="00A74954"/>
    <w:rsid w:val="00A76646"/>
    <w:rsid w:val="00A8007F"/>
    <w:rsid w:val="00A81B5C"/>
    <w:rsid w:val="00A81EF8"/>
    <w:rsid w:val="00A8252E"/>
    <w:rsid w:val="00A83CA7"/>
    <w:rsid w:val="00A83EC2"/>
    <w:rsid w:val="00A84644"/>
    <w:rsid w:val="00A85172"/>
    <w:rsid w:val="00A85940"/>
    <w:rsid w:val="00A86199"/>
    <w:rsid w:val="00A90674"/>
    <w:rsid w:val="00A919E1"/>
    <w:rsid w:val="00A93CC6"/>
    <w:rsid w:val="00A97C49"/>
    <w:rsid w:val="00AA1711"/>
    <w:rsid w:val="00AA23D0"/>
    <w:rsid w:val="00AA2B1D"/>
    <w:rsid w:val="00AA33AF"/>
    <w:rsid w:val="00AA42D4"/>
    <w:rsid w:val="00AA4F7F"/>
    <w:rsid w:val="00AA58FD"/>
    <w:rsid w:val="00AA6D95"/>
    <w:rsid w:val="00AA77DC"/>
    <w:rsid w:val="00AA78AB"/>
    <w:rsid w:val="00AB13F3"/>
    <w:rsid w:val="00AB2573"/>
    <w:rsid w:val="00AB34A5"/>
    <w:rsid w:val="00AB365E"/>
    <w:rsid w:val="00AB3FAC"/>
    <w:rsid w:val="00AB53B3"/>
    <w:rsid w:val="00AB6309"/>
    <w:rsid w:val="00AB70A8"/>
    <w:rsid w:val="00AB78E7"/>
    <w:rsid w:val="00AB7EE1"/>
    <w:rsid w:val="00AC0074"/>
    <w:rsid w:val="00AC07B7"/>
    <w:rsid w:val="00AC28E2"/>
    <w:rsid w:val="00AC2DA9"/>
    <w:rsid w:val="00AC39F8"/>
    <w:rsid w:val="00AC3B3B"/>
    <w:rsid w:val="00AC5D54"/>
    <w:rsid w:val="00AC6727"/>
    <w:rsid w:val="00AD4538"/>
    <w:rsid w:val="00AD5394"/>
    <w:rsid w:val="00AD6618"/>
    <w:rsid w:val="00AD71ED"/>
    <w:rsid w:val="00AD77E7"/>
    <w:rsid w:val="00AE3DC2"/>
    <w:rsid w:val="00AE4E81"/>
    <w:rsid w:val="00AE4ED6"/>
    <w:rsid w:val="00AE541E"/>
    <w:rsid w:val="00AE56F2"/>
    <w:rsid w:val="00AE6611"/>
    <w:rsid w:val="00AE6A93"/>
    <w:rsid w:val="00AE7A99"/>
    <w:rsid w:val="00AF0AF2"/>
    <w:rsid w:val="00AF1F20"/>
    <w:rsid w:val="00B0065C"/>
    <w:rsid w:val="00B007EF"/>
    <w:rsid w:val="00B01C0E"/>
    <w:rsid w:val="00B02798"/>
    <w:rsid w:val="00B02B41"/>
    <w:rsid w:val="00B0371D"/>
    <w:rsid w:val="00B04F31"/>
    <w:rsid w:val="00B12806"/>
    <w:rsid w:val="00B12F98"/>
    <w:rsid w:val="00B14E5E"/>
    <w:rsid w:val="00B15B90"/>
    <w:rsid w:val="00B15F2A"/>
    <w:rsid w:val="00B17B89"/>
    <w:rsid w:val="00B22C85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FE1"/>
    <w:rsid w:val="00B538F4"/>
    <w:rsid w:val="00B545FE"/>
    <w:rsid w:val="00B569A1"/>
    <w:rsid w:val="00B573E6"/>
    <w:rsid w:val="00B57548"/>
    <w:rsid w:val="00B6012B"/>
    <w:rsid w:val="00B60142"/>
    <w:rsid w:val="00B606F4"/>
    <w:rsid w:val="00B620F6"/>
    <w:rsid w:val="00B62C50"/>
    <w:rsid w:val="00B666F6"/>
    <w:rsid w:val="00B6704F"/>
    <w:rsid w:val="00B71167"/>
    <w:rsid w:val="00B7177E"/>
    <w:rsid w:val="00B724E8"/>
    <w:rsid w:val="00B7773D"/>
    <w:rsid w:val="00B77AEF"/>
    <w:rsid w:val="00B81327"/>
    <w:rsid w:val="00B83B16"/>
    <w:rsid w:val="00B84A29"/>
    <w:rsid w:val="00B855F0"/>
    <w:rsid w:val="00B861FF"/>
    <w:rsid w:val="00B86983"/>
    <w:rsid w:val="00B91703"/>
    <w:rsid w:val="00B923AC"/>
    <w:rsid w:val="00B9300F"/>
    <w:rsid w:val="00B95B1D"/>
    <w:rsid w:val="00B960E4"/>
    <w:rsid w:val="00B9665F"/>
    <w:rsid w:val="00B975EA"/>
    <w:rsid w:val="00BA0191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20D"/>
    <w:rsid w:val="00BC3B10"/>
    <w:rsid w:val="00BC4898"/>
    <w:rsid w:val="00BC4C41"/>
    <w:rsid w:val="00BC6ACF"/>
    <w:rsid w:val="00BD3506"/>
    <w:rsid w:val="00BD50B0"/>
    <w:rsid w:val="00BD5C2E"/>
    <w:rsid w:val="00BD75DA"/>
    <w:rsid w:val="00BE2CE8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BEF"/>
    <w:rsid w:val="00C01BCA"/>
    <w:rsid w:val="00C02816"/>
    <w:rsid w:val="00C02FCB"/>
    <w:rsid w:val="00C03188"/>
    <w:rsid w:val="00C05C40"/>
    <w:rsid w:val="00C070F2"/>
    <w:rsid w:val="00C07F12"/>
    <w:rsid w:val="00C12406"/>
    <w:rsid w:val="00C124AD"/>
    <w:rsid w:val="00C12B87"/>
    <w:rsid w:val="00C13661"/>
    <w:rsid w:val="00C13F1E"/>
    <w:rsid w:val="00C14B20"/>
    <w:rsid w:val="00C16864"/>
    <w:rsid w:val="00C27723"/>
    <w:rsid w:val="00C30267"/>
    <w:rsid w:val="00C33D9A"/>
    <w:rsid w:val="00C34982"/>
    <w:rsid w:val="00C35828"/>
    <w:rsid w:val="00C36A36"/>
    <w:rsid w:val="00C408F8"/>
    <w:rsid w:val="00C4181E"/>
    <w:rsid w:val="00C41E35"/>
    <w:rsid w:val="00C429F3"/>
    <w:rsid w:val="00C44145"/>
    <w:rsid w:val="00C44D03"/>
    <w:rsid w:val="00C45663"/>
    <w:rsid w:val="00C46309"/>
    <w:rsid w:val="00C47253"/>
    <w:rsid w:val="00C54D50"/>
    <w:rsid w:val="00C553CE"/>
    <w:rsid w:val="00C61DA2"/>
    <w:rsid w:val="00C66894"/>
    <w:rsid w:val="00C67A6D"/>
    <w:rsid w:val="00C70130"/>
    <w:rsid w:val="00C71B6A"/>
    <w:rsid w:val="00C749BC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94F"/>
    <w:rsid w:val="00C85A4F"/>
    <w:rsid w:val="00C87AB0"/>
    <w:rsid w:val="00C91D31"/>
    <w:rsid w:val="00C91D6B"/>
    <w:rsid w:val="00C94085"/>
    <w:rsid w:val="00C96409"/>
    <w:rsid w:val="00C97CE3"/>
    <w:rsid w:val="00CA27A3"/>
    <w:rsid w:val="00CA29F6"/>
    <w:rsid w:val="00CA72F3"/>
    <w:rsid w:val="00CB1742"/>
    <w:rsid w:val="00CB2461"/>
    <w:rsid w:val="00CB2912"/>
    <w:rsid w:val="00CB383A"/>
    <w:rsid w:val="00CB4BCC"/>
    <w:rsid w:val="00CB6A2E"/>
    <w:rsid w:val="00CB7D25"/>
    <w:rsid w:val="00CC00D7"/>
    <w:rsid w:val="00CC19E0"/>
    <w:rsid w:val="00CC40AF"/>
    <w:rsid w:val="00CC48A0"/>
    <w:rsid w:val="00CC540C"/>
    <w:rsid w:val="00CC5D20"/>
    <w:rsid w:val="00CC60B3"/>
    <w:rsid w:val="00CC69B1"/>
    <w:rsid w:val="00CD081E"/>
    <w:rsid w:val="00CD0FE1"/>
    <w:rsid w:val="00CD1FA2"/>
    <w:rsid w:val="00CD2709"/>
    <w:rsid w:val="00CD2F04"/>
    <w:rsid w:val="00CD33FB"/>
    <w:rsid w:val="00CD4299"/>
    <w:rsid w:val="00CD492A"/>
    <w:rsid w:val="00CD56DD"/>
    <w:rsid w:val="00CD69F0"/>
    <w:rsid w:val="00CD78B5"/>
    <w:rsid w:val="00CE307C"/>
    <w:rsid w:val="00CE3A8C"/>
    <w:rsid w:val="00CE3DFA"/>
    <w:rsid w:val="00CE4265"/>
    <w:rsid w:val="00CE6EA1"/>
    <w:rsid w:val="00CE6FA1"/>
    <w:rsid w:val="00CF1542"/>
    <w:rsid w:val="00CF1953"/>
    <w:rsid w:val="00CF2697"/>
    <w:rsid w:val="00CF3E3F"/>
    <w:rsid w:val="00CF4D23"/>
    <w:rsid w:val="00CF6AC4"/>
    <w:rsid w:val="00CF71E9"/>
    <w:rsid w:val="00CF77AE"/>
    <w:rsid w:val="00D02191"/>
    <w:rsid w:val="00D0246D"/>
    <w:rsid w:val="00D02E41"/>
    <w:rsid w:val="00D030E4"/>
    <w:rsid w:val="00D05ED6"/>
    <w:rsid w:val="00D06C2B"/>
    <w:rsid w:val="00D1089A"/>
    <w:rsid w:val="00D1314F"/>
    <w:rsid w:val="00D13C4C"/>
    <w:rsid w:val="00D1514D"/>
    <w:rsid w:val="00D156CA"/>
    <w:rsid w:val="00D16B8B"/>
    <w:rsid w:val="00D16EDC"/>
    <w:rsid w:val="00D174D8"/>
    <w:rsid w:val="00D1783E"/>
    <w:rsid w:val="00D22821"/>
    <w:rsid w:val="00D23EE5"/>
    <w:rsid w:val="00D26430"/>
    <w:rsid w:val="00D32398"/>
    <w:rsid w:val="00D34B85"/>
    <w:rsid w:val="00D34E4F"/>
    <w:rsid w:val="00D3665E"/>
    <w:rsid w:val="00D36B21"/>
    <w:rsid w:val="00D40830"/>
    <w:rsid w:val="00D41B0A"/>
    <w:rsid w:val="00D4288C"/>
    <w:rsid w:val="00D43CA9"/>
    <w:rsid w:val="00D43E91"/>
    <w:rsid w:val="00D43F88"/>
    <w:rsid w:val="00D43F89"/>
    <w:rsid w:val="00D44B05"/>
    <w:rsid w:val="00D460EB"/>
    <w:rsid w:val="00D46296"/>
    <w:rsid w:val="00D47576"/>
    <w:rsid w:val="00D510F3"/>
    <w:rsid w:val="00D51BDC"/>
    <w:rsid w:val="00D5257A"/>
    <w:rsid w:val="00D56B7C"/>
    <w:rsid w:val="00D63802"/>
    <w:rsid w:val="00D63A38"/>
    <w:rsid w:val="00D67262"/>
    <w:rsid w:val="00D710F5"/>
    <w:rsid w:val="00D72E30"/>
    <w:rsid w:val="00D73208"/>
    <w:rsid w:val="00D7606C"/>
    <w:rsid w:val="00D8098E"/>
    <w:rsid w:val="00D8155E"/>
    <w:rsid w:val="00D8504F"/>
    <w:rsid w:val="00D85CA5"/>
    <w:rsid w:val="00D91037"/>
    <w:rsid w:val="00D928DD"/>
    <w:rsid w:val="00D93CCE"/>
    <w:rsid w:val="00D941AF"/>
    <w:rsid w:val="00D94945"/>
    <w:rsid w:val="00DA16D4"/>
    <w:rsid w:val="00DA2D77"/>
    <w:rsid w:val="00DA2EB6"/>
    <w:rsid w:val="00DA4966"/>
    <w:rsid w:val="00DA4EB0"/>
    <w:rsid w:val="00DA5B00"/>
    <w:rsid w:val="00DA5FED"/>
    <w:rsid w:val="00DA6058"/>
    <w:rsid w:val="00DA6CF6"/>
    <w:rsid w:val="00DA78FE"/>
    <w:rsid w:val="00DB10BF"/>
    <w:rsid w:val="00DB2568"/>
    <w:rsid w:val="00DB2577"/>
    <w:rsid w:val="00DB379C"/>
    <w:rsid w:val="00DB3ED7"/>
    <w:rsid w:val="00DB42B9"/>
    <w:rsid w:val="00DB4958"/>
    <w:rsid w:val="00DB58F5"/>
    <w:rsid w:val="00DB6E04"/>
    <w:rsid w:val="00DB74F1"/>
    <w:rsid w:val="00DB7B4B"/>
    <w:rsid w:val="00DB7FF7"/>
    <w:rsid w:val="00DC05D1"/>
    <w:rsid w:val="00DC0990"/>
    <w:rsid w:val="00DC0D89"/>
    <w:rsid w:val="00DC0ED8"/>
    <w:rsid w:val="00DC2B12"/>
    <w:rsid w:val="00DC38F2"/>
    <w:rsid w:val="00DC45A3"/>
    <w:rsid w:val="00DC539D"/>
    <w:rsid w:val="00DD0DFE"/>
    <w:rsid w:val="00DD1349"/>
    <w:rsid w:val="00DD17E9"/>
    <w:rsid w:val="00DD3D5E"/>
    <w:rsid w:val="00DD46AE"/>
    <w:rsid w:val="00DD4732"/>
    <w:rsid w:val="00DD5243"/>
    <w:rsid w:val="00DE1ADA"/>
    <w:rsid w:val="00DE31AF"/>
    <w:rsid w:val="00DE5F53"/>
    <w:rsid w:val="00DE60F1"/>
    <w:rsid w:val="00DF1CAD"/>
    <w:rsid w:val="00DF3879"/>
    <w:rsid w:val="00DF3C40"/>
    <w:rsid w:val="00DF796D"/>
    <w:rsid w:val="00DF79EB"/>
    <w:rsid w:val="00DF7F9A"/>
    <w:rsid w:val="00E00DDA"/>
    <w:rsid w:val="00E03956"/>
    <w:rsid w:val="00E053ED"/>
    <w:rsid w:val="00E06664"/>
    <w:rsid w:val="00E06DE5"/>
    <w:rsid w:val="00E079B9"/>
    <w:rsid w:val="00E10F9E"/>
    <w:rsid w:val="00E11949"/>
    <w:rsid w:val="00E13269"/>
    <w:rsid w:val="00E13B68"/>
    <w:rsid w:val="00E13BFD"/>
    <w:rsid w:val="00E151BC"/>
    <w:rsid w:val="00E15EDD"/>
    <w:rsid w:val="00E20D17"/>
    <w:rsid w:val="00E225D9"/>
    <w:rsid w:val="00E2278F"/>
    <w:rsid w:val="00E22D9F"/>
    <w:rsid w:val="00E238EA"/>
    <w:rsid w:val="00E241FB"/>
    <w:rsid w:val="00E2427A"/>
    <w:rsid w:val="00E266D0"/>
    <w:rsid w:val="00E26A2E"/>
    <w:rsid w:val="00E3161F"/>
    <w:rsid w:val="00E32BBB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161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4801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1A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29BA"/>
    <w:rsid w:val="00EE3CF9"/>
    <w:rsid w:val="00EE40A9"/>
    <w:rsid w:val="00EE4FC4"/>
    <w:rsid w:val="00EE5F51"/>
    <w:rsid w:val="00EE6501"/>
    <w:rsid w:val="00EE6B11"/>
    <w:rsid w:val="00EE7763"/>
    <w:rsid w:val="00EE7B49"/>
    <w:rsid w:val="00EF233A"/>
    <w:rsid w:val="00EF42EB"/>
    <w:rsid w:val="00EF4B42"/>
    <w:rsid w:val="00EF5B7E"/>
    <w:rsid w:val="00EF5C18"/>
    <w:rsid w:val="00EF7DD8"/>
    <w:rsid w:val="00F016D8"/>
    <w:rsid w:val="00F034F8"/>
    <w:rsid w:val="00F03D04"/>
    <w:rsid w:val="00F04CD5"/>
    <w:rsid w:val="00F0540D"/>
    <w:rsid w:val="00F10450"/>
    <w:rsid w:val="00F1151C"/>
    <w:rsid w:val="00F121C7"/>
    <w:rsid w:val="00F149EE"/>
    <w:rsid w:val="00F158C8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897"/>
    <w:rsid w:val="00F3438D"/>
    <w:rsid w:val="00F344CC"/>
    <w:rsid w:val="00F347CD"/>
    <w:rsid w:val="00F353C4"/>
    <w:rsid w:val="00F37466"/>
    <w:rsid w:val="00F403D7"/>
    <w:rsid w:val="00F4134E"/>
    <w:rsid w:val="00F417CF"/>
    <w:rsid w:val="00F437A1"/>
    <w:rsid w:val="00F4575C"/>
    <w:rsid w:val="00F459A0"/>
    <w:rsid w:val="00F45AC2"/>
    <w:rsid w:val="00F45ED3"/>
    <w:rsid w:val="00F46367"/>
    <w:rsid w:val="00F4663D"/>
    <w:rsid w:val="00F503F3"/>
    <w:rsid w:val="00F5321D"/>
    <w:rsid w:val="00F54850"/>
    <w:rsid w:val="00F553D8"/>
    <w:rsid w:val="00F57421"/>
    <w:rsid w:val="00F60273"/>
    <w:rsid w:val="00F60D4A"/>
    <w:rsid w:val="00F60EAF"/>
    <w:rsid w:val="00F62247"/>
    <w:rsid w:val="00F653F9"/>
    <w:rsid w:val="00F65665"/>
    <w:rsid w:val="00F66770"/>
    <w:rsid w:val="00F67166"/>
    <w:rsid w:val="00F70A72"/>
    <w:rsid w:val="00F726EE"/>
    <w:rsid w:val="00F72B67"/>
    <w:rsid w:val="00F72C7F"/>
    <w:rsid w:val="00F75671"/>
    <w:rsid w:val="00F75A12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F82"/>
    <w:rsid w:val="00FA11F2"/>
    <w:rsid w:val="00FA338B"/>
    <w:rsid w:val="00FA6994"/>
    <w:rsid w:val="00FA6F31"/>
    <w:rsid w:val="00FA7090"/>
    <w:rsid w:val="00FB1248"/>
    <w:rsid w:val="00FB293B"/>
    <w:rsid w:val="00FB2B51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6976"/>
    <w:rsid w:val="00FD73A4"/>
    <w:rsid w:val="00FD7989"/>
    <w:rsid w:val="00FD79BB"/>
    <w:rsid w:val="00FE088D"/>
    <w:rsid w:val="00FE1CED"/>
    <w:rsid w:val="00FE260E"/>
    <w:rsid w:val="00FE2D06"/>
    <w:rsid w:val="00FE39B9"/>
    <w:rsid w:val="00FE3DD1"/>
    <w:rsid w:val="00FE3E27"/>
    <w:rsid w:val="00FE64D2"/>
    <w:rsid w:val="00FF2189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8EE262D"/>
  <w15:docId w15:val="{107F331E-F5B1-4F81-A700-E9CF98D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5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C3B5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C3B5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C3B5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C3B5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D2F0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D2F0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D2F0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D2F0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D2F0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C3B5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C3B59"/>
  </w:style>
  <w:style w:type="paragraph" w:customStyle="1" w:styleId="00ClientCover">
    <w:name w:val="00ClientCover"/>
    <w:basedOn w:val="Normal"/>
    <w:rsid w:val="003C3B59"/>
  </w:style>
  <w:style w:type="paragraph" w:customStyle="1" w:styleId="02Text">
    <w:name w:val="02Text"/>
    <w:basedOn w:val="Normal"/>
    <w:rsid w:val="003C3B59"/>
  </w:style>
  <w:style w:type="paragraph" w:customStyle="1" w:styleId="BillBasic">
    <w:name w:val="BillBasic"/>
    <w:link w:val="BillBasicChar"/>
    <w:rsid w:val="003C3B5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C3B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C3B5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C3B5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C3B5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C3B59"/>
    <w:pPr>
      <w:spacing w:before="240"/>
    </w:pPr>
  </w:style>
  <w:style w:type="paragraph" w:customStyle="1" w:styleId="EnactingWords">
    <w:name w:val="EnactingWords"/>
    <w:basedOn w:val="BillBasic"/>
    <w:rsid w:val="003C3B59"/>
    <w:pPr>
      <w:spacing w:before="120"/>
    </w:pPr>
  </w:style>
  <w:style w:type="paragraph" w:customStyle="1" w:styleId="Amain">
    <w:name w:val="A main"/>
    <w:basedOn w:val="BillBasic"/>
    <w:rsid w:val="003C3B5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C3B59"/>
    <w:pPr>
      <w:ind w:left="1100"/>
    </w:pPr>
  </w:style>
  <w:style w:type="paragraph" w:customStyle="1" w:styleId="Apara">
    <w:name w:val="A para"/>
    <w:basedOn w:val="BillBasic"/>
    <w:rsid w:val="003C3B5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C3B5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C3B5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C3B59"/>
    <w:pPr>
      <w:ind w:left="1100"/>
    </w:pPr>
  </w:style>
  <w:style w:type="paragraph" w:customStyle="1" w:styleId="aExamHead">
    <w:name w:val="aExam Head"/>
    <w:basedOn w:val="BillBasicHeading"/>
    <w:next w:val="aExam"/>
    <w:rsid w:val="003C3B5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C3B5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C3B5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C3B5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C3B59"/>
    <w:pPr>
      <w:spacing w:before="120" w:after="60"/>
    </w:pPr>
  </w:style>
  <w:style w:type="paragraph" w:customStyle="1" w:styleId="HeaderOdd6">
    <w:name w:val="HeaderOdd6"/>
    <w:basedOn w:val="HeaderEven6"/>
    <w:rsid w:val="003C3B59"/>
    <w:pPr>
      <w:jc w:val="right"/>
    </w:pPr>
  </w:style>
  <w:style w:type="paragraph" w:customStyle="1" w:styleId="HeaderOdd">
    <w:name w:val="HeaderOdd"/>
    <w:basedOn w:val="HeaderEven"/>
    <w:rsid w:val="003C3B59"/>
    <w:pPr>
      <w:jc w:val="right"/>
    </w:pPr>
  </w:style>
  <w:style w:type="paragraph" w:customStyle="1" w:styleId="N-TOCheading">
    <w:name w:val="N-TOCheading"/>
    <w:basedOn w:val="BillBasicHeading"/>
    <w:next w:val="N-9pt"/>
    <w:rsid w:val="003C3B5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C3B5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C3B5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C3B5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C3B5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C3B5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C3B5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C3B5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C3B5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C3B5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C3B5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C3B5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C3B5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C3B5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C3B5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C3B5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C3B5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C3B5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C3B5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C3B5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C3B5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C3B5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C3B5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D2F0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C3B5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C3B5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C3B5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C3B5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C3B5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C3B59"/>
    <w:rPr>
      <w:rFonts w:ascii="Arial" w:hAnsi="Arial"/>
      <w:sz w:val="16"/>
    </w:rPr>
  </w:style>
  <w:style w:type="paragraph" w:customStyle="1" w:styleId="PageBreak">
    <w:name w:val="PageBreak"/>
    <w:basedOn w:val="Normal"/>
    <w:rsid w:val="003C3B59"/>
    <w:rPr>
      <w:sz w:val="4"/>
    </w:rPr>
  </w:style>
  <w:style w:type="paragraph" w:customStyle="1" w:styleId="04Dictionary">
    <w:name w:val="04Dictionary"/>
    <w:basedOn w:val="Normal"/>
    <w:rsid w:val="003C3B59"/>
  </w:style>
  <w:style w:type="paragraph" w:customStyle="1" w:styleId="N-line1">
    <w:name w:val="N-line1"/>
    <w:basedOn w:val="BillBasic"/>
    <w:rsid w:val="003C3B5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C3B5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C3B5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C3B5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C3B5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C3B59"/>
  </w:style>
  <w:style w:type="paragraph" w:customStyle="1" w:styleId="03Schedule">
    <w:name w:val="03Schedule"/>
    <w:basedOn w:val="Normal"/>
    <w:rsid w:val="003C3B59"/>
  </w:style>
  <w:style w:type="paragraph" w:customStyle="1" w:styleId="ISched-heading">
    <w:name w:val="I Sched-heading"/>
    <w:basedOn w:val="BillBasicHeading"/>
    <w:next w:val="Normal"/>
    <w:rsid w:val="003C3B5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C3B5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C3B5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C3B5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C3B59"/>
  </w:style>
  <w:style w:type="paragraph" w:customStyle="1" w:styleId="Ipara">
    <w:name w:val="I para"/>
    <w:basedOn w:val="Apara"/>
    <w:rsid w:val="003C3B59"/>
    <w:pPr>
      <w:outlineLvl w:val="9"/>
    </w:pPr>
  </w:style>
  <w:style w:type="paragraph" w:customStyle="1" w:styleId="Isubpara">
    <w:name w:val="I subpara"/>
    <w:basedOn w:val="Asubpara"/>
    <w:rsid w:val="003C3B5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C3B5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C3B59"/>
  </w:style>
  <w:style w:type="character" w:customStyle="1" w:styleId="CharDivNo">
    <w:name w:val="CharDivNo"/>
    <w:basedOn w:val="DefaultParagraphFont"/>
    <w:rsid w:val="003C3B59"/>
  </w:style>
  <w:style w:type="character" w:customStyle="1" w:styleId="CharDivText">
    <w:name w:val="CharDivText"/>
    <w:basedOn w:val="DefaultParagraphFont"/>
    <w:rsid w:val="003C3B59"/>
  </w:style>
  <w:style w:type="character" w:customStyle="1" w:styleId="CharPartNo">
    <w:name w:val="CharPartNo"/>
    <w:basedOn w:val="DefaultParagraphFont"/>
    <w:rsid w:val="003C3B59"/>
  </w:style>
  <w:style w:type="paragraph" w:customStyle="1" w:styleId="Placeholder">
    <w:name w:val="Placeholder"/>
    <w:basedOn w:val="Normal"/>
    <w:rsid w:val="003C3B59"/>
    <w:rPr>
      <w:sz w:val="10"/>
    </w:rPr>
  </w:style>
  <w:style w:type="paragraph" w:styleId="PlainText">
    <w:name w:val="Plain Text"/>
    <w:basedOn w:val="Normal"/>
    <w:rsid w:val="003C3B5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C3B59"/>
  </w:style>
  <w:style w:type="character" w:customStyle="1" w:styleId="CharChapText">
    <w:name w:val="CharChapText"/>
    <w:basedOn w:val="DefaultParagraphFont"/>
    <w:rsid w:val="003C3B59"/>
  </w:style>
  <w:style w:type="character" w:customStyle="1" w:styleId="CharPartText">
    <w:name w:val="CharPartText"/>
    <w:basedOn w:val="DefaultParagraphFont"/>
    <w:rsid w:val="003C3B59"/>
  </w:style>
  <w:style w:type="paragraph" w:styleId="TOC1">
    <w:name w:val="toc 1"/>
    <w:basedOn w:val="Normal"/>
    <w:next w:val="Normal"/>
    <w:autoRedefine/>
    <w:rsid w:val="003C3B5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C3B5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C3B5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C3B5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C3B59"/>
  </w:style>
  <w:style w:type="paragraph" w:styleId="Title">
    <w:name w:val="Title"/>
    <w:basedOn w:val="Normal"/>
    <w:qFormat/>
    <w:rsid w:val="00CD2F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C3B59"/>
    <w:pPr>
      <w:ind w:left="4252"/>
    </w:pPr>
  </w:style>
  <w:style w:type="paragraph" w:customStyle="1" w:styleId="ActNo">
    <w:name w:val="ActNo"/>
    <w:basedOn w:val="BillBasicHeading"/>
    <w:rsid w:val="003C3B5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C3B5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C3B59"/>
    <w:pPr>
      <w:ind w:left="1500" w:hanging="400"/>
    </w:pPr>
  </w:style>
  <w:style w:type="paragraph" w:customStyle="1" w:styleId="LongTitle">
    <w:name w:val="LongTitle"/>
    <w:basedOn w:val="BillBasic"/>
    <w:rsid w:val="003C3B59"/>
    <w:pPr>
      <w:spacing w:before="300"/>
    </w:pPr>
  </w:style>
  <w:style w:type="paragraph" w:customStyle="1" w:styleId="Minister">
    <w:name w:val="Minister"/>
    <w:basedOn w:val="BillBasic"/>
    <w:rsid w:val="003C3B5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C3B59"/>
    <w:pPr>
      <w:tabs>
        <w:tab w:val="left" w:pos="4320"/>
      </w:tabs>
    </w:pPr>
  </w:style>
  <w:style w:type="paragraph" w:customStyle="1" w:styleId="madeunder">
    <w:name w:val="made under"/>
    <w:basedOn w:val="BillBasic"/>
    <w:rsid w:val="003C3B5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D2F0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C3B5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C3B59"/>
    <w:rPr>
      <w:i/>
    </w:rPr>
  </w:style>
  <w:style w:type="paragraph" w:customStyle="1" w:styleId="00SigningPage">
    <w:name w:val="00SigningPage"/>
    <w:basedOn w:val="Normal"/>
    <w:rsid w:val="003C3B59"/>
  </w:style>
  <w:style w:type="paragraph" w:customStyle="1" w:styleId="Aparareturn">
    <w:name w:val="A para return"/>
    <w:basedOn w:val="BillBasic"/>
    <w:rsid w:val="003C3B59"/>
    <w:pPr>
      <w:ind w:left="1600"/>
    </w:pPr>
  </w:style>
  <w:style w:type="paragraph" w:customStyle="1" w:styleId="Asubparareturn">
    <w:name w:val="A subpara return"/>
    <w:basedOn w:val="BillBasic"/>
    <w:rsid w:val="003C3B59"/>
    <w:pPr>
      <w:ind w:left="2100"/>
    </w:pPr>
  </w:style>
  <w:style w:type="paragraph" w:customStyle="1" w:styleId="CommentNum">
    <w:name w:val="CommentNum"/>
    <w:basedOn w:val="Comment"/>
    <w:rsid w:val="003C3B59"/>
    <w:pPr>
      <w:ind w:left="1800" w:hanging="1800"/>
    </w:pPr>
  </w:style>
  <w:style w:type="paragraph" w:styleId="TOC8">
    <w:name w:val="toc 8"/>
    <w:basedOn w:val="TOC3"/>
    <w:next w:val="Normal"/>
    <w:autoRedefine/>
    <w:rsid w:val="003C3B59"/>
    <w:pPr>
      <w:keepNext w:val="0"/>
      <w:spacing w:before="120"/>
    </w:pPr>
  </w:style>
  <w:style w:type="paragraph" w:customStyle="1" w:styleId="Judges">
    <w:name w:val="Judges"/>
    <w:basedOn w:val="Minister"/>
    <w:rsid w:val="003C3B59"/>
    <w:pPr>
      <w:spacing w:before="180"/>
    </w:pPr>
  </w:style>
  <w:style w:type="paragraph" w:customStyle="1" w:styleId="BillFor">
    <w:name w:val="BillFor"/>
    <w:basedOn w:val="BillBasicHeading"/>
    <w:rsid w:val="003C3B5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C3B5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C3B5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C3B5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C3B5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C3B59"/>
    <w:pPr>
      <w:spacing w:before="60"/>
      <w:ind w:left="2540" w:hanging="400"/>
    </w:pPr>
  </w:style>
  <w:style w:type="paragraph" w:customStyle="1" w:styleId="aDefpara">
    <w:name w:val="aDef para"/>
    <w:basedOn w:val="Apara"/>
    <w:rsid w:val="003C3B59"/>
  </w:style>
  <w:style w:type="paragraph" w:customStyle="1" w:styleId="aDefsubpara">
    <w:name w:val="aDef subpara"/>
    <w:basedOn w:val="Asubpara"/>
    <w:rsid w:val="003C3B59"/>
  </w:style>
  <w:style w:type="paragraph" w:customStyle="1" w:styleId="Idefpara">
    <w:name w:val="I def para"/>
    <w:basedOn w:val="Ipara"/>
    <w:rsid w:val="003C3B59"/>
  </w:style>
  <w:style w:type="paragraph" w:customStyle="1" w:styleId="Idefsubpara">
    <w:name w:val="I def subpara"/>
    <w:basedOn w:val="Isubpara"/>
    <w:rsid w:val="003C3B59"/>
  </w:style>
  <w:style w:type="paragraph" w:customStyle="1" w:styleId="Notified">
    <w:name w:val="Notified"/>
    <w:basedOn w:val="BillBasic"/>
    <w:rsid w:val="003C3B5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C3B59"/>
  </w:style>
  <w:style w:type="paragraph" w:customStyle="1" w:styleId="IDict-Heading">
    <w:name w:val="I Dict-Heading"/>
    <w:basedOn w:val="BillBasicHeading"/>
    <w:rsid w:val="003C3B5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C3B59"/>
  </w:style>
  <w:style w:type="paragraph" w:styleId="Salutation">
    <w:name w:val="Salutation"/>
    <w:basedOn w:val="Normal"/>
    <w:next w:val="Normal"/>
    <w:rsid w:val="00CD2F04"/>
  </w:style>
  <w:style w:type="paragraph" w:customStyle="1" w:styleId="aNoteBullet">
    <w:name w:val="aNoteBullet"/>
    <w:basedOn w:val="aNoteSymb"/>
    <w:rsid w:val="003C3B5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D2F0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C3B5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C3B5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C3B59"/>
    <w:pPr>
      <w:spacing w:before="60"/>
      <w:ind w:firstLine="0"/>
    </w:pPr>
  </w:style>
  <w:style w:type="paragraph" w:customStyle="1" w:styleId="MinisterWord">
    <w:name w:val="MinisterWord"/>
    <w:basedOn w:val="Normal"/>
    <w:rsid w:val="003C3B59"/>
    <w:pPr>
      <w:spacing w:before="60"/>
      <w:jc w:val="right"/>
    </w:pPr>
  </w:style>
  <w:style w:type="paragraph" w:customStyle="1" w:styleId="aExamPara">
    <w:name w:val="aExamPara"/>
    <w:basedOn w:val="aExam"/>
    <w:rsid w:val="003C3B5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C3B59"/>
    <w:pPr>
      <w:ind w:left="1500"/>
    </w:pPr>
  </w:style>
  <w:style w:type="paragraph" w:customStyle="1" w:styleId="aExamBullet">
    <w:name w:val="aExamBullet"/>
    <w:basedOn w:val="aExam"/>
    <w:rsid w:val="003C3B5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C3B5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C3B5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C3B59"/>
    <w:rPr>
      <w:sz w:val="20"/>
    </w:rPr>
  </w:style>
  <w:style w:type="paragraph" w:customStyle="1" w:styleId="aParaNotePara">
    <w:name w:val="aParaNotePara"/>
    <w:basedOn w:val="aNoteParaSymb"/>
    <w:rsid w:val="003C3B5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C3B59"/>
    <w:rPr>
      <w:b/>
    </w:rPr>
  </w:style>
  <w:style w:type="character" w:customStyle="1" w:styleId="charBoldItals">
    <w:name w:val="charBoldItals"/>
    <w:basedOn w:val="DefaultParagraphFont"/>
    <w:rsid w:val="003C3B59"/>
    <w:rPr>
      <w:b/>
      <w:i/>
    </w:rPr>
  </w:style>
  <w:style w:type="character" w:customStyle="1" w:styleId="charItals">
    <w:name w:val="charItals"/>
    <w:basedOn w:val="DefaultParagraphFont"/>
    <w:rsid w:val="003C3B59"/>
    <w:rPr>
      <w:i/>
    </w:rPr>
  </w:style>
  <w:style w:type="character" w:customStyle="1" w:styleId="charUnderline">
    <w:name w:val="charUnderline"/>
    <w:basedOn w:val="DefaultParagraphFont"/>
    <w:rsid w:val="003C3B59"/>
    <w:rPr>
      <w:u w:val="single"/>
    </w:rPr>
  </w:style>
  <w:style w:type="paragraph" w:customStyle="1" w:styleId="TableHd">
    <w:name w:val="TableHd"/>
    <w:basedOn w:val="Normal"/>
    <w:rsid w:val="003C3B5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C3B5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C3B5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C3B5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C3B5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C3B59"/>
    <w:pPr>
      <w:spacing w:before="60" w:after="60"/>
    </w:pPr>
  </w:style>
  <w:style w:type="paragraph" w:customStyle="1" w:styleId="IshadedH5Sec">
    <w:name w:val="I shaded H5 Sec"/>
    <w:basedOn w:val="AH5Sec"/>
    <w:rsid w:val="003C3B5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C3B59"/>
  </w:style>
  <w:style w:type="paragraph" w:customStyle="1" w:styleId="Penalty">
    <w:name w:val="Penalty"/>
    <w:basedOn w:val="Amainreturn"/>
    <w:rsid w:val="003C3B59"/>
  </w:style>
  <w:style w:type="paragraph" w:customStyle="1" w:styleId="aNoteText">
    <w:name w:val="aNoteText"/>
    <w:basedOn w:val="aNoteSymb"/>
    <w:rsid w:val="003C3B59"/>
    <w:pPr>
      <w:spacing w:before="60"/>
      <w:ind w:firstLine="0"/>
    </w:pPr>
  </w:style>
  <w:style w:type="paragraph" w:customStyle="1" w:styleId="aExamINum">
    <w:name w:val="aExamINum"/>
    <w:basedOn w:val="aExam"/>
    <w:rsid w:val="00CD2F0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C3B5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D2F0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C3B5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C3B5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C3B59"/>
    <w:pPr>
      <w:ind w:left="1600"/>
    </w:pPr>
  </w:style>
  <w:style w:type="paragraph" w:customStyle="1" w:styleId="aExampar">
    <w:name w:val="aExampar"/>
    <w:basedOn w:val="aExamss"/>
    <w:rsid w:val="003C3B59"/>
    <w:pPr>
      <w:ind w:left="1600"/>
    </w:pPr>
  </w:style>
  <w:style w:type="paragraph" w:customStyle="1" w:styleId="aExamINumss">
    <w:name w:val="aExamINumss"/>
    <w:basedOn w:val="aExamss"/>
    <w:rsid w:val="003C3B5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C3B5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C3B59"/>
    <w:pPr>
      <w:ind w:left="1500"/>
    </w:pPr>
  </w:style>
  <w:style w:type="paragraph" w:customStyle="1" w:styleId="aExamNumTextpar">
    <w:name w:val="aExamNumTextpar"/>
    <w:basedOn w:val="aExampar"/>
    <w:rsid w:val="00CD2F04"/>
    <w:pPr>
      <w:ind w:left="2000"/>
    </w:pPr>
  </w:style>
  <w:style w:type="paragraph" w:customStyle="1" w:styleId="aExamBulletss">
    <w:name w:val="aExamBulletss"/>
    <w:basedOn w:val="aExamss"/>
    <w:rsid w:val="003C3B59"/>
    <w:pPr>
      <w:ind w:left="1500" w:hanging="400"/>
    </w:pPr>
  </w:style>
  <w:style w:type="paragraph" w:customStyle="1" w:styleId="aExamBulletpar">
    <w:name w:val="aExamBulletpar"/>
    <w:basedOn w:val="aExampar"/>
    <w:rsid w:val="003C3B5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C3B59"/>
    <w:pPr>
      <w:ind w:left="2140"/>
    </w:pPr>
  </w:style>
  <w:style w:type="paragraph" w:customStyle="1" w:styleId="aExamsubpar">
    <w:name w:val="aExamsubpar"/>
    <w:basedOn w:val="aExamss"/>
    <w:rsid w:val="003C3B59"/>
    <w:pPr>
      <w:ind w:left="2140"/>
    </w:pPr>
  </w:style>
  <w:style w:type="paragraph" w:customStyle="1" w:styleId="aExamNumsubpar">
    <w:name w:val="aExamNumsubpar"/>
    <w:basedOn w:val="aExamsubpar"/>
    <w:rsid w:val="003C3B5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D2F04"/>
    <w:pPr>
      <w:ind w:left="2540"/>
    </w:pPr>
  </w:style>
  <w:style w:type="paragraph" w:customStyle="1" w:styleId="aExamBulletsubpar">
    <w:name w:val="aExamBulletsubpar"/>
    <w:basedOn w:val="aExamsubpar"/>
    <w:rsid w:val="003C3B5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C3B5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C3B5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C3B5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C3B5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C3B5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D2F0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C3B5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C3B5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C3B5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C3B5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D2F0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D2F0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D2F0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C3B59"/>
  </w:style>
  <w:style w:type="paragraph" w:customStyle="1" w:styleId="SchApara">
    <w:name w:val="Sch A para"/>
    <w:basedOn w:val="Apara"/>
    <w:rsid w:val="003C3B59"/>
  </w:style>
  <w:style w:type="paragraph" w:customStyle="1" w:styleId="SchAsubpara">
    <w:name w:val="Sch A subpara"/>
    <w:basedOn w:val="Asubpara"/>
    <w:rsid w:val="003C3B59"/>
  </w:style>
  <w:style w:type="paragraph" w:customStyle="1" w:styleId="SchAsubsubpara">
    <w:name w:val="Sch A subsubpara"/>
    <w:basedOn w:val="Asubsubpara"/>
    <w:rsid w:val="003C3B59"/>
  </w:style>
  <w:style w:type="paragraph" w:customStyle="1" w:styleId="TOCOL1">
    <w:name w:val="TOCOL 1"/>
    <w:basedOn w:val="TOC1"/>
    <w:rsid w:val="003C3B59"/>
  </w:style>
  <w:style w:type="paragraph" w:customStyle="1" w:styleId="TOCOL2">
    <w:name w:val="TOCOL 2"/>
    <w:basedOn w:val="TOC2"/>
    <w:rsid w:val="003C3B59"/>
    <w:pPr>
      <w:keepNext w:val="0"/>
    </w:pPr>
  </w:style>
  <w:style w:type="paragraph" w:customStyle="1" w:styleId="TOCOL3">
    <w:name w:val="TOCOL 3"/>
    <w:basedOn w:val="TOC3"/>
    <w:rsid w:val="003C3B59"/>
    <w:pPr>
      <w:keepNext w:val="0"/>
    </w:pPr>
  </w:style>
  <w:style w:type="paragraph" w:customStyle="1" w:styleId="TOCOL4">
    <w:name w:val="TOCOL 4"/>
    <w:basedOn w:val="TOC4"/>
    <w:rsid w:val="003C3B59"/>
    <w:pPr>
      <w:keepNext w:val="0"/>
    </w:pPr>
  </w:style>
  <w:style w:type="paragraph" w:customStyle="1" w:styleId="TOCOL5">
    <w:name w:val="TOCOL 5"/>
    <w:basedOn w:val="TOC5"/>
    <w:rsid w:val="003C3B59"/>
    <w:pPr>
      <w:tabs>
        <w:tab w:val="left" w:pos="400"/>
      </w:tabs>
    </w:pPr>
  </w:style>
  <w:style w:type="paragraph" w:customStyle="1" w:styleId="TOCOL6">
    <w:name w:val="TOCOL 6"/>
    <w:basedOn w:val="TOC6"/>
    <w:rsid w:val="003C3B59"/>
    <w:pPr>
      <w:keepNext w:val="0"/>
    </w:pPr>
  </w:style>
  <w:style w:type="paragraph" w:customStyle="1" w:styleId="TOCOL7">
    <w:name w:val="TOCOL 7"/>
    <w:basedOn w:val="TOC7"/>
    <w:rsid w:val="003C3B59"/>
  </w:style>
  <w:style w:type="paragraph" w:customStyle="1" w:styleId="TOCOL8">
    <w:name w:val="TOCOL 8"/>
    <w:basedOn w:val="TOC8"/>
    <w:rsid w:val="003C3B59"/>
  </w:style>
  <w:style w:type="paragraph" w:customStyle="1" w:styleId="TOCOL9">
    <w:name w:val="TOCOL 9"/>
    <w:basedOn w:val="TOC9"/>
    <w:rsid w:val="003C3B59"/>
    <w:pPr>
      <w:ind w:right="0"/>
    </w:pPr>
  </w:style>
  <w:style w:type="paragraph" w:styleId="TOC9">
    <w:name w:val="toc 9"/>
    <w:basedOn w:val="Normal"/>
    <w:next w:val="Normal"/>
    <w:autoRedefine/>
    <w:rsid w:val="003C3B59"/>
    <w:pPr>
      <w:ind w:left="1920" w:right="600"/>
    </w:pPr>
  </w:style>
  <w:style w:type="paragraph" w:customStyle="1" w:styleId="Billname1">
    <w:name w:val="Billname1"/>
    <w:basedOn w:val="Normal"/>
    <w:rsid w:val="003C3B5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C3B59"/>
    <w:rPr>
      <w:sz w:val="20"/>
    </w:rPr>
  </w:style>
  <w:style w:type="paragraph" w:customStyle="1" w:styleId="TablePara10">
    <w:name w:val="TablePara10"/>
    <w:basedOn w:val="tablepara"/>
    <w:rsid w:val="003C3B5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C3B5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C3B59"/>
  </w:style>
  <w:style w:type="character" w:customStyle="1" w:styleId="charPage">
    <w:name w:val="charPage"/>
    <w:basedOn w:val="DefaultParagraphFont"/>
    <w:rsid w:val="003C3B59"/>
  </w:style>
  <w:style w:type="character" w:styleId="PageNumber">
    <w:name w:val="page number"/>
    <w:basedOn w:val="DefaultParagraphFont"/>
    <w:rsid w:val="003C3B59"/>
  </w:style>
  <w:style w:type="paragraph" w:customStyle="1" w:styleId="Letterhead">
    <w:name w:val="Letterhead"/>
    <w:rsid w:val="00CD2F0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D2F0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D2F0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C3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3B5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D2F04"/>
  </w:style>
  <w:style w:type="character" w:customStyle="1" w:styleId="FooterChar">
    <w:name w:val="Footer Char"/>
    <w:basedOn w:val="DefaultParagraphFont"/>
    <w:link w:val="Footer"/>
    <w:rsid w:val="003C3B5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D2F0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C3B59"/>
  </w:style>
  <w:style w:type="paragraph" w:customStyle="1" w:styleId="TableBullet">
    <w:name w:val="TableBullet"/>
    <w:basedOn w:val="TableText10"/>
    <w:qFormat/>
    <w:rsid w:val="003C3B5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C3B5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C3B5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D2F0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D2F0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C3B59"/>
    <w:pPr>
      <w:numPr>
        <w:numId w:val="19"/>
      </w:numPr>
    </w:pPr>
  </w:style>
  <w:style w:type="paragraph" w:customStyle="1" w:styleId="ISchMain">
    <w:name w:val="I Sch Main"/>
    <w:basedOn w:val="BillBasic"/>
    <w:rsid w:val="003C3B5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C3B5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C3B5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C3B5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C3B5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C3B5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C3B5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C3B5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D2F0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D2F04"/>
    <w:rPr>
      <w:sz w:val="24"/>
      <w:lang w:eastAsia="en-US"/>
    </w:rPr>
  </w:style>
  <w:style w:type="paragraph" w:customStyle="1" w:styleId="Status">
    <w:name w:val="Status"/>
    <w:basedOn w:val="Normal"/>
    <w:rsid w:val="003C3B5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C3B5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C02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1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E1"/>
    <w:rPr>
      <w:b/>
      <w:bCs/>
      <w:lang w:eastAsia="en-US"/>
    </w:rPr>
  </w:style>
  <w:style w:type="paragraph" w:customStyle="1" w:styleId="00Spine">
    <w:name w:val="00Spine"/>
    <w:basedOn w:val="Normal"/>
    <w:rsid w:val="003C3B59"/>
  </w:style>
  <w:style w:type="paragraph" w:customStyle="1" w:styleId="05Endnote0">
    <w:name w:val="05Endnote"/>
    <w:basedOn w:val="Normal"/>
    <w:rsid w:val="003C3B59"/>
  </w:style>
  <w:style w:type="paragraph" w:customStyle="1" w:styleId="06Copyright">
    <w:name w:val="06Copyright"/>
    <w:basedOn w:val="Normal"/>
    <w:rsid w:val="003C3B59"/>
  </w:style>
  <w:style w:type="paragraph" w:customStyle="1" w:styleId="RepubNo">
    <w:name w:val="RepubNo"/>
    <w:basedOn w:val="BillBasicHeading"/>
    <w:rsid w:val="003C3B5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C3B5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C3B5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C3B59"/>
    <w:rPr>
      <w:rFonts w:ascii="Arial" w:hAnsi="Arial"/>
      <w:b/>
    </w:rPr>
  </w:style>
  <w:style w:type="paragraph" w:customStyle="1" w:styleId="CoverSubHdg">
    <w:name w:val="CoverSubHdg"/>
    <w:basedOn w:val="CoverHeading"/>
    <w:rsid w:val="003C3B5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C3B5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C3B5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C3B5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C3B5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C3B5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C3B5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C3B5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C3B5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C3B5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C3B5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C3B5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C3B5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C3B5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C3B5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C3B5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C3B5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C3B5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C3B5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C3B59"/>
  </w:style>
  <w:style w:type="character" w:customStyle="1" w:styleId="charTableText">
    <w:name w:val="charTableText"/>
    <w:basedOn w:val="DefaultParagraphFont"/>
    <w:rsid w:val="003C3B59"/>
  </w:style>
  <w:style w:type="paragraph" w:customStyle="1" w:styleId="Dict-HeadingSymb">
    <w:name w:val="Dict-Heading Symb"/>
    <w:basedOn w:val="Dict-Heading"/>
    <w:rsid w:val="003C3B5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C3B5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C3B5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C3B5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C3B5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C3B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C3B5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C3B5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C3B5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C3B5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C3B5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C3B59"/>
    <w:pPr>
      <w:ind w:hanging="480"/>
    </w:pPr>
  </w:style>
  <w:style w:type="paragraph" w:styleId="MacroText">
    <w:name w:val="macro"/>
    <w:link w:val="MacroTextChar"/>
    <w:semiHidden/>
    <w:rsid w:val="003C3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C3B5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C3B5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C3B59"/>
  </w:style>
  <w:style w:type="paragraph" w:customStyle="1" w:styleId="RenumProvEntries">
    <w:name w:val="RenumProvEntries"/>
    <w:basedOn w:val="Normal"/>
    <w:rsid w:val="003C3B5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C3B5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C3B5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C3B59"/>
    <w:pPr>
      <w:ind w:left="252"/>
    </w:pPr>
  </w:style>
  <w:style w:type="paragraph" w:customStyle="1" w:styleId="RenumTableHdg">
    <w:name w:val="RenumTableHdg"/>
    <w:basedOn w:val="Normal"/>
    <w:rsid w:val="003C3B5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C3B5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C3B59"/>
    <w:rPr>
      <w:b w:val="0"/>
    </w:rPr>
  </w:style>
  <w:style w:type="paragraph" w:customStyle="1" w:styleId="Sched-FormSymb">
    <w:name w:val="Sched-Form Symb"/>
    <w:basedOn w:val="Sched-Form"/>
    <w:rsid w:val="003C3B5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C3B5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C3B5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C3B5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C3B5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C3B5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C3B59"/>
    <w:pPr>
      <w:ind w:firstLine="0"/>
    </w:pPr>
    <w:rPr>
      <w:b/>
    </w:rPr>
  </w:style>
  <w:style w:type="paragraph" w:customStyle="1" w:styleId="EndNoteTextPub">
    <w:name w:val="EndNoteTextPub"/>
    <w:basedOn w:val="Normal"/>
    <w:rsid w:val="003C3B5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C3B59"/>
    <w:rPr>
      <w:szCs w:val="24"/>
    </w:rPr>
  </w:style>
  <w:style w:type="character" w:customStyle="1" w:styleId="charNotBold">
    <w:name w:val="charNotBold"/>
    <w:basedOn w:val="DefaultParagraphFont"/>
    <w:rsid w:val="003C3B5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C3B5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C3B59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C3B5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C3B5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C3B5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C3B5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C3B59"/>
    <w:pPr>
      <w:tabs>
        <w:tab w:val="left" w:pos="2700"/>
      </w:tabs>
      <w:spacing w:before="0"/>
    </w:pPr>
  </w:style>
  <w:style w:type="paragraph" w:customStyle="1" w:styleId="parainpara">
    <w:name w:val="para in para"/>
    <w:rsid w:val="003C3B5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C3B5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C3B59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C3B5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C3B59"/>
    <w:rPr>
      <w:b w:val="0"/>
      <w:sz w:val="32"/>
    </w:rPr>
  </w:style>
  <w:style w:type="paragraph" w:customStyle="1" w:styleId="MH1Chapter">
    <w:name w:val="M H1 Chapter"/>
    <w:basedOn w:val="AH1Chapter"/>
    <w:rsid w:val="003C3B5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C3B5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C3B5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C3B5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C3B5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C3B5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C3B5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C3B5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C3B5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C3B5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C3B59"/>
    <w:pPr>
      <w:ind w:left="1800"/>
    </w:pPr>
  </w:style>
  <w:style w:type="paragraph" w:customStyle="1" w:styleId="Modparareturn">
    <w:name w:val="Mod para return"/>
    <w:basedOn w:val="AparareturnSymb"/>
    <w:rsid w:val="003C3B59"/>
    <w:pPr>
      <w:ind w:left="2300"/>
    </w:pPr>
  </w:style>
  <w:style w:type="paragraph" w:customStyle="1" w:styleId="Modsubparareturn">
    <w:name w:val="Mod subpara return"/>
    <w:basedOn w:val="AsubparareturnSymb"/>
    <w:rsid w:val="003C3B59"/>
    <w:pPr>
      <w:ind w:left="3040"/>
    </w:pPr>
  </w:style>
  <w:style w:type="paragraph" w:customStyle="1" w:styleId="Modref">
    <w:name w:val="Mod ref"/>
    <w:basedOn w:val="refSymb"/>
    <w:rsid w:val="003C3B59"/>
    <w:pPr>
      <w:ind w:left="1100"/>
    </w:pPr>
  </w:style>
  <w:style w:type="paragraph" w:customStyle="1" w:styleId="ModaNote">
    <w:name w:val="Mod aNote"/>
    <w:basedOn w:val="aNoteSymb"/>
    <w:rsid w:val="003C3B5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C3B5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C3B59"/>
    <w:pPr>
      <w:ind w:left="0" w:firstLine="0"/>
    </w:pPr>
  </w:style>
  <w:style w:type="paragraph" w:customStyle="1" w:styleId="AmdtEntries">
    <w:name w:val="AmdtEntries"/>
    <w:basedOn w:val="BillBasicHeading"/>
    <w:rsid w:val="003C3B5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C3B5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C3B5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C3B5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C3B5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C3B5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C3B5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C3B5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C3B5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C3B5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C3B5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C3B5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C3B5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C3B5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C3B5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C3B59"/>
  </w:style>
  <w:style w:type="paragraph" w:customStyle="1" w:styleId="refSymb">
    <w:name w:val="ref Symb"/>
    <w:basedOn w:val="BillBasic"/>
    <w:next w:val="Normal"/>
    <w:rsid w:val="003C3B5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C3B5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C3B5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C3B5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C3B5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C3B5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C3B5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C3B5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C3B5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C3B5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C3B5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C3B5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C3B59"/>
    <w:pPr>
      <w:ind w:left="1599" w:hanging="2081"/>
    </w:pPr>
  </w:style>
  <w:style w:type="paragraph" w:customStyle="1" w:styleId="IdefsubparaSymb">
    <w:name w:val="I def subpara Symb"/>
    <w:basedOn w:val="IsubparaSymb"/>
    <w:rsid w:val="003C3B5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C3B5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C3B5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C3B5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C3B5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C3B5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C3B5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C3B5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C3B5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C3B5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C3B5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C3B5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C3B5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C3B5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C3B5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C3B5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C3B5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C3B5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C3B5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C3B5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C3B5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C3B5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C3B5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C3B5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C3B5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C3B5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C3B5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C3B5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C3B5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C3B5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C3B5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C3B59"/>
  </w:style>
  <w:style w:type="paragraph" w:customStyle="1" w:styleId="PenaltyParaSymb">
    <w:name w:val="PenaltyPara Symb"/>
    <w:basedOn w:val="Normal"/>
    <w:rsid w:val="003C3B5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C3B5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C3B5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C3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legislation.gov.au/Series/F2017L00313" TargetMode="Externa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6.xml"/><Relationship Id="rId42" Type="http://schemas.openxmlformats.org/officeDocument/2006/relationships/header" Target="header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9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tga.gov.au/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gov.au/Series/F2017L00313" TargetMode="External"/><Relationship Id="rId32" Type="http://schemas.openxmlformats.org/officeDocument/2006/relationships/hyperlink" Target="https://www.legislation.gov.au/Series/F2017L00313" TargetMode="External"/><Relationship Id="rId37" Type="http://schemas.openxmlformats.org/officeDocument/2006/relationships/footer" Target="footer8.xml"/><Relationship Id="rId40" Type="http://schemas.openxmlformats.org/officeDocument/2006/relationships/hyperlink" Target="http://www.legislation.act.gov.au/" TargetMode="External"/><Relationship Id="rId45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gov.au/Series/F2017L00313" TargetMode="External"/><Relationship Id="rId28" Type="http://schemas.openxmlformats.org/officeDocument/2006/relationships/hyperlink" Target="http://www.health.gov.au/" TargetMode="Externa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www.legislation.gov.au/Series/F2017L00313" TargetMode="External"/><Relationship Id="rId44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8-42" TargetMode="External"/><Relationship Id="rId27" Type="http://schemas.openxmlformats.org/officeDocument/2006/relationships/hyperlink" Target="https://www.legislation.gov.au/Series/F2017L00313" TargetMode="External"/><Relationship Id="rId30" Type="http://schemas.openxmlformats.org/officeDocument/2006/relationships/hyperlink" Target="https://www.legislation.gov.au/Details/F2020L00291" TargetMode="External"/><Relationship Id="rId35" Type="http://schemas.openxmlformats.org/officeDocument/2006/relationships/header" Target="header7.xml"/><Relationship Id="rId43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1480</Words>
  <Characters>8138</Characters>
  <Application>Microsoft Office Word</Application>
  <DocSecurity>0</DocSecurity>
  <Lines>306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Regulation 2008</vt:lpstr>
    </vt:vector>
  </TitlesOfParts>
  <Manager>Regulation</Manager>
  <Company>Section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Regulation 2008</dc:title>
  <dc:subject>Amendment</dc:subject>
  <dc:creator>ACT Government</dc:creator>
  <cp:keywords>N01</cp:keywords>
  <dc:description>J2021-1058</dc:description>
  <cp:lastModifiedBy>Moxon, KarenL</cp:lastModifiedBy>
  <cp:revision>4</cp:revision>
  <cp:lastPrinted>2021-10-05T02:20:00Z</cp:lastPrinted>
  <dcterms:created xsi:type="dcterms:W3CDTF">2021-11-03T22:18:00Z</dcterms:created>
  <dcterms:modified xsi:type="dcterms:W3CDTF">2021-11-03T22:18:00Z</dcterms:modified>
  <cp:category>SL2021-28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ACT Health Directorate</vt:lpwstr>
  </property>
  <property fmtid="{D5CDD505-2E9C-101B-9397-08002B2CF9AE}" pid="10" name="ClientName1">
    <vt:lpwstr>Cassandra Gleadhill</vt:lpwstr>
  </property>
  <property fmtid="{D5CDD505-2E9C-101B-9397-08002B2CF9AE}" pid="11" name="ClientEmail1">
    <vt:lpwstr>Cassandra.Gleadhill@act.gov.au</vt:lpwstr>
  </property>
  <property fmtid="{D5CDD505-2E9C-101B-9397-08002B2CF9AE}" pid="12" name="ClientPh1">
    <vt:lpwstr>51249221</vt:lpwstr>
  </property>
  <property fmtid="{D5CDD505-2E9C-101B-9397-08002B2CF9AE}" pid="13" name="ClientName2">
    <vt:lpwstr>Michael Fitzsimons</vt:lpwstr>
  </property>
  <property fmtid="{D5CDD505-2E9C-101B-9397-08002B2CF9AE}" pid="14" name="ClientEmail2">
    <vt:lpwstr>michael.fitzsimons@act.gov.au</vt:lpwstr>
  </property>
  <property fmtid="{D5CDD505-2E9C-101B-9397-08002B2CF9AE}" pid="15" name="ClientPh2">
    <vt:lpwstr>51249089</vt:lpwstr>
  </property>
  <property fmtid="{D5CDD505-2E9C-101B-9397-08002B2CF9AE}" pid="16" name="jobType">
    <vt:lpwstr>Drafting</vt:lpwstr>
  </property>
  <property fmtid="{D5CDD505-2E9C-101B-9397-08002B2CF9AE}" pid="17" name="DMSID">
    <vt:lpwstr>1406570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Medicines, Poisons and Therapeutic Goods Amendment Regulation 2021 (No )</vt:lpwstr>
  </property>
  <property fmtid="{D5CDD505-2E9C-101B-9397-08002B2CF9AE}" pid="21" name="ActName">
    <vt:lpwstr>Medicines, Poisons and Therapeutic Goods Act 2008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